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3ACE" w14:textId="1D48233C" w:rsidR="00257DF2" w:rsidRDefault="00257DF2" w:rsidP="00D60A37">
      <w:pPr>
        <w:spacing w:after="1680"/>
      </w:pPr>
    </w:p>
    <w:p w14:paraId="65F3B146" w14:textId="7C22CE8B" w:rsidR="00257DF2" w:rsidRPr="001A319F" w:rsidRDefault="009447BD" w:rsidP="00257DF2">
      <w:pPr>
        <w:pStyle w:val="CoverTitle"/>
        <w:rPr>
          <w:color w:val="15272F" w:themeColor="text1"/>
        </w:rPr>
      </w:pPr>
      <w:r w:rsidRPr="1922062C">
        <w:rPr>
          <w:color w:val="15272F" w:themeColor="accent1"/>
        </w:rPr>
        <w:t>Australian Mental Health Care Classification Version 1.1</w:t>
      </w:r>
    </w:p>
    <w:p w14:paraId="4A60CB44" w14:textId="1C24F7BA" w:rsidR="001F2735" w:rsidRPr="001F2735" w:rsidRDefault="009447BD" w:rsidP="001F2735">
      <w:pPr>
        <w:pStyle w:val="Coversubtitle"/>
        <w:rPr>
          <w:color w:val="104F99" w:themeColor="accent2"/>
        </w:rPr>
        <w:sectPr w:rsidR="001F2735" w:rsidRPr="001F2735" w:rsidSect="00383C9C">
          <w:headerReference w:type="default" r:id="rId11"/>
          <w:footerReference w:type="default" r:id="rId12"/>
          <w:pgSz w:w="11906" w:h="16838" w:code="9"/>
          <w:pgMar w:top="1440" w:right="1077" w:bottom="1440" w:left="1077" w:header="708" w:footer="1134" w:gutter="0"/>
          <w:cols w:space="720"/>
          <w:docGrid w:linePitch="360"/>
        </w:sectPr>
      </w:pPr>
      <w:r w:rsidRPr="1922062C">
        <w:rPr>
          <w:color w:val="104F99" w:themeColor="accent2"/>
        </w:rPr>
        <w:t>Final Report</w:t>
      </w:r>
    </w:p>
    <w:p w14:paraId="6DFC26B5" w14:textId="2546F042" w:rsidR="003C3623" w:rsidRPr="00BD78D3" w:rsidRDefault="009447BD" w:rsidP="003C3623">
      <w:pPr>
        <w:pStyle w:val="Copyrightheading"/>
      </w:pPr>
      <w:r w:rsidRPr="00BD78D3">
        <w:lastRenderedPageBreak/>
        <w:t>Australian Mental Health Care Classification Version 1.1</w:t>
      </w:r>
      <w:r w:rsidR="00997D03">
        <w:t xml:space="preserve"> </w:t>
      </w:r>
      <w:r w:rsidR="003C3623" w:rsidRPr="00BD78D3">
        <w:t xml:space="preserve">— </w:t>
      </w:r>
      <w:r w:rsidR="00EB3ED8">
        <w:t>December 2023</w:t>
      </w:r>
    </w:p>
    <w:p w14:paraId="7D65D706" w14:textId="7F7430D9" w:rsidR="003C3623" w:rsidRPr="00BD78D3" w:rsidRDefault="003C3623" w:rsidP="003C3623">
      <w:pPr>
        <w:pStyle w:val="Copyrightcopy"/>
      </w:pPr>
      <w:r w:rsidRPr="00BD78D3">
        <w:t xml:space="preserve">© Independent Health and Aged Care Pricing Authority </w:t>
      </w:r>
      <w:r w:rsidR="00BD3525" w:rsidRPr="00BD78D3">
        <w:t>2023</w:t>
      </w:r>
    </w:p>
    <w:p w14:paraId="46F70953" w14:textId="77777777" w:rsidR="003C3623" w:rsidRPr="00BD78D3" w:rsidRDefault="003C3623" w:rsidP="003C3623">
      <w:pPr>
        <w:pStyle w:val="Copyrightcopy"/>
      </w:pPr>
      <w:r w:rsidRPr="00BD78D3">
        <w:t xml:space="preserve">This publication is available for your use under a Creative Commons BY Attribution 3.0 Australia licence, </w:t>
      </w:r>
      <w:proofErr w:type="gramStart"/>
      <w:r w:rsidRPr="00BD78D3">
        <w:t>with the exception of</w:t>
      </w:r>
      <w:proofErr w:type="gramEnd"/>
      <w:r w:rsidRPr="00BD78D3">
        <w:t xml:space="preserve"> the Independent Health and Aged Care Pricing Authority logo, photographs, images, signatures and where otherwise stated. The full licence terms are available from the Creative Commons website.</w:t>
      </w:r>
    </w:p>
    <w:p w14:paraId="0E2D90A5" w14:textId="77777777" w:rsidR="003C3623" w:rsidRPr="00BD78D3" w:rsidRDefault="003C3623" w:rsidP="003C3623">
      <w:pPr>
        <w:pStyle w:val="Copyrightcopy"/>
      </w:pPr>
      <w:r w:rsidRPr="00BD78D3">
        <w:rPr>
          <w:noProof/>
        </w:rPr>
        <w:drawing>
          <wp:inline distT="0" distB="0" distL="0" distR="0" wp14:anchorId="59F99E18" wp14:editId="70010BD3">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BD78D3">
        <w:t xml:space="preserve"> </w:t>
      </w:r>
    </w:p>
    <w:p w14:paraId="0512B51B" w14:textId="77777777" w:rsidR="003C3623" w:rsidRPr="00BD78D3" w:rsidRDefault="003C3623" w:rsidP="003C3623">
      <w:pPr>
        <w:pStyle w:val="Copyrightcopy"/>
      </w:pPr>
      <w:r w:rsidRPr="00BD78D3">
        <w:t>Use of Independent Health and Aged Care Pricing Authority material under a Creative Commons BY Attribution 3.0 Australia licence requires you to attribute the work (but not in any way that suggests that the Independent Health and Aged Care Pricing Authority endorses you or your use of the work).</w:t>
      </w:r>
    </w:p>
    <w:p w14:paraId="39BA71E6" w14:textId="77777777" w:rsidR="003C3623" w:rsidRPr="00BD78D3" w:rsidRDefault="003C3623" w:rsidP="003C3623">
      <w:pPr>
        <w:pStyle w:val="Copyrightcopy"/>
      </w:pPr>
      <w:r w:rsidRPr="00BD78D3">
        <w:t>Independent Health and Aged Care Pricing Authority material used 'as supplied'.</w:t>
      </w:r>
    </w:p>
    <w:p w14:paraId="40B05B06" w14:textId="77777777" w:rsidR="003C3623" w:rsidRPr="00BD78D3" w:rsidRDefault="003C3623" w:rsidP="003C3623">
      <w:pPr>
        <w:pStyle w:val="Copyrightcopy"/>
      </w:pPr>
      <w:r w:rsidRPr="00BD78D3">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6BE374A4" w14:textId="736DB285" w:rsidR="003C3623" w:rsidRPr="00BD78D3" w:rsidRDefault="003C3623" w:rsidP="003C3623">
      <w:pPr>
        <w:pStyle w:val="Copyrightcopy"/>
        <w:sectPr w:rsidR="003C3623" w:rsidRPr="00BD78D3" w:rsidSect="00383C9C">
          <w:headerReference w:type="even" r:id="rId14"/>
          <w:headerReference w:type="default" r:id="rId15"/>
          <w:footerReference w:type="default" r:id="rId16"/>
          <w:headerReference w:type="first" r:id="rId17"/>
          <w:pgSz w:w="11906" w:h="16838" w:code="9"/>
          <w:pgMar w:top="1440" w:right="1077" w:bottom="1440" w:left="1077" w:header="709" w:footer="709" w:gutter="0"/>
          <w:cols w:space="720"/>
          <w:docGrid w:linePitch="360"/>
        </w:sectPr>
      </w:pPr>
      <w:r w:rsidRPr="00BD78D3">
        <w:t>Source: The Independent Health and Aged Care Pricing Authority</w:t>
      </w:r>
    </w:p>
    <w:sdt>
      <w:sdtPr>
        <w:rPr>
          <w:rFonts w:cs="Arial"/>
        </w:rPr>
        <w:id w:val="-647206254"/>
        <w:docPartObj>
          <w:docPartGallery w:val="Table of Contents"/>
          <w:docPartUnique/>
        </w:docPartObj>
      </w:sdtPr>
      <w:sdtEndPr>
        <w:rPr>
          <w:b/>
          <w:bCs/>
          <w:noProof/>
        </w:rPr>
      </w:sdtEndPr>
      <w:sdtContent>
        <w:p w14:paraId="5ECBE524" w14:textId="77777777" w:rsidR="009A1F93" w:rsidRPr="009B7918" w:rsidRDefault="009A1F93" w:rsidP="009A1F93">
          <w:pPr>
            <w:rPr>
              <w:rFonts w:cs="Arial"/>
              <w:b/>
              <w:bCs/>
              <w:sz w:val="72"/>
              <w:szCs w:val="72"/>
            </w:rPr>
          </w:pPr>
          <w:r w:rsidRPr="1922062C">
            <w:rPr>
              <w:rFonts w:cs="Arial"/>
              <w:b/>
              <w:bCs/>
              <w:sz w:val="72"/>
              <w:szCs w:val="72"/>
            </w:rPr>
            <w:t>Contents</w:t>
          </w:r>
        </w:p>
        <w:p w14:paraId="4EE92147" w14:textId="1A698690" w:rsidR="00F45F2F" w:rsidRDefault="009A1F93">
          <w:pPr>
            <w:pStyle w:val="TOC1"/>
            <w:tabs>
              <w:tab w:val="right" w:leader="dot" w:pos="9742"/>
            </w:tabs>
            <w:rPr>
              <w:rFonts w:asciiTheme="minorHAnsi" w:eastAsiaTheme="minorEastAsia" w:hAnsiTheme="minorHAnsi"/>
              <w:b w:val="0"/>
              <w:bCs w:val="0"/>
              <w:noProof/>
              <w:color w:val="auto"/>
              <w:sz w:val="22"/>
              <w:szCs w:val="22"/>
              <w:lang w:eastAsia="en-AU"/>
            </w:rPr>
          </w:pPr>
          <w:r w:rsidRPr="1922062C">
            <w:rPr>
              <w:rFonts w:cs="Arial"/>
            </w:rPr>
            <w:fldChar w:fldCharType="begin"/>
          </w:r>
          <w:r>
            <w:rPr>
              <w:rFonts w:cs="Arial"/>
            </w:rPr>
            <w:instrText xml:space="preserve"> TOC \o "1-2" \h \z \u </w:instrText>
          </w:r>
          <w:r w:rsidRPr="1922062C">
            <w:rPr>
              <w:rFonts w:cs="Arial"/>
            </w:rPr>
            <w:fldChar w:fldCharType="separate"/>
          </w:r>
          <w:hyperlink w:anchor="_Toc153371589" w:history="1">
            <w:r w:rsidR="00F45F2F" w:rsidRPr="00A1449F">
              <w:rPr>
                <w:rStyle w:val="Hyperlink"/>
                <w:noProof/>
              </w:rPr>
              <w:t>Abbreviations and acronyms</w:t>
            </w:r>
            <w:r w:rsidR="00F45F2F">
              <w:rPr>
                <w:noProof/>
                <w:webHidden/>
              </w:rPr>
              <w:tab/>
            </w:r>
            <w:r w:rsidR="00F45F2F">
              <w:rPr>
                <w:noProof/>
                <w:webHidden/>
              </w:rPr>
              <w:fldChar w:fldCharType="begin"/>
            </w:r>
            <w:r w:rsidR="00F45F2F">
              <w:rPr>
                <w:noProof/>
                <w:webHidden/>
              </w:rPr>
              <w:instrText xml:space="preserve"> PAGEREF _Toc153371589 \h </w:instrText>
            </w:r>
            <w:r w:rsidR="00F45F2F">
              <w:rPr>
                <w:noProof/>
                <w:webHidden/>
              </w:rPr>
            </w:r>
            <w:r w:rsidR="00F45F2F">
              <w:rPr>
                <w:noProof/>
                <w:webHidden/>
              </w:rPr>
              <w:fldChar w:fldCharType="separate"/>
            </w:r>
            <w:r w:rsidR="00F45F2F">
              <w:rPr>
                <w:noProof/>
                <w:webHidden/>
              </w:rPr>
              <w:t>5</w:t>
            </w:r>
            <w:r w:rsidR="00F45F2F">
              <w:rPr>
                <w:noProof/>
                <w:webHidden/>
              </w:rPr>
              <w:fldChar w:fldCharType="end"/>
            </w:r>
          </w:hyperlink>
        </w:p>
        <w:p w14:paraId="60AE8FC3" w14:textId="73004418"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590" w:history="1">
            <w:r w:rsidR="00F45F2F" w:rsidRPr="00A1449F">
              <w:rPr>
                <w:rStyle w:val="Hyperlink"/>
                <w:noProof/>
              </w:rPr>
              <w:t>Executive summary</w:t>
            </w:r>
            <w:r w:rsidR="00F45F2F">
              <w:rPr>
                <w:noProof/>
                <w:webHidden/>
              </w:rPr>
              <w:tab/>
            </w:r>
            <w:r w:rsidR="00F45F2F">
              <w:rPr>
                <w:noProof/>
                <w:webHidden/>
              </w:rPr>
              <w:fldChar w:fldCharType="begin"/>
            </w:r>
            <w:r w:rsidR="00F45F2F">
              <w:rPr>
                <w:noProof/>
                <w:webHidden/>
              </w:rPr>
              <w:instrText xml:space="preserve"> PAGEREF _Toc153371590 \h </w:instrText>
            </w:r>
            <w:r w:rsidR="00F45F2F">
              <w:rPr>
                <w:noProof/>
                <w:webHidden/>
              </w:rPr>
            </w:r>
            <w:r w:rsidR="00F45F2F">
              <w:rPr>
                <w:noProof/>
                <w:webHidden/>
              </w:rPr>
              <w:fldChar w:fldCharType="separate"/>
            </w:r>
            <w:r w:rsidR="00F45F2F">
              <w:rPr>
                <w:noProof/>
                <w:webHidden/>
              </w:rPr>
              <w:t>6</w:t>
            </w:r>
            <w:r w:rsidR="00F45F2F">
              <w:rPr>
                <w:noProof/>
                <w:webHidden/>
              </w:rPr>
              <w:fldChar w:fldCharType="end"/>
            </w:r>
          </w:hyperlink>
        </w:p>
        <w:p w14:paraId="23CE060E" w14:textId="4A23D952"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591" w:history="1">
            <w:r w:rsidR="00F45F2F" w:rsidRPr="00A1449F">
              <w:rPr>
                <w:rStyle w:val="Hyperlink"/>
                <w:noProof/>
              </w:rPr>
              <w:t>1.</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Introduction</w:t>
            </w:r>
            <w:r w:rsidR="00F45F2F">
              <w:rPr>
                <w:noProof/>
                <w:webHidden/>
              </w:rPr>
              <w:tab/>
            </w:r>
            <w:r w:rsidR="00F45F2F">
              <w:rPr>
                <w:noProof/>
                <w:webHidden/>
              </w:rPr>
              <w:fldChar w:fldCharType="begin"/>
            </w:r>
            <w:r w:rsidR="00F45F2F">
              <w:rPr>
                <w:noProof/>
                <w:webHidden/>
              </w:rPr>
              <w:instrText xml:space="preserve"> PAGEREF _Toc153371591 \h </w:instrText>
            </w:r>
            <w:r w:rsidR="00F45F2F">
              <w:rPr>
                <w:noProof/>
                <w:webHidden/>
              </w:rPr>
            </w:r>
            <w:r w:rsidR="00F45F2F">
              <w:rPr>
                <w:noProof/>
                <w:webHidden/>
              </w:rPr>
              <w:fldChar w:fldCharType="separate"/>
            </w:r>
            <w:r w:rsidR="00F45F2F">
              <w:rPr>
                <w:noProof/>
                <w:webHidden/>
              </w:rPr>
              <w:t>7</w:t>
            </w:r>
            <w:r w:rsidR="00F45F2F">
              <w:rPr>
                <w:noProof/>
                <w:webHidden/>
              </w:rPr>
              <w:fldChar w:fldCharType="end"/>
            </w:r>
          </w:hyperlink>
        </w:p>
        <w:p w14:paraId="31CB153D" w14:textId="48DA1A75"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2" w:history="1">
            <w:r w:rsidR="00F45F2F" w:rsidRPr="00A1449F">
              <w:rPr>
                <w:rStyle w:val="Hyperlink"/>
                <w:noProof/>
              </w:rPr>
              <w:t>1.1</w:t>
            </w:r>
            <w:r w:rsidR="00F45F2F">
              <w:rPr>
                <w:rFonts w:asciiTheme="minorHAnsi" w:eastAsiaTheme="minorEastAsia" w:hAnsiTheme="minorHAnsi"/>
                <w:noProof/>
                <w:color w:val="auto"/>
                <w:lang w:eastAsia="en-AU"/>
              </w:rPr>
              <w:tab/>
            </w:r>
            <w:r w:rsidR="00F45F2F" w:rsidRPr="00A1449F">
              <w:rPr>
                <w:rStyle w:val="Hyperlink"/>
                <w:noProof/>
              </w:rPr>
              <w:t>About IHACPA</w:t>
            </w:r>
            <w:r w:rsidR="00F45F2F">
              <w:rPr>
                <w:noProof/>
                <w:webHidden/>
              </w:rPr>
              <w:tab/>
            </w:r>
            <w:r w:rsidR="00F45F2F">
              <w:rPr>
                <w:noProof/>
                <w:webHidden/>
              </w:rPr>
              <w:fldChar w:fldCharType="begin"/>
            </w:r>
            <w:r w:rsidR="00F45F2F">
              <w:rPr>
                <w:noProof/>
                <w:webHidden/>
              </w:rPr>
              <w:instrText xml:space="preserve"> PAGEREF _Toc153371592 \h </w:instrText>
            </w:r>
            <w:r w:rsidR="00F45F2F">
              <w:rPr>
                <w:noProof/>
                <w:webHidden/>
              </w:rPr>
            </w:r>
            <w:r w:rsidR="00F45F2F">
              <w:rPr>
                <w:noProof/>
                <w:webHidden/>
              </w:rPr>
              <w:fldChar w:fldCharType="separate"/>
            </w:r>
            <w:r w:rsidR="00F45F2F">
              <w:rPr>
                <w:noProof/>
                <w:webHidden/>
              </w:rPr>
              <w:t>7</w:t>
            </w:r>
            <w:r w:rsidR="00F45F2F">
              <w:rPr>
                <w:noProof/>
                <w:webHidden/>
              </w:rPr>
              <w:fldChar w:fldCharType="end"/>
            </w:r>
          </w:hyperlink>
        </w:p>
        <w:p w14:paraId="56FA89F1" w14:textId="030583EF"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593" w:history="1">
            <w:r w:rsidR="00F45F2F" w:rsidRPr="00A1449F">
              <w:rPr>
                <w:rStyle w:val="Hyperlink"/>
                <w:noProof/>
              </w:rPr>
              <w:t>2.</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Background</w:t>
            </w:r>
            <w:r w:rsidR="00F45F2F">
              <w:rPr>
                <w:noProof/>
                <w:webHidden/>
              </w:rPr>
              <w:tab/>
            </w:r>
            <w:r w:rsidR="00F45F2F">
              <w:rPr>
                <w:noProof/>
                <w:webHidden/>
              </w:rPr>
              <w:fldChar w:fldCharType="begin"/>
            </w:r>
            <w:r w:rsidR="00F45F2F">
              <w:rPr>
                <w:noProof/>
                <w:webHidden/>
              </w:rPr>
              <w:instrText xml:space="preserve"> PAGEREF _Toc153371593 \h </w:instrText>
            </w:r>
            <w:r w:rsidR="00F45F2F">
              <w:rPr>
                <w:noProof/>
                <w:webHidden/>
              </w:rPr>
            </w:r>
            <w:r w:rsidR="00F45F2F">
              <w:rPr>
                <w:noProof/>
                <w:webHidden/>
              </w:rPr>
              <w:fldChar w:fldCharType="separate"/>
            </w:r>
            <w:r w:rsidR="00F45F2F">
              <w:rPr>
                <w:noProof/>
                <w:webHidden/>
              </w:rPr>
              <w:t>8</w:t>
            </w:r>
            <w:r w:rsidR="00F45F2F">
              <w:rPr>
                <w:noProof/>
                <w:webHidden/>
              </w:rPr>
              <w:fldChar w:fldCharType="end"/>
            </w:r>
          </w:hyperlink>
        </w:p>
        <w:p w14:paraId="648AD903" w14:textId="7B881BFF"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4" w:history="1">
            <w:r w:rsidR="00F45F2F" w:rsidRPr="00A1449F">
              <w:rPr>
                <w:rStyle w:val="Hyperlink"/>
                <w:noProof/>
              </w:rPr>
              <w:t>2.1</w:t>
            </w:r>
            <w:r w:rsidR="00F45F2F">
              <w:rPr>
                <w:rFonts w:asciiTheme="minorHAnsi" w:eastAsiaTheme="minorEastAsia" w:hAnsiTheme="minorHAnsi"/>
                <w:noProof/>
                <w:color w:val="auto"/>
                <w:lang w:eastAsia="en-AU"/>
              </w:rPr>
              <w:tab/>
            </w:r>
            <w:r w:rsidR="00F45F2F" w:rsidRPr="00A1449F">
              <w:rPr>
                <w:rStyle w:val="Hyperlink"/>
                <w:noProof/>
              </w:rPr>
              <w:t>The Australian Mental Health Care Classification</w:t>
            </w:r>
            <w:r w:rsidR="00F45F2F">
              <w:rPr>
                <w:noProof/>
                <w:webHidden/>
              </w:rPr>
              <w:tab/>
            </w:r>
            <w:r w:rsidR="00F45F2F">
              <w:rPr>
                <w:noProof/>
                <w:webHidden/>
              </w:rPr>
              <w:fldChar w:fldCharType="begin"/>
            </w:r>
            <w:r w:rsidR="00F45F2F">
              <w:rPr>
                <w:noProof/>
                <w:webHidden/>
              </w:rPr>
              <w:instrText xml:space="preserve"> PAGEREF _Toc153371594 \h </w:instrText>
            </w:r>
            <w:r w:rsidR="00F45F2F">
              <w:rPr>
                <w:noProof/>
                <w:webHidden/>
              </w:rPr>
            </w:r>
            <w:r w:rsidR="00F45F2F">
              <w:rPr>
                <w:noProof/>
                <w:webHidden/>
              </w:rPr>
              <w:fldChar w:fldCharType="separate"/>
            </w:r>
            <w:r w:rsidR="00F45F2F">
              <w:rPr>
                <w:noProof/>
                <w:webHidden/>
              </w:rPr>
              <w:t>8</w:t>
            </w:r>
            <w:r w:rsidR="00F45F2F">
              <w:rPr>
                <w:noProof/>
                <w:webHidden/>
              </w:rPr>
              <w:fldChar w:fldCharType="end"/>
            </w:r>
          </w:hyperlink>
        </w:p>
        <w:p w14:paraId="3DB42899" w14:textId="7FD90049"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5" w:history="1">
            <w:r w:rsidR="00F45F2F" w:rsidRPr="00A1449F">
              <w:rPr>
                <w:rStyle w:val="Hyperlink"/>
                <w:noProof/>
              </w:rPr>
              <w:t>2.2</w:t>
            </w:r>
            <w:r w:rsidR="00F45F2F">
              <w:rPr>
                <w:rFonts w:asciiTheme="minorHAnsi" w:eastAsiaTheme="minorEastAsia" w:hAnsiTheme="minorHAnsi"/>
                <w:noProof/>
                <w:color w:val="auto"/>
                <w:lang w:eastAsia="en-AU"/>
              </w:rPr>
              <w:tab/>
            </w:r>
            <w:r w:rsidR="00F45F2F" w:rsidRPr="00A1449F">
              <w:rPr>
                <w:rStyle w:val="Hyperlink"/>
                <w:noProof/>
              </w:rPr>
              <w:t>The AMHCC structure</w:t>
            </w:r>
            <w:r w:rsidR="00F45F2F">
              <w:rPr>
                <w:noProof/>
                <w:webHidden/>
              </w:rPr>
              <w:tab/>
            </w:r>
            <w:r w:rsidR="00F45F2F">
              <w:rPr>
                <w:noProof/>
                <w:webHidden/>
              </w:rPr>
              <w:fldChar w:fldCharType="begin"/>
            </w:r>
            <w:r w:rsidR="00F45F2F">
              <w:rPr>
                <w:noProof/>
                <w:webHidden/>
              </w:rPr>
              <w:instrText xml:space="preserve"> PAGEREF _Toc153371595 \h </w:instrText>
            </w:r>
            <w:r w:rsidR="00F45F2F">
              <w:rPr>
                <w:noProof/>
                <w:webHidden/>
              </w:rPr>
            </w:r>
            <w:r w:rsidR="00F45F2F">
              <w:rPr>
                <w:noProof/>
                <w:webHidden/>
              </w:rPr>
              <w:fldChar w:fldCharType="separate"/>
            </w:r>
            <w:r w:rsidR="00F45F2F">
              <w:rPr>
                <w:noProof/>
                <w:webHidden/>
              </w:rPr>
              <w:t>8</w:t>
            </w:r>
            <w:r w:rsidR="00F45F2F">
              <w:rPr>
                <w:noProof/>
                <w:webHidden/>
              </w:rPr>
              <w:fldChar w:fldCharType="end"/>
            </w:r>
          </w:hyperlink>
        </w:p>
        <w:p w14:paraId="43864D9F" w14:textId="3D948C49"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6" w:history="1">
            <w:r w:rsidR="00F45F2F" w:rsidRPr="00A1449F">
              <w:rPr>
                <w:rStyle w:val="Hyperlink"/>
                <w:noProof/>
              </w:rPr>
              <w:t>2.3</w:t>
            </w:r>
            <w:r w:rsidR="00F45F2F">
              <w:rPr>
                <w:rFonts w:asciiTheme="minorHAnsi" w:eastAsiaTheme="minorEastAsia" w:hAnsiTheme="minorHAnsi"/>
                <w:noProof/>
                <w:color w:val="auto"/>
                <w:lang w:eastAsia="en-AU"/>
              </w:rPr>
              <w:tab/>
            </w:r>
            <w:r w:rsidR="00F45F2F" w:rsidRPr="00A1449F">
              <w:rPr>
                <w:rStyle w:val="Hyperlink"/>
                <w:noProof/>
              </w:rPr>
              <w:t>The AMHCC complexity variables</w:t>
            </w:r>
            <w:r w:rsidR="00F45F2F">
              <w:rPr>
                <w:noProof/>
                <w:webHidden/>
              </w:rPr>
              <w:tab/>
            </w:r>
            <w:r w:rsidR="00F45F2F">
              <w:rPr>
                <w:noProof/>
                <w:webHidden/>
              </w:rPr>
              <w:fldChar w:fldCharType="begin"/>
            </w:r>
            <w:r w:rsidR="00F45F2F">
              <w:rPr>
                <w:noProof/>
                <w:webHidden/>
              </w:rPr>
              <w:instrText xml:space="preserve"> PAGEREF _Toc153371596 \h </w:instrText>
            </w:r>
            <w:r w:rsidR="00F45F2F">
              <w:rPr>
                <w:noProof/>
                <w:webHidden/>
              </w:rPr>
            </w:r>
            <w:r w:rsidR="00F45F2F">
              <w:rPr>
                <w:noProof/>
                <w:webHidden/>
              </w:rPr>
              <w:fldChar w:fldCharType="separate"/>
            </w:r>
            <w:r w:rsidR="00F45F2F">
              <w:rPr>
                <w:noProof/>
                <w:webHidden/>
              </w:rPr>
              <w:t>9</w:t>
            </w:r>
            <w:r w:rsidR="00F45F2F">
              <w:rPr>
                <w:noProof/>
                <w:webHidden/>
              </w:rPr>
              <w:fldChar w:fldCharType="end"/>
            </w:r>
          </w:hyperlink>
        </w:p>
        <w:p w14:paraId="125CB703" w14:textId="2803207A"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7" w:history="1">
            <w:r w:rsidR="00F45F2F" w:rsidRPr="00A1449F">
              <w:rPr>
                <w:rStyle w:val="Hyperlink"/>
                <w:noProof/>
              </w:rPr>
              <w:t>2.4</w:t>
            </w:r>
            <w:r w:rsidR="00F45F2F">
              <w:rPr>
                <w:rFonts w:asciiTheme="minorHAnsi" w:eastAsiaTheme="minorEastAsia" w:hAnsiTheme="minorHAnsi"/>
                <w:noProof/>
                <w:color w:val="auto"/>
                <w:lang w:eastAsia="en-AU"/>
              </w:rPr>
              <w:tab/>
            </w:r>
            <w:r w:rsidR="00F45F2F" w:rsidRPr="00A1449F">
              <w:rPr>
                <w:rStyle w:val="Hyperlink"/>
                <w:noProof/>
              </w:rPr>
              <w:t>The AMHCC complexity model</w:t>
            </w:r>
            <w:r w:rsidR="00F45F2F">
              <w:rPr>
                <w:noProof/>
                <w:webHidden/>
              </w:rPr>
              <w:tab/>
            </w:r>
            <w:r w:rsidR="00F45F2F">
              <w:rPr>
                <w:noProof/>
                <w:webHidden/>
              </w:rPr>
              <w:fldChar w:fldCharType="begin"/>
            </w:r>
            <w:r w:rsidR="00F45F2F">
              <w:rPr>
                <w:noProof/>
                <w:webHidden/>
              </w:rPr>
              <w:instrText xml:space="preserve"> PAGEREF _Toc153371597 \h </w:instrText>
            </w:r>
            <w:r w:rsidR="00F45F2F">
              <w:rPr>
                <w:noProof/>
                <w:webHidden/>
              </w:rPr>
            </w:r>
            <w:r w:rsidR="00F45F2F">
              <w:rPr>
                <w:noProof/>
                <w:webHidden/>
              </w:rPr>
              <w:fldChar w:fldCharType="separate"/>
            </w:r>
            <w:r w:rsidR="00F45F2F">
              <w:rPr>
                <w:noProof/>
                <w:webHidden/>
              </w:rPr>
              <w:t>10</w:t>
            </w:r>
            <w:r w:rsidR="00F45F2F">
              <w:rPr>
                <w:noProof/>
                <w:webHidden/>
              </w:rPr>
              <w:fldChar w:fldCharType="end"/>
            </w:r>
          </w:hyperlink>
        </w:p>
        <w:p w14:paraId="09E5B74C" w14:textId="14614FC7"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598" w:history="1">
            <w:r w:rsidR="00F45F2F" w:rsidRPr="00A1449F">
              <w:rPr>
                <w:rStyle w:val="Hyperlink"/>
                <w:noProof/>
              </w:rPr>
              <w:t>3.</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Australian Mental Health Care Classification refinement</w:t>
            </w:r>
            <w:r w:rsidR="00F45F2F">
              <w:rPr>
                <w:noProof/>
                <w:webHidden/>
              </w:rPr>
              <w:tab/>
            </w:r>
            <w:r w:rsidR="00F45F2F">
              <w:rPr>
                <w:noProof/>
                <w:webHidden/>
              </w:rPr>
              <w:fldChar w:fldCharType="begin"/>
            </w:r>
            <w:r w:rsidR="00F45F2F">
              <w:rPr>
                <w:noProof/>
                <w:webHidden/>
              </w:rPr>
              <w:instrText xml:space="preserve"> PAGEREF _Toc153371598 \h </w:instrText>
            </w:r>
            <w:r w:rsidR="00F45F2F">
              <w:rPr>
                <w:noProof/>
                <w:webHidden/>
              </w:rPr>
            </w:r>
            <w:r w:rsidR="00F45F2F">
              <w:rPr>
                <w:noProof/>
                <w:webHidden/>
              </w:rPr>
              <w:fldChar w:fldCharType="separate"/>
            </w:r>
            <w:r w:rsidR="00F45F2F">
              <w:rPr>
                <w:noProof/>
                <w:webHidden/>
              </w:rPr>
              <w:t>11</w:t>
            </w:r>
            <w:r w:rsidR="00F45F2F">
              <w:rPr>
                <w:noProof/>
                <w:webHidden/>
              </w:rPr>
              <w:fldChar w:fldCharType="end"/>
            </w:r>
          </w:hyperlink>
        </w:p>
        <w:p w14:paraId="4CB5A3D8" w14:textId="0599062C"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599" w:history="1">
            <w:r w:rsidR="00F45F2F" w:rsidRPr="00A1449F">
              <w:rPr>
                <w:rStyle w:val="Hyperlink"/>
                <w:noProof/>
              </w:rPr>
              <w:t>3.1</w:t>
            </w:r>
            <w:r w:rsidR="00F45F2F">
              <w:rPr>
                <w:rFonts w:asciiTheme="minorHAnsi" w:eastAsiaTheme="minorEastAsia" w:hAnsiTheme="minorHAnsi"/>
                <w:noProof/>
                <w:color w:val="auto"/>
                <w:lang w:eastAsia="en-AU"/>
              </w:rPr>
              <w:tab/>
            </w:r>
            <w:r w:rsidR="00F45F2F" w:rsidRPr="00A1449F">
              <w:rPr>
                <w:rStyle w:val="Hyperlink"/>
                <w:noProof/>
              </w:rPr>
              <w:t>Overview</w:t>
            </w:r>
            <w:r w:rsidR="00F45F2F">
              <w:rPr>
                <w:noProof/>
                <w:webHidden/>
              </w:rPr>
              <w:tab/>
            </w:r>
            <w:r w:rsidR="00F45F2F">
              <w:rPr>
                <w:noProof/>
                <w:webHidden/>
              </w:rPr>
              <w:fldChar w:fldCharType="begin"/>
            </w:r>
            <w:r w:rsidR="00F45F2F">
              <w:rPr>
                <w:noProof/>
                <w:webHidden/>
              </w:rPr>
              <w:instrText xml:space="preserve"> PAGEREF _Toc153371599 \h </w:instrText>
            </w:r>
            <w:r w:rsidR="00F45F2F">
              <w:rPr>
                <w:noProof/>
                <w:webHidden/>
              </w:rPr>
            </w:r>
            <w:r w:rsidR="00F45F2F">
              <w:rPr>
                <w:noProof/>
                <w:webHidden/>
              </w:rPr>
              <w:fldChar w:fldCharType="separate"/>
            </w:r>
            <w:r w:rsidR="00F45F2F">
              <w:rPr>
                <w:noProof/>
                <w:webHidden/>
              </w:rPr>
              <w:t>11</w:t>
            </w:r>
            <w:r w:rsidR="00F45F2F">
              <w:rPr>
                <w:noProof/>
                <w:webHidden/>
              </w:rPr>
              <w:fldChar w:fldCharType="end"/>
            </w:r>
          </w:hyperlink>
        </w:p>
        <w:p w14:paraId="6F5B6903" w14:textId="4749770B"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0" w:history="1">
            <w:r w:rsidR="00F45F2F" w:rsidRPr="00A1449F">
              <w:rPr>
                <w:rStyle w:val="Hyperlink"/>
                <w:noProof/>
              </w:rPr>
              <w:t>3.2</w:t>
            </w:r>
            <w:r w:rsidR="00F45F2F">
              <w:rPr>
                <w:rFonts w:asciiTheme="minorHAnsi" w:eastAsiaTheme="minorEastAsia" w:hAnsiTheme="minorHAnsi"/>
                <w:noProof/>
                <w:color w:val="auto"/>
                <w:lang w:eastAsia="en-AU"/>
              </w:rPr>
              <w:tab/>
            </w:r>
            <w:r w:rsidR="00F45F2F" w:rsidRPr="00A1449F">
              <w:rPr>
                <w:rStyle w:val="Hyperlink"/>
                <w:noProof/>
              </w:rPr>
              <w:t>Objectives and scope</w:t>
            </w:r>
            <w:r w:rsidR="00F45F2F">
              <w:rPr>
                <w:noProof/>
                <w:webHidden/>
              </w:rPr>
              <w:tab/>
            </w:r>
            <w:r w:rsidR="00F45F2F">
              <w:rPr>
                <w:noProof/>
                <w:webHidden/>
              </w:rPr>
              <w:fldChar w:fldCharType="begin"/>
            </w:r>
            <w:r w:rsidR="00F45F2F">
              <w:rPr>
                <w:noProof/>
                <w:webHidden/>
              </w:rPr>
              <w:instrText xml:space="preserve"> PAGEREF _Toc153371600 \h </w:instrText>
            </w:r>
            <w:r w:rsidR="00F45F2F">
              <w:rPr>
                <w:noProof/>
                <w:webHidden/>
              </w:rPr>
            </w:r>
            <w:r w:rsidR="00F45F2F">
              <w:rPr>
                <w:noProof/>
                <w:webHidden/>
              </w:rPr>
              <w:fldChar w:fldCharType="separate"/>
            </w:r>
            <w:r w:rsidR="00F45F2F">
              <w:rPr>
                <w:noProof/>
                <w:webHidden/>
              </w:rPr>
              <w:t>11</w:t>
            </w:r>
            <w:r w:rsidR="00F45F2F">
              <w:rPr>
                <w:noProof/>
                <w:webHidden/>
              </w:rPr>
              <w:fldChar w:fldCharType="end"/>
            </w:r>
          </w:hyperlink>
        </w:p>
        <w:p w14:paraId="20D8863D" w14:textId="0A9A806D"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1" w:history="1">
            <w:r w:rsidR="00F45F2F" w:rsidRPr="00A1449F">
              <w:rPr>
                <w:rStyle w:val="Hyperlink"/>
                <w:noProof/>
              </w:rPr>
              <w:t>3.3</w:t>
            </w:r>
            <w:r w:rsidR="00F45F2F">
              <w:rPr>
                <w:rFonts w:asciiTheme="minorHAnsi" w:eastAsiaTheme="minorEastAsia" w:hAnsiTheme="minorHAnsi"/>
                <w:noProof/>
                <w:color w:val="auto"/>
                <w:lang w:eastAsia="en-AU"/>
              </w:rPr>
              <w:tab/>
            </w:r>
            <w:r w:rsidR="00F45F2F" w:rsidRPr="00A1449F">
              <w:rPr>
                <w:rStyle w:val="Hyperlink"/>
                <w:noProof/>
              </w:rPr>
              <w:t>Governance and consultation</w:t>
            </w:r>
            <w:r w:rsidR="00F45F2F">
              <w:rPr>
                <w:noProof/>
                <w:webHidden/>
              </w:rPr>
              <w:tab/>
            </w:r>
            <w:r w:rsidR="00F45F2F">
              <w:rPr>
                <w:noProof/>
                <w:webHidden/>
              </w:rPr>
              <w:fldChar w:fldCharType="begin"/>
            </w:r>
            <w:r w:rsidR="00F45F2F">
              <w:rPr>
                <w:noProof/>
                <w:webHidden/>
              </w:rPr>
              <w:instrText xml:space="preserve"> PAGEREF _Toc153371601 \h </w:instrText>
            </w:r>
            <w:r w:rsidR="00F45F2F">
              <w:rPr>
                <w:noProof/>
                <w:webHidden/>
              </w:rPr>
            </w:r>
            <w:r w:rsidR="00F45F2F">
              <w:rPr>
                <w:noProof/>
                <w:webHidden/>
              </w:rPr>
              <w:fldChar w:fldCharType="separate"/>
            </w:r>
            <w:r w:rsidR="00F45F2F">
              <w:rPr>
                <w:noProof/>
                <w:webHidden/>
              </w:rPr>
              <w:t>12</w:t>
            </w:r>
            <w:r w:rsidR="00F45F2F">
              <w:rPr>
                <w:noProof/>
                <w:webHidden/>
              </w:rPr>
              <w:fldChar w:fldCharType="end"/>
            </w:r>
          </w:hyperlink>
        </w:p>
        <w:p w14:paraId="2DA2863D" w14:textId="1A40F869"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2" w:history="1">
            <w:r w:rsidR="00F45F2F" w:rsidRPr="00A1449F">
              <w:rPr>
                <w:rStyle w:val="Hyperlink"/>
                <w:noProof/>
              </w:rPr>
              <w:t>3.4</w:t>
            </w:r>
            <w:r w:rsidR="00F45F2F">
              <w:rPr>
                <w:rFonts w:asciiTheme="minorHAnsi" w:eastAsiaTheme="minorEastAsia" w:hAnsiTheme="minorHAnsi"/>
                <w:noProof/>
                <w:color w:val="auto"/>
                <w:lang w:eastAsia="en-AU"/>
              </w:rPr>
              <w:tab/>
            </w:r>
            <w:r w:rsidR="00F45F2F" w:rsidRPr="00A1449F">
              <w:rPr>
                <w:rStyle w:val="Hyperlink"/>
                <w:noProof/>
              </w:rPr>
              <w:t>Data</w:t>
            </w:r>
            <w:r w:rsidR="00F45F2F">
              <w:rPr>
                <w:noProof/>
                <w:webHidden/>
              </w:rPr>
              <w:tab/>
            </w:r>
            <w:r w:rsidR="00F45F2F">
              <w:rPr>
                <w:noProof/>
                <w:webHidden/>
              </w:rPr>
              <w:fldChar w:fldCharType="begin"/>
            </w:r>
            <w:r w:rsidR="00F45F2F">
              <w:rPr>
                <w:noProof/>
                <w:webHidden/>
              </w:rPr>
              <w:instrText xml:space="preserve"> PAGEREF _Toc153371602 \h </w:instrText>
            </w:r>
            <w:r w:rsidR="00F45F2F">
              <w:rPr>
                <w:noProof/>
                <w:webHidden/>
              </w:rPr>
            </w:r>
            <w:r w:rsidR="00F45F2F">
              <w:rPr>
                <w:noProof/>
                <w:webHidden/>
              </w:rPr>
              <w:fldChar w:fldCharType="separate"/>
            </w:r>
            <w:r w:rsidR="00F45F2F">
              <w:rPr>
                <w:noProof/>
                <w:webHidden/>
              </w:rPr>
              <w:t>12</w:t>
            </w:r>
            <w:r w:rsidR="00F45F2F">
              <w:rPr>
                <w:noProof/>
                <w:webHidden/>
              </w:rPr>
              <w:fldChar w:fldCharType="end"/>
            </w:r>
          </w:hyperlink>
        </w:p>
        <w:p w14:paraId="4F048EDA" w14:textId="506B5DB8"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3" w:history="1">
            <w:r w:rsidR="00F45F2F" w:rsidRPr="00A1449F">
              <w:rPr>
                <w:rStyle w:val="Hyperlink"/>
                <w:noProof/>
              </w:rPr>
              <w:t>3.5</w:t>
            </w:r>
            <w:r w:rsidR="00F45F2F">
              <w:rPr>
                <w:rFonts w:asciiTheme="minorHAnsi" w:eastAsiaTheme="minorEastAsia" w:hAnsiTheme="minorHAnsi"/>
                <w:noProof/>
                <w:color w:val="auto"/>
                <w:lang w:eastAsia="en-AU"/>
              </w:rPr>
              <w:tab/>
            </w:r>
            <w:r w:rsidR="00F45F2F" w:rsidRPr="00A1449F">
              <w:rPr>
                <w:rStyle w:val="Hyperlink"/>
                <w:noProof/>
              </w:rPr>
              <w:t>Methodology</w:t>
            </w:r>
            <w:r w:rsidR="00F45F2F">
              <w:rPr>
                <w:noProof/>
                <w:webHidden/>
              </w:rPr>
              <w:tab/>
            </w:r>
            <w:r w:rsidR="00F45F2F">
              <w:rPr>
                <w:noProof/>
                <w:webHidden/>
              </w:rPr>
              <w:fldChar w:fldCharType="begin"/>
            </w:r>
            <w:r w:rsidR="00F45F2F">
              <w:rPr>
                <w:noProof/>
                <w:webHidden/>
              </w:rPr>
              <w:instrText xml:space="preserve"> PAGEREF _Toc153371603 \h </w:instrText>
            </w:r>
            <w:r w:rsidR="00F45F2F">
              <w:rPr>
                <w:noProof/>
                <w:webHidden/>
              </w:rPr>
            </w:r>
            <w:r w:rsidR="00F45F2F">
              <w:rPr>
                <w:noProof/>
                <w:webHidden/>
              </w:rPr>
              <w:fldChar w:fldCharType="separate"/>
            </w:r>
            <w:r w:rsidR="00F45F2F">
              <w:rPr>
                <w:noProof/>
                <w:webHidden/>
              </w:rPr>
              <w:t>14</w:t>
            </w:r>
            <w:r w:rsidR="00F45F2F">
              <w:rPr>
                <w:noProof/>
                <w:webHidden/>
              </w:rPr>
              <w:fldChar w:fldCharType="end"/>
            </w:r>
          </w:hyperlink>
        </w:p>
        <w:p w14:paraId="7CE91FFA" w14:textId="7AB3BB3A"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604" w:history="1">
            <w:r w:rsidR="00F45F2F" w:rsidRPr="00A1449F">
              <w:rPr>
                <w:rStyle w:val="Hyperlink"/>
                <w:noProof/>
              </w:rPr>
              <w:t>4.</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Australian Mental Health Care Classification Version 1.1</w:t>
            </w:r>
            <w:r w:rsidR="00F45F2F">
              <w:rPr>
                <w:noProof/>
                <w:webHidden/>
              </w:rPr>
              <w:tab/>
            </w:r>
            <w:r w:rsidR="00F45F2F">
              <w:rPr>
                <w:noProof/>
                <w:webHidden/>
              </w:rPr>
              <w:fldChar w:fldCharType="begin"/>
            </w:r>
            <w:r w:rsidR="00F45F2F">
              <w:rPr>
                <w:noProof/>
                <w:webHidden/>
              </w:rPr>
              <w:instrText xml:space="preserve"> PAGEREF _Toc153371604 \h </w:instrText>
            </w:r>
            <w:r w:rsidR="00F45F2F">
              <w:rPr>
                <w:noProof/>
                <w:webHidden/>
              </w:rPr>
            </w:r>
            <w:r w:rsidR="00F45F2F">
              <w:rPr>
                <w:noProof/>
                <w:webHidden/>
              </w:rPr>
              <w:fldChar w:fldCharType="separate"/>
            </w:r>
            <w:r w:rsidR="00F45F2F">
              <w:rPr>
                <w:noProof/>
                <w:webHidden/>
              </w:rPr>
              <w:t>16</w:t>
            </w:r>
            <w:r w:rsidR="00F45F2F">
              <w:rPr>
                <w:noProof/>
                <w:webHidden/>
              </w:rPr>
              <w:fldChar w:fldCharType="end"/>
            </w:r>
          </w:hyperlink>
        </w:p>
        <w:p w14:paraId="167CB169" w14:textId="43D0FD6A"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5" w:history="1">
            <w:r w:rsidR="00F45F2F" w:rsidRPr="00A1449F">
              <w:rPr>
                <w:rStyle w:val="Hyperlink"/>
                <w:noProof/>
              </w:rPr>
              <w:t>4.1</w:t>
            </w:r>
            <w:r w:rsidR="00F45F2F">
              <w:rPr>
                <w:rFonts w:asciiTheme="minorHAnsi" w:eastAsiaTheme="minorEastAsia" w:hAnsiTheme="minorHAnsi"/>
                <w:noProof/>
                <w:color w:val="auto"/>
                <w:lang w:eastAsia="en-AU"/>
              </w:rPr>
              <w:tab/>
            </w:r>
            <w:r w:rsidR="00F45F2F" w:rsidRPr="00A1449F">
              <w:rPr>
                <w:rStyle w:val="Hyperlink"/>
                <w:noProof/>
              </w:rPr>
              <w:t>Overview</w:t>
            </w:r>
            <w:r w:rsidR="00F45F2F">
              <w:rPr>
                <w:noProof/>
                <w:webHidden/>
              </w:rPr>
              <w:tab/>
            </w:r>
            <w:r w:rsidR="00F45F2F">
              <w:rPr>
                <w:noProof/>
                <w:webHidden/>
              </w:rPr>
              <w:fldChar w:fldCharType="begin"/>
            </w:r>
            <w:r w:rsidR="00F45F2F">
              <w:rPr>
                <w:noProof/>
                <w:webHidden/>
              </w:rPr>
              <w:instrText xml:space="preserve"> PAGEREF _Toc153371605 \h </w:instrText>
            </w:r>
            <w:r w:rsidR="00F45F2F">
              <w:rPr>
                <w:noProof/>
                <w:webHidden/>
              </w:rPr>
            </w:r>
            <w:r w:rsidR="00F45F2F">
              <w:rPr>
                <w:noProof/>
                <w:webHidden/>
              </w:rPr>
              <w:fldChar w:fldCharType="separate"/>
            </w:r>
            <w:r w:rsidR="00F45F2F">
              <w:rPr>
                <w:noProof/>
                <w:webHidden/>
              </w:rPr>
              <w:t>16</w:t>
            </w:r>
            <w:r w:rsidR="00F45F2F">
              <w:rPr>
                <w:noProof/>
                <w:webHidden/>
              </w:rPr>
              <w:fldChar w:fldCharType="end"/>
            </w:r>
          </w:hyperlink>
        </w:p>
        <w:p w14:paraId="48AEB8B9" w14:textId="4F7ACA4F"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6" w:history="1">
            <w:r w:rsidR="00F45F2F" w:rsidRPr="00A1449F">
              <w:rPr>
                <w:rStyle w:val="Hyperlink"/>
                <w:noProof/>
              </w:rPr>
              <w:t>4.2</w:t>
            </w:r>
            <w:r w:rsidR="00F45F2F">
              <w:rPr>
                <w:rFonts w:asciiTheme="minorHAnsi" w:eastAsiaTheme="minorEastAsia" w:hAnsiTheme="minorHAnsi"/>
                <w:noProof/>
                <w:color w:val="auto"/>
                <w:lang w:eastAsia="en-AU"/>
              </w:rPr>
              <w:tab/>
            </w:r>
            <w:r w:rsidR="00F45F2F" w:rsidRPr="00A1449F">
              <w:rPr>
                <w:rStyle w:val="Hyperlink"/>
                <w:noProof/>
              </w:rPr>
              <w:t>Weights and threshold refinement</w:t>
            </w:r>
            <w:r w:rsidR="00F45F2F">
              <w:rPr>
                <w:noProof/>
                <w:webHidden/>
              </w:rPr>
              <w:tab/>
            </w:r>
            <w:r w:rsidR="00F45F2F">
              <w:rPr>
                <w:noProof/>
                <w:webHidden/>
              </w:rPr>
              <w:fldChar w:fldCharType="begin"/>
            </w:r>
            <w:r w:rsidR="00F45F2F">
              <w:rPr>
                <w:noProof/>
                <w:webHidden/>
              </w:rPr>
              <w:instrText xml:space="preserve"> PAGEREF _Toc153371606 \h </w:instrText>
            </w:r>
            <w:r w:rsidR="00F45F2F">
              <w:rPr>
                <w:noProof/>
                <w:webHidden/>
              </w:rPr>
            </w:r>
            <w:r w:rsidR="00F45F2F">
              <w:rPr>
                <w:noProof/>
                <w:webHidden/>
              </w:rPr>
              <w:fldChar w:fldCharType="separate"/>
            </w:r>
            <w:r w:rsidR="00F45F2F">
              <w:rPr>
                <w:noProof/>
                <w:webHidden/>
              </w:rPr>
              <w:t>17</w:t>
            </w:r>
            <w:r w:rsidR="00F45F2F">
              <w:rPr>
                <w:noProof/>
                <w:webHidden/>
              </w:rPr>
              <w:fldChar w:fldCharType="end"/>
            </w:r>
          </w:hyperlink>
        </w:p>
        <w:p w14:paraId="71F17828" w14:textId="7B35FBFF"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7" w:history="1">
            <w:r w:rsidR="00F45F2F" w:rsidRPr="00A1449F">
              <w:rPr>
                <w:rStyle w:val="Hyperlink"/>
                <w:noProof/>
              </w:rPr>
              <w:t>4.3</w:t>
            </w:r>
            <w:r w:rsidR="00F45F2F">
              <w:rPr>
                <w:rFonts w:asciiTheme="minorHAnsi" w:eastAsiaTheme="minorEastAsia" w:hAnsiTheme="minorHAnsi"/>
                <w:noProof/>
                <w:color w:val="auto"/>
                <w:lang w:eastAsia="en-AU"/>
              </w:rPr>
              <w:tab/>
            </w:r>
            <w:r w:rsidR="00F45F2F" w:rsidRPr="00A1449F">
              <w:rPr>
                <w:rStyle w:val="Hyperlink"/>
                <w:noProof/>
              </w:rPr>
              <w:t>Treatment of records with missing HoNOS items</w:t>
            </w:r>
            <w:r w:rsidR="00F45F2F">
              <w:rPr>
                <w:noProof/>
                <w:webHidden/>
              </w:rPr>
              <w:tab/>
            </w:r>
            <w:r w:rsidR="00F45F2F">
              <w:rPr>
                <w:noProof/>
                <w:webHidden/>
              </w:rPr>
              <w:fldChar w:fldCharType="begin"/>
            </w:r>
            <w:r w:rsidR="00F45F2F">
              <w:rPr>
                <w:noProof/>
                <w:webHidden/>
              </w:rPr>
              <w:instrText xml:space="preserve"> PAGEREF _Toc153371607 \h </w:instrText>
            </w:r>
            <w:r w:rsidR="00F45F2F">
              <w:rPr>
                <w:noProof/>
                <w:webHidden/>
              </w:rPr>
            </w:r>
            <w:r w:rsidR="00F45F2F">
              <w:rPr>
                <w:noProof/>
                <w:webHidden/>
              </w:rPr>
              <w:fldChar w:fldCharType="separate"/>
            </w:r>
            <w:r w:rsidR="00F45F2F">
              <w:rPr>
                <w:noProof/>
                <w:webHidden/>
              </w:rPr>
              <w:t>19</w:t>
            </w:r>
            <w:r w:rsidR="00F45F2F">
              <w:rPr>
                <w:noProof/>
                <w:webHidden/>
              </w:rPr>
              <w:fldChar w:fldCharType="end"/>
            </w:r>
          </w:hyperlink>
        </w:p>
        <w:p w14:paraId="579B8666" w14:textId="01406A57"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608" w:history="1">
            <w:r w:rsidR="00F45F2F" w:rsidRPr="00A1449F">
              <w:rPr>
                <w:rStyle w:val="Hyperlink"/>
                <w:noProof/>
              </w:rPr>
              <w:t>5.</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Australian Mental Health Care Classification Version 1.1 model performance</w:t>
            </w:r>
            <w:r w:rsidR="00F45F2F">
              <w:rPr>
                <w:noProof/>
                <w:webHidden/>
              </w:rPr>
              <w:tab/>
            </w:r>
            <w:r w:rsidR="00F45F2F">
              <w:rPr>
                <w:noProof/>
                <w:webHidden/>
              </w:rPr>
              <w:fldChar w:fldCharType="begin"/>
            </w:r>
            <w:r w:rsidR="00F45F2F">
              <w:rPr>
                <w:noProof/>
                <w:webHidden/>
              </w:rPr>
              <w:instrText xml:space="preserve"> PAGEREF _Toc153371608 \h </w:instrText>
            </w:r>
            <w:r w:rsidR="00F45F2F">
              <w:rPr>
                <w:noProof/>
                <w:webHidden/>
              </w:rPr>
            </w:r>
            <w:r w:rsidR="00F45F2F">
              <w:rPr>
                <w:noProof/>
                <w:webHidden/>
              </w:rPr>
              <w:fldChar w:fldCharType="separate"/>
            </w:r>
            <w:r w:rsidR="00F45F2F">
              <w:rPr>
                <w:noProof/>
                <w:webHidden/>
              </w:rPr>
              <w:t>21</w:t>
            </w:r>
            <w:r w:rsidR="00F45F2F">
              <w:rPr>
                <w:noProof/>
                <w:webHidden/>
              </w:rPr>
              <w:fldChar w:fldCharType="end"/>
            </w:r>
          </w:hyperlink>
        </w:p>
        <w:p w14:paraId="047FD83E" w14:textId="016143BF"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09" w:history="1">
            <w:r w:rsidR="00F45F2F" w:rsidRPr="00A1449F">
              <w:rPr>
                <w:rStyle w:val="Hyperlink"/>
                <w:noProof/>
              </w:rPr>
              <w:t>5.1</w:t>
            </w:r>
            <w:r w:rsidR="00F45F2F">
              <w:rPr>
                <w:rFonts w:asciiTheme="minorHAnsi" w:eastAsiaTheme="minorEastAsia" w:hAnsiTheme="minorHAnsi"/>
                <w:noProof/>
                <w:color w:val="auto"/>
                <w:lang w:eastAsia="en-AU"/>
              </w:rPr>
              <w:tab/>
            </w:r>
            <w:r w:rsidR="00F45F2F" w:rsidRPr="00A1449F">
              <w:rPr>
                <w:rStyle w:val="Hyperlink"/>
                <w:noProof/>
              </w:rPr>
              <w:t>Changes in end class distribution</w:t>
            </w:r>
            <w:r w:rsidR="00F45F2F">
              <w:rPr>
                <w:noProof/>
                <w:webHidden/>
              </w:rPr>
              <w:tab/>
            </w:r>
            <w:r w:rsidR="00F45F2F">
              <w:rPr>
                <w:noProof/>
                <w:webHidden/>
              </w:rPr>
              <w:fldChar w:fldCharType="begin"/>
            </w:r>
            <w:r w:rsidR="00F45F2F">
              <w:rPr>
                <w:noProof/>
                <w:webHidden/>
              </w:rPr>
              <w:instrText xml:space="preserve"> PAGEREF _Toc153371609 \h </w:instrText>
            </w:r>
            <w:r w:rsidR="00F45F2F">
              <w:rPr>
                <w:noProof/>
                <w:webHidden/>
              </w:rPr>
            </w:r>
            <w:r w:rsidR="00F45F2F">
              <w:rPr>
                <w:noProof/>
                <w:webHidden/>
              </w:rPr>
              <w:fldChar w:fldCharType="separate"/>
            </w:r>
            <w:r w:rsidR="00F45F2F">
              <w:rPr>
                <w:noProof/>
                <w:webHidden/>
              </w:rPr>
              <w:t>21</w:t>
            </w:r>
            <w:r w:rsidR="00F45F2F">
              <w:rPr>
                <w:noProof/>
                <w:webHidden/>
              </w:rPr>
              <w:fldChar w:fldCharType="end"/>
            </w:r>
          </w:hyperlink>
        </w:p>
        <w:p w14:paraId="37976631" w14:textId="1D107BCB"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10" w:history="1">
            <w:r w:rsidR="00F45F2F" w:rsidRPr="00A1449F">
              <w:rPr>
                <w:rStyle w:val="Hyperlink"/>
                <w:noProof/>
              </w:rPr>
              <w:t>5.2</w:t>
            </w:r>
            <w:r w:rsidR="00F45F2F">
              <w:rPr>
                <w:rFonts w:asciiTheme="minorHAnsi" w:eastAsiaTheme="minorEastAsia" w:hAnsiTheme="minorHAnsi"/>
                <w:noProof/>
                <w:color w:val="auto"/>
                <w:lang w:eastAsia="en-AU"/>
              </w:rPr>
              <w:tab/>
            </w:r>
            <w:r w:rsidR="00F45F2F" w:rsidRPr="00A1449F">
              <w:rPr>
                <w:rStyle w:val="Hyperlink"/>
                <w:noProof/>
              </w:rPr>
              <w:t>Changes in complexity grouping</w:t>
            </w:r>
            <w:r w:rsidR="00F45F2F">
              <w:rPr>
                <w:noProof/>
                <w:webHidden/>
              </w:rPr>
              <w:tab/>
            </w:r>
            <w:r w:rsidR="00F45F2F">
              <w:rPr>
                <w:noProof/>
                <w:webHidden/>
              </w:rPr>
              <w:fldChar w:fldCharType="begin"/>
            </w:r>
            <w:r w:rsidR="00F45F2F">
              <w:rPr>
                <w:noProof/>
                <w:webHidden/>
              </w:rPr>
              <w:instrText xml:space="preserve"> PAGEREF _Toc153371610 \h </w:instrText>
            </w:r>
            <w:r w:rsidR="00F45F2F">
              <w:rPr>
                <w:noProof/>
                <w:webHidden/>
              </w:rPr>
            </w:r>
            <w:r w:rsidR="00F45F2F">
              <w:rPr>
                <w:noProof/>
                <w:webHidden/>
              </w:rPr>
              <w:fldChar w:fldCharType="separate"/>
            </w:r>
            <w:r w:rsidR="00F45F2F">
              <w:rPr>
                <w:noProof/>
                <w:webHidden/>
              </w:rPr>
              <w:t>21</w:t>
            </w:r>
            <w:r w:rsidR="00F45F2F">
              <w:rPr>
                <w:noProof/>
                <w:webHidden/>
              </w:rPr>
              <w:fldChar w:fldCharType="end"/>
            </w:r>
          </w:hyperlink>
        </w:p>
        <w:p w14:paraId="46382AF6" w14:textId="2F8A859B" w:rsidR="00F45F2F" w:rsidRDefault="00000000">
          <w:pPr>
            <w:pStyle w:val="TOC2"/>
            <w:tabs>
              <w:tab w:val="left" w:pos="880"/>
              <w:tab w:val="right" w:leader="dot" w:pos="9742"/>
            </w:tabs>
            <w:rPr>
              <w:rFonts w:asciiTheme="minorHAnsi" w:eastAsiaTheme="minorEastAsia" w:hAnsiTheme="minorHAnsi"/>
              <w:noProof/>
              <w:color w:val="auto"/>
              <w:lang w:eastAsia="en-AU"/>
            </w:rPr>
          </w:pPr>
          <w:hyperlink w:anchor="_Toc153371611" w:history="1">
            <w:r w:rsidR="00F45F2F" w:rsidRPr="00A1449F">
              <w:rPr>
                <w:rStyle w:val="Hyperlink"/>
                <w:noProof/>
              </w:rPr>
              <w:t>5.3</w:t>
            </w:r>
            <w:r w:rsidR="00F45F2F">
              <w:rPr>
                <w:rFonts w:asciiTheme="minorHAnsi" w:eastAsiaTheme="minorEastAsia" w:hAnsiTheme="minorHAnsi"/>
                <w:noProof/>
                <w:color w:val="auto"/>
                <w:lang w:eastAsia="en-AU"/>
              </w:rPr>
              <w:tab/>
            </w:r>
            <w:r w:rsidR="00F45F2F" w:rsidRPr="00A1449F">
              <w:rPr>
                <w:rStyle w:val="Hyperlink"/>
                <w:noProof/>
              </w:rPr>
              <w:t>Complexity model statistical performance</w:t>
            </w:r>
            <w:r w:rsidR="00F45F2F">
              <w:rPr>
                <w:noProof/>
                <w:webHidden/>
              </w:rPr>
              <w:tab/>
            </w:r>
            <w:r w:rsidR="00F45F2F">
              <w:rPr>
                <w:noProof/>
                <w:webHidden/>
              </w:rPr>
              <w:fldChar w:fldCharType="begin"/>
            </w:r>
            <w:r w:rsidR="00F45F2F">
              <w:rPr>
                <w:noProof/>
                <w:webHidden/>
              </w:rPr>
              <w:instrText xml:space="preserve"> PAGEREF _Toc153371611 \h </w:instrText>
            </w:r>
            <w:r w:rsidR="00F45F2F">
              <w:rPr>
                <w:noProof/>
                <w:webHidden/>
              </w:rPr>
            </w:r>
            <w:r w:rsidR="00F45F2F">
              <w:rPr>
                <w:noProof/>
                <w:webHidden/>
              </w:rPr>
              <w:fldChar w:fldCharType="separate"/>
            </w:r>
            <w:r w:rsidR="00F45F2F">
              <w:rPr>
                <w:noProof/>
                <w:webHidden/>
              </w:rPr>
              <w:t>22</w:t>
            </w:r>
            <w:r w:rsidR="00F45F2F">
              <w:rPr>
                <w:noProof/>
                <w:webHidden/>
              </w:rPr>
              <w:fldChar w:fldCharType="end"/>
            </w:r>
          </w:hyperlink>
        </w:p>
        <w:p w14:paraId="73D4EBF1" w14:textId="38013592" w:rsidR="00F45F2F" w:rsidRDefault="00000000">
          <w:pPr>
            <w:pStyle w:val="TOC1"/>
            <w:tabs>
              <w:tab w:val="left" w:pos="660"/>
              <w:tab w:val="right" w:leader="dot" w:pos="9742"/>
            </w:tabs>
            <w:rPr>
              <w:rFonts w:asciiTheme="minorHAnsi" w:eastAsiaTheme="minorEastAsia" w:hAnsiTheme="minorHAnsi"/>
              <w:b w:val="0"/>
              <w:bCs w:val="0"/>
              <w:noProof/>
              <w:color w:val="auto"/>
              <w:sz w:val="22"/>
              <w:szCs w:val="22"/>
              <w:lang w:eastAsia="en-AU"/>
            </w:rPr>
          </w:pPr>
          <w:hyperlink w:anchor="_Toc153371612" w:history="1">
            <w:r w:rsidR="00F45F2F" w:rsidRPr="00A1449F">
              <w:rPr>
                <w:rStyle w:val="Hyperlink"/>
                <w:noProof/>
              </w:rPr>
              <w:t>6.</w:t>
            </w:r>
            <w:r w:rsidR="00F45F2F">
              <w:rPr>
                <w:rFonts w:asciiTheme="minorHAnsi" w:eastAsiaTheme="minorEastAsia" w:hAnsiTheme="minorHAnsi"/>
                <w:b w:val="0"/>
                <w:bCs w:val="0"/>
                <w:noProof/>
                <w:color w:val="auto"/>
                <w:sz w:val="22"/>
                <w:szCs w:val="22"/>
                <w:lang w:eastAsia="en-AU"/>
              </w:rPr>
              <w:tab/>
            </w:r>
            <w:r w:rsidR="00F45F2F" w:rsidRPr="00A1449F">
              <w:rPr>
                <w:rStyle w:val="Hyperlink"/>
                <w:noProof/>
              </w:rPr>
              <w:t>Conclusion</w:t>
            </w:r>
            <w:r w:rsidR="00F45F2F">
              <w:rPr>
                <w:noProof/>
                <w:webHidden/>
              </w:rPr>
              <w:tab/>
            </w:r>
            <w:r w:rsidR="00F45F2F">
              <w:rPr>
                <w:noProof/>
                <w:webHidden/>
              </w:rPr>
              <w:fldChar w:fldCharType="begin"/>
            </w:r>
            <w:r w:rsidR="00F45F2F">
              <w:rPr>
                <w:noProof/>
                <w:webHidden/>
              </w:rPr>
              <w:instrText xml:space="preserve"> PAGEREF _Toc153371612 \h </w:instrText>
            </w:r>
            <w:r w:rsidR="00F45F2F">
              <w:rPr>
                <w:noProof/>
                <w:webHidden/>
              </w:rPr>
            </w:r>
            <w:r w:rsidR="00F45F2F">
              <w:rPr>
                <w:noProof/>
                <w:webHidden/>
              </w:rPr>
              <w:fldChar w:fldCharType="separate"/>
            </w:r>
            <w:r w:rsidR="00F45F2F">
              <w:rPr>
                <w:noProof/>
                <w:webHidden/>
              </w:rPr>
              <w:t>24</w:t>
            </w:r>
            <w:r w:rsidR="00F45F2F">
              <w:rPr>
                <w:noProof/>
                <w:webHidden/>
              </w:rPr>
              <w:fldChar w:fldCharType="end"/>
            </w:r>
          </w:hyperlink>
        </w:p>
        <w:p w14:paraId="4A6C6ED1" w14:textId="3DD70F4C"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3" w:history="1">
            <w:r w:rsidR="00F45F2F" w:rsidRPr="00A1449F">
              <w:rPr>
                <w:rStyle w:val="Hyperlink"/>
                <w:noProof/>
              </w:rPr>
              <w:t>Appendix A: Mental Health Working Group</w:t>
            </w:r>
            <w:r w:rsidR="00F45F2F">
              <w:rPr>
                <w:noProof/>
                <w:webHidden/>
              </w:rPr>
              <w:tab/>
            </w:r>
            <w:r w:rsidR="00F45F2F">
              <w:rPr>
                <w:noProof/>
                <w:webHidden/>
              </w:rPr>
              <w:fldChar w:fldCharType="begin"/>
            </w:r>
            <w:r w:rsidR="00F45F2F">
              <w:rPr>
                <w:noProof/>
                <w:webHidden/>
              </w:rPr>
              <w:instrText xml:space="preserve"> PAGEREF _Toc153371613 \h </w:instrText>
            </w:r>
            <w:r w:rsidR="00F45F2F">
              <w:rPr>
                <w:noProof/>
                <w:webHidden/>
              </w:rPr>
            </w:r>
            <w:r w:rsidR="00F45F2F">
              <w:rPr>
                <w:noProof/>
                <w:webHidden/>
              </w:rPr>
              <w:fldChar w:fldCharType="separate"/>
            </w:r>
            <w:r w:rsidR="00F45F2F">
              <w:rPr>
                <w:noProof/>
                <w:webHidden/>
              </w:rPr>
              <w:t>25</w:t>
            </w:r>
            <w:r w:rsidR="00F45F2F">
              <w:rPr>
                <w:noProof/>
                <w:webHidden/>
              </w:rPr>
              <w:fldChar w:fldCharType="end"/>
            </w:r>
          </w:hyperlink>
        </w:p>
        <w:p w14:paraId="3CE421EA" w14:textId="0B7FD1F4"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4" w:history="1">
            <w:r w:rsidR="00F45F2F" w:rsidRPr="00A1449F">
              <w:rPr>
                <w:rStyle w:val="Hyperlink"/>
                <w:noProof/>
              </w:rPr>
              <w:t>Appendix B: Data preparation in response to COVID-19</w:t>
            </w:r>
            <w:r w:rsidR="00F45F2F">
              <w:rPr>
                <w:noProof/>
                <w:webHidden/>
              </w:rPr>
              <w:tab/>
            </w:r>
            <w:r w:rsidR="00F45F2F">
              <w:rPr>
                <w:noProof/>
                <w:webHidden/>
              </w:rPr>
              <w:fldChar w:fldCharType="begin"/>
            </w:r>
            <w:r w:rsidR="00F45F2F">
              <w:rPr>
                <w:noProof/>
                <w:webHidden/>
              </w:rPr>
              <w:instrText xml:space="preserve"> PAGEREF _Toc153371614 \h </w:instrText>
            </w:r>
            <w:r w:rsidR="00F45F2F">
              <w:rPr>
                <w:noProof/>
                <w:webHidden/>
              </w:rPr>
            </w:r>
            <w:r w:rsidR="00F45F2F">
              <w:rPr>
                <w:noProof/>
                <w:webHidden/>
              </w:rPr>
              <w:fldChar w:fldCharType="separate"/>
            </w:r>
            <w:r w:rsidR="00F45F2F">
              <w:rPr>
                <w:noProof/>
                <w:webHidden/>
              </w:rPr>
              <w:t>26</w:t>
            </w:r>
            <w:r w:rsidR="00F45F2F">
              <w:rPr>
                <w:noProof/>
                <w:webHidden/>
              </w:rPr>
              <w:fldChar w:fldCharType="end"/>
            </w:r>
          </w:hyperlink>
        </w:p>
        <w:p w14:paraId="16F5ED9F" w14:textId="59144948"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5" w:history="1">
            <w:r w:rsidR="00F45F2F" w:rsidRPr="00A1449F">
              <w:rPr>
                <w:rStyle w:val="Hyperlink"/>
                <w:noProof/>
              </w:rPr>
              <w:t>Appendix C: AMHCC V1.1 end classes</w:t>
            </w:r>
            <w:r w:rsidR="00F45F2F">
              <w:rPr>
                <w:noProof/>
                <w:webHidden/>
              </w:rPr>
              <w:tab/>
            </w:r>
            <w:r w:rsidR="00F45F2F">
              <w:rPr>
                <w:noProof/>
                <w:webHidden/>
              </w:rPr>
              <w:fldChar w:fldCharType="begin"/>
            </w:r>
            <w:r w:rsidR="00F45F2F">
              <w:rPr>
                <w:noProof/>
                <w:webHidden/>
              </w:rPr>
              <w:instrText xml:space="preserve"> PAGEREF _Toc153371615 \h </w:instrText>
            </w:r>
            <w:r w:rsidR="00F45F2F">
              <w:rPr>
                <w:noProof/>
                <w:webHidden/>
              </w:rPr>
            </w:r>
            <w:r w:rsidR="00F45F2F">
              <w:rPr>
                <w:noProof/>
                <w:webHidden/>
              </w:rPr>
              <w:fldChar w:fldCharType="separate"/>
            </w:r>
            <w:r w:rsidR="00F45F2F">
              <w:rPr>
                <w:noProof/>
                <w:webHidden/>
              </w:rPr>
              <w:t>29</w:t>
            </w:r>
            <w:r w:rsidR="00F45F2F">
              <w:rPr>
                <w:noProof/>
                <w:webHidden/>
              </w:rPr>
              <w:fldChar w:fldCharType="end"/>
            </w:r>
          </w:hyperlink>
        </w:p>
        <w:p w14:paraId="73A9978B" w14:textId="2EC1907F"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6" w:history="1">
            <w:r w:rsidR="00F45F2F" w:rsidRPr="00A1449F">
              <w:rPr>
                <w:rStyle w:val="Hyperlink"/>
                <w:noProof/>
              </w:rPr>
              <w:t>Appendix D: AMHCC V1.1 weights and complexity split thresholds</w:t>
            </w:r>
            <w:r w:rsidR="00F45F2F">
              <w:rPr>
                <w:noProof/>
                <w:webHidden/>
              </w:rPr>
              <w:tab/>
            </w:r>
            <w:r w:rsidR="00F45F2F">
              <w:rPr>
                <w:noProof/>
                <w:webHidden/>
              </w:rPr>
              <w:fldChar w:fldCharType="begin"/>
            </w:r>
            <w:r w:rsidR="00F45F2F">
              <w:rPr>
                <w:noProof/>
                <w:webHidden/>
              </w:rPr>
              <w:instrText xml:space="preserve"> PAGEREF _Toc153371616 \h </w:instrText>
            </w:r>
            <w:r w:rsidR="00F45F2F">
              <w:rPr>
                <w:noProof/>
                <w:webHidden/>
              </w:rPr>
            </w:r>
            <w:r w:rsidR="00F45F2F">
              <w:rPr>
                <w:noProof/>
                <w:webHidden/>
              </w:rPr>
              <w:fldChar w:fldCharType="separate"/>
            </w:r>
            <w:r w:rsidR="00F45F2F">
              <w:rPr>
                <w:noProof/>
                <w:webHidden/>
              </w:rPr>
              <w:t>33</w:t>
            </w:r>
            <w:r w:rsidR="00F45F2F">
              <w:rPr>
                <w:noProof/>
                <w:webHidden/>
              </w:rPr>
              <w:fldChar w:fldCharType="end"/>
            </w:r>
          </w:hyperlink>
        </w:p>
        <w:p w14:paraId="4C27A4D5" w14:textId="60697003"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7" w:history="1">
            <w:r w:rsidR="00F45F2F" w:rsidRPr="00A1449F">
              <w:rPr>
                <w:rStyle w:val="Hyperlink"/>
                <w:noProof/>
              </w:rPr>
              <w:t>Appendix E: Record breakdown by end class for AMHCC V1.0 and AMHCC V1.1</w:t>
            </w:r>
            <w:r w:rsidR="00F45F2F">
              <w:rPr>
                <w:noProof/>
                <w:webHidden/>
              </w:rPr>
              <w:tab/>
            </w:r>
            <w:r w:rsidR="00F45F2F">
              <w:rPr>
                <w:noProof/>
                <w:webHidden/>
              </w:rPr>
              <w:fldChar w:fldCharType="begin"/>
            </w:r>
            <w:r w:rsidR="00F45F2F">
              <w:rPr>
                <w:noProof/>
                <w:webHidden/>
              </w:rPr>
              <w:instrText xml:space="preserve"> PAGEREF _Toc153371617 \h </w:instrText>
            </w:r>
            <w:r w:rsidR="00F45F2F">
              <w:rPr>
                <w:noProof/>
                <w:webHidden/>
              </w:rPr>
            </w:r>
            <w:r w:rsidR="00F45F2F">
              <w:rPr>
                <w:noProof/>
                <w:webHidden/>
              </w:rPr>
              <w:fldChar w:fldCharType="separate"/>
            </w:r>
            <w:r w:rsidR="00F45F2F">
              <w:rPr>
                <w:noProof/>
                <w:webHidden/>
              </w:rPr>
              <w:t>34</w:t>
            </w:r>
            <w:r w:rsidR="00F45F2F">
              <w:rPr>
                <w:noProof/>
                <w:webHidden/>
              </w:rPr>
              <w:fldChar w:fldCharType="end"/>
            </w:r>
          </w:hyperlink>
        </w:p>
        <w:p w14:paraId="27EB6A9A" w14:textId="669977FD" w:rsidR="00F45F2F" w:rsidRDefault="00000000">
          <w:pPr>
            <w:pStyle w:val="TOC1"/>
            <w:tabs>
              <w:tab w:val="right" w:leader="dot" w:pos="9742"/>
            </w:tabs>
            <w:rPr>
              <w:rFonts w:asciiTheme="minorHAnsi" w:eastAsiaTheme="minorEastAsia" w:hAnsiTheme="minorHAnsi"/>
              <w:b w:val="0"/>
              <w:bCs w:val="0"/>
              <w:noProof/>
              <w:color w:val="auto"/>
              <w:sz w:val="22"/>
              <w:szCs w:val="22"/>
              <w:lang w:eastAsia="en-AU"/>
            </w:rPr>
          </w:pPr>
          <w:hyperlink w:anchor="_Toc153371618" w:history="1">
            <w:r w:rsidR="00F45F2F" w:rsidRPr="00A1449F">
              <w:rPr>
                <w:rStyle w:val="Hyperlink"/>
                <w:noProof/>
              </w:rPr>
              <w:t>Appendix F: Comparison of model performance between AMHCC V1.0 and AMHCC V1.1</w:t>
            </w:r>
            <w:r w:rsidR="00F45F2F">
              <w:rPr>
                <w:noProof/>
                <w:webHidden/>
              </w:rPr>
              <w:tab/>
            </w:r>
            <w:r w:rsidR="00F45F2F">
              <w:rPr>
                <w:noProof/>
                <w:webHidden/>
              </w:rPr>
              <w:fldChar w:fldCharType="begin"/>
            </w:r>
            <w:r w:rsidR="00F45F2F">
              <w:rPr>
                <w:noProof/>
                <w:webHidden/>
              </w:rPr>
              <w:instrText xml:space="preserve"> PAGEREF _Toc153371618 \h </w:instrText>
            </w:r>
            <w:r w:rsidR="00F45F2F">
              <w:rPr>
                <w:noProof/>
                <w:webHidden/>
              </w:rPr>
            </w:r>
            <w:r w:rsidR="00F45F2F">
              <w:rPr>
                <w:noProof/>
                <w:webHidden/>
              </w:rPr>
              <w:fldChar w:fldCharType="separate"/>
            </w:r>
            <w:r w:rsidR="00F45F2F">
              <w:rPr>
                <w:noProof/>
                <w:webHidden/>
              </w:rPr>
              <w:t>38</w:t>
            </w:r>
            <w:r w:rsidR="00F45F2F">
              <w:rPr>
                <w:noProof/>
                <w:webHidden/>
              </w:rPr>
              <w:fldChar w:fldCharType="end"/>
            </w:r>
          </w:hyperlink>
        </w:p>
        <w:p w14:paraId="77AA1004" w14:textId="0D656D04" w:rsidR="009A1F93" w:rsidRDefault="009A1F93" w:rsidP="1922062C">
          <w:pPr>
            <w:rPr>
              <w:rFonts w:cs="Arial"/>
              <w:b/>
              <w:bCs/>
              <w:noProof/>
            </w:rPr>
          </w:pPr>
          <w:r w:rsidRPr="1922062C">
            <w:rPr>
              <w:rFonts w:cs="Arial"/>
            </w:rPr>
            <w:fldChar w:fldCharType="end"/>
          </w:r>
        </w:p>
      </w:sdtContent>
    </w:sdt>
    <w:p w14:paraId="35A9D665" w14:textId="77777777" w:rsidR="007147DA" w:rsidRDefault="007147DA" w:rsidP="1922062C">
      <w:pPr>
        <w:rPr>
          <w:rFonts w:eastAsiaTheme="majorEastAsia" w:cstheme="majorBidi"/>
          <w:b/>
          <w:bCs/>
          <w:sz w:val="72"/>
          <w:szCs w:val="72"/>
        </w:rPr>
      </w:pPr>
      <w:r>
        <w:br w:type="page"/>
      </w:r>
    </w:p>
    <w:p w14:paraId="6806EA35" w14:textId="466E2416" w:rsidR="009A1F93" w:rsidRDefault="009A1F93" w:rsidP="009721F9">
      <w:pPr>
        <w:pStyle w:val="Heading1"/>
      </w:pPr>
      <w:bookmarkStart w:id="0" w:name="_Toc152277093"/>
      <w:bookmarkStart w:id="1" w:name="_Toc152312715"/>
      <w:bookmarkStart w:id="2" w:name="_Toc153371589"/>
      <w:r>
        <w:lastRenderedPageBreak/>
        <w:t>Abbreviations and acronyms</w:t>
      </w:r>
      <w:bookmarkEnd w:id="0"/>
      <w:bookmarkEnd w:id="1"/>
      <w:bookmarkEnd w:id="2"/>
    </w:p>
    <w:p w14:paraId="0DDB00C8" w14:textId="77777777" w:rsidR="007147DA" w:rsidRPr="00DF4F2E" w:rsidRDefault="007147DA" w:rsidP="007147DA">
      <w:pPr>
        <w:tabs>
          <w:tab w:val="left" w:pos="3544"/>
        </w:tabs>
        <w:ind w:left="2552" w:hanging="2552"/>
        <w:rPr>
          <w:rFonts w:cs="Arial"/>
        </w:rPr>
      </w:pPr>
      <w:r w:rsidRPr="00DF4F2E">
        <w:rPr>
          <w:rFonts w:cs="Arial"/>
          <w:b/>
          <w:bCs/>
        </w:rPr>
        <w:t>ABF</w:t>
      </w:r>
      <w:r w:rsidRPr="00DF4F2E">
        <w:tab/>
      </w:r>
      <w:r w:rsidRPr="00DF4F2E">
        <w:rPr>
          <w:rFonts w:cs="Arial"/>
        </w:rPr>
        <w:t xml:space="preserve">Activity based </w:t>
      </w:r>
      <w:proofErr w:type="gramStart"/>
      <w:r w:rsidRPr="00DF4F2E">
        <w:rPr>
          <w:rFonts w:cs="Arial"/>
        </w:rPr>
        <w:t>funding</w:t>
      </w:r>
      <w:proofErr w:type="gramEnd"/>
      <w:r w:rsidRPr="00DF4F2E">
        <w:rPr>
          <w:rFonts w:cs="Arial"/>
        </w:rPr>
        <w:t xml:space="preserve"> </w:t>
      </w:r>
    </w:p>
    <w:p w14:paraId="25B9A551" w14:textId="65D22E97" w:rsidR="007147DA" w:rsidRPr="00DF4F2E" w:rsidRDefault="007147DA" w:rsidP="007147DA">
      <w:pPr>
        <w:tabs>
          <w:tab w:val="left" w:pos="3544"/>
        </w:tabs>
        <w:ind w:left="2552" w:hanging="2552"/>
        <w:rPr>
          <w:rFonts w:cs="Arial"/>
          <w:b/>
          <w:bCs/>
        </w:rPr>
      </w:pPr>
      <w:r w:rsidRPr="00DF4F2E">
        <w:rPr>
          <w:rFonts w:cs="Arial"/>
          <w:b/>
          <w:bCs/>
        </w:rPr>
        <w:t>ABF MHC DRS</w:t>
      </w:r>
      <w:r w:rsidRPr="00DF4F2E">
        <w:rPr>
          <w:rFonts w:cs="Arial"/>
        </w:rPr>
        <w:t xml:space="preserve"> </w:t>
      </w:r>
      <w:r w:rsidRPr="00DF4F2E">
        <w:tab/>
      </w:r>
      <w:r w:rsidRPr="00DF4F2E">
        <w:rPr>
          <w:rFonts w:cs="Arial"/>
        </w:rPr>
        <w:t>A</w:t>
      </w:r>
      <w:r w:rsidR="00950795" w:rsidRPr="00201FDB">
        <w:rPr>
          <w:rFonts w:cs="Arial"/>
        </w:rPr>
        <w:t xml:space="preserve">ctivity </w:t>
      </w:r>
      <w:r w:rsidRPr="00DF4F2E">
        <w:rPr>
          <w:rFonts w:cs="Arial"/>
        </w:rPr>
        <w:t>B</w:t>
      </w:r>
      <w:r w:rsidR="00950795" w:rsidRPr="00DF4F2E">
        <w:rPr>
          <w:rFonts w:cs="Arial"/>
        </w:rPr>
        <w:t xml:space="preserve">ased </w:t>
      </w:r>
      <w:r w:rsidRPr="00DF4F2E">
        <w:rPr>
          <w:rFonts w:cs="Arial"/>
        </w:rPr>
        <w:t>F</w:t>
      </w:r>
      <w:r w:rsidR="00950795" w:rsidRPr="00DF4F2E">
        <w:rPr>
          <w:rFonts w:cs="Arial"/>
        </w:rPr>
        <w:t>unding</w:t>
      </w:r>
      <w:r w:rsidRPr="00DF4F2E">
        <w:rPr>
          <w:rFonts w:cs="Arial"/>
        </w:rPr>
        <w:t xml:space="preserve"> Mental Health Care Data Request Specifications</w:t>
      </w:r>
    </w:p>
    <w:p w14:paraId="5E07D1CA" w14:textId="71D9346B" w:rsidR="007147DA" w:rsidRPr="00DF4F2E" w:rsidRDefault="007147DA" w:rsidP="007147DA">
      <w:pPr>
        <w:tabs>
          <w:tab w:val="left" w:pos="3544"/>
        </w:tabs>
        <w:ind w:left="2552" w:hanging="2552"/>
        <w:rPr>
          <w:rFonts w:cs="Arial"/>
        </w:rPr>
      </w:pPr>
      <w:r w:rsidRPr="00DF4F2E">
        <w:rPr>
          <w:rFonts w:cs="Arial"/>
          <w:b/>
          <w:bCs/>
        </w:rPr>
        <w:t>ABF MHC NBEDS</w:t>
      </w:r>
      <w:r w:rsidRPr="00DF4F2E">
        <w:rPr>
          <w:rFonts w:cs="Arial"/>
        </w:rPr>
        <w:t xml:space="preserve"> </w:t>
      </w:r>
      <w:r w:rsidRPr="00DF4F2E">
        <w:tab/>
      </w:r>
      <w:r w:rsidRPr="00DF4F2E">
        <w:rPr>
          <w:rFonts w:cs="Arial"/>
        </w:rPr>
        <w:t xml:space="preserve">Activity </w:t>
      </w:r>
      <w:r w:rsidR="00755443" w:rsidRPr="00DF4F2E">
        <w:rPr>
          <w:rFonts w:cs="Arial"/>
        </w:rPr>
        <w:t>B</w:t>
      </w:r>
      <w:r w:rsidRPr="00DF4F2E">
        <w:rPr>
          <w:rFonts w:cs="Arial"/>
        </w:rPr>
        <w:t xml:space="preserve">ased </w:t>
      </w:r>
      <w:r w:rsidR="00755443" w:rsidRPr="00DF4F2E">
        <w:rPr>
          <w:rFonts w:cs="Arial"/>
        </w:rPr>
        <w:t>F</w:t>
      </w:r>
      <w:r w:rsidRPr="00DF4F2E">
        <w:rPr>
          <w:rFonts w:cs="Arial"/>
        </w:rPr>
        <w:t xml:space="preserve">unding: Mental </w:t>
      </w:r>
      <w:r w:rsidR="00755443" w:rsidRPr="00DF4F2E">
        <w:rPr>
          <w:rFonts w:cs="Arial"/>
        </w:rPr>
        <w:t>H</w:t>
      </w:r>
      <w:r w:rsidRPr="00DF4F2E">
        <w:rPr>
          <w:rFonts w:cs="Arial"/>
        </w:rPr>
        <w:t xml:space="preserve">ealth </w:t>
      </w:r>
      <w:r w:rsidR="00755443" w:rsidRPr="00DF4F2E">
        <w:rPr>
          <w:rFonts w:cs="Arial"/>
        </w:rPr>
        <w:t>C</w:t>
      </w:r>
      <w:r w:rsidRPr="00DF4F2E">
        <w:rPr>
          <w:rFonts w:cs="Arial"/>
        </w:rPr>
        <w:t xml:space="preserve">are </w:t>
      </w:r>
      <w:r w:rsidR="00755443" w:rsidRPr="00DF4F2E">
        <w:rPr>
          <w:rFonts w:cs="Arial"/>
        </w:rPr>
        <w:t>N</w:t>
      </w:r>
      <w:r w:rsidRPr="00DF4F2E">
        <w:rPr>
          <w:rFonts w:cs="Arial"/>
        </w:rPr>
        <w:t xml:space="preserve">ational </w:t>
      </w:r>
      <w:r w:rsidR="00755443" w:rsidRPr="00DF4F2E">
        <w:rPr>
          <w:rFonts w:cs="Arial"/>
        </w:rPr>
        <w:t>B</w:t>
      </w:r>
      <w:r w:rsidRPr="00DF4F2E">
        <w:rPr>
          <w:rFonts w:cs="Arial"/>
        </w:rPr>
        <w:t xml:space="preserve">est </w:t>
      </w:r>
      <w:r w:rsidR="00755443" w:rsidRPr="00DF4F2E">
        <w:rPr>
          <w:rFonts w:cs="Arial"/>
        </w:rPr>
        <w:t>E</w:t>
      </w:r>
      <w:r w:rsidRPr="00DF4F2E">
        <w:rPr>
          <w:rFonts w:cs="Arial"/>
        </w:rPr>
        <w:t xml:space="preserve">ndeavours </w:t>
      </w:r>
      <w:r w:rsidR="00755443" w:rsidRPr="00DF4F2E">
        <w:rPr>
          <w:rFonts w:cs="Arial"/>
        </w:rPr>
        <w:t>D</w:t>
      </w:r>
      <w:r w:rsidRPr="00DF4F2E">
        <w:rPr>
          <w:rFonts w:cs="Arial"/>
        </w:rPr>
        <w:t xml:space="preserve">ata </w:t>
      </w:r>
      <w:r w:rsidR="00755443" w:rsidRPr="00DF4F2E">
        <w:rPr>
          <w:rFonts w:cs="Arial"/>
        </w:rPr>
        <w:t>S</w:t>
      </w:r>
      <w:r w:rsidRPr="00DF4F2E">
        <w:rPr>
          <w:rFonts w:cs="Arial"/>
        </w:rPr>
        <w:t>et</w:t>
      </w:r>
    </w:p>
    <w:p w14:paraId="6D082984" w14:textId="77777777" w:rsidR="007147DA" w:rsidRPr="00DF4F2E" w:rsidRDefault="007147DA" w:rsidP="007147DA">
      <w:pPr>
        <w:tabs>
          <w:tab w:val="left" w:pos="3544"/>
        </w:tabs>
        <w:ind w:left="2552" w:hanging="2552"/>
        <w:rPr>
          <w:rFonts w:cs="Arial"/>
        </w:rPr>
      </w:pPr>
      <w:r w:rsidRPr="00DF4F2E">
        <w:rPr>
          <w:rFonts w:cs="Arial"/>
          <w:b/>
          <w:bCs/>
        </w:rPr>
        <w:t>AMHCC</w:t>
      </w:r>
      <w:r w:rsidRPr="00DF4F2E">
        <w:tab/>
      </w:r>
      <w:r w:rsidRPr="00DF4F2E">
        <w:rPr>
          <w:rFonts w:cs="Arial"/>
        </w:rPr>
        <w:t>Australian Mental Health Care Classification</w:t>
      </w:r>
    </w:p>
    <w:p w14:paraId="6D2DA5CF" w14:textId="4C27A239" w:rsidR="007147DA" w:rsidRPr="00DF4F2E" w:rsidRDefault="007147DA" w:rsidP="007147DA">
      <w:pPr>
        <w:tabs>
          <w:tab w:val="left" w:pos="3544"/>
        </w:tabs>
        <w:ind w:left="2552" w:hanging="2552"/>
        <w:rPr>
          <w:rFonts w:cs="Arial"/>
        </w:rPr>
      </w:pPr>
      <w:r w:rsidRPr="00DF4F2E">
        <w:rPr>
          <w:rFonts w:cs="Arial"/>
          <w:b/>
          <w:bCs/>
        </w:rPr>
        <w:t>AR-DRG</w:t>
      </w:r>
      <w:r w:rsidRPr="00DF4F2E">
        <w:tab/>
      </w:r>
      <w:r w:rsidRPr="00DF4F2E">
        <w:rPr>
          <w:rFonts w:cs="Arial"/>
        </w:rPr>
        <w:t>Australian Refined Diagnosis Related Group</w:t>
      </w:r>
    </w:p>
    <w:p w14:paraId="2787321C" w14:textId="39E6F2B8" w:rsidR="009F0C07" w:rsidRPr="00DF4F2E" w:rsidRDefault="009F0C07" w:rsidP="007147DA">
      <w:pPr>
        <w:tabs>
          <w:tab w:val="left" w:pos="3544"/>
        </w:tabs>
        <w:ind w:left="2552" w:hanging="2552"/>
        <w:rPr>
          <w:rFonts w:cs="Arial"/>
        </w:rPr>
      </w:pPr>
      <w:r w:rsidRPr="00DF4F2E">
        <w:rPr>
          <w:rFonts w:cs="Arial"/>
          <w:b/>
          <w:bCs/>
        </w:rPr>
        <w:t>COVID-19</w:t>
      </w:r>
      <w:r w:rsidRPr="00DF4F2E">
        <w:rPr>
          <w:rFonts w:cs="Arial"/>
          <w:b/>
          <w:bCs/>
        </w:rPr>
        <w:tab/>
      </w:r>
      <w:r w:rsidRPr="00DF4F2E">
        <w:rPr>
          <w:rFonts w:cs="Arial"/>
        </w:rPr>
        <w:t>Coronavirus disease 2019</w:t>
      </w:r>
      <w:r w:rsidRPr="00DF4F2E">
        <w:rPr>
          <w:rFonts w:cs="Arial"/>
          <w:b/>
          <w:bCs/>
        </w:rPr>
        <w:t xml:space="preserve"> </w:t>
      </w:r>
    </w:p>
    <w:p w14:paraId="096E5FF2" w14:textId="77777777" w:rsidR="007147DA" w:rsidRPr="00DF4F2E" w:rsidRDefault="007147DA" w:rsidP="007147DA">
      <w:pPr>
        <w:tabs>
          <w:tab w:val="left" w:pos="3544"/>
        </w:tabs>
        <w:ind w:left="2552" w:hanging="2552"/>
        <w:rPr>
          <w:rFonts w:cs="Arial"/>
        </w:rPr>
      </w:pPr>
      <w:proofErr w:type="spellStart"/>
      <w:r w:rsidRPr="00DF4F2E">
        <w:rPr>
          <w:rFonts w:cs="Arial"/>
          <w:b/>
          <w:bCs/>
        </w:rPr>
        <w:t>HoNOS</w:t>
      </w:r>
      <w:proofErr w:type="spellEnd"/>
      <w:r w:rsidRPr="00DF4F2E">
        <w:tab/>
      </w:r>
      <w:r w:rsidRPr="00DF4F2E">
        <w:rPr>
          <w:rFonts w:cs="Arial"/>
        </w:rPr>
        <w:t>Health of the Nation Outcome Scales</w:t>
      </w:r>
    </w:p>
    <w:p w14:paraId="6A637345" w14:textId="737B5769" w:rsidR="007147DA" w:rsidRPr="00DF4F2E" w:rsidRDefault="007147DA" w:rsidP="007147DA">
      <w:pPr>
        <w:tabs>
          <w:tab w:val="left" w:pos="3544"/>
        </w:tabs>
        <w:ind w:left="2552" w:hanging="2552"/>
        <w:rPr>
          <w:rFonts w:cs="Arial"/>
        </w:rPr>
      </w:pPr>
      <w:proofErr w:type="spellStart"/>
      <w:r w:rsidRPr="00DF4F2E">
        <w:rPr>
          <w:rFonts w:cs="Arial"/>
          <w:b/>
          <w:bCs/>
        </w:rPr>
        <w:t>HoNOS</w:t>
      </w:r>
      <w:proofErr w:type="spellEnd"/>
      <w:r w:rsidRPr="00DF4F2E">
        <w:rPr>
          <w:rFonts w:cs="Arial"/>
          <w:b/>
          <w:bCs/>
        </w:rPr>
        <w:t xml:space="preserve"> 65+ </w:t>
      </w:r>
      <w:r w:rsidRPr="00DF4F2E">
        <w:tab/>
      </w:r>
      <w:r w:rsidRPr="00DF4F2E">
        <w:rPr>
          <w:rFonts w:cs="Arial"/>
        </w:rPr>
        <w:t xml:space="preserve">Health of the Nation Outcome Scale for </w:t>
      </w:r>
      <w:r w:rsidR="00921BED">
        <w:rPr>
          <w:rFonts w:cs="Arial"/>
        </w:rPr>
        <w:t>65+</w:t>
      </w:r>
    </w:p>
    <w:p w14:paraId="044A0C4A" w14:textId="77777777" w:rsidR="007147DA" w:rsidRPr="00DF4F2E" w:rsidRDefault="007147DA" w:rsidP="007147DA">
      <w:pPr>
        <w:ind w:left="2552" w:hanging="2552"/>
        <w:rPr>
          <w:rFonts w:cs="Arial"/>
        </w:rPr>
      </w:pPr>
      <w:proofErr w:type="spellStart"/>
      <w:r w:rsidRPr="00DF4F2E">
        <w:rPr>
          <w:rFonts w:cs="Arial"/>
          <w:b/>
          <w:bCs/>
        </w:rPr>
        <w:t>HoNOSCA</w:t>
      </w:r>
      <w:proofErr w:type="spellEnd"/>
      <w:r w:rsidRPr="00DF4F2E">
        <w:tab/>
      </w:r>
      <w:r w:rsidRPr="00DF4F2E">
        <w:rPr>
          <w:rFonts w:cs="Arial"/>
        </w:rPr>
        <w:t>Health of the Nation Outcome Scales for Children and Adolescents</w:t>
      </w:r>
    </w:p>
    <w:p w14:paraId="369F0DCA" w14:textId="16BED391" w:rsidR="564FEF3E" w:rsidRPr="00DF4F2E" w:rsidRDefault="564FEF3E" w:rsidP="1922062C">
      <w:pPr>
        <w:tabs>
          <w:tab w:val="left" w:pos="3544"/>
        </w:tabs>
        <w:ind w:left="2552" w:hanging="2552"/>
        <w:rPr>
          <w:rFonts w:cs="Arial"/>
        </w:rPr>
      </w:pPr>
      <w:r w:rsidRPr="00DF4F2E">
        <w:rPr>
          <w:rFonts w:cs="Arial"/>
          <w:b/>
          <w:bCs/>
        </w:rPr>
        <w:t>IHPA</w:t>
      </w:r>
      <w:r w:rsidRPr="00DF4F2E">
        <w:tab/>
      </w:r>
      <w:r w:rsidRPr="00DF4F2E">
        <w:rPr>
          <w:rFonts w:cs="Arial"/>
        </w:rPr>
        <w:t xml:space="preserve">Independent </w:t>
      </w:r>
      <w:r w:rsidR="6AD6BA88" w:rsidRPr="00DF4F2E">
        <w:rPr>
          <w:rFonts w:cs="Arial"/>
        </w:rPr>
        <w:t>H</w:t>
      </w:r>
      <w:r w:rsidR="00F92A20" w:rsidRPr="00DF4F2E">
        <w:rPr>
          <w:rFonts w:cs="Arial"/>
        </w:rPr>
        <w:t>ospital</w:t>
      </w:r>
      <w:r w:rsidR="6AD6BA88" w:rsidRPr="00DF4F2E">
        <w:rPr>
          <w:rFonts w:cs="Arial"/>
        </w:rPr>
        <w:t xml:space="preserve"> </w:t>
      </w:r>
      <w:r w:rsidRPr="00DF4F2E">
        <w:rPr>
          <w:rFonts w:cs="Arial"/>
        </w:rPr>
        <w:t>Pricing Authority</w:t>
      </w:r>
    </w:p>
    <w:p w14:paraId="27C62DC7" w14:textId="77777777" w:rsidR="007147DA" w:rsidRPr="00DF4F2E" w:rsidRDefault="007147DA" w:rsidP="007147DA">
      <w:pPr>
        <w:tabs>
          <w:tab w:val="left" w:pos="3544"/>
        </w:tabs>
        <w:ind w:left="2552" w:hanging="2552"/>
        <w:rPr>
          <w:rFonts w:cs="Arial"/>
        </w:rPr>
      </w:pPr>
      <w:r w:rsidRPr="00DF4F2E">
        <w:rPr>
          <w:rFonts w:cs="Arial"/>
          <w:b/>
          <w:bCs/>
        </w:rPr>
        <w:t>IHACPA</w:t>
      </w:r>
      <w:r w:rsidRPr="00DF4F2E">
        <w:tab/>
      </w:r>
      <w:r w:rsidRPr="00DF4F2E">
        <w:rPr>
          <w:rFonts w:cs="Arial"/>
        </w:rPr>
        <w:t>Independent Health and Aged Care Pricing Authority</w:t>
      </w:r>
    </w:p>
    <w:p w14:paraId="78D6FC4A" w14:textId="77777777" w:rsidR="007147DA" w:rsidRPr="00DF4F2E" w:rsidRDefault="007147DA" w:rsidP="007147DA">
      <w:pPr>
        <w:tabs>
          <w:tab w:val="left" w:pos="3544"/>
        </w:tabs>
        <w:ind w:left="2552" w:hanging="2552"/>
        <w:rPr>
          <w:rFonts w:cs="Arial"/>
        </w:rPr>
      </w:pPr>
      <w:r w:rsidRPr="00DF4F2E">
        <w:rPr>
          <w:rFonts w:cs="Arial"/>
          <w:b/>
          <w:bCs/>
        </w:rPr>
        <w:t>LSP</w:t>
      </w:r>
      <w:r w:rsidRPr="00DF4F2E">
        <w:tab/>
      </w:r>
      <w:r w:rsidRPr="00DF4F2E">
        <w:rPr>
          <w:rFonts w:cs="Arial"/>
        </w:rPr>
        <w:t>Life Skills Profile</w:t>
      </w:r>
    </w:p>
    <w:p w14:paraId="6A998A48" w14:textId="77777777" w:rsidR="007147DA" w:rsidRPr="00DF4F2E" w:rsidRDefault="007147DA" w:rsidP="007147DA">
      <w:pPr>
        <w:tabs>
          <w:tab w:val="left" w:pos="3544"/>
        </w:tabs>
        <w:ind w:left="2552" w:hanging="2552"/>
        <w:rPr>
          <w:rFonts w:cs="Arial"/>
        </w:rPr>
      </w:pPr>
      <w:r w:rsidRPr="00DF4F2E">
        <w:rPr>
          <w:rFonts w:cs="Arial"/>
          <w:b/>
          <w:bCs/>
        </w:rPr>
        <w:t>LSP-16</w:t>
      </w:r>
      <w:r w:rsidRPr="00DF4F2E">
        <w:tab/>
      </w:r>
      <w:r w:rsidRPr="00DF4F2E">
        <w:rPr>
          <w:rFonts w:cs="Arial"/>
        </w:rPr>
        <w:t>Abbreviated Life Skills Profile</w:t>
      </w:r>
    </w:p>
    <w:p w14:paraId="1F5ADF79" w14:textId="77777777" w:rsidR="007147DA" w:rsidRPr="00DF4F2E" w:rsidRDefault="007147DA" w:rsidP="007147DA">
      <w:pPr>
        <w:tabs>
          <w:tab w:val="left" w:pos="3544"/>
        </w:tabs>
        <w:ind w:left="2552" w:hanging="2552"/>
        <w:rPr>
          <w:rFonts w:cs="Arial"/>
        </w:rPr>
      </w:pPr>
      <w:r w:rsidRPr="00DF4F2E">
        <w:rPr>
          <w:rFonts w:cs="Arial"/>
          <w:b/>
          <w:bCs/>
        </w:rPr>
        <w:t>MHLS</w:t>
      </w:r>
      <w:r w:rsidRPr="00DF4F2E">
        <w:tab/>
      </w:r>
      <w:r w:rsidRPr="00DF4F2E">
        <w:rPr>
          <w:rFonts w:cs="Arial"/>
        </w:rPr>
        <w:t>Mental Health Legal Status</w:t>
      </w:r>
    </w:p>
    <w:p w14:paraId="7C3BED56" w14:textId="77777777" w:rsidR="007147DA" w:rsidRPr="00DF4F2E" w:rsidRDefault="007147DA" w:rsidP="007147DA">
      <w:pPr>
        <w:tabs>
          <w:tab w:val="left" w:pos="3544"/>
        </w:tabs>
        <w:ind w:left="2552" w:hanging="2552"/>
        <w:rPr>
          <w:rFonts w:cs="Arial"/>
        </w:rPr>
      </w:pPr>
      <w:r w:rsidRPr="00DF4F2E">
        <w:rPr>
          <w:rFonts w:cs="Arial"/>
          <w:b/>
          <w:bCs/>
        </w:rPr>
        <w:t>MHCERG</w:t>
      </w:r>
      <w:r w:rsidRPr="00DF4F2E">
        <w:tab/>
      </w:r>
      <w:r w:rsidRPr="00DF4F2E">
        <w:rPr>
          <w:rFonts w:cs="Arial"/>
        </w:rPr>
        <w:t>Mental Health Classification Expert Reference Group</w:t>
      </w:r>
    </w:p>
    <w:p w14:paraId="220CE7EB" w14:textId="77777777" w:rsidR="007147DA" w:rsidRPr="00DF4F2E" w:rsidRDefault="007147DA" w:rsidP="007147DA">
      <w:pPr>
        <w:tabs>
          <w:tab w:val="left" w:pos="3544"/>
        </w:tabs>
        <w:ind w:left="2552" w:hanging="2552"/>
        <w:rPr>
          <w:rFonts w:cs="Arial"/>
        </w:rPr>
      </w:pPr>
      <w:proofErr w:type="spellStart"/>
      <w:r w:rsidRPr="00DF4F2E">
        <w:rPr>
          <w:rFonts w:cs="Arial"/>
          <w:b/>
          <w:bCs/>
        </w:rPr>
        <w:t>MHPoC</w:t>
      </w:r>
      <w:proofErr w:type="spellEnd"/>
      <w:r w:rsidRPr="00DF4F2E">
        <w:tab/>
      </w:r>
      <w:r w:rsidRPr="00DF4F2E">
        <w:rPr>
          <w:rFonts w:cs="Arial"/>
        </w:rPr>
        <w:t>Mental Health Phase of Care</w:t>
      </w:r>
    </w:p>
    <w:p w14:paraId="6429D698" w14:textId="77777777" w:rsidR="007147DA" w:rsidRPr="00DF4F2E" w:rsidRDefault="007147DA" w:rsidP="007147DA">
      <w:pPr>
        <w:tabs>
          <w:tab w:val="left" w:pos="3544"/>
        </w:tabs>
        <w:ind w:left="2552" w:hanging="2552"/>
        <w:rPr>
          <w:rFonts w:cs="Arial"/>
        </w:rPr>
      </w:pPr>
      <w:r w:rsidRPr="00DF4F2E">
        <w:rPr>
          <w:rFonts w:cs="Arial"/>
          <w:b/>
          <w:bCs/>
        </w:rPr>
        <w:t>NHCDC</w:t>
      </w:r>
      <w:r w:rsidRPr="00DF4F2E">
        <w:tab/>
      </w:r>
      <w:r w:rsidRPr="00DF4F2E">
        <w:rPr>
          <w:rFonts w:cs="Arial"/>
        </w:rPr>
        <w:t xml:space="preserve">National Hospital Cost Data Collection </w:t>
      </w:r>
    </w:p>
    <w:p w14:paraId="341A7636" w14:textId="77777777" w:rsidR="007147DA" w:rsidRPr="00DF4F2E" w:rsidRDefault="007147DA" w:rsidP="007147DA">
      <w:pPr>
        <w:tabs>
          <w:tab w:val="left" w:pos="3544"/>
        </w:tabs>
        <w:ind w:left="2552" w:hanging="2552"/>
        <w:rPr>
          <w:b/>
          <w:bCs/>
        </w:rPr>
      </w:pPr>
      <w:r w:rsidRPr="00DF4F2E">
        <w:rPr>
          <w:rFonts w:cs="Arial"/>
          <w:b/>
          <w:bCs/>
        </w:rPr>
        <w:t>NHCDC DRS</w:t>
      </w:r>
      <w:r w:rsidRPr="00DF4F2E">
        <w:rPr>
          <w:rFonts w:cs="Arial"/>
        </w:rPr>
        <w:t xml:space="preserve"> </w:t>
      </w:r>
      <w:r w:rsidRPr="00DF4F2E">
        <w:tab/>
      </w:r>
      <w:r w:rsidRPr="00DF4F2E">
        <w:rPr>
          <w:rFonts w:cs="Arial"/>
        </w:rPr>
        <w:t>National Hospital Cost Data Collection Data Request Specifications</w:t>
      </w:r>
    </w:p>
    <w:p w14:paraId="3D532A91" w14:textId="3E524187" w:rsidR="007147DA" w:rsidRPr="00DF4F2E" w:rsidRDefault="007147DA" w:rsidP="1922062C">
      <w:pPr>
        <w:tabs>
          <w:tab w:val="left" w:pos="3544"/>
        </w:tabs>
        <w:ind w:left="2552" w:hanging="2552"/>
        <w:rPr>
          <w:rFonts w:cs="Arial"/>
          <w:b/>
          <w:bCs/>
        </w:rPr>
      </w:pPr>
      <w:r w:rsidRPr="00DF4F2E">
        <w:rPr>
          <w:b/>
          <w:bCs/>
        </w:rPr>
        <w:t xml:space="preserve">NHDISC </w:t>
      </w:r>
      <w:r w:rsidRPr="00DF4F2E">
        <w:tab/>
        <w:t>National H</w:t>
      </w:r>
      <w:r w:rsidR="2F926E8D" w:rsidRPr="00DF4F2E">
        <w:t>ealth Data Information Standards Committee</w:t>
      </w:r>
    </w:p>
    <w:p w14:paraId="55B14E9A" w14:textId="289E28C7" w:rsidR="7DA4F772" w:rsidRPr="00DF4F2E" w:rsidRDefault="7DA4F772" w:rsidP="1922062C">
      <w:pPr>
        <w:tabs>
          <w:tab w:val="left" w:pos="3544"/>
        </w:tabs>
        <w:ind w:left="2552" w:hanging="2552"/>
        <w:rPr>
          <w:rFonts w:cs="Arial"/>
        </w:rPr>
      </w:pPr>
      <w:r w:rsidRPr="00DF4F2E">
        <w:rPr>
          <w:rFonts w:cs="Arial"/>
          <w:b/>
          <w:bCs/>
        </w:rPr>
        <w:t>NHR Act</w:t>
      </w:r>
      <w:r w:rsidRPr="00DF4F2E">
        <w:tab/>
      </w:r>
      <w:r w:rsidRPr="00DF4F2E">
        <w:rPr>
          <w:rFonts w:cs="Arial"/>
        </w:rPr>
        <w:t>National Health Reform Act</w:t>
      </w:r>
    </w:p>
    <w:p w14:paraId="08E612DF" w14:textId="46C93175" w:rsidR="007147DA" w:rsidRPr="00DF4F2E" w:rsidRDefault="007147DA" w:rsidP="007147DA">
      <w:pPr>
        <w:tabs>
          <w:tab w:val="left" w:pos="3544"/>
        </w:tabs>
        <w:ind w:left="2552" w:hanging="2552"/>
        <w:rPr>
          <w:rFonts w:cs="Arial"/>
        </w:rPr>
      </w:pPr>
      <w:r w:rsidRPr="00DF4F2E">
        <w:rPr>
          <w:rFonts w:cs="Arial"/>
          <w:b/>
          <w:bCs/>
        </w:rPr>
        <w:t>NHRA</w:t>
      </w:r>
      <w:r w:rsidRPr="00DF4F2E">
        <w:tab/>
      </w:r>
      <w:r w:rsidRPr="00DF4F2E">
        <w:rPr>
          <w:rFonts w:cs="Arial"/>
        </w:rPr>
        <w:t>National Health Reform Agreement</w:t>
      </w:r>
    </w:p>
    <w:p w14:paraId="7D6E9DB2" w14:textId="77777777" w:rsidR="007147DA" w:rsidRPr="00DF4F2E" w:rsidRDefault="007147DA" w:rsidP="007147DA">
      <w:pPr>
        <w:tabs>
          <w:tab w:val="left" w:pos="3544"/>
        </w:tabs>
        <w:ind w:left="2552" w:hanging="2552"/>
        <w:rPr>
          <w:rFonts w:cs="Arial"/>
        </w:rPr>
      </w:pPr>
      <w:r w:rsidRPr="00DF4F2E">
        <w:rPr>
          <w:rFonts w:cs="Arial"/>
          <w:b/>
          <w:bCs/>
        </w:rPr>
        <w:t>NOCC</w:t>
      </w:r>
      <w:r w:rsidRPr="00DF4F2E">
        <w:tab/>
      </w:r>
      <w:r w:rsidRPr="00DF4F2E">
        <w:rPr>
          <w:rFonts w:cs="Arial"/>
        </w:rPr>
        <w:t xml:space="preserve">National Outcomes and </w:t>
      </w:r>
      <w:proofErr w:type="spellStart"/>
      <w:r w:rsidRPr="00DF4F2E">
        <w:rPr>
          <w:rFonts w:cs="Arial"/>
        </w:rPr>
        <w:t>Casemix</w:t>
      </w:r>
      <w:proofErr w:type="spellEnd"/>
      <w:r w:rsidRPr="00DF4F2E">
        <w:rPr>
          <w:rFonts w:cs="Arial"/>
        </w:rPr>
        <w:t xml:space="preserve"> Collection</w:t>
      </w:r>
    </w:p>
    <w:p w14:paraId="7E65CEE5" w14:textId="2C6AF640" w:rsidR="1922062C" w:rsidRDefault="1922062C" w:rsidP="1922062C">
      <w:pPr>
        <w:tabs>
          <w:tab w:val="left" w:pos="3544"/>
        </w:tabs>
        <w:ind w:left="2552" w:hanging="2552"/>
        <w:rPr>
          <w:rFonts w:cs="Arial"/>
        </w:rPr>
      </w:pPr>
    </w:p>
    <w:p w14:paraId="6706B6D8" w14:textId="6E29B489" w:rsidR="009B69BA" w:rsidRDefault="00C06ED7" w:rsidP="009721F9">
      <w:pPr>
        <w:pStyle w:val="Heading1"/>
      </w:pPr>
      <w:bookmarkStart w:id="3" w:name="_Toc152277094"/>
      <w:bookmarkStart w:id="4" w:name="_Toc152312716"/>
      <w:bookmarkStart w:id="5" w:name="_Toc153371590"/>
      <w:r>
        <w:lastRenderedPageBreak/>
        <w:t>Executive</w:t>
      </w:r>
      <w:r w:rsidR="003258DF">
        <w:t xml:space="preserve"> </w:t>
      </w:r>
      <w:r>
        <w:t>summary</w:t>
      </w:r>
      <w:bookmarkEnd w:id="3"/>
      <w:bookmarkEnd w:id="4"/>
      <w:bookmarkEnd w:id="5"/>
    </w:p>
    <w:p w14:paraId="4DD862B1" w14:textId="499C1C49" w:rsidR="00F80CF8" w:rsidRPr="00BD78D3" w:rsidRDefault="00E83455" w:rsidP="00BD78D3">
      <w:r w:rsidRPr="00BD78D3">
        <w:t xml:space="preserve">The Independent Health and Aged Care Pricing Authority (IHACPA) is responsible for the development of the </w:t>
      </w:r>
      <w:r w:rsidR="1EC38D67" w:rsidRPr="00BD78D3">
        <w:t>Australian Mental Health Care Classification (AMHCC)</w:t>
      </w:r>
      <w:r w:rsidRPr="00BD78D3">
        <w:t>. The AMHCC</w:t>
      </w:r>
      <w:r w:rsidR="00F80CF8" w:rsidRPr="00BD78D3">
        <w:t xml:space="preserve"> is a clinically </w:t>
      </w:r>
      <w:r w:rsidR="0020097B" w:rsidRPr="00BD78D3">
        <w:t xml:space="preserve">informed </w:t>
      </w:r>
      <w:r w:rsidR="005C3054" w:rsidRPr="00BD78D3">
        <w:t>classification</w:t>
      </w:r>
      <w:r w:rsidR="00F80CF8" w:rsidRPr="00BD78D3">
        <w:t xml:space="preserve"> used for </w:t>
      </w:r>
      <w:proofErr w:type="gramStart"/>
      <w:r w:rsidR="00F80CF8" w:rsidRPr="00BD78D3">
        <w:t>activity based</w:t>
      </w:r>
      <w:proofErr w:type="gramEnd"/>
      <w:r w:rsidR="00F80CF8" w:rsidRPr="00BD78D3">
        <w:t xml:space="preserve"> funding (ABF), clinical management and other purposes. </w:t>
      </w:r>
    </w:p>
    <w:p w14:paraId="4B192EC9" w14:textId="1CA43A60" w:rsidR="00F80CF8" w:rsidRPr="00BD78D3" w:rsidRDefault="00F80CF8">
      <w:pPr>
        <w:rPr>
          <w:rFonts w:eastAsia="Arial" w:cs="Arial"/>
        </w:rPr>
      </w:pPr>
      <w:r w:rsidRPr="00BD78D3">
        <w:rPr>
          <w:rFonts w:eastAsia="Arial" w:cs="Arial"/>
        </w:rPr>
        <w:t xml:space="preserve">IHACPA has developed the AMHCC Version 1.1 (V1.1) through detailed statistical analysis of public hospital activity and cost data, as well as consultation with jurisdictions, clinical </w:t>
      </w:r>
      <w:proofErr w:type="gramStart"/>
      <w:r w:rsidRPr="00BD78D3">
        <w:rPr>
          <w:rFonts w:eastAsia="Arial" w:cs="Arial"/>
        </w:rPr>
        <w:t>experts</w:t>
      </w:r>
      <w:proofErr w:type="gramEnd"/>
      <w:r w:rsidRPr="00BD78D3">
        <w:rPr>
          <w:rFonts w:eastAsia="Arial" w:cs="Arial"/>
        </w:rPr>
        <w:t xml:space="preserve"> and other mental health care stakeholders. This report details AMHCC V1.1 and describes process and rationale for refinement changes. </w:t>
      </w:r>
    </w:p>
    <w:p w14:paraId="7A89B6D8" w14:textId="5885AD41" w:rsidR="00F80CF8" w:rsidRPr="00BD78D3" w:rsidRDefault="00F80CF8" w:rsidP="387A6296">
      <w:pPr>
        <w:rPr>
          <w:rFonts w:eastAsia="Arial" w:cs="Arial"/>
        </w:rPr>
      </w:pPr>
      <w:r w:rsidRPr="00BD78D3">
        <w:rPr>
          <w:rFonts w:eastAsia="Arial" w:cs="Arial"/>
        </w:rPr>
        <w:t xml:space="preserve">The AMHCC V1.1 is a modest refinement of AMHCC Version 1.0 (V1.0). The classification structure </w:t>
      </w:r>
      <w:r w:rsidR="002007E2" w:rsidRPr="00BD78D3">
        <w:rPr>
          <w:rFonts w:eastAsia="Arial" w:cs="Arial"/>
        </w:rPr>
        <w:t>and variables remain the same with six variables being utilised to determine an end class: episode setting, Mental Health Phase of Care (</w:t>
      </w:r>
      <w:proofErr w:type="spellStart"/>
      <w:r w:rsidR="002007E2" w:rsidRPr="00BD78D3">
        <w:rPr>
          <w:rFonts w:eastAsia="Arial" w:cs="Arial"/>
        </w:rPr>
        <w:t>MHPoC</w:t>
      </w:r>
      <w:proofErr w:type="spellEnd"/>
      <w:r w:rsidR="002007E2" w:rsidRPr="00BD78D3">
        <w:rPr>
          <w:rFonts w:eastAsia="Arial" w:cs="Arial"/>
        </w:rPr>
        <w:t xml:space="preserve">), age group, Mental Health Legal Status (MHLS), </w:t>
      </w:r>
      <w:r w:rsidR="002007E2" w:rsidRPr="00BD78D3">
        <w:rPr>
          <w:rFonts w:cs="Arial"/>
        </w:rPr>
        <w:t>Health of the Nation Outcome Scale (</w:t>
      </w:r>
      <w:proofErr w:type="spellStart"/>
      <w:r w:rsidR="002007E2" w:rsidRPr="00BD78D3">
        <w:rPr>
          <w:rFonts w:eastAsia="Arial" w:cs="Arial"/>
        </w:rPr>
        <w:t>HoNOS</w:t>
      </w:r>
      <w:proofErr w:type="spellEnd"/>
      <w:r w:rsidR="002007E2" w:rsidRPr="00BD78D3">
        <w:rPr>
          <w:rFonts w:eastAsia="Arial" w:cs="Arial"/>
        </w:rPr>
        <w:t xml:space="preserve">) and the </w:t>
      </w:r>
      <w:r w:rsidR="00216EDD" w:rsidRPr="00BD78D3">
        <w:rPr>
          <w:rFonts w:eastAsia="Arial" w:cs="Arial"/>
        </w:rPr>
        <w:t xml:space="preserve">Abbreviated </w:t>
      </w:r>
      <w:r w:rsidR="002007E2" w:rsidRPr="00BD78D3">
        <w:rPr>
          <w:rFonts w:eastAsia="Arial" w:cs="Arial"/>
        </w:rPr>
        <w:t xml:space="preserve">Life Skills Profile (LSP-16). </w:t>
      </w:r>
      <w:r w:rsidRPr="00BD78D3">
        <w:rPr>
          <w:rFonts w:eastAsia="Arial" w:cs="Arial"/>
        </w:rPr>
        <w:t xml:space="preserve"> </w:t>
      </w:r>
    </w:p>
    <w:p w14:paraId="372EC89E" w14:textId="5DD53E05" w:rsidR="002007E2" w:rsidRPr="00BD78D3" w:rsidRDefault="002007E2" w:rsidP="387A6296">
      <w:pPr>
        <w:rPr>
          <w:rFonts w:eastAsia="Arial" w:cs="Arial"/>
        </w:rPr>
      </w:pPr>
      <w:r w:rsidRPr="00BD78D3">
        <w:rPr>
          <w:rFonts w:eastAsia="Arial" w:cs="Arial"/>
        </w:rPr>
        <w:t xml:space="preserve">The key changes for AMHCC V1.1 include the recalibration of the complexity model including </w:t>
      </w:r>
      <w:proofErr w:type="spellStart"/>
      <w:r w:rsidRPr="00BD78D3">
        <w:rPr>
          <w:rFonts w:eastAsia="Arial" w:cs="Arial"/>
        </w:rPr>
        <w:t>HoNOS</w:t>
      </w:r>
      <w:proofErr w:type="spellEnd"/>
      <w:r w:rsidRPr="00BD78D3">
        <w:rPr>
          <w:rFonts w:eastAsia="Arial" w:cs="Arial"/>
        </w:rPr>
        <w:t xml:space="preserve"> weights and thresholds, and LSP-16 thresholds. In addition to allowing phases with up to two missing </w:t>
      </w:r>
      <w:proofErr w:type="spellStart"/>
      <w:r w:rsidRPr="00BD78D3">
        <w:rPr>
          <w:rFonts w:eastAsia="Arial" w:cs="Arial"/>
        </w:rPr>
        <w:t>HoNOS</w:t>
      </w:r>
      <w:proofErr w:type="spellEnd"/>
      <w:r w:rsidRPr="00BD78D3">
        <w:rPr>
          <w:rFonts w:eastAsia="Arial" w:cs="Arial"/>
        </w:rPr>
        <w:t xml:space="preserve"> item scores to attract a valid complexity score, in line with the National Outcomes and </w:t>
      </w:r>
      <w:proofErr w:type="spellStart"/>
      <w:r w:rsidRPr="00BD78D3">
        <w:rPr>
          <w:rFonts w:eastAsia="Arial" w:cs="Arial"/>
        </w:rPr>
        <w:t>Casemix</w:t>
      </w:r>
      <w:proofErr w:type="spellEnd"/>
      <w:r w:rsidRPr="00BD78D3">
        <w:rPr>
          <w:rFonts w:eastAsia="Arial" w:cs="Arial"/>
        </w:rPr>
        <w:t xml:space="preserve"> Collection (NOOC) rules. </w:t>
      </w:r>
    </w:p>
    <w:p w14:paraId="2C97EDCC" w14:textId="22BF14F0" w:rsidR="00492A0C" w:rsidRPr="00BD78D3" w:rsidRDefault="009B363E" w:rsidP="387A6296">
      <w:pPr>
        <w:rPr>
          <w:rFonts w:eastAsia="Arial" w:cs="Arial"/>
        </w:rPr>
      </w:pPr>
      <w:r>
        <w:rPr>
          <w:rFonts w:eastAsia="Arial" w:cs="Arial"/>
        </w:rPr>
        <w:t xml:space="preserve">The AMHCC V1.1 methodology for </w:t>
      </w:r>
      <w:r w:rsidR="00492A0C" w:rsidRPr="00BD78D3">
        <w:rPr>
          <w:rFonts w:eastAsia="Arial" w:cs="Arial"/>
        </w:rPr>
        <w:t xml:space="preserve">how the </w:t>
      </w:r>
      <w:proofErr w:type="spellStart"/>
      <w:r w:rsidR="00492A0C" w:rsidRPr="00BD78D3">
        <w:rPr>
          <w:rFonts w:eastAsia="Arial" w:cs="Arial"/>
        </w:rPr>
        <w:t>HoNOS</w:t>
      </w:r>
      <w:proofErr w:type="spellEnd"/>
      <w:r w:rsidR="00492A0C" w:rsidRPr="00BD78D3">
        <w:rPr>
          <w:rFonts w:eastAsia="Arial" w:cs="Arial"/>
        </w:rPr>
        <w:t xml:space="preserve"> weight values are determined</w:t>
      </w:r>
      <w:r>
        <w:rPr>
          <w:rFonts w:eastAsia="Arial" w:cs="Arial"/>
        </w:rPr>
        <w:t xml:space="preserve"> has been updated. </w:t>
      </w:r>
      <w:r w:rsidR="00492A0C" w:rsidRPr="00BD78D3">
        <w:rPr>
          <w:rFonts w:eastAsia="Arial" w:cs="Arial"/>
        </w:rPr>
        <w:t xml:space="preserve">The </w:t>
      </w:r>
      <w:r>
        <w:rPr>
          <w:rFonts w:eastAsia="Arial" w:cs="Arial"/>
        </w:rPr>
        <w:t>updated</w:t>
      </w:r>
      <w:r w:rsidR="00492A0C" w:rsidRPr="00BD78D3">
        <w:rPr>
          <w:rFonts w:eastAsia="Arial" w:cs="Arial"/>
        </w:rPr>
        <w:t xml:space="preserve"> complexity model </w:t>
      </w:r>
      <w:r w:rsidR="00492A0C" w:rsidRPr="00BD78D3">
        <w:rPr>
          <w:rFonts w:cs="Arial"/>
        </w:rPr>
        <w:t xml:space="preserve">minimises the volatility of weights arising due to small sample sizes by initially pooling data at the setting-age group, before modifying the weights to capture different costs and </w:t>
      </w:r>
      <w:proofErr w:type="spellStart"/>
      <w:r w:rsidR="00492A0C" w:rsidRPr="00BD78D3">
        <w:rPr>
          <w:rFonts w:cs="Arial"/>
        </w:rPr>
        <w:t>HoNOS</w:t>
      </w:r>
      <w:proofErr w:type="spellEnd"/>
      <w:r w:rsidR="00492A0C" w:rsidRPr="00BD78D3">
        <w:rPr>
          <w:rFonts w:cs="Arial"/>
        </w:rPr>
        <w:t xml:space="preserve"> relationships for each phase group. Comparatively, the methodology for the AMHCC V1.0 calculates </w:t>
      </w:r>
      <w:proofErr w:type="spellStart"/>
      <w:r w:rsidR="00492A0C" w:rsidRPr="00BD78D3">
        <w:rPr>
          <w:rFonts w:cs="Arial"/>
        </w:rPr>
        <w:t>HoNOS</w:t>
      </w:r>
      <w:proofErr w:type="spellEnd"/>
      <w:r w:rsidR="00492A0C" w:rsidRPr="00BD78D3">
        <w:rPr>
          <w:rFonts w:cs="Arial"/>
        </w:rPr>
        <w:t xml:space="preserve"> weights directly at the setting-phase-age group level.</w:t>
      </w:r>
      <w:r w:rsidRPr="009B363E">
        <w:rPr>
          <w:rFonts w:eastAsia="Arial" w:cs="Arial"/>
        </w:rPr>
        <w:t xml:space="preserve"> </w:t>
      </w:r>
      <w:r>
        <w:rPr>
          <w:rFonts w:eastAsia="Arial" w:cs="Arial"/>
        </w:rPr>
        <w:t>T</w:t>
      </w:r>
      <w:r w:rsidRPr="00BD78D3">
        <w:rPr>
          <w:rFonts w:eastAsia="Arial" w:cs="Arial"/>
        </w:rPr>
        <w:t xml:space="preserve">he way in which these weights are applied in calculating the </w:t>
      </w:r>
      <w:proofErr w:type="spellStart"/>
      <w:r w:rsidRPr="00BD78D3">
        <w:rPr>
          <w:rFonts w:eastAsia="Arial" w:cs="Arial"/>
        </w:rPr>
        <w:t>HoNOS</w:t>
      </w:r>
      <w:proofErr w:type="spellEnd"/>
      <w:r w:rsidRPr="00BD78D3">
        <w:rPr>
          <w:rFonts w:eastAsia="Arial" w:cs="Arial"/>
        </w:rPr>
        <w:t xml:space="preserve"> complexity score remains the same between AMHCC V1.0 and V1.1.</w:t>
      </w:r>
      <w:r w:rsidR="008A44C3">
        <w:rPr>
          <w:rFonts w:eastAsia="Arial" w:cs="Arial"/>
        </w:rPr>
        <w:t xml:space="preserve"> </w:t>
      </w:r>
      <w:r w:rsidR="00492A0C" w:rsidRPr="00BD78D3">
        <w:rPr>
          <w:rFonts w:eastAsia="Arial" w:cs="Arial"/>
        </w:rPr>
        <w:t xml:space="preserve">The AMHCC V1.1 improves the distribution of end class complexity grouping for </w:t>
      </w:r>
      <w:proofErr w:type="spellStart"/>
      <w:r w:rsidR="00492A0C" w:rsidRPr="00BD78D3">
        <w:rPr>
          <w:rFonts w:eastAsia="Arial" w:cs="Arial"/>
        </w:rPr>
        <w:t>HoNOS</w:t>
      </w:r>
      <w:proofErr w:type="spellEnd"/>
      <w:r w:rsidR="00492A0C" w:rsidRPr="00BD78D3">
        <w:rPr>
          <w:rFonts w:eastAsia="Arial" w:cs="Arial"/>
        </w:rPr>
        <w:t xml:space="preserve"> and LSP-16 and overall has a modest improvement in statistical performance across both admitted and community settings. </w:t>
      </w:r>
    </w:p>
    <w:p w14:paraId="4B7CAA99" w14:textId="37C625B3" w:rsidR="00F80CF8" w:rsidRPr="00BD78D3" w:rsidRDefault="00492A0C" w:rsidP="387A6296">
      <w:pPr>
        <w:rPr>
          <w:rFonts w:eastAsia="Arial" w:cs="Arial"/>
        </w:rPr>
      </w:pPr>
      <w:r w:rsidRPr="00BD78D3">
        <w:rPr>
          <w:rFonts w:eastAsia="Arial" w:cs="Arial"/>
        </w:rPr>
        <w:t xml:space="preserve">Future AMHCC refinement considerations were identified during this process which may include more substantial changes to classification structure and variables utilised to ensure the classification remains </w:t>
      </w:r>
      <w:r w:rsidR="00936C02" w:rsidRPr="00BD78D3">
        <w:rPr>
          <w:rFonts w:eastAsia="Arial" w:cs="Arial"/>
        </w:rPr>
        <w:t>clinically</w:t>
      </w:r>
      <w:r w:rsidRPr="00BD78D3">
        <w:rPr>
          <w:rFonts w:eastAsia="Arial" w:cs="Arial"/>
        </w:rPr>
        <w:t xml:space="preserve"> relevant. </w:t>
      </w:r>
    </w:p>
    <w:p w14:paraId="4758D115" w14:textId="010A4157" w:rsidR="002B50C0" w:rsidRPr="009B69BA" w:rsidRDefault="009B69BA" w:rsidP="1922062C">
      <w:pPr>
        <w:rPr>
          <w:rFonts w:eastAsiaTheme="majorEastAsia" w:cstheme="majorBidi"/>
          <w:b/>
          <w:bCs/>
          <w:sz w:val="72"/>
          <w:szCs w:val="72"/>
        </w:rPr>
      </w:pPr>
      <w:r w:rsidRPr="1922062C">
        <w:rPr>
          <w:rFonts w:eastAsiaTheme="majorEastAsia" w:cstheme="majorBidi"/>
          <w:b/>
          <w:bCs/>
          <w:sz w:val="72"/>
          <w:szCs w:val="72"/>
        </w:rPr>
        <w:br w:type="page"/>
      </w:r>
    </w:p>
    <w:p w14:paraId="7F866CE1" w14:textId="74E26344" w:rsidR="002B50C0" w:rsidRDefault="002B50C0" w:rsidP="004B0CC1">
      <w:pPr>
        <w:pStyle w:val="Heading1"/>
        <w:numPr>
          <w:ilvl w:val="0"/>
          <w:numId w:val="35"/>
        </w:numPr>
      </w:pPr>
      <w:bookmarkStart w:id="6" w:name="_Toc152277095"/>
      <w:bookmarkStart w:id="7" w:name="_Toc152312717"/>
      <w:bookmarkStart w:id="8" w:name="_Toc153371591"/>
      <w:r>
        <w:lastRenderedPageBreak/>
        <w:t>Introduction</w:t>
      </w:r>
      <w:bookmarkEnd w:id="6"/>
      <w:bookmarkEnd w:id="7"/>
      <w:bookmarkEnd w:id="8"/>
      <w:r w:rsidR="00B70A2F">
        <w:t xml:space="preserve"> </w:t>
      </w:r>
    </w:p>
    <w:p w14:paraId="5ECEADF1" w14:textId="7B441082" w:rsidR="002B50C0" w:rsidRDefault="002B50C0" w:rsidP="004B0CC1">
      <w:pPr>
        <w:pStyle w:val="Heading2"/>
        <w:numPr>
          <w:ilvl w:val="1"/>
          <w:numId w:val="35"/>
        </w:numPr>
      </w:pPr>
      <w:bookmarkStart w:id="9" w:name="_Toc152277096"/>
      <w:bookmarkStart w:id="10" w:name="_Toc152312718"/>
      <w:bookmarkStart w:id="11" w:name="_Toc153371592"/>
      <w:r>
        <w:t>About IHACPA</w:t>
      </w:r>
      <w:bookmarkEnd w:id="9"/>
      <w:bookmarkEnd w:id="10"/>
      <w:bookmarkEnd w:id="11"/>
      <w:r>
        <w:t xml:space="preserve"> </w:t>
      </w:r>
    </w:p>
    <w:p w14:paraId="34529B09" w14:textId="10F276AA" w:rsidR="002B50C0" w:rsidRDefault="002B50C0" w:rsidP="1922062C">
      <w:r w:rsidRPr="00D82B81">
        <w:t xml:space="preserve">The Independent </w:t>
      </w:r>
      <w:r w:rsidR="1C77DF35" w:rsidRPr="00D82B81">
        <w:t>H</w:t>
      </w:r>
      <w:r w:rsidR="0088044C" w:rsidRPr="00D82B81">
        <w:t>ospital</w:t>
      </w:r>
      <w:r w:rsidR="1C77DF35" w:rsidRPr="00D82B81">
        <w:t xml:space="preserve"> </w:t>
      </w:r>
      <w:r w:rsidRPr="00D82B81">
        <w:t xml:space="preserve">Pricing Authority (IHPA) was established under the </w:t>
      </w:r>
      <w:r w:rsidRPr="00D82B81">
        <w:rPr>
          <w:i/>
          <w:iCs/>
        </w:rPr>
        <w:t>National Health Reform Act 2011</w:t>
      </w:r>
      <w:r w:rsidRPr="00D82B81">
        <w:t xml:space="preserve"> </w:t>
      </w:r>
      <w:r w:rsidR="00E9271F" w:rsidRPr="00D82B81">
        <w:t xml:space="preserve">(Cwlth) </w:t>
      </w:r>
      <w:r w:rsidR="00936C02" w:rsidRPr="00D82B81">
        <w:t xml:space="preserve">(the NHR Act) as part of the National Health Reform Agreement (NHRA) to improve health outcomes for all Australians. </w:t>
      </w:r>
    </w:p>
    <w:p w14:paraId="202E527B" w14:textId="77777777" w:rsidR="00D82637" w:rsidRPr="00D82B81" w:rsidRDefault="00D82637" w:rsidP="00D82637">
      <w:r w:rsidRPr="00D82B81">
        <w:t xml:space="preserve">Under the NHRA, the </w:t>
      </w:r>
      <w:r w:rsidR="006F6595">
        <w:t>former</w:t>
      </w:r>
      <w:r w:rsidRPr="00D82B81">
        <w:t xml:space="preserve"> Council of Australian Governments unanimously agreed on the establishment of </w:t>
      </w:r>
      <w:proofErr w:type="gramStart"/>
      <w:r w:rsidRPr="00D82B81">
        <w:t>activity based</w:t>
      </w:r>
      <w:proofErr w:type="gramEnd"/>
      <w:r w:rsidRPr="00D82B81">
        <w:t xml:space="preserve"> funding (ABF) as the primary funding methodology for public hospitals to improve transparency in the delivery of national funding. </w:t>
      </w:r>
    </w:p>
    <w:p w14:paraId="51514953" w14:textId="5344E794" w:rsidR="00936C02" w:rsidRPr="00D82B81" w:rsidRDefault="00936C02" w:rsidP="1922062C">
      <w:r w:rsidRPr="00D82B81">
        <w:t>On 12 August 2022 amendments to the NHR Act came into effect changing IHPA’s name to the Independent Health and Aged Care Pricing Authority (IHACPA) and expanding its role to include the provision of age</w:t>
      </w:r>
      <w:r w:rsidR="00910297" w:rsidRPr="00D82B81">
        <w:t>d</w:t>
      </w:r>
      <w:r w:rsidRPr="00D82B81">
        <w:t xml:space="preserve"> care cost and pricing advice to the </w:t>
      </w:r>
      <w:r w:rsidR="00157840">
        <w:t>Australian</w:t>
      </w:r>
      <w:r w:rsidR="00157840" w:rsidRPr="00D82B81">
        <w:t xml:space="preserve"> </w:t>
      </w:r>
      <w:r w:rsidRPr="00D82B81">
        <w:t>Government.</w:t>
      </w:r>
    </w:p>
    <w:p w14:paraId="7876E35A" w14:textId="38F5E1BE" w:rsidR="00910297" w:rsidRPr="00D82B81" w:rsidRDefault="00910297" w:rsidP="1922062C">
      <w:r w:rsidRPr="00D82B81">
        <w:t xml:space="preserve">Whilst IHACPA has several determinative functions as specified by the NHRA, the primary role is to determine the </w:t>
      </w:r>
      <w:r w:rsidR="00157840">
        <w:t>n</w:t>
      </w:r>
      <w:r w:rsidRPr="00D82B81">
        <w:t xml:space="preserve">ational </w:t>
      </w:r>
      <w:r w:rsidR="00157840">
        <w:t>e</w:t>
      </w:r>
      <w:r w:rsidRPr="00D82B81">
        <w:t xml:space="preserve">fficient </w:t>
      </w:r>
      <w:r w:rsidR="00157840">
        <w:t>p</w:t>
      </w:r>
      <w:r w:rsidRPr="00D82B81">
        <w:t xml:space="preserve">rice (NEP) and </w:t>
      </w:r>
      <w:r w:rsidR="00157840">
        <w:t>n</w:t>
      </w:r>
      <w:r w:rsidRPr="00D82B81">
        <w:t xml:space="preserve">ational </w:t>
      </w:r>
      <w:r w:rsidR="00157840">
        <w:t>e</w:t>
      </w:r>
      <w:r w:rsidRPr="00D82B81">
        <w:t xml:space="preserve">fficient </w:t>
      </w:r>
      <w:r w:rsidR="00157840">
        <w:t>c</w:t>
      </w:r>
      <w:r w:rsidRPr="00D82B81">
        <w:t xml:space="preserve">ost (NEC) for public hospital services. IHACPA undertakes reviews and updates of existing classifications and is responsible for introducing new classifications for those service categories without an existing classification to allow funding </w:t>
      </w:r>
      <w:r w:rsidR="002A2E4A">
        <w:t>of</w:t>
      </w:r>
      <w:r w:rsidRPr="00D82B81">
        <w:t xml:space="preserve"> public hospitals based on the ABF mechanism. </w:t>
      </w:r>
    </w:p>
    <w:p w14:paraId="2B01A2E3" w14:textId="44B189D5" w:rsidR="002B50C0" w:rsidRPr="00D82B81" w:rsidRDefault="002B50C0" w:rsidP="00B74131">
      <w:r w:rsidRPr="00D82B81">
        <w:br w:type="page"/>
      </w:r>
    </w:p>
    <w:p w14:paraId="290CCD1B" w14:textId="4A2E628A" w:rsidR="009A1F93" w:rsidRDefault="00C06ED7" w:rsidP="00D1238A">
      <w:pPr>
        <w:pStyle w:val="Heading1"/>
        <w:numPr>
          <w:ilvl w:val="0"/>
          <w:numId w:val="5"/>
        </w:numPr>
      </w:pPr>
      <w:bookmarkStart w:id="12" w:name="_Toc152277097"/>
      <w:bookmarkStart w:id="13" w:name="_Toc152312719"/>
      <w:bookmarkStart w:id="14" w:name="_Toc153371593"/>
      <w:r>
        <w:lastRenderedPageBreak/>
        <w:t>Background</w:t>
      </w:r>
      <w:bookmarkEnd w:id="12"/>
      <w:bookmarkEnd w:id="13"/>
      <w:bookmarkEnd w:id="14"/>
    </w:p>
    <w:p w14:paraId="2EBAB55A" w14:textId="374008B9" w:rsidR="00B74131" w:rsidRDefault="00B74131" w:rsidP="00B74131">
      <w:pPr>
        <w:pStyle w:val="Heading2"/>
        <w:numPr>
          <w:ilvl w:val="1"/>
          <w:numId w:val="5"/>
        </w:numPr>
      </w:pPr>
      <w:bookmarkStart w:id="15" w:name="_Toc152277098"/>
      <w:bookmarkStart w:id="16" w:name="_Toc152312720"/>
      <w:bookmarkStart w:id="17" w:name="_Toc153371594"/>
      <w:r>
        <w:t xml:space="preserve">The </w:t>
      </w:r>
      <w:r w:rsidR="00953B17">
        <w:t>A</w:t>
      </w:r>
      <w:r w:rsidR="004B4119">
        <w:t xml:space="preserve">ustralian </w:t>
      </w:r>
      <w:r w:rsidR="00953B17">
        <w:t>M</w:t>
      </w:r>
      <w:r w:rsidR="004B4119">
        <w:t xml:space="preserve">ental </w:t>
      </w:r>
      <w:r w:rsidR="00953B17">
        <w:t>H</w:t>
      </w:r>
      <w:r w:rsidR="004B4119">
        <w:t xml:space="preserve">ealth </w:t>
      </w:r>
      <w:r w:rsidR="00953B17">
        <w:t>C</w:t>
      </w:r>
      <w:r w:rsidR="004B4119">
        <w:t xml:space="preserve">are </w:t>
      </w:r>
      <w:r w:rsidR="00953B17">
        <w:t>C</w:t>
      </w:r>
      <w:r w:rsidR="004B4119">
        <w:t>lassification</w:t>
      </w:r>
      <w:bookmarkEnd w:id="15"/>
      <w:bookmarkEnd w:id="16"/>
      <w:bookmarkEnd w:id="17"/>
    </w:p>
    <w:p w14:paraId="15E0B755" w14:textId="0BFF7011" w:rsidR="00B74131" w:rsidRPr="00D82B81" w:rsidRDefault="00296FDB" w:rsidP="00B74131">
      <w:r>
        <w:t xml:space="preserve">The </w:t>
      </w:r>
      <w:r w:rsidRPr="00BD78D3">
        <w:t>Independent Health and Aged Care Pricing Authority (</w:t>
      </w:r>
      <w:r w:rsidR="00B74131" w:rsidRPr="00D82B81">
        <w:t>IHACPA</w:t>
      </w:r>
      <w:r>
        <w:t>)</w:t>
      </w:r>
      <w:r w:rsidR="00B74131" w:rsidRPr="00D82B81">
        <w:t xml:space="preserve"> developed a classification for mental health care known as the A</w:t>
      </w:r>
      <w:r w:rsidR="00EB3ED8">
        <w:t xml:space="preserve">ustralian </w:t>
      </w:r>
      <w:r w:rsidR="00B74131" w:rsidRPr="00D82B81">
        <w:t>M</w:t>
      </w:r>
      <w:r w:rsidR="00EB3ED8">
        <w:t xml:space="preserve">ental </w:t>
      </w:r>
      <w:r w:rsidR="00B74131" w:rsidRPr="00D82B81">
        <w:t>H</w:t>
      </w:r>
      <w:r w:rsidR="00EB3ED8">
        <w:t xml:space="preserve">ealth </w:t>
      </w:r>
      <w:r w:rsidR="00B74131" w:rsidRPr="00D82B81">
        <w:t>C</w:t>
      </w:r>
      <w:r w:rsidR="00EB3ED8">
        <w:t xml:space="preserve">are </w:t>
      </w:r>
      <w:proofErr w:type="gramStart"/>
      <w:r w:rsidR="00EB3ED8" w:rsidRPr="00D82B81">
        <w:t>C</w:t>
      </w:r>
      <w:r w:rsidR="00EB3ED8">
        <w:t>lassification</w:t>
      </w:r>
      <w:r w:rsidR="00B02FA5">
        <w:t xml:space="preserve"> </w:t>
      </w:r>
      <w:r w:rsidR="00EB3ED8">
        <w:t xml:space="preserve"> (</w:t>
      </w:r>
      <w:proofErr w:type="gramEnd"/>
      <w:r w:rsidR="00EB3ED8">
        <w:t>AMHCC)</w:t>
      </w:r>
      <w:r w:rsidR="00B74131" w:rsidRPr="00D82B81">
        <w:t xml:space="preserve">. The AMHCC aims to improve the clinical meaningfulness of the way that mental health services are classified. On 25 February 2016, </w:t>
      </w:r>
      <w:r w:rsidR="006A00D9">
        <w:t xml:space="preserve">IHACPA’s board </w:t>
      </w:r>
      <w:r w:rsidR="00B74131" w:rsidRPr="00D82B81">
        <w:t>the Pricing Authority approved the AMHCC V</w:t>
      </w:r>
      <w:r w:rsidR="00EB3ED8">
        <w:t xml:space="preserve">ersion </w:t>
      </w:r>
      <w:r w:rsidR="00B74131" w:rsidRPr="00D82B81">
        <w:t>1.0</w:t>
      </w:r>
      <w:r w:rsidR="00EB3ED8">
        <w:t xml:space="preserve"> (V1.0)</w:t>
      </w:r>
      <w:r w:rsidR="00B74131" w:rsidRPr="00D82B81">
        <w:t xml:space="preserve">. The AMHCC V1.0 was implemented on a best endeavours basis from 1 July 2016 and was used to price admitted mental health from 1 July 2022. </w:t>
      </w:r>
    </w:p>
    <w:p w14:paraId="74628650" w14:textId="6EB3ABC7" w:rsidR="00B74131" w:rsidRDefault="00B74131" w:rsidP="00D82B81">
      <w:r w:rsidRPr="00D82B81">
        <w:t xml:space="preserve">The AMHCC </w:t>
      </w:r>
      <w:r w:rsidR="00245C7B" w:rsidRPr="00D82B81">
        <w:t>V</w:t>
      </w:r>
      <w:r w:rsidRPr="00D82B81">
        <w:t xml:space="preserve">1.0 was developed using 26 mental health services data collected over a six-month period as part of the </w:t>
      </w:r>
      <w:hyperlink r:id="rId18" w:history="1">
        <w:r w:rsidRPr="0083480F">
          <w:rPr>
            <w:rStyle w:val="Hyperlink"/>
          </w:rPr>
          <w:t>2014 Mental Health Costing Study</w:t>
        </w:r>
      </w:hyperlink>
      <w:r>
        <w:t xml:space="preserve">. </w:t>
      </w:r>
      <w:r w:rsidRPr="00D82B81">
        <w:t xml:space="preserve">In 2016 an Inter-rater Reliability (IRR) study to test the consistency of clinician application for the </w:t>
      </w:r>
      <w:r w:rsidR="007D25DF" w:rsidRPr="00D82B81">
        <w:t>Mental Health Phase of Care (</w:t>
      </w:r>
      <w:proofErr w:type="spellStart"/>
      <w:r w:rsidRPr="00D82B81">
        <w:t>MHPoC</w:t>
      </w:r>
      <w:proofErr w:type="spellEnd"/>
      <w:r w:rsidR="007D25DF" w:rsidRPr="00D82B81">
        <w:t>) variable</w:t>
      </w:r>
      <w:r w:rsidRPr="00D82B81">
        <w:t xml:space="preserve"> was conducted. The poor to fair reliability outcome led to the commencement of the </w:t>
      </w:r>
      <w:hyperlink r:id="rId19" w:history="1">
        <w:r w:rsidRPr="00071F42">
          <w:rPr>
            <w:rStyle w:val="Hyperlink"/>
          </w:rPr>
          <w:t>Mental Health Phase of Care Clinical Refinement Project</w:t>
        </w:r>
      </w:hyperlink>
      <w:r>
        <w:t xml:space="preserve">. The </w:t>
      </w:r>
      <w:proofErr w:type="spellStart"/>
      <w:r>
        <w:t>MHPoC</w:t>
      </w:r>
      <w:proofErr w:type="spellEnd"/>
      <w:r>
        <w:t xml:space="preserve"> Clinical Refinement Project aimed </w:t>
      </w:r>
      <w:r w:rsidR="000B0B61">
        <w:t xml:space="preserve">to </w:t>
      </w:r>
      <w:r>
        <w:t xml:space="preserve">improve the classification by improving the </w:t>
      </w:r>
      <w:r w:rsidR="00D82B81">
        <w:t xml:space="preserve">IRR </w:t>
      </w:r>
      <w:r>
        <w:t xml:space="preserve">of the </w:t>
      </w:r>
      <w:proofErr w:type="spellStart"/>
      <w:r>
        <w:t>MHPoC</w:t>
      </w:r>
      <w:proofErr w:type="spellEnd"/>
      <w:r>
        <w:t xml:space="preserve"> variable</w:t>
      </w:r>
      <w:r w:rsidR="00686C84">
        <w:t xml:space="preserve"> and was approved by the Pricing Authority in November 2019</w:t>
      </w:r>
      <w:r>
        <w:t>.</w:t>
      </w:r>
      <w:r w:rsidR="007D25DF">
        <w:t xml:space="preserve"> </w:t>
      </w:r>
    </w:p>
    <w:p w14:paraId="62EF9AA2" w14:textId="2381C036" w:rsidR="007D25DF" w:rsidRPr="00245C7B" w:rsidRDefault="007D25DF" w:rsidP="00D82B81">
      <w:r>
        <w:t>Due to annual improvements in data volume, quality, and coverage, IHACPA</w:t>
      </w:r>
      <w:r w:rsidRPr="00245C7B">
        <w:t xml:space="preserve"> identified the need to update the AMHCC.</w:t>
      </w:r>
      <w:r>
        <w:t xml:space="preserve"> In April 2021,</w:t>
      </w:r>
      <w:r w:rsidRPr="00245C7B">
        <w:t xml:space="preserve"> IHACPA engaged Taylor Fry </w:t>
      </w:r>
      <w:r>
        <w:t xml:space="preserve">Pty Ltd (Taylor Fry) </w:t>
      </w:r>
      <w:r w:rsidRPr="00245C7B">
        <w:t>to undertake exploratory analysis of national mental health care episode and phase level activity and cost data collections to provide recommendations on future classification refinement.</w:t>
      </w:r>
    </w:p>
    <w:p w14:paraId="3430E1B6" w14:textId="1D0C2965" w:rsidR="007D25DF" w:rsidRPr="00B74131" w:rsidRDefault="007D25DF" w:rsidP="00245C7B"/>
    <w:p w14:paraId="6C35EB9F" w14:textId="0E6C7360" w:rsidR="00A96AB4" w:rsidRPr="00A96AB4" w:rsidRDefault="007D25DF" w:rsidP="00D1238A">
      <w:pPr>
        <w:pStyle w:val="Heading2"/>
        <w:numPr>
          <w:ilvl w:val="1"/>
          <w:numId w:val="5"/>
        </w:numPr>
      </w:pPr>
      <w:bookmarkStart w:id="18" w:name="_Toc152277099"/>
      <w:bookmarkStart w:id="19" w:name="_Toc152312721"/>
      <w:bookmarkStart w:id="20" w:name="_Toc153371595"/>
      <w:r>
        <w:t xml:space="preserve">The </w:t>
      </w:r>
      <w:r w:rsidR="00953B17">
        <w:t>AMHCC</w:t>
      </w:r>
      <w:r w:rsidR="009959BF">
        <w:t xml:space="preserve"> </w:t>
      </w:r>
      <w:r w:rsidR="00F166C4">
        <w:t>s</w:t>
      </w:r>
      <w:r>
        <w:t>tructure</w:t>
      </w:r>
      <w:bookmarkEnd w:id="18"/>
      <w:bookmarkEnd w:id="19"/>
      <w:bookmarkEnd w:id="20"/>
    </w:p>
    <w:p w14:paraId="46C6BFE1" w14:textId="4CE7CC05" w:rsidR="00FE1C95" w:rsidRDefault="00216EDD" w:rsidP="00D82B81">
      <w:r>
        <w:t xml:space="preserve">The AMHCC V1.0 uses </w:t>
      </w:r>
      <w:r w:rsidR="007D25DF">
        <w:t xml:space="preserve">six variables to determine an end class: episode setting, </w:t>
      </w:r>
      <w:proofErr w:type="spellStart"/>
      <w:r w:rsidR="007D25DF">
        <w:t>MHPoC</w:t>
      </w:r>
      <w:proofErr w:type="spellEnd"/>
      <w:r w:rsidR="007D25DF">
        <w:t>, age group, M</w:t>
      </w:r>
      <w:r w:rsidR="00EB3ED8">
        <w:t xml:space="preserve">ental </w:t>
      </w:r>
      <w:r w:rsidR="007D25DF">
        <w:t>H</w:t>
      </w:r>
      <w:r w:rsidR="00EB3ED8">
        <w:t xml:space="preserve">ealth </w:t>
      </w:r>
      <w:r w:rsidR="007D25DF">
        <w:t>L</w:t>
      </w:r>
      <w:r w:rsidR="00EB3ED8">
        <w:t xml:space="preserve">egal </w:t>
      </w:r>
      <w:r w:rsidR="007D25DF">
        <w:t>S</w:t>
      </w:r>
      <w:r w:rsidR="00EB3ED8">
        <w:t>tatus (MHLS)</w:t>
      </w:r>
      <w:r w:rsidR="007D25DF">
        <w:t xml:space="preserve">, </w:t>
      </w:r>
      <w:r w:rsidR="00EB3ED8" w:rsidRPr="00BD78D3">
        <w:rPr>
          <w:rFonts w:cs="Arial"/>
        </w:rPr>
        <w:t>Health of the Nation Outcome Scale (</w:t>
      </w:r>
      <w:proofErr w:type="spellStart"/>
      <w:r w:rsidR="00EB3ED8" w:rsidRPr="00BD78D3">
        <w:rPr>
          <w:rFonts w:eastAsia="Arial" w:cs="Arial"/>
        </w:rPr>
        <w:t>HoNOS</w:t>
      </w:r>
      <w:proofErr w:type="spellEnd"/>
      <w:r w:rsidR="00EB3ED8" w:rsidRPr="00BD78D3">
        <w:rPr>
          <w:rFonts w:eastAsia="Arial" w:cs="Arial"/>
        </w:rPr>
        <w:t>) and the Abbreviated Life Skills Profile (LSP-16</w:t>
      </w:r>
      <w:r w:rsidR="00EB3ED8">
        <w:rPr>
          <w:rFonts w:eastAsia="Arial" w:cs="Arial"/>
        </w:rPr>
        <w:t>)</w:t>
      </w:r>
      <w:r w:rsidR="007D25DF">
        <w:t>.</w:t>
      </w:r>
      <w:r w:rsidR="00EB3ED8">
        <w:rPr>
          <w:rFonts w:eastAsia="Arial" w:cs="Arial"/>
        </w:rPr>
        <w:t>)</w:t>
      </w:r>
      <w:r w:rsidR="007D25DF" w:rsidDel="00FC11F8">
        <w:t xml:space="preserve"> </w:t>
      </w:r>
      <w:r w:rsidRPr="00245C7B">
        <w:rPr>
          <w:b/>
          <w:bCs/>
        </w:rPr>
        <w:t>F</w:t>
      </w:r>
      <w:r w:rsidR="006E383C" w:rsidRPr="00216EDD">
        <w:rPr>
          <w:b/>
          <w:bCs/>
        </w:rPr>
        <w:t>i</w:t>
      </w:r>
      <w:r w:rsidR="006E383C" w:rsidRPr="387A6296">
        <w:rPr>
          <w:b/>
          <w:bCs/>
        </w:rPr>
        <w:t xml:space="preserve">gure </w:t>
      </w:r>
      <w:r w:rsidR="00E01BA7" w:rsidRPr="387A6296">
        <w:rPr>
          <w:b/>
          <w:bCs/>
        </w:rPr>
        <w:t>1</w:t>
      </w:r>
      <w:r w:rsidR="006E383C">
        <w:t xml:space="preserve"> provides an overview of the AMHCC </w:t>
      </w:r>
      <w:r w:rsidR="00245C7B">
        <w:t>V</w:t>
      </w:r>
      <w:r w:rsidR="006E383C">
        <w:t>1.0</w:t>
      </w:r>
      <w:r w:rsidR="00342160">
        <w:t xml:space="preserve"> classification structure</w:t>
      </w:r>
      <w:r w:rsidR="006E383C">
        <w:t>.</w:t>
      </w:r>
      <w:r>
        <w:t xml:space="preserve"> There are a total of 45 classes in the admitted setting branch, including 16 end classes with unknown </w:t>
      </w:r>
      <w:proofErr w:type="spellStart"/>
      <w:r>
        <w:t>MHPoC</w:t>
      </w:r>
      <w:proofErr w:type="spellEnd"/>
      <w:r>
        <w:t xml:space="preserve"> or </w:t>
      </w:r>
      <w:proofErr w:type="spellStart"/>
      <w:r>
        <w:t>HoNOS</w:t>
      </w:r>
      <w:proofErr w:type="spellEnd"/>
      <w:r>
        <w:t xml:space="preserve"> score reported. In the community setting branch, there are 46 end classes, including 15 end classes which capture phases with unknown </w:t>
      </w:r>
      <w:proofErr w:type="spellStart"/>
      <w:r>
        <w:t>MHPoC</w:t>
      </w:r>
      <w:proofErr w:type="spellEnd"/>
      <w:r>
        <w:t xml:space="preserve"> or unknown </w:t>
      </w:r>
      <w:proofErr w:type="spellStart"/>
      <w:r>
        <w:t>HoNOS</w:t>
      </w:r>
      <w:proofErr w:type="spellEnd"/>
      <w:r>
        <w:t xml:space="preserve"> complexity. The classification groups </w:t>
      </w:r>
      <w:r w:rsidR="004D0A2E">
        <w:t xml:space="preserve">phases with missing or invalid </w:t>
      </w:r>
      <w:r>
        <w:t xml:space="preserve">LSP-16 scores </w:t>
      </w:r>
      <w:r w:rsidR="004D0A2E">
        <w:t xml:space="preserve">into the </w:t>
      </w:r>
      <w:r>
        <w:t xml:space="preserve">Moderate LSP-16 </w:t>
      </w:r>
      <w:r w:rsidR="004D0A2E">
        <w:t>complexity</w:t>
      </w:r>
      <w:r>
        <w:t xml:space="preserve">. </w:t>
      </w:r>
    </w:p>
    <w:p w14:paraId="6222D051" w14:textId="635F8EEB" w:rsidR="00FE1C95" w:rsidRDefault="00FE1C95" w:rsidP="00383C9C">
      <w:pPr>
        <w:pStyle w:val="TableFigureheading"/>
      </w:pPr>
      <w:r>
        <w:lastRenderedPageBreak/>
        <w:t xml:space="preserve">Figure </w:t>
      </w:r>
      <w:r w:rsidR="00E01BA7">
        <w:t>1</w:t>
      </w:r>
      <w:r>
        <w:t xml:space="preserve">. AMHCC </w:t>
      </w:r>
      <w:r w:rsidR="006E383C">
        <w:t xml:space="preserve">V1.0 </w:t>
      </w:r>
      <w:r>
        <w:t>structure</w:t>
      </w:r>
      <w:r w:rsidR="00507E55">
        <w:t xml:space="preserve">, admitted and community </w:t>
      </w:r>
      <w:proofErr w:type="gramStart"/>
      <w:r w:rsidR="00507E55">
        <w:t>branches</w:t>
      </w:r>
      <w:proofErr w:type="gramEnd"/>
    </w:p>
    <w:p w14:paraId="46D0DF0A" w14:textId="6D357704" w:rsidR="00B70A2F" w:rsidRPr="00383C9C" w:rsidRDefault="008F1EFA" w:rsidP="00383C9C">
      <w:pPr>
        <w:jc w:val="center"/>
      </w:pPr>
      <w:r>
        <w:rPr>
          <w:noProof/>
        </w:rPr>
        <w:drawing>
          <wp:inline distT="0" distB="0" distL="0" distR="0" wp14:anchorId="0DDB1051" wp14:editId="0BC1E2D0">
            <wp:extent cx="2962800" cy="2700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FF2B5EF4-FFF2-40B4-BE49-F238E27FC236}">
                          <a16:creationId xmlns:a16="http://schemas.microsoft.com/office/drawing/2014/main" xmlns:asvg="http://schemas.microsoft.com/office/drawing/2016/SVG/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D4A07C82-F71E-4231-AC87-E251F5AF41A2}"/>
                        </a:ext>
                      </a:extLst>
                    </a:blip>
                    <a:stretch>
                      <a:fillRect/>
                    </a:stretch>
                  </pic:blipFill>
                  <pic:spPr>
                    <a:xfrm>
                      <a:off x="0" y="0"/>
                      <a:ext cx="2962800" cy="2700000"/>
                    </a:xfrm>
                    <a:prstGeom prst="rect">
                      <a:avLst/>
                    </a:prstGeom>
                  </pic:spPr>
                </pic:pic>
              </a:graphicData>
            </a:graphic>
          </wp:inline>
        </w:drawing>
      </w:r>
      <w:r>
        <w:t xml:space="preserve">  </w:t>
      </w:r>
      <w:r>
        <w:rPr>
          <w:noProof/>
        </w:rPr>
        <w:drawing>
          <wp:inline distT="0" distB="0" distL="0" distR="0" wp14:anchorId="3E3559CF" wp14:editId="0E93C1D7">
            <wp:extent cx="2962800" cy="2700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FF2B5EF4-FFF2-40B4-BE49-F238E27FC236}">
                          <a16:creationId xmlns:a16="http://schemas.microsoft.com/office/drawing/2014/main" xmlns:asvg="http://schemas.microsoft.com/office/drawing/2016/SVG/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A5A4F91E-E99C-47AC-ABC8-E025A628227D}"/>
                        </a:ext>
                      </a:extLst>
                    </a:blip>
                    <a:stretch>
                      <a:fillRect/>
                    </a:stretch>
                  </pic:blipFill>
                  <pic:spPr>
                    <a:xfrm>
                      <a:off x="0" y="0"/>
                      <a:ext cx="2962800" cy="2700000"/>
                    </a:xfrm>
                    <a:prstGeom prst="rect">
                      <a:avLst/>
                    </a:prstGeom>
                  </pic:spPr>
                </pic:pic>
              </a:graphicData>
            </a:graphic>
          </wp:inline>
        </w:drawing>
      </w:r>
    </w:p>
    <w:p w14:paraId="19997FCE" w14:textId="02480B3A" w:rsidR="00483280" w:rsidRDefault="00953B17" w:rsidP="00263379">
      <w:pPr>
        <w:pStyle w:val="Heading2"/>
        <w:numPr>
          <w:ilvl w:val="1"/>
          <w:numId w:val="5"/>
        </w:numPr>
      </w:pPr>
      <w:bookmarkStart w:id="21" w:name="_Toc141450655"/>
      <w:bookmarkStart w:id="22" w:name="_Toc141450735"/>
      <w:bookmarkStart w:id="23" w:name="_Toc152277100"/>
      <w:bookmarkStart w:id="24" w:name="_Toc152312722"/>
      <w:bookmarkStart w:id="25" w:name="_Toc153371596"/>
      <w:bookmarkEnd w:id="21"/>
      <w:bookmarkEnd w:id="22"/>
      <w:r>
        <w:t xml:space="preserve">The AMHCC complexity </w:t>
      </w:r>
      <w:r w:rsidR="00E80015">
        <w:t>variables</w:t>
      </w:r>
      <w:bookmarkEnd w:id="23"/>
      <w:bookmarkEnd w:id="24"/>
      <w:bookmarkEnd w:id="25"/>
      <w:r>
        <w:t xml:space="preserve"> </w:t>
      </w:r>
    </w:p>
    <w:p w14:paraId="6A154B40" w14:textId="056ED871" w:rsidR="00C15AD7" w:rsidRDefault="00FB7F03" w:rsidP="00D82B81">
      <w:r>
        <w:t xml:space="preserve">The AMHCC V1.0 </w:t>
      </w:r>
      <w:r w:rsidR="00C15AD7">
        <w:t xml:space="preserve">accounts for complexity using the following clinical measures: the </w:t>
      </w:r>
      <w:proofErr w:type="spellStart"/>
      <w:r w:rsidR="00C15AD7">
        <w:t>HoNOS</w:t>
      </w:r>
      <w:proofErr w:type="spellEnd"/>
      <w:r w:rsidR="00C15AD7">
        <w:t>, the Health of the Nation Outcome Scale Children and Adolescents (</w:t>
      </w:r>
      <w:proofErr w:type="spellStart"/>
      <w:r w:rsidR="00C15AD7">
        <w:t>HoNOSCA</w:t>
      </w:r>
      <w:proofErr w:type="spellEnd"/>
      <w:r w:rsidR="00C15AD7">
        <w:t>), the Health of the Nation Outcome Scale 65+ (</w:t>
      </w:r>
      <w:proofErr w:type="spellStart"/>
      <w:r w:rsidR="00C15AD7">
        <w:t>HoNOS</w:t>
      </w:r>
      <w:proofErr w:type="spellEnd"/>
      <w:r w:rsidR="00C15AD7">
        <w:t xml:space="preserve"> 65+) and the LSP-16. The description of each clinical </w:t>
      </w:r>
      <w:r w:rsidR="001542BE">
        <w:t xml:space="preserve">instrument </w:t>
      </w:r>
      <w:r w:rsidR="00C15AD7">
        <w:t>including definition</w:t>
      </w:r>
      <w:r w:rsidR="001542BE">
        <w:t xml:space="preserve"> and </w:t>
      </w:r>
      <w:r w:rsidR="00C15AD7">
        <w:t xml:space="preserve">purpose are outlined in </w:t>
      </w:r>
      <w:r w:rsidR="00C15AD7" w:rsidRPr="00245C7B">
        <w:rPr>
          <w:b/>
          <w:bCs/>
        </w:rPr>
        <w:t>Table 1</w:t>
      </w:r>
      <w:r w:rsidR="00C15AD7">
        <w:t>.</w:t>
      </w:r>
    </w:p>
    <w:p w14:paraId="24CD183F" w14:textId="023D02E4" w:rsidR="00FB7F03" w:rsidRDefault="00FB7F03" w:rsidP="00FB7F03">
      <w:pPr>
        <w:pStyle w:val="TableFigureheading"/>
      </w:pPr>
      <w:bookmarkStart w:id="26" w:name="_Hlk141786033"/>
      <w:r>
        <w:lastRenderedPageBreak/>
        <w:t xml:space="preserve">Table 1. Description of AMHCC complexity variables </w:t>
      </w:r>
    </w:p>
    <w:tbl>
      <w:tblPr>
        <w:tblStyle w:val="TableGrid"/>
        <w:tblW w:w="5000" w:type="pct"/>
        <w:tblLook w:val="04A0" w:firstRow="1" w:lastRow="0" w:firstColumn="1" w:lastColumn="0" w:noHBand="0" w:noVBand="1"/>
      </w:tblPr>
      <w:tblGrid>
        <w:gridCol w:w="2404"/>
        <w:gridCol w:w="7338"/>
      </w:tblGrid>
      <w:tr w:rsidR="00FB7F03" w:rsidRPr="00FB7F03" w14:paraId="7439CCC2" w14:textId="77777777" w:rsidTr="001F638E">
        <w:tc>
          <w:tcPr>
            <w:tcW w:w="1234" w:type="pct"/>
            <w:shd w:val="clear" w:color="auto" w:fill="15272F" w:themeFill="text2"/>
          </w:tcPr>
          <w:p w14:paraId="00A46476" w14:textId="60752BB4" w:rsidR="00FB7F03" w:rsidRPr="00245C7B" w:rsidRDefault="00FB7F03" w:rsidP="00245C7B">
            <w:pPr>
              <w:keepNext/>
              <w:keepLines/>
              <w:spacing w:before="120" w:after="120"/>
              <w:rPr>
                <w:b/>
                <w:bCs/>
                <w:color w:val="FFFFFF" w:themeColor="accent6"/>
                <w:sz w:val="18"/>
                <w:szCs w:val="18"/>
              </w:rPr>
            </w:pPr>
            <w:r w:rsidRPr="00245C7B">
              <w:rPr>
                <w:b/>
                <w:bCs/>
                <w:color w:val="FFFFFF" w:themeColor="accent6"/>
                <w:sz w:val="18"/>
                <w:szCs w:val="18"/>
              </w:rPr>
              <w:t xml:space="preserve">Complexity </w:t>
            </w:r>
            <w:r w:rsidRPr="00FB7F03">
              <w:rPr>
                <w:b/>
                <w:bCs/>
                <w:color w:val="FFFFFF" w:themeColor="accent6"/>
                <w:sz w:val="18"/>
                <w:szCs w:val="18"/>
              </w:rPr>
              <w:t>variables</w:t>
            </w:r>
            <w:r w:rsidRPr="00245C7B">
              <w:rPr>
                <w:b/>
                <w:bCs/>
                <w:color w:val="FFFFFF" w:themeColor="accent6"/>
                <w:sz w:val="18"/>
                <w:szCs w:val="18"/>
              </w:rPr>
              <w:t xml:space="preserve"> </w:t>
            </w:r>
          </w:p>
        </w:tc>
        <w:tc>
          <w:tcPr>
            <w:tcW w:w="3766" w:type="pct"/>
            <w:shd w:val="clear" w:color="auto" w:fill="15272F" w:themeFill="text2"/>
          </w:tcPr>
          <w:p w14:paraId="3DAEC148" w14:textId="34741CD4" w:rsidR="00FB7F03" w:rsidRPr="00245C7B" w:rsidRDefault="00FB7F03" w:rsidP="00245C7B">
            <w:pPr>
              <w:keepNext/>
              <w:keepLines/>
              <w:spacing w:before="120" w:after="120"/>
              <w:rPr>
                <w:b/>
                <w:bCs/>
                <w:color w:val="FFFFFF" w:themeColor="accent6"/>
                <w:sz w:val="18"/>
                <w:szCs w:val="18"/>
              </w:rPr>
            </w:pPr>
            <w:r w:rsidRPr="00FB7F03">
              <w:rPr>
                <w:b/>
                <w:bCs/>
                <w:color w:val="FFFFFF" w:themeColor="accent6"/>
                <w:sz w:val="18"/>
                <w:szCs w:val="18"/>
              </w:rPr>
              <w:t>Description</w:t>
            </w:r>
            <w:r w:rsidRPr="00245C7B">
              <w:rPr>
                <w:b/>
                <w:bCs/>
                <w:color w:val="FFFFFF" w:themeColor="accent6"/>
                <w:sz w:val="18"/>
                <w:szCs w:val="18"/>
              </w:rPr>
              <w:t xml:space="preserve"> </w:t>
            </w:r>
          </w:p>
        </w:tc>
      </w:tr>
      <w:tr w:rsidR="00FB7F03" w:rsidRPr="00FB7F03" w14:paraId="2E24B1B0" w14:textId="77777777" w:rsidTr="001F638E">
        <w:tc>
          <w:tcPr>
            <w:tcW w:w="1234" w:type="pct"/>
          </w:tcPr>
          <w:p w14:paraId="68711F77" w14:textId="18DF9915" w:rsidR="00FB7F03" w:rsidRPr="00DF4F2E" w:rsidRDefault="00FB7F03" w:rsidP="00245C7B">
            <w:pPr>
              <w:keepNext/>
              <w:keepLines/>
              <w:spacing w:before="120" w:after="120"/>
              <w:rPr>
                <w:sz w:val="18"/>
                <w:szCs w:val="18"/>
              </w:rPr>
            </w:pPr>
            <w:proofErr w:type="spellStart"/>
            <w:r w:rsidRPr="00DF4F2E">
              <w:rPr>
                <w:sz w:val="18"/>
                <w:szCs w:val="18"/>
              </w:rPr>
              <w:t>HoNOS</w:t>
            </w:r>
            <w:proofErr w:type="spellEnd"/>
          </w:p>
        </w:tc>
        <w:tc>
          <w:tcPr>
            <w:tcW w:w="3766" w:type="pct"/>
          </w:tcPr>
          <w:p w14:paraId="3BB667A9" w14:textId="7DD1E5BA" w:rsidR="00FB7F03" w:rsidRDefault="00245C7B" w:rsidP="00245C7B">
            <w:pPr>
              <w:keepNext/>
              <w:keepLines/>
              <w:spacing w:before="120" w:after="120"/>
              <w:rPr>
                <w:sz w:val="18"/>
                <w:szCs w:val="18"/>
              </w:rPr>
            </w:pPr>
            <w:proofErr w:type="spellStart"/>
            <w:r w:rsidRPr="00DF4F2E">
              <w:rPr>
                <w:sz w:val="18"/>
                <w:szCs w:val="18"/>
              </w:rPr>
              <w:t>Ho</w:t>
            </w:r>
            <w:r w:rsidR="007845A1">
              <w:rPr>
                <w:sz w:val="18"/>
                <w:szCs w:val="18"/>
              </w:rPr>
              <w:t>N</w:t>
            </w:r>
            <w:r w:rsidRPr="00DF4F2E">
              <w:rPr>
                <w:sz w:val="18"/>
                <w:szCs w:val="18"/>
              </w:rPr>
              <w:t>OS</w:t>
            </w:r>
            <w:proofErr w:type="spellEnd"/>
            <w:r w:rsidRPr="00DF4F2E">
              <w:rPr>
                <w:sz w:val="18"/>
                <w:szCs w:val="18"/>
              </w:rPr>
              <w:t xml:space="preserve"> is a clinical outcomes measure that captures the symptoms and functioning of the consumer at key points within an episode of mental health care. It is a clinician-rated measure that consists of 12 items that assess the various aspects of consumers’ mental health.</w:t>
            </w:r>
          </w:p>
          <w:p w14:paraId="56D11523" w14:textId="435D208B" w:rsidR="00151F8A" w:rsidRPr="00DF4F2E" w:rsidRDefault="00151F8A" w:rsidP="00245C7B">
            <w:pPr>
              <w:keepNext/>
              <w:keepLines/>
              <w:spacing w:before="120" w:after="120"/>
              <w:rPr>
                <w:sz w:val="18"/>
                <w:szCs w:val="18"/>
              </w:rPr>
            </w:pPr>
            <w:r>
              <w:rPr>
                <w:sz w:val="18"/>
                <w:szCs w:val="18"/>
              </w:rPr>
              <w:t>Each item is rated on a four-point scale ranging from 0 to 4 with high scores indicating higher severity.</w:t>
            </w:r>
          </w:p>
        </w:tc>
      </w:tr>
      <w:tr w:rsidR="00FB7F03" w:rsidRPr="00FB7F03" w14:paraId="5AE65F98" w14:textId="77777777" w:rsidTr="001F638E">
        <w:tc>
          <w:tcPr>
            <w:tcW w:w="1234" w:type="pct"/>
          </w:tcPr>
          <w:p w14:paraId="31088864" w14:textId="6BCFF190" w:rsidR="00FB7F03" w:rsidRPr="00DF4F2E" w:rsidRDefault="00FB7F03" w:rsidP="00FB7F03">
            <w:pPr>
              <w:keepNext/>
              <w:keepLines/>
              <w:spacing w:before="120" w:after="120"/>
              <w:rPr>
                <w:sz w:val="18"/>
                <w:szCs w:val="18"/>
              </w:rPr>
            </w:pPr>
            <w:proofErr w:type="spellStart"/>
            <w:r w:rsidRPr="00DF4F2E">
              <w:rPr>
                <w:sz w:val="18"/>
                <w:szCs w:val="18"/>
              </w:rPr>
              <w:t>HoNOSCA</w:t>
            </w:r>
            <w:proofErr w:type="spellEnd"/>
          </w:p>
        </w:tc>
        <w:tc>
          <w:tcPr>
            <w:tcW w:w="3766" w:type="pct"/>
          </w:tcPr>
          <w:p w14:paraId="2F6543CA" w14:textId="519410CF" w:rsidR="00FB7F03" w:rsidRPr="00DF4F2E" w:rsidRDefault="00245C7B" w:rsidP="00B02FA5">
            <w:pPr>
              <w:keepNext/>
              <w:keepLines/>
              <w:spacing w:before="120" w:after="120"/>
              <w:ind w:right="146"/>
              <w:rPr>
                <w:sz w:val="18"/>
                <w:szCs w:val="18"/>
              </w:rPr>
            </w:pPr>
            <w:proofErr w:type="spellStart"/>
            <w:r w:rsidRPr="00DF4F2E">
              <w:rPr>
                <w:sz w:val="18"/>
                <w:szCs w:val="18"/>
              </w:rPr>
              <w:t>HoNOS</w:t>
            </w:r>
            <w:proofErr w:type="spellEnd"/>
            <w:r w:rsidRPr="00DF4F2E">
              <w:rPr>
                <w:sz w:val="18"/>
                <w:szCs w:val="18"/>
              </w:rPr>
              <w:t xml:space="preserve"> is adapted as the </w:t>
            </w:r>
            <w:proofErr w:type="spellStart"/>
            <w:r w:rsidRPr="00DF4F2E">
              <w:rPr>
                <w:sz w:val="18"/>
                <w:szCs w:val="18"/>
              </w:rPr>
              <w:t>HoNOSCA</w:t>
            </w:r>
            <w:proofErr w:type="spellEnd"/>
            <w:r w:rsidRPr="00DF4F2E">
              <w:rPr>
                <w:sz w:val="18"/>
                <w:szCs w:val="18"/>
              </w:rPr>
              <w:t xml:space="preserve"> for the 0 to 17 years age group. </w:t>
            </w:r>
            <w:proofErr w:type="spellStart"/>
            <w:r w:rsidRPr="00DF4F2E">
              <w:rPr>
                <w:sz w:val="18"/>
                <w:szCs w:val="18"/>
              </w:rPr>
              <w:t>HoNOSCA</w:t>
            </w:r>
            <w:proofErr w:type="spellEnd"/>
            <w:r w:rsidRPr="00DF4F2E">
              <w:rPr>
                <w:sz w:val="18"/>
                <w:szCs w:val="18"/>
              </w:rPr>
              <w:t xml:space="preserve"> is a 15</w:t>
            </w:r>
            <w:r w:rsidR="00F74456">
              <w:rPr>
                <w:sz w:val="18"/>
                <w:szCs w:val="18"/>
              </w:rPr>
              <w:t>-</w:t>
            </w:r>
            <w:r w:rsidRPr="00DF4F2E">
              <w:rPr>
                <w:sz w:val="18"/>
                <w:szCs w:val="18"/>
              </w:rPr>
              <w:t xml:space="preserve">item instrument to measure the outcomes of emotional and behavioural disorders in children and adolescents. Only the first 13 items of the </w:t>
            </w:r>
            <w:proofErr w:type="spellStart"/>
            <w:r w:rsidRPr="00DF4F2E">
              <w:rPr>
                <w:sz w:val="18"/>
                <w:szCs w:val="18"/>
              </w:rPr>
              <w:t>HoNOSCA</w:t>
            </w:r>
            <w:proofErr w:type="spellEnd"/>
            <w:r w:rsidRPr="00DF4F2E">
              <w:rPr>
                <w:sz w:val="18"/>
                <w:szCs w:val="18"/>
              </w:rPr>
              <w:t xml:space="preserve"> are used in AMHCC</w:t>
            </w:r>
            <w:r w:rsidR="00D53AFB">
              <w:rPr>
                <w:sz w:val="18"/>
                <w:szCs w:val="18"/>
              </w:rPr>
              <w:t> </w:t>
            </w:r>
            <w:r w:rsidRPr="00DF4F2E">
              <w:rPr>
                <w:sz w:val="18"/>
                <w:szCs w:val="18"/>
              </w:rPr>
              <w:t xml:space="preserve">V1.0 and are rated by the same severity measure format as the </w:t>
            </w:r>
            <w:proofErr w:type="spellStart"/>
            <w:r w:rsidRPr="00DF4F2E">
              <w:rPr>
                <w:sz w:val="18"/>
                <w:szCs w:val="18"/>
              </w:rPr>
              <w:t>HoNOS</w:t>
            </w:r>
            <w:proofErr w:type="spellEnd"/>
            <w:r w:rsidRPr="00DF4F2E">
              <w:rPr>
                <w:sz w:val="18"/>
                <w:szCs w:val="18"/>
              </w:rPr>
              <w:t>.</w:t>
            </w:r>
          </w:p>
        </w:tc>
      </w:tr>
      <w:tr w:rsidR="00FB7F03" w:rsidRPr="00FB7F03" w14:paraId="65E24F98" w14:textId="77777777" w:rsidTr="001F638E">
        <w:tc>
          <w:tcPr>
            <w:tcW w:w="1234" w:type="pct"/>
          </w:tcPr>
          <w:p w14:paraId="7E406100" w14:textId="4667B9DD" w:rsidR="00FB7F03" w:rsidRPr="00DF4F2E" w:rsidRDefault="00FB7F03" w:rsidP="00FB7F03">
            <w:pPr>
              <w:keepNext/>
              <w:keepLines/>
              <w:spacing w:before="120" w:after="120"/>
              <w:rPr>
                <w:sz w:val="18"/>
                <w:szCs w:val="18"/>
              </w:rPr>
            </w:pPr>
            <w:proofErr w:type="spellStart"/>
            <w:r w:rsidRPr="00DF4F2E">
              <w:rPr>
                <w:sz w:val="18"/>
                <w:szCs w:val="18"/>
              </w:rPr>
              <w:t>HoNOS</w:t>
            </w:r>
            <w:proofErr w:type="spellEnd"/>
            <w:r w:rsidRPr="00DF4F2E">
              <w:rPr>
                <w:sz w:val="18"/>
                <w:szCs w:val="18"/>
              </w:rPr>
              <w:t xml:space="preserve"> 65+</w:t>
            </w:r>
          </w:p>
        </w:tc>
        <w:tc>
          <w:tcPr>
            <w:tcW w:w="3766" w:type="pct"/>
          </w:tcPr>
          <w:p w14:paraId="06D64A05" w14:textId="3CB121C6" w:rsidR="00FB7F03" w:rsidRPr="00DF4F2E" w:rsidRDefault="00245C7B" w:rsidP="00FB7F03">
            <w:pPr>
              <w:keepNext/>
              <w:keepLines/>
              <w:spacing w:before="120" w:after="120"/>
              <w:rPr>
                <w:sz w:val="18"/>
                <w:szCs w:val="18"/>
              </w:rPr>
            </w:pPr>
            <w:proofErr w:type="spellStart"/>
            <w:r w:rsidRPr="00DF4F2E">
              <w:rPr>
                <w:sz w:val="18"/>
                <w:szCs w:val="18"/>
              </w:rPr>
              <w:t>HoNOS</w:t>
            </w:r>
            <w:proofErr w:type="spellEnd"/>
            <w:r w:rsidRPr="00DF4F2E">
              <w:rPr>
                <w:sz w:val="18"/>
                <w:szCs w:val="18"/>
              </w:rPr>
              <w:t xml:space="preserve"> 65+ is a </w:t>
            </w:r>
            <w:r w:rsidR="00590781" w:rsidRPr="00DF4F2E">
              <w:rPr>
                <w:sz w:val="18"/>
                <w:szCs w:val="18"/>
              </w:rPr>
              <w:t>12-item</w:t>
            </w:r>
            <w:r w:rsidRPr="00DF4F2E">
              <w:rPr>
                <w:sz w:val="18"/>
                <w:szCs w:val="18"/>
              </w:rPr>
              <w:t xml:space="preserve"> instrument to measure </w:t>
            </w:r>
            <w:proofErr w:type="gramStart"/>
            <w:r w:rsidRPr="00DF4F2E">
              <w:rPr>
                <w:sz w:val="18"/>
                <w:szCs w:val="18"/>
              </w:rPr>
              <w:t>particular physical</w:t>
            </w:r>
            <w:proofErr w:type="gramEnd"/>
            <w:r w:rsidRPr="00DF4F2E">
              <w:rPr>
                <w:sz w:val="18"/>
                <w:szCs w:val="18"/>
              </w:rPr>
              <w:t xml:space="preserve"> and cognitive problems affecting older people. The primary goal of the </w:t>
            </w:r>
            <w:proofErr w:type="spellStart"/>
            <w:r w:rsidRPr="00DF4F2E">
              <w:rPr>
                <w:sz w:val="18"/>
                <w:szCs w:val="18"/>
              </w:rPr>
              <w:t>HoNOS</w:t>
            </w:r>
            <w:proofErr w:type="spellEnd"/>
            <w:r w:rsidRPr="00DF4F2E">
              <w:rPr>
                <w:sz w:val="18"/>
                <w:szCs w:val="18"/>
              </w:rPr>
              <w:t xml:space="preserve"> 65+ is to measure specific mental health issues that occur in older people such as agitation and restlessness, delusions occurring in the presence of dementia, the phenomenology of depression and incontinence. The 12 items are rated by the same severity measure format as the </w:t>
            </w:r>
            <w:proofErr w:type="spellStart"/>
            <w:r w:rsidRPr="00DF4F2E">
              <w:rPr>
                <w:sz w:val="18"/>
                <w:szCs w:val="18"/>
              </w:rPr>
              <w:t>HoNOS</w:t>
            </w:r>
            <w:proofErr w:type="spellEnd"/>
            <w:r w:rsidR="001542BE">
              <w:rPr>
                <w:sz w:val="18"/>
                <w:szCs w:val="18"/>
              </w:rPr>
              <w:t>.</w:t>
            </w:r>
          </w:p>
        </w:tc>
      </w:tr>
      <w:tr w:rsidR="00FB7F03" w:rsidRPr="00FB7F03" w14:paraId="2B98E616" w14:textId="77777777" w:rsidTr="001F638E">
        <w:tc>
          <w:tcPr>
            <w:tcW w:w="1234" w:type="pct"/>
          </w:tcPr>
          <w:p w14:paraId="50C17BD6" w14:textId="0C5F110A" w:rsidR="00FB7F03" w:rsidRPr="00DF4F2E" w:rsidRDefault="00FB7F03" w:rsidP="00245C7B">
            <w:pPr>
              <w:keepNext/>
              <w:keepLines/>
              <w:spacing w:before="120" w:after="120"/>
              <w:rPr>
                <w:sz w:val="18"/>
                <w:szCs w:val="18"/>
              </w:rPr>
            </w:pPr>
            <w:r w:rsidRPr="00DF4F2E">
              <w:rPr>
                <w:sz w:val="18"/>
                <w:szCs w:val="18"/>
              </w:rPr>
              <w:t xml:space="preserve">LSP-16 </w:t>
            </w:r>
          </w:p>
        </w:tc>
        <w:tc>
          <w:tcPr>
            <w:tcW w:w="3766" w:type="pct"/>
          </w:tcPr>
          <w:p w14:paraId="130A0EDD" w14:textId="5C18958F" w:rsidR="009F0C07" w:rsidRPr="00DF4F2E" w:rsidRDefault="009F0C07" w:rsidP="009F0C07">
            <w:pPr>
              <w:keepNext/>
              <w:keepLines/>
              <w:spacing w:before="120" w:after="120"/>
              <w:rPr>
                <w:sz w:val="18"/>
                <w:szCs w:val="18"/>
              </w:rPr>
            </w:pPr>
            <w:r w:rsidRPr="00DF4F2E">
              <w:rPr>
                <w:sz w:val="18"/>
                <w:szCs w:val="18"/>
              </w:rPr>
              <w:t xml:space="preserve">LSP-16 is a clinical outcomes measure that assess the level of functioning for mental health consumers living in the community. It consists of 16 items that address issues faced when adapting to life in the community and only applies to community setting for 18 to 64 years age group with moderate </w:t>
            </w:r>
            <w:proofErr w:type="spellStart"/>
            <w:r w:rsidRPr="00DF4F2E">
              <w:rPr>
                <w:sz w:val="18"/>
                <w:szCs w:val="18"/>
              </w:rPr>
              <w:t>HoNOS</w:t>
            </w:r>
            <w:proofErr w:type="spellEnd"/>
            <w:r w:rsidRPr="00DF4F2E">
              <w:rPr>
                <w:sz w:val="18"/>
                <w:szCs w:val="18"/>
              </w:rPr>
              <w:t xml:space="preserve"> complexity.</w:t>
            </w:r>
          </w:p>
          <w:p w14:paraId="29B8A4D9" w14:textId="4A682176" w:rsidR="00FB7F03" w:rsidRPr="00DF4F2E" w:rsidRDefault="009F0C07" w:rsidP="009F0C07">
            <w:pPr>
              <w:keepNext/>
              <w:keepLines/>
              <w:spacing w:before="120" w:after="120"/>
              <w:rPr>
                <w:sz w:val="18"/>
                <w:szCs w:val="18"/>
              </w:rPr>
            </w:pPr>
            <w:r w:rsidRPr="00DF4F2E">
              <w:rPr>
                <w:sz w:val="18"/>
                <w:szCs w:val="18"/>
              </w:rPr>
              <w:t xml:space="preserve">Each item is rated on a </w:t>
            </w:r>
            <w:r w:rsidR="00151F8A">
              <w:rPr>
                <w:sz w:val="18"/>
                <w:szCs w:val="18"/>
              </w:rPr>
              <w:t>three</w:t>
            </w:r>
            <w:r w:rsidR="00590781">
              <w:rPr>
                <w:sz w:val="18"/>
                <w:szCs w:val="18"/>
              </w:rPr>
              <w:t>-</w:t>
            </w:r>
            <w:r w:rsidRPr="00DF4F2E">
              <w:rPr>
                <w:sz w:val="18"/>
                <w:szCs w:val="18"/>
              </w:rPr>
              <w:t>point scale ranging from 0 to 3 with high scores indicating higher severity, resulting in individual item scores, subscale scores and a total score.</w:t>
            </w:r>
          </w:p>
        </w:tc>
      </w:tr>
    </w:tbl>
    <w:p w14:paraId="5E114FE2" w14:textId="77777777" w:rsidR="00C15AD7" w:rsidRDefault="00C15AD7" w:rsidP="00E80015"/>
    <w:p w14:paraId="139D4935" w14:textId="6D260513" w:rsidR="00953B17" w:rsidRDefault="00E80015" w:rsidP="00245C7B">
      <w:pPr>
        <w:pStyle w:val="Heading2"/>
        <w:numPr>
          <w:ilvl w:val="1"/>
          <w:numId w:val="5"/>
        </w:numPr>
      </w:pPr>
      <w:bookmarkStart w:id="27" w:name="_Toc152277101"/>
      <w:bookmarkStart w:id="28" w:name="_Toc152312723"/>
      <w:bookmarkStart w:id="29" w:name="_Toc153371597"/>
      <w:bookmarkEnd w:id="26"/>
      <w:r>
        <w:t>The AMHCC complexity model</w:t>
      </w:r>
      <w:bookmarkStart w:id="30" w:name="_Hlk141708232"/>
      <w:bookmarkEnd w:id="27"/>
      <w:bookmarkEnd w:id="28"/>
      <w:bookmarkEnd w:id="29"/>
    </w:p>
    <w:p w14:paraId="0271BD78" w14:textId="1C245BB7" w:rsidR="00953B17" w:rsidRPr="00D82B81" w:rsidRDefault="00953B17" w:rsidP="00953B17">
      <w:r w:rsidRPr="00D82B81">
        <w:t xml:space="preserve">The AMHCC </w:t>
      </w:r>
      <w:r w:rsidR="00C15AD7" w:rsidRPr="00D82B81">
        <w:t xml:space="preserve">V1.0 </w:t>
      </w:r>
      <w:r w:rsidRPr="00D82B81">
        <w:t xml:space="preserve">complexity model determines the weights, rescaling factors and complexity split thresholds used to assign </w:t>
      </w:r>
      <w:proofErr w:type="spellStart"/>
      <w:r w:rsidRPr="00D82B81">
        <w:t>HoNOS</w:t>
      </w:r>
      <w:proofErr w:type="spellEnd"/>
      <w:r w:rsidRPr="00D82B81">
        <w:t xml:space="preserve"> and/or LSP-16 complexity groups.</w:t>
      </w:r>
    </w:p>
    <w:p w14:paraId="607E5705" w14:textId="4376C177" w:rsidR="00953B17" w:rsidRPr="00D82B81" w:rsidRDefault="00953B17" w:rsidP="00953B17">
      <w:r w:rsidRPr="00D82B81">
        <w:t xml:space="preserve">The first component of the AMHCC complexity model constructs linear regression models of phase cost, using the items from the </w:t>
      </w:r>
      <w:proofErr w:type="spellStart"/>
      <w:r w:rsidRPr="00D82B81">
        <w:t>HoNOS</w:t>
      </w:r>
      <w:proofErr w:type="spellEnd"/>
      <w:r w:rsidRPr="00D82B81">
        <w:t xml:space="preserve"> array as explanatory variables. The </w:t>
      </w:r>
      <w:proofErr w:type="spellStart"/>
      <w:r w:rsidRPr="00D82B81">
        <w:t>HoNOS</w:t>
      </w:r>
      <w:proofErr w:type="spellEnd"/>
      <w:r w:rsidRPr="00D82B81">
        <w:t xml:space="preserve"> array consists of 13 </w:t>
      </w:r>
      <w:proofErr w:type="spellStart"/>
      <w:r w:rsidRPr="00D82B81">
        <w:t>HoNOS</w:t>
      </w:r>
      <w:proofErr w:type="spellEnd"/>
      <w:r w:rsidRPr="00D82B81">
        <w:t xml:space="preserve"> items for the 0-17 age group and 12 </w:t>
      </w:r>
      <w:proofErr w:type="spellStart"/>
      <w:r w:rsidRPr="00D82B81">
        <w:t>HoNOS</w:t>
      </w:r>
      <w:proofErr w:type="spellEnd"/>
      <w:r w:rsidRPr="00D82B81">
        <w:t xml:space="preserve"> items for the 18-64 years and 65+ years age groups. One linear regression model is constructed for each unique combination of episode setting, </w:t>
      </w:r>
      <w:proofErr w:type="spellStart"/>
      <w:r w:rsidRPr="00D82B81">
        <w:t>MHPoC</w:t>
      </w:r>
      <w:proofErr w:type="spellEnd"/>
      <w:r w:rsidRPr="00D82B81">
        <w:t>, and age group</w:t>
      </w:r>
      <w:r w:rsidR="00057E3A">
        <w:t xml:space="preserve"> (also known as a segment)</w:t>
      </w:r>
      <w:r w:rsidRPr="00D82B81">
        <w:t>, giving rise to a set of weights specific to each segment. Rescaling factors are also calculated at this step to ensure the complexity scores fall between 0</w:t>
      </w:r>
      <w:r w:rsidRPr="00DF4F2E">
        <w:rPr>
          <w:rFonts w:cs="Arial"/>
        </w:rPr>
        <w:t>-</w:t>
      </w:r>
      <w:r w:rsidRPr="00D82B81">
        <w:t>52 (inclusive) for the 0</w:t>
      </w:r>
      <w:r w:rsidRPr="00DF4F2E">
        <w:rPr>
          <w:rFonts w:cs="Arial"/>
        </w:rPr>
        <w:t>-</w:t>
      </w:r>
      <w:r w:rsidRPr="00D82B81">
        <w:t xml:space="preserve">17 years age group and 0-48 (inclusive) for the 18-64 years and 65+ years age groups. </w:t>
      </w:r>
    </w:p>
    <w:p w14:paraId="11ACB56C" w14:textId="7CC7BB23" w:rsidR="00F37166" w:rsidRPr="00D82B81" w:rsidRDefault="00953B17">
      <w:pPr>
        <w:rPr>
          <w:rFonts w:eastAsiaTheme="majorEastAsia" w:cstheme="majorBidi"/>
          <w:b/>
          <w:bCs/>
          <w:sz w:val="72"/>
          <w:szCs w:val="72"/>
        </w:rPr>
      </w:pPr>
      <w:r w:rsidRPr="00D82B81">
        <w:t xml:space="preserve">The second component of the AMHCC complexity model determines the value of the complexity split threshold for each segment using the entire distribution of complexity scores for that segment. This complexity split threshold separates phase records in the same segment into High or Moderate complexity groups for both </w:t>
      </w:r>
      <w:proofErr w:type="spellStart"/>
      <w:r w:rsidRPr="00D82B81">
        <w:t>HoNOS</w:t>
      </w:r>
      <w:proofErr w:type="spellEnd"/>
      <w:r w:rsidRPr="00D82B81">
        <w:t xml:space="preserve"> and LSP-16.</w:t>
      </w:r>
      <w:r w:rsidR="00F37166" w:rsidRPr="00D82B81">
        <w:t xml:space="preserve"> </w:t>
      </w:r>
      <w:r w:rsidR="00F37166" w:rsidRPr="00DF4F2E">
        <w:rPr>
          <w:rFonts w:eastAsia="Fira Sans regular" w:cs="Times New Roman"/>
        </w:rPr>
        <w:t>Where the complexity score is greater than or equal to the complexity split threshold, it is assigned to the High complexity group, otherwise it is assigned to the Moderate complexity group. Any records with missing or invalid LSP-16 item</w:t>
      </w:r>
      <w:r w:rsidR="00057E3A">
        <w:rPr>
          <w:rFonts w:eastAsia="Fira Sans regular" w:cs="Times New Roman"/>
        </w:rPr>
        <w:t xml:space="preserve"> score</w:t>
      </w:r>
      <w:r w:rsidR="00F37166" w:rsidRPr="00DF4F2E">
        <w:rPr>
          <w:rFonts w:eastAsia="Fira Sans regular" w:cs="Times New Roman"/>
        </w:rPr>
        <w:t>s are assigned to the Moderate LSP-16 complexity group.</w:t>
      </w:r>
      <w:bookmarkStart w:id="31" w:name="_Toc141389761"/>
      <w:bookmarkStart w:id="32" w:name="_Toc141450658"/>
      <w:bookmarkStart w:id="33" w:name="_Toc141450738"/>
      <w:bookmarkStart w:id="34" w:name="_Toc141389763"/>
      <w:bookmarkStart w:id="35" w:name="_Toc141450660"/>
      <w:bookmarkStart w:id="36" w:name="_Toc141450740"/>
      <w:bookmarkStart w:id="37" w:name="_Toc141389764"/>
      <w:bookmarkStart w:id="38" w:name="_Toc141450661"/>
      <w:bookmarkStart w:id="39" w:name="_Toc141450741"/>
      <w:bookmarkStart w:id="40" w:name="_Toc141389765"/>
      <w:bookmarkStart w:id="41" w:name="_Toc141450662"/>
      <w:bookmarkStart w:id="42" w:name="_Toc141450742"/>
      <w:bookmarkStart w:id="43" w:name="_Toc141389766"/>
      <w:bookmarkStart w:id="44" w:name="_Toc141450663"/>
      <w:bookmarkStart w:id="45" w:name="_Toc141450743"/>
      <w:bookmarkStart w:id="46" w:name="_Toc141389767"/>
      <w:bookmarkStart w:id="47" w:name="_Toc141450664"/>
      <w:bookmarkStart w:id="48" w:name="_Toc141450744"/>
      <w:bookmarkStart w:id="49" w:name="_Toc141389768"/>
      <w:bookmarkStart w:id="50" w:name="_Toc141450665"/>
      <w:bookmarkStart w:id="51" w:name="_Toc141450745"/>
      <w:bookmarkStart w:id="52" w:name="_Toc141389769"/>
      <w:bookmarkStart w:id="53" w:name="_Toc141450666"/>
      <w:bookmarkStart w:id="54" w:name="_Toc141450746"/>
      <w:bookmarkStart w:id="55" w:name="_Toc141389770"/>
      <w:bookmarkStart w:id="56" w:name="_Toc141450667"/>
      <w:bookmarkStart w:id="57" w:name="_Toc141450747"/>
      <w:bookmarkStart w:id="58" w:name="_Toc141389771"/>
      <w:bookmarkStart w:id="59" w:name="_Toc141450668"/>
      <w:bookmarkStart w:id="60" w:name="_Toc141450748"/>
      <w:bookmarkStart w:id="61" w:name="_Toc141389772"/>
      <w:bookmarkStart w:id="62" w:name="_Toc141450669"/>
      <w:bookmarkStart w:id="63" w:name="_Toc141450749"/>
      <w:bookmarkStart w:id="64" w:name="_Toc141389773"/>
      <w:bookmarkStart w:id="65" w:name="_Toc141450670"/>
      <w:bookmarkStart w:id="66" w:name="_Toc141450750"/>
      <w:bookmarkStart w:id="67" w:name="_Toc141389774"/>
      <w:bookmarkStart w:id="68" w:name="_Toc141450671"/>
      <w:bookmarkStart w:id="69" w:name="_Toc141450751"/>
      <w:bookmarkStart w:id="70" w:name="_Toc141389775"/>
      <w:bookmarkStart w:id="71" w:name="_Toc141450672"/>
      <w:bookmarkStart w:id="72" w:name="_Toc141450752"/>
      <w:bookmarkStart w:id="73" w:name="_Toc141389776"/>
      <w:bookmarkStart w:id="74" w:name="_Toc141450673"/>
      <w:bookmarkStart w:id="75" w:name="_Toc141450753"/>
      <w:bookmarkStart w:id="76" w:name="_Toc141389777"/>
      <w:bookmarkStart w:id="77" w:name="_Toc141450674"/>
      <w:bookmarkStart w:id="78" w:name="_Toc141450754"/>
      <w:bookmarkStart w:id="79" w:name="_Toc141389801"/>
      <w:bookmarkStart w:id="80" w:name="_Toc141450698"/>
      <w:bookmarkStart w:id="81" w:name="_Toc14145077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1F51BB6" w14:textId="77777777" w:rsidR="001542BE" w:rsidRDefault="001542BE">
      <w:pPr>
        <w:rPr>
          <w:rFonts w:eastAsiaTheme="majorEastAsia" w:cstheme="majorBidi"/>
          <w:b/>
          <w:bCs/>
          <w:sz w:val="72"/>
          <w:szCs w:val="72"/>
        </w:rPr>
      </w:pPr>
      <w:r>
        <w:br w:type="page"/>
      </w:r>
    </w:p>
    <w:p w14:paraId="21C37048" w14:textId="50140944" w:rsidR="009A1F93" w:rsidRDefault="00275A8D" w:rsidP="00245C7B">
      <w:pPr>
        <w:pStyle w:val="Heading1"/>
        <w:numPr>
          <w:ilvl w:val="0"/>
          <w:numId w:val="5"/>
        </w:numPr>
      </w:pPr>
      <w:bookmarkStart w:id="82" w:name="_Toc152277102"/>
      <w:bookmarkStart w:id="83" w:name="_Toc152312724"/>
      <w:bookmarkStart w:id="84" w:name="_Toc153371598"/>
      <w:r>
        <w:lastRenderedPageBreak/>
        <w:t>A</w:t>
      </w:r>
      <w:r w:rsidR="00CC5C01">
        <w:t xml:space="preserve">ustralian </w:t>
      </w:r>
      <w:r>
        <w:t>M</w:t>
      </w:r>
      <w:r w:rsidR="000B7C29">
        <w:t xml:space="preserve">ental </w:t>
      </w:r>
      <w:r>
        <w:t>H</w:t>
      </w:r>
      <w:r w:rsidR="000B7C29">
        <w:t xml:space="preserve">ealth </w:t>
      </w:r>
      <w:r>
        <w:t>C</w:t>
      </w:r>
      <w:r w:rsidR="000B7C29">
        <w:t xml:space="preserve">are </w:t>
      </w:r>
      <w:r>
        <w:t>C</w:t>
      </w:r>
      <w:r w:rsidR="000B7C29">
        <w:t>lassification</w:t>
      </w:r>
      <w:r>
        <w:t xml:space="preserve"> </w:t>
      </w:r>
      <w:r w:rsidR="00F166C4">
        <w:t>r</w:t>
      </w:r>
      <w:r w:rsidR="00333DD5">
        <w:t>efinement</w:t>
      </w:r>
      <w:bookmarkEnd w:id="82"/>
      <w:bookmarkEnd w:id="83"/>
      <w:bookmarkEnd w:id="84"/>
    </w:p>
    <w:p w14:paraId="66B72A5C" w14:textId="29722CC0" w:rsidR="002C5865" w:rsidRPr="002C5865" w:rsidRDefault="00F13C24" w:rsidP="00245C7B">
      <w:pPr>
        <w:pStyle w:val="Heading2"/>
        <w:numPr>
          <w:ilvl w:val="1"/>
          <w:numId w:val="5"/>
        </w:numPr>
      </w:pPr>
      <w:bookmarkStart w:id="85" w:name="_Toc152277103"/>
      <w:bookmarkStart w:id="86" w:name="_Toc152312725"/>
      <w:bookmarkStart w:id="87" w:name="_Toc153371599"/>
      <w:r>
        <w:t>Overview</w:t>
      </w:r>
      <w:bookmarkEnd w:id="85"/>
      <w:bookmarkEnd w:id="86"/>
      <w:bookmarkEnd w:id="87"/>
    </w:p>
    <w:p w14:paraId="4627D3C4" w14:textId="25CA3BE5" w:rsidR="001708C2" w:rsidRPr="00DF4F2E" w:rsidRDefault="00F13C24" w:rsidP="002C5865">
      <w:pPr>
        <w:rPr>
          <w:rFonts w:cs="Arial"/>
        </w:rPr>
      </w:pPr>
      <w:r w:rsidRPr="00DF4F2E">
        <w:rPr>
          <w:rFonts w:cs="Arial"/>
        </w:rPr>
        <w:t xml:space="preserve">In 2021, </w:t>
      </w:r>
      <w:r w:rsidR="00296FDB">
        <w:t xml:space="preserve">The </w:t>
      </w:r>
      <w:r w:rsidR="00296FDB" w:rsidRPr="00BD78D3">
        <w:t>Independent Health and Aged Care Pricing Authority (</w:t>
      </w:r>
      <w:r w:rsidRPr="00DF4F2E">
        <w:rPr>
          <w:rFonts w:cs="Arial"/>
        </w:rPr>
        <w:t>IHACPA</w:t>
      </w:r>
      <w:r w:rsidR="00296FDB">
        <w:rPr>
          <w:rFonts w:cs="Arial"/>
        </w:rPr>
        <w:t>)</w:t>
      </w:r>
      <w:r w:rsidRPr="00DF4F2E">
        <w:rPr>
          <w:rFonts w:cs="Arial"/>
        </w:rPr>
        <w:t xml:space="preserve"> identified the need to update the </w:t>
      </w:r>
      <w:r w:rsidR="00D7044F" w:rsidRPr="00D82B81">
        <w:t>A</w:t>
      </w:r>
      <w:r w:rsidR="00D7044F">
        <w:t xml:space="preserve">ustralian </w:t>
      </w:r>
      <w:r w:rsidR="00D7044F" w:rsidRPr="00D82B81">
        <w:t>M</w:t>
      </w:r>
      <w:r w:rsidR="00D7044F">
        <w:t xml:space="preserve">ental </w:t>
      </w:r>
      <w:r w:rsidR="00D7044F" w:rsidRPr="00D82B81">
        <w:t>H</w:t>
      </w:r>
      <w:r w:rsidR="00D7044F">
        <w:t xml:space="preserve">ealth </w:t>
      </w:r>
      <w:r w:rsidR="00D7044F" w:rsidRPr="00D82B81">
        <w:t>C</w:t>
      </w:r>
      <w:r w:rsidR="00D7044F">
        <w:t xml:space="preserve">are </w:t>
      </w:r>
      <w:r w:rsidR="00D7044F" w:rsidRPr="00D82B81">
        <w:t>C</w:t>
      </w:r>
      <w:r w:rsidR="00D7044F">
        <w:t>lassification</w:t>
      </w:r>
      <w:r w:rsidR="00AC00C7">
        <w:t xml:space="preserve"> (</w:t>
      </w:r>
      <w:r w:rsidRPr="00DF4F2E">
        <w:rPr>
          <w:rFonts w:cs="Arial"/>
        </w:rPr>
        <w:t>AMHCC</w:t>
      </w:r>
      <w:r w:rsidR="00AC00C7">
        <w:t>) Version 1.0 (</w:t>
      </w:r>
      <w:r w:rsidRPr="00DF4F2E">
        <w:rPr>
          <w:rFonts w:cs="Arial"/>
        </w:rPr>
        <w:t>V1.0</w:t>
      </w:r>
      <w:r w:rsidR="00D7044F">
        <w:rPr>
          <w:rFonts w:cs="Arial"/>
        </w:rPr>
        <w:t>)</w:t>
      </w:r>
      <w:r w:rsidRPr="00DF4F2E">
        <w:rPr>
          <w:rFonts w:cs="Arial"/>
        </w:rPr>
        <w:t xml:space="preserve"> due to annual improvements in data volume, quality and coverage as the existing complexity model was derived from the 2014 costing study, which </w:t>
      </w:r>
      <w:r w:rsidR="004851A7">
        <w:rPr>
          <w:rFonts w:cs="Arial"/>
        </w:rPr>
        <w:t>made use of data from</w:t>
      </w:r>
      <w:r w:rsidRPr="00DF4F2E">
        <w:rPr>
          <w:rFonts w:cs="Arial"/>
        </w:rPr>
        <w:t xml:space="preserve"> 26 mental health services collected over six months. </w:t>
      </w:r>
    </w:p>
    <w:p w14:paraId="3CA738E2" w14:textId="5A688B45" w:rsidR="000F0032" w:rsidRPr="00DF4F2E" w:rsidRDefault="00F13C24" w:rsidP="002C5865">
      <w:pPr>
        <w:rPr>
          <w:rFonts w:cs="Arial"/>
        </w:rPr>
      </w:pPr>
      <w:r w:rsidRPr="00DF4F2E">
        <w:rPr>
          <w:rFonts w:cs="Arial"/>
        </w:rPr>
        <w:t xml:space="preserve">IHACPA engaged Taylor Fry in April 2021 to undertake exploratory analysis of national mental health care episode and phase level activity and cost data collections to provide recommendations on future classification refinement. </w:t>
      </w:r>
      <w:r w:rsidR="000F0032" w:rsidRPr="00DF4F2E">
        <w:rPr>
          <w:rFonts w:cs="Arial"/>
        </w:rPr>
        <w:t xml:space="preserve">The objectives of the AMHCC V1.0 exploratory analysis included assessing the overall performance, identifying gaps and areas for improvements, </w:t>
      </w:r>
      <w:proofErr w:type="gramStart"/>
      <w:r w:rsidR="000F0032" w:rsidRPr="00DF4F2E">
        <w:rPr>
          <w:rFonts w:cs="Arial"/>
        </w:rPr>
        <w:t>reviewing</w:t>
      </w:r>
      <w:proofErr w:type="gramEnd"/>
      <w:r w:rsidR="000F0032" w:rsidRPr="00DF4F2E">
        <w:rPr>
          <w:rFonts w:cs="Arial"/>
        </w:rPr>
        <w:t xml:space="preserve"> and updating </w:t>
      </w:r>
      <w:r w:rsidR="00AC00C7" w:rsidRPr="00BD78D3">
        <w:rPr>
          <w:rFonts w:cs="Arial"/>
        </w:rPr>
        <w:t xml:space="preserve">Health of the Nation Outcome Scale </w:t>
      </w:r>
      <w:r w:rsidR="00AC00C7">
        <w:rPr>
          <w:rFonts w:cs="Arial"/>
        </w:rPr>
        <w:t>(</w:t>
      </w:r>
      <w:proofErr w:type="spellStart"/>
      <w:r w:rsidR="000F0032" w:rsidRPr="00DF4F2E">
        <w:rPr>
          <w:rFonts w:cs="Arial"/>
        </w:rPr>
        <w:t>HoNOS</w:t>
      </w:r>
      <w:proofErr w:type="spellEnd"/>
      <w:r w:rsidR="00AC00C7">
        <w:rPr>
          <w:rFonts w:cs="Arial"/>
        </w:rPr>
        <w:t>)</w:t>
      </w:r>
      <w:r w:rsidR="000F0032" w:rsidRPr="00DF4F2E">
        <w:rPr>
          <w:rFonts w:cs="Arial"/>
        </w:rPr>
        <w:t xml:space="preserve"> </w:t>
      </w:r>
      <w:r w:rsidR="00DC1A00">
        <w:rPr>
          <w:rFonts w:cs="Arial"/>
        </w:rPr>
        <w:t>weights and thresholds</w:t>
      </w:r>
      <w:r w:rsidR="00DC1A00" w:rsidRPr="00DF4F2E">
        <w:rPr>
          <w:rFonts w:cs="Arial"/>
        </w:rPr>
        <w:t xml:space="preserve"> </w:t>
      </w:r>
      <w:r w:rsidR="000F0032" w:rsidRPr="00DF4F2E">
        <w:rPr>
          <w:rFonts w:cs="Arial"/>
        </w:rPr>
        <w:t>to ensure complexity scores remain current and fit-for-purpose. The outcomes concluded that the AMHCC</w:t>
      </w:r>
      <w:r w:rsidR="00AC00C7">
        <w:rPr>
          <w:rFonts w:cs="Arial"/>
        </w:rPr>
        <w:t> </w:t>
      </w:r>
      <w:r w:rsidR="000F0032" w:rsidRPr="00DF4F2E">
        <w:rPr>
          <w:rFonts w:cs="Arial"/>
        </w:rPr>
        <w:t xml:space="preserve">V1.0 performs well when accounting for clinical complexity and cost. However, </w:t>
      </w:r>
      <w:r w:rsidR="000F0032" w:rsidRPr="00D82B81">
        <w:t xml:space="preserve">the explanatory power of the AMHCC model can be improved within its current structure through a review of the treatment of </w:t>
      </w:r>
      <w:proofErr w:type="spellStart"/>
      <w:r w:rsidR="000F0032" w:rsidRPr="00D82B81">
        <w:t>HoNOS</w:t>
      </w:r>
      <w:proofErr w:type="spellEnd"/>
      <w:r w:rsidR="000F0032" w:rsidRPr="00D82B81">
        <w:t xml:space="preserve"> and </w:t>
      </w:r>
      <w:r w:rsidR="00AC00C7" w:rsidRPr="00DF4F2E">
        <w:rPr>
          <w:rFonts w:cs="Arial"/>
        </w:rPr>
        <w:t>Abbreviated Life Skills Profile</w:t>
      </w:r>
      <w:r w:rsidR="00AC00C7" w:rsidRPr="00D82B81">
        <w:t xml:space="preserve"> </w:t>
      </w:r>
      <w:r w:rsidR="00AC00C7">
        <w:t>(</w:t>
      </w:r>
      <w:r w:rsidR="000F0032" w:rsidRPr="00D82B81">
        <w:t>LSP-16</w:t>
      </w:r>
      <w:r w:rsidR="00AC00C7">
        <w:t>)</w:t>
      </w:r>
      <w:r w:rsidR="000F0032" w:rsidRPr="00D82B81">
        <w:t xml:space="preserve"> as well as consideration of new variables such as diagnosis.</w:t>
      </w:r>
      <w:r w:rsidR="000F0032" w:rsidRPr="00DF4F2E">
        <w:rPr>
          <w:rFonts w:cs="Arial"/>
        </w:rPr>
        <w:t xml:space="preserve">  </w:t>
      </w:r>
    </w:p>
    <w:p w14:paraId="5BC5DA3C" w14:textId="03DD2F76" w:rsidR="00F13C24" w:rsidRPr="00DF4F2E" w:rsidRDefault="00F13C24" w:rsidP="002C5865">
      <w:pPr>
        <w:rPr>
          <w:rFonts w:cs="Arial"/>
        </w:rPr>
      </w:pPr>
      <w:r w:rsidRPr="00DF4F2E">
        <w:rPr>
          <w:rFonts w:cs="Arial"/>
        </w:rPr>
        <w:t>In 2022</w:t>
      </w:r>
      <w:r w:rsidR="000F0032" w:rsidRPr="00DF4F2E">
        <w:rPr>
          <w:rFonts w:cs="Arial"/>
        </w:rPr>
        <w:t>, IHACPA</w:t>
      </w:r>
      <w:r w:rsidR="00057E3A">
        <w:rPr>
          <w:rFonts w:cs="Arial"/>
        </w:rPr>
        <w:t>,</w:t>
      </w:r>
      <w:r w:rsidR="000F0032" w:rsidRPr="00DF4F2E">
        <w:rPr>
          <w:rFonts w:cs="Arial"/>
        </w:rPr>
        <w:t xml:space="preserve"> in consultation with specialist stakeholders and jurisdictions</w:t>
      </w:r>
      <w:r w:rsidR="00057E3A">
        <w:rPr>
          <w:rFonts w:cs="Arial"/>
        </w:rPr>
        <w:t>,</w:t>
      </w:r>
      <w:r w:rsidR="000F0032" w:rsidRPr="00DF4F2E">
        <w:rPr>
          <w:rFonts w:cs="Arial"/>
        </w:rPr>
        <w:t xml:space="preserve"> developed a new methodology for the AMHCC complexity model, based on the Taylor Fry methodology developed the year prior. </w:t>
      </w:r>
    </w:p>
    <w:p w14:paraId="7E1F1F71" w14:textId="77777777" w:rsidR="000F0032" w:rsidRDefault="000F0032" w:rsidP="002C5865"/>
    <w:p w14:paraId="136E70AC" w14:textId="6C253B67" w:rsidR="002C5865" w:rsidRDefault="002C5865" w:rsidP="00245C7B">
      <w:pPr>
        <w:pStyle w:val="Heading2"/>
        <w:numPr>
          <w:ilvl w:val="1"/>
          <w:numId w:val="5"/>
        </w:numPr>
      </w:pPr>
      <w:bookmarkStart w:id="88" w:name="_Toc152277104"/>
      <w:bookmarkStart w:id="89" w:name="_Toc152312726"/>
      <w:bookmarkStart w:id="90" w:name="_Toc153371600"/>
      <w:r>
        <w:t xml:space="preserve">Objectives </w:t>
      </w:r>
      <w:r w:rsidR="00CE2480">
        <w:t>and scope</w:t>
      </w:r>
      <w:bookmarkEnd w:id="88"/>
      <w:bookmarkEnd w:id="89"/>
      <w:bookmarkEnd w:id="90"/>
    </w:p>
    <w:p w14:paraId="089DBAF3" w14:textId="2C60B4AD" w:rsidR="001708C2" w:rsidRPr="00D82B81" w:rsidRDefault="001708C2" w:rsidP="001708C2">
      <w:r w:rsidRPr="00D82B81">
        <w:t xml:space="preserve">The AMHCC </w:t>
      </w:r>
      <w:r w:rsidR="00EB3ED8">
        <w:t>V1.1</w:t>
      </w:r>
      <w:r w:rsidRPr="00D82B81">
        <w:t xml:space="preserve"> refinement objectives were based on the recommendations from the 2021 exploratory analysis and in consultation with IHACPA’s working groups and advisory committees.</w:t>
      </w:r>
    </w:p>
    <w:p w14:paraId="0F6B43BF" w14:textId="497DE2EF" w:rsidR="001708C2" w:rsidRPr="00D82B81" w:rsidRDefault="001708C2" w:rsidP="001708C2">
      <w:r w:rsidRPr="00D82B81">
        <w:t>The objectives of the AMHCC V1.1 refinement includes:</w:t>
      </w:r>
    </w:p>
    <w:p w14:paraId="2112BB8C" w14:textId="3C2D95C9" w:rsidR="001708C2" w:rsidRPr="00D82B81" w:rsidRDefault="001708C2" w:rsidP="00245C7B">
      <w:pPr>
        <w:pStyle w:val="ListParagraph"/>
        <w:numPr>
          <w:ilvl w:val="0"/>
          <w:numId w:val="27"/>
        </w:numPr>
      </w:pPr>
      <w:r w:rsidRPr="00D82B81">
        <w:t xml:space="preserve">using national mental health data to recalibrate </w:t>
      </w:r>
      <w:proofErr w:type="spellStart"/>
      <w:r w:rsidRPr="00D82B81">
        <w:t>HoNOS</w:t>
      </w:r>
      <w:proofErr w:type="spellEnd"/>
      <w:r w:rsidRPr="00D82B81">
        <w:t xml:space="preserve"> weights and complexity split thresholds, and LSP-16 complexity split </w:t>
      </w:r>
      <w:proofErr w:type="gramStart"/>
      <w:r w:rsidRPr="00D82B81">
        <w:t>thresholds</w:t>
      </w:r>
      <w:proofErr w:type="gramEnd"/>
    </w:p>
    <w:p w14:paraId="66B1B66F" w14:textId="77777777" w:rsidR="001708C2" w:rsidRPr="00D82B81" w:rsidRDefault="001708C2" w:rsidP="00245C7B">
      <w:pPr>
        <w:pStyle w:val="ListParagraph"/>
        <w:numPr>
          <w:ilvl w:val="0"/>
          <w:numId w:val="27"/>
        </w:numPr>
      </w:pPr>
      <w:r w:rsidRPr="00D82B81">
        <w:t xml:space="preserve">allowing phases with up to two missing </w:t>
      </w:r>
      <w:proofErr w:type="spellStart"/>
      <w:r w:rsidRPr="00D82B81">
        <w:t>HoNOS</w:t>
      </w:r>
      <w:proofErr w:type="spellEnd"/>
      <w:r w:rsidRPr="00D82B81">
        <w:t xml:space="preserve"> items to receive a valid complexity score and a High or Moderate complexity grouping.</w:t>
      </w:r>
    </w:p>
    <w:p w14:paraId="4AB0B297" w14:textId="15001616" w:rsidR="001708C2" w:rsidRPr="00D82B81" w:rsidRDefault="00CE2480" w:rsidP="001708C2">
      <w:r w:rsidRPr="00D82B81">
        <w:t>The</w:t>
      </w:r>
      <w:r w:rsidR="001708C2" w:rsidRPr="00D82B81">
        <w:t xml:space="preserve"> </w:t>
      </w:r>
      <w:r w:rsidRPr="00D82B81">
        <w:t xml:space="preserve">scope of the AMHCC V1.1 refinement includes both the </w:t>
      </w:r>
      <w:r w:rsidR="001708C2" w:rsidRPr="00D82B81">
        <w:t xml:space="preserve">admitted and community </w:t>
      </w:r>
      <w:r w:rsidRPr="00D82B81">
        <w:t>branches</w:t>
      </w:r>
      <w:r w:rsidR="001708C2" w:rsidRPr="00D82B81">
        <w:t xml:space="preserve">. </w:t>
      </w:r>
      <w:r w:rsidRPr="00D82B81">
        <w:t>However, due to insufficient volume and quality of residential data at the</w:t>
      </w:r>
      <w:r w:rsidR="001708C2" w:rsidRPr="00D82B81">
        <w:t xml:space="preserve"> commencement of the </w:t>
      </w:r>
      <w:r w:rsidRPr="00D82B81">
        <w:t xml:space="preserve">AMHCC V1.1 </w:t>
      </w:r>
      <w:r w:rsidR="001708C2" w:rsidRPr="00D82B81">
        <w:t>refinement</w:t>
      </w:r>
      <w:r w:rsidRPr="00D82B81">
        <w:t xml:space="preserve">, </w:t>
      </w:r>
      <w:r w:rsidR="001708C2" w:rsidRPr="00D82B81">
        <w:t xml:space="preserve">the residential setting was </w:t>
      </w:r>
      <w:r w:rsidRPr="00D82B81">
        <w:t xml:space="preserve">deemed </w:t>
      </w:r>
      <w:r w:rsidR="001708C2" w:rsidRPr="00D82B81">
        <w:t xml:space="preserve">out of scope. </w:t>
      </w:r>
      <w:r w:rsidRPr="00D82B81">
        <w:t xml:space="preserve">Additionally, to adhere to refinement objectives, only the </w:t>
      </w:r>
      <w:proofErr w:type="spellStart"/>
      <w:r w:rsidRPr="00D82B81">
        <w:t>HoNOS</w:t>
      </w:r>
      <w:proofErr w:type="spellEnd"/>
      <w:r w:rsidRPr="00D82B81">
        <w:t xml:space="preserve"> and LSP-16 complexity stages of the AMHCC structure are </w:t>
      </w:r>
      <w:r w:rsidRPr="00D82B81">
        <w:lastRenderedPageBreak/>
        <w:t>impacted and therefore there are no other classification hierarchy changes between V</w:t>
      </w:r>
      <w:r w:rsidR="00BE522A">
        <w:t xml:space="preserve">ersion </w:t>
      </w:r>
      <w:r w:rsidRPr="00D82B81">
        <w:t xml:space="preserve">1.0 and V1.1 </w:t>
      </w:r>
      <w:r w:rsidR="002B077F">
        <w:t>as</w:t>
      </w:r>
      <w:r w:rsidR="002B077F" w:rsidRPr="00D82B81">
        <w:t xml:space="preserve"> </w:t>
      </w:r>
      <w:r w:rsidRPr="00D82B81">
        <w:t xml:space="preserve">shown in </w:t>
      </w:r>
      <w:r w:rsidRPr="00D82B81">
        <w:rPr>
          <w:b/>
          <w:bCs/>
        </w:rPr>
        <w:t xml:space="preserve">Figure </w:t>
      </w:r>
      <w:r w:rsidR="0031406E" w:rsidRPr="00D82B81">
        <w:rPr>
          <w:b/>
          <w:bCs/>
        </w:rPr>
        <w:t>2</w:t>
      </w:r>
      <w:r w:rsidRPr="00D82B81">
        <w:t xml:space="preserve">. </w:t>
      </w:r>
    </w:p>
    <w:p w14:paraId="639E3326" w14:textId="66248CBF" w:rsidR="001708C2" w:rsidRDefault="001708C2" w:rsidP="001708C2">
      <w:pPr>
        <w:pStyle w:val="TableFigureheading"/>
      </w:pPr>
      <w:r>
        <w:t xml:space="preserve">Figure </w:t>
      </w:r>
      <w:r w:rsidR="0031406E">
        <w:t>2</w:t>
      </w:r>
      <w:r>
        <w:t xml:space="preserve">. Impacted areas of the classification hierarchy under AMHCC </w:t>
      </w:r>
      <w:r w:rsidR="00D82B81">
        <w:t>V</w:t>
      </w:r>
      <w:r>
        <w:t>1.1</w:t>
      </w:r>
    </w:p>
    <w:p w14:paraId="3ADCBCCF" w14:textId="43E495A5" w:rsidR="000F0032" w:rsidRDefault="001708C2" w:rsidP="00245C7B">
      <w:pPr>
        <w:spacing w:after="0"/>
        <w:jc w:val="center"/>
      </w:pPr>
      <w:r>
        <w:rPr>
          <w:noProof/>
        </w:rPr>
        <w:drawing>
          <wp:inline distT="0" distB="0" distL="0" distR="0" wp14:anchorId="43E4F8A5" wp14:editId="4223A8EF">
            <wp:extent cx="2919600" cy="2664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9600" cy="2664000"/>
                    </a:xfrm>
                    <a:prstGeom prst="rect">
                      <a:avLst/>
                    </a:prstGeom>
                  </pic:spPr>
                </pic:pic>
              </a:graphicData>
            </a:graphic>
          </wp:inline>
        </w:drawing>
      </w:r>
      <w:r>
        <w:t xml:space="preserve">  </w:t>
      </w:r>
      <w:r>
        <w:rPr>
          <w:noProof/>
        </w:rPr>
        <w:drawing>
          <wp:inline distT="0" distB="0" distL="0" distR="0" wp14:anchorId="6D14AE3D" wp14:editId="4D6D5D0F">
            <wp:extent cx="2923200" cy="2664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200" cy="2664000"/>
                    </a:xfrm>
                    <a:prstGeom prst="rect">
                      <a:avLst/>
                    </a:prstGeom>
                  </pic:spPr>
                </pic:pic>
              </a:graphicData>
            </a:graphic>
          </wp:inline>
        </w:drawing>
      </w:r>
    </w:p>
    <w:p w14:paraId="646399F7" w14:textId="6C842B3C" w:rsidR="00804B07" w:rsidRDefault="00804B07" w:rsidP="00CE2480">
      <w:pPr>
        <w:pStyle w:val="Heading2"/>
        <w:numPr>
          <w:ilvl w:val="1"/>
          <w:numId w:val="5"/>
        </w:numPr>
      </w:pPr>
      <w:bookmarkStart w:id="91" w:name="_Toc152277105"/>
      <w:bookmarkStart w:id="92" w:name="_Toc152312727"/>
      <w:bookmarkStart w:id="93" w:name="_Toc153371601"/>
      <w:r>
        <w:t>Governance and consultation</w:t>
      </w:r>
      <w:bookmarkEnd w:id="91"/>
      <w:bookmarkEnd w:id="92"/>
      <w:bookmarkEnd w:id="93"/>
      <w:r>
        <w:t xml:space="preserve"> </w:t>
      </w:r>
    </w:p>
    <w:p w14:paraId="4C010161" w14:textId="46264121" w:rsidR="00804B07" w:rsidRPr="00D82B81" w:rsidRDefault="00804B07" w:rsidP="00804B07">
      <w:r w:rsidRPr="00D82B81">
        <w:t xml:space="preserve">IHACPA relies on a comprehensive committee framework to provide expert advice during classification development and refinement. The main advisory group for mental health care classification work is IHACPA’s Mental Health Working Group, a group of expert representatives from each Australian jurisdiction, the private sector, mental health consumer representatives, and mental health care clinicians and clinical bodies. The list of </w:t>
      </w:r>
      <w:r w:rsidR="00E216D3">
        <w:t>m</w:t>
      </w:r>
      <w:r w:rsidRPr="00D82B81">
        <w:t xml:space="preserve">embers is provided at </w:t>
      </w:r>
      <w:r w:rsidRPr="00D82B81">
        <w:rPr>
          <w:b/>
          <w:bCs/>
        </w:rPr>
        <w:t xml:space="preserve">Appendix </w:t>
      </w:r>
      <w:r w:rsidR="00AB547F" w:rsidRPr="00D82B81">
        <w:rPr>
          <w:b/>
          <w:bCs/>
        </w:rPr>
        <w:t>A</w:t>
      </w:r>
      <w:r w:rsidRPr="00D82B81">
        <w:t xml:space="preserve">. </w:t>
      </w:r>
    </w:p>
    <w:p w14:paraId="1D1E47F2" w14:textId="47C941C2" w:rsidR="00804B07" w:rsidRPr="00D82B81" w:rsidRDefault="00804B07" w:rsidP="00804B07">
      <w:r w:rsidRPr="00D82B81">
        <w:t>Throughout the AMHCC V1.1 refinement, consultation with the following IHACPA committees has also occurred:</w:t>
      </w:r>
    </w:p>
    <w:p w14:paraId="22AD50BD" w14:textId="37E9CA58" w:rsidR="00804B07" w:rsidRPr="00D82B81" w:rsidRDefault="00804B07" w:rsidP="00245C7B">
      <w:pPr>
        <w:pStyle w:val="ListParagraph"/>
        <w:numPr>
          <w:ilvl w:val="0"/>
          <w:numId w:val="30"/>
        </w:numPr>
      </w:pPr>
      <w:r w:rsidRPr="00D82B81">
        <w:t>Clinical Advisory Committee</w:t>
      </w:r>
    </w:p>
    <w:p w14:paraId="1F046478" w14:textId="3DD46779" w:rsidR="00804B07" w:rsidRPr="00D82B81" w:rsidRDefault="00804B07" w:rsidP="00245C7B">
      <w:pPr>
        <w:pStyle w:val="ListParagraph"/>
        <w:numPr>
          <w:ilvl w:val="0"/>
          <w:numId w:val="30"/>
        </w:numPr>
      </w:pPr>
      <w:r w:rsidRPr="00D82B81">
        <w:t>Technical Advisory Committee</w:t>
      </w:r>
    </w:p>
    <w:p w14:paraId="189263CD" w14:textId="6BCA4CDE" w:rsidR="00804B07" w:rsidRPr="00D82B81" w:rsidRDefault="00804B07" w:rsidP="00245C7B">
      <w:pPr>
        <w:pStyle w:val="ListParagraph"/>
        <w:numPr>
          <w:ilvl w:val="0"/>
          <w:numId w:val="30"/>
        </w:numPr>
      </w:pPr>
      <w:r w:rsidRPr="00D82B81">
        <w:t>Jurisdictional Advisory Committee</w:t>
      </w:r>
      <w:r w:rsidR="006F7178">
        <w:t>.</w:t>
      </w:r>
    </w:p>
    <w:p w14:paraId="03503B09" w14:textId="77777777" w:rsidR="00FB7F03" w:rsidRPr="00804B07" w:rsidRDefault="00FB7F03" w:rsidP="00245C7B">
      <w:pPr>
        <w:pStyle w:val="ListParagraph"/>
      </w:pPr>
    </w:p>
    <w:p w14:paraId="777B609A" w14:textId="5F395512" w:rsidR="009432FF" w:rsidRDefault="00CE2480" w:rsidP="00245C7B">
      <w:pPr>
        <w:pStyle w:val="Heading2"/>
        <w:numPr>
          <w:ilvl w:val="1"/>
          <w:numId w:val="5"/>
        </w:numPr>
      </w:pPr>
      <w:bookmarkStart w:id="94" w:name="_Toc152277106"/>
      <w:bookmarkStart w:id="95" w:name="_Toc152312728"/>
      <w:bookmarkStart w:id="96" w:name="_Toc153371602"/>
      <w:r>
        <w:t>Data</w:t>
      </w:r>
      <w:bookmarkStart w:id="97" w:name="_Toc141450703"/>
      <w:bookmarkStart w:id="98" w:name="_Toc141450783"/>
      <w:bookmarkStart w:id="99" w:name="_Toc141389807"/>
      <w:bookmarkStart w:id="100" w:name="_Toc141450705"/>
      <w:bookmarkStart w:id="101" w:name="_Toc141450785"/>
      <w:bookmarkEnd w:id="94"/>
      <w:bookmarkEnd w:id="95"/>
      <w:bookmarkEnd w:id="96"/>
      <w:bookmarkEnd w:id="97"/>
      <w:bookmarkEnd w:id="98"/>
      <w:bookmarkEnd w:id="99"/>
      <w:bookmarkEnd w:id="100"/>
      <w:bookmarkEnd w:id="101"/>
    </w:p>
    <w:p w14:paraId="27A8A237" w14:textId="380BCF66" w:rsidR="00E55907" w:rsidRDefault="003463ED" w:rsidP="00245C7B">
      <w:pPr>
        <w:pStyle w:val="Heading3"/>
        <w:numPr>
          <w:ilvl w:val="2"/>
          <w:numId w:val="5"/>
        </w:numPr>
      </w:pPr>
      <w:r>
        <w:t xml:space="preserve">Data </w:t>
      </w:r>
      <w:r w:rsidR="00F84061">
        <w:t>set</w:t>
      </w:r>
      <w:r w:rsidR="006522AC">
        <w:t>s</w:t>
      </w:r>
    </w:p>
    <w:p w14:paraId="3FCC7542" w14:textId="1E514548" w:rsidR="00CE2480" w:rsidRPr="00D82B81" w:rsidRDefault="00CE2480" w:rsidP="00CE2480">
      <w:r w:rsidRPr="00D82B81">
        <w:t>To develop the AMHCC V1.1, IHACPA has used consumer activity and cost data from the following collections:</w:t>
      </w:r>
    </w:p>
    <w:p w14:paraId="380FBCEA" w14:textId="3DA38AAE" w:rsidR="00E55907" w:rsidRPr="00D82B81" w:rsidRDefault="00E55907" w:rsidP="00245C7B">
      <w:pPr>
        <w:pStyle w:val="ListParagraph"/>
        <w:numPr>
          <w:ilvl w:val="0"/>
          <w:numId w:val="28"/>
        </w:numPr>
      </w:pPr>
      <w:r w:rsidRPr="00D82B81">
        <w:t xml:space="preserve">Admitted </w:t>
      </w:r>
      <w:r w:rsidR="00BA18E9" w:rsidRPr="00D82B81">
        <w:t>P</w:t>
      </w:r>
      <w:r w:rsidRPr="00D82B81">
        <w:t xml:space="preserve">atient </w:t>
      </w:r>
      <w:r w:rsidR="00BA18E9" w:rsidRPr="00D82B81">
        <w:t>C</w:t>
      </w:r>
      <w:r w:rsidRPr="00D82B81">
        <w:t xml:space="preserve">are National </w:t>
      </w:r>
      <w:r w:rsidR="00BA18E9" w:rsidRPr="00D82B81">
        <w:t>M</w:t>
      </w:r>
      <w:r w:rsidRPr="00D82B81">
        <w:t xml:space="preserve">inimum </w:t>
      </w:r>
      <w:r w:rsidR="00BA18E9" w:rsidRPr="00D82B81">
        <w:t>D</w:t>
      </w:r>
      <w:r w:rsidRPr="00D82B81">
        <w:t xml:space="preserve">ata </w:t>
      </w:r>
      <w:r w:rsidR="00BA18E9" w:rsidRPr="00D82B81">
        <w:t>S</w:t>
      </w:r>
      <w:r w:rsidRPr="00D82B81">
        <w:t>ets (</w:t>
      </w:r>
      <w:r w:rsidR="00EB777A" w:rsidRPr="00D82B81">
        <w:t xml:space="preserve">APC </w:t>
      </w:r>
      <w:r w:rsidRPr="00D82B81">
        <w:t>NMDS)</w:t>
      </w:r>
    </w:p>
    <w:p w14:paraId="65F422DF" w14:textId="6135DFF7" w:rsidR="00E55907" w:rsidRPr="00D82B81" w:rsidRDefault="091A8407" w:rsidP="00245C7B">
      <w:pPr>
        <w:pStyle w:val="ListParagraph"/>
        <w:numPr>
          <w:ilvl w:val="0"/>
          <w:numId w:val="28"/>
        </w:numPr>
      </w:pPr>
      <w:r w:rsidRPr="00D82B81">
        <w:t>Activity Based Funding</w:t>
      </w:r>
      <w:r w:rsidR="00E55907" w:rsidRPr="00D82B81">
        <w:t xml:space="preserve">: Mental </w:t>
      </w:r>
      <w:r w:rsidR="00BA18E9" w:rsidRPr="00D82B81">
        <w:t>H</w:t>
      </w:r>
      <w:r w:rsidR="00E55907" w:rsidRPr="00D82B81">
        <w:t xml:space="preserve">ealth </w:t>
      </w:r>
      <w:r w:rsidR="00BA18E9" w:rsidRPr="00D82B81">
        <w:t>C</w:t>
      </w:r>
      <w:r w:rsidR="00E55907" w:rsidRPr="00D82B81">
        <w:t xml:space="preserve">are National </w:t>
      </w:r>
      <w:r w:rsidR="00BA18E9" w:rsidRPr="00D82B81">
        <w:t>B</w:t>
      </w:r>
      <w:r w:rsidR="00E55907" w:rsidRPr="00D82B81">
        <w:t xml:space="preserve">est </w:t>
      </w:r>
      <w:r w:rsidR="00BA18E9" w:rsidRPr="00D82B81">
        <w:t>E</w:t>
      </w:r>
      <w:r w:rsidR="00E55907" w:rsidRPr="00D82B81">
        <w:t>ndeavo</w:t>
      </w:r>
      <w:r w:rsidR="00EF26A4" w:rsidRPr="00D82B81">
        <w:t>u</w:t>
      </w:r>
      <w:r w:rsidR="00E55907" w:rsidRPr="00D82B81">
        <w:t xml:space="preserve">rs </w:t>
      </w:r>
      <w:r w:rsidR="00BA18E9" w:rsidRPr="00D82B81">
        <w:t>D</w:t>
      </w:r>
      <w:r w:rsidR="00E55907" w:rsidRPr="00D82B81">
        <w:t>ata</w:t>
      </w:r>
      <w:r w:rsidR="00BA18E9" w:rsidRPr="00D82B81">
        <w:t xml:space="preserve"> Se</w:t>
      </w:r>
      <w:r w:rsidR="00E55907" w:rsidRPr="00D82B81">
        <w:t>ts (</w:t>
      </w:r>
      <w:r w:rsidR="00EB777A" w:rsidRPr="00D82B81">
        <w:t xml:space="preserve">ABF MHC </w:t>
      </w:r>
      <w:r w:rsidR="00E55907" w:rsidRPr="00D82B81">
        <w:t>NBEDS)</w:t>
      </w:r>
    </w:p>
    <w:p w14:paraId="17F24CC4" w14:textId="449D6947" w:rsidR="00E55907" w:rsidRPr="00D82B81" w:rsidRDefault="00E55907" w:rsidP="00245C7B">
      <w:pPr>
        <w:pStyle w:val="ListParagraph"/>
        <w:numPr>
          <w:ilvl w:val="0"/>
          <w:numId w:val="28"/>
        </w:numPr>
      </w:pPr>
      <w:r w:rsidRPr="00D82B81">
        <w:t>National Hospital Cost Data Collection (NHCDC)</w:t>
      </w:r>
      <w:r w:rsidR="00E216D3">
        <w:t>.</w:t>
      </w:r>
    </w:p>
    <w:p w14:paraId="78783539" w14:textId="4B3E05CB" w:rsidR="00BE2596" w:rsidRPr="00D82B81" w:rsidRDefault="00EB777A" w:rsidP="009432FF">
      <w:r w:rsidRPr="00D82B81">
        <w:t>The APC NMDS and ABF MHC NBEDS capture mental health care activity at the service contact</w:t>
      </w:r>
      <w:r w:rsidR="00B07CFF" w:rsidRPr="00D82B81">
        <w:t xml:space="preserve"> (ASC)</w:t>
      </w:r>
      <w:r w:rsidRPr="00D82B81">
        <w:t xml:space="preserve">, phase </w:t>
      </w:r>
      <w:r w:rsidR="00B07CFF" w:rsidRPr="00D82B81">
        <w:t xml:space="preserve">(MHCP) </w:t>
      </w:r>
      <w:r w:rsidRPr="00D82B81">
        <w:t xml:space="preserve">and episode </w:t>
      </w:r>
      <w:r w:rsidR="00B07CFF" w:rsidRPr="00D82B81">
        <w:t xml:space="preserve">(MHCE) </w:t>
      </w:r>
      <w:r w:rsidRPr="00D82B81">
        <w:t xml:space="preserve">level. The NHCDC captures the costs associated with </w:t>
      </w:r>
      <w:r w:rsidRPr="00D82B81">
        <w:lastRenderedPageBreak/>
        <w:t xml:space="preserve">the activity conducted during the year. </w:t>
      </w:r>
      <w:r w:rsidR="00E55907" w:rsidRPr="00D82B81">
        <w:t xml:space="preserve">Activity and cost </w:t>
      </w:r>
      <w:r w:rsidR="00BE2596" w:rsidRPr="00D82B81">
        <w:t>data</w:t>
      </w:r>
      <w:r w:rsidR="0010643D" w:rsidRPr="00D82B81">
        <w:t xml:space="preserve"> </w:t>
      </w:r>
      <w:r w:rsidR="00CE2480" w:rsidRPr="00D82B81">
        <w:t xml:space="preserve">collections </w:t>
      </w:r>
      <w:r w:rsidR="00BE2596" w:rsidRPr="00D82B81">
        <w:t>were</w:t>
      </w:r>
      <w:r w:rsidR="00E55907" w:rsidRPr="00D82B81">
        <w:t xml:space="preserve"> </w:t>
      </w:r>
      <w:r w:rsidR="00BE2596" w:rsidRPr="00D82B81">
        <w:t>merged</w:t>
      </w:r>
      <w:r w:rsidR="00E55907" w:rsidRPr="00D82B81">
        <w:t xml:space="preserve"> at the phase and episode le</w:t>
      </w:r>
      <w:r w:rsidR="00BE2596" w:rsidRPr="00D82B81">
        <w:t>vel for the 2018</w:t>
      </w:r>
      <w:r w:rsidR="00B20D44" w:rsidRPr="00DF4F2E">
        <w:rPr>
          <w:rFonts w:cs="Arial"/>
        </w:rPr>
        <w:t>–</w:t>
      </w:r>
      <w:r w:rsidR="00BE2596" w:rsidRPr="00D82B81">
        <w:t>19, 2019</w:t>
      </w:r>
      <w:r w:rsidR="00B20D44" w:rsidRPr="00DF4F2E">
        <w:rPr>
          <w:rFonts w:cs="Arial"/>
        </w:rPr>
        <w:t>–</w:t>
      </w:r>
      <w:r w:rsidR="00BE2596" w:rsidRPr="00D82B81">
        <w:t>20 and 2020</w:t>
      </w:r>
      <w:r w:rsidR="00B20D44" w:rsidRPr="00DF4F2E">
        <w:rPr>
          <w:rFonts w:cs="Arial"/>
        </w:rPr>
        <w:t>–</w:t>
      </w:r>
      <w:r w:rsidR="00BE2596" w:rsidRPr="00D82B81">
        <w:t>21 data years.</w:t>
      </w:r>
    </w:p>
    <w:p w14:paraId="63EC6BFA" w14:textId="16A2D0D7" w:rsidR="00F84061" w:rsidRDefault="00F84061" w:rsidP="00245C7B">
      <w:pPr>
        <w:pStyle w:val="Heading3"/>
        <w:numPr>
          <w:ilvl w:val="2"/>
          <w:numId w:val="5"/>
        </w:numPr>
      </w:pPr>
      <w:r>
        <w:t xml:space="preserve">Data preparation </w:t>
      </w:r>
    </w:p>
    <w:p w14:paraId="4F5B2F5E" w14:textId="3C437B53" w:rsidR="00E72F9C" w:rsidRPr="00D82B81" w:rsidRDefault="00F84061" w:rsidP="009432FF">
      <w:r w:rsidRPr="00D82B81">
        <w:t xml:space="preserve">IHACPA applied several steps to prepare a quality data set </w:t>
      </w:r>
      <w:r w:rsidR="00F75552">
        <w:t xml:space="preserve">for </w:t>
      </w:r>
      <w:r w:rsidRPr="00D82B81">
        <w:t>the AMHCC V1.1 refinement. This involved excluding or ‘trimming’ the following data from the refinement data set:</w:t>
      </w:r>
      <w:r w:rsidRPr="00D82B81">
        <w:rPr>
          <w:b/>
          <w:bCs/>
        </w:rPr>
        <w:t xml:space="preserve"> </w:t>
      </w:r>
    </w:p>
    <w:p w14:paraId="1F61006E" w14:textId="5BA2DAAB" w:rsidR="00480399" w:rsidRPr="00D82B81" w:rsidRDefault="00063AAC" w:rsidP="00E72F9C">
      <w:pPr>
        <w:pStyle w:val="ListParagraph"/>
        <w:numPr>
          <w:ilvl w:val="0"/>
          <w:numId w:val="18"/>
        </w:numPr>
      </w:pPr>
      <w:r>
        <w:t>r</w:t>
      </w:r>
      <w:r w:rsidR="00E72F9C" w:rsidRPr="00D82B81">
        <w:t xml:space="preserve">ecords trimmed due to unusable </w:t>
      </w:r>
      <w:proofErr w:type="gramStart"/>
      <w:r w:rsidR="00E72F9C" w:rsidRPr="00D82B81">
        <w:t>data</w:t>
      </w:r>
      <w:proofErr w:type="gramEnd"/>
    </w:p>
    <w:p w14:paraId="46CA8362" w14:textId="06493BFE" w:rsidR="00E72F9C" w:rsidRPr="00D82B81" w:rsidRDefault="00063AAC" w:rsidP="00E72F9C">
      <w:pPr>
        <w:pStyle w:val="ListParagraph"/>
        <w:numPr>
          <w:ilvl w:val="0"/>
          <w:numId w:val="18"/>
        </w:numPr>
      </w:pPr>
      <w:r>
        <w:t>r</w:t>
      </w:r>
      <w:r w:rsidR="00E72F9C" w:rsidRPr="00D82B81">
        <w:t xml:space="preserve">ecords trimmed because they are out of scope for the </w:t>
      </w:r>
      <w:proofErr w:type="gramStart"/>
      <w:r w:rsidR="00E72F9C" w:rsidRPr="00D82B81">
        <w:t>AMHCC</w:t>
      </w:r>
      <w:proofErr w:type="gramEnd"/>
    </w:p>
    <w:p w14:paraId="59FBB1AE" w14:textId="428F42B6" w:rsidR="00E72F9C" w:rsidRPr="00D82B81" w:rsidRDefault="00063AAC" w:rsidP="00E72F9C">
      <w:pPr>
        <w:pStyle w:val="ListParagraph"/>
        <w:numPr>
          <w:ilvl w:val="0"/>
          <w:numId w:val="18"/>
        </w:numPr>
      </w:pPr>
      <w:r>
        <w:t>r</w:t>
      </w:r>
      <w:r w:rsidR="00E72F9C" w:rsidRPr="00D82B81">
        <w:t>ecords trimmed because they are irrelevant to the AMHCC V1.1 update.</w:t>
      </w:r>
    </w:p>
    <w:p w14:paraId="4FF20B52" w14:textId="03DEE8A9" w:rsidR="00F84061" w:rsidRPr="00D82B81" w:rsidRDefault="00F84061" w:rsidP="00245C7B">
      <w:r w:rsidRPr="00D82B81">
        <w:rPr>
          <w:b/>
          <w:bCs/>
        </w:rPr>
        <w:t xml:space="preserve">Table </w:t>
      </w:r>
      <w:r w:rsidR="00FB7F03" w:rsidRPr="00D82B81">
        <w:rPr>
          <w:b/>
          <w:bCs/>
        </w:rPr>
        <w:t>2</w:t>
      </w:r>
      <w:r w:rsidRPr="00D82B81">
        <w:t xml:space="preserve"> details the trimming stages and criteria applied</w:t>
      </w:r>
      <w:r w:rsidR="00F75552">
        <w:t xml:space="preserve"> to create the data set</w:t>
      </w:r>
      <w:r w:rsidRPr="00D82B81">
        <w:t xml:space="preserve"> for the AMHCC V1.1 </w:t>
      </w:r>
      <w:r w:rsidR="00F75552">
        <w:t>refinement</w:t>
      </w:r>
      <w:r w:rsidRPr="00D82B81">
        <w:t xml:space="preserve">. </w:t>
      </w:r>
    </w:p>
    <w:p w14:paraId="55F5D80C" w14:textId="601F3FDC" w:rsidR="00BE2596" w:rsidRDefault="00480399" w:rsidP="00480399">
      <w:pPr>
        <w:pStyle w:val="TableFigureheading"/>
      </w:pPr>
      <w:r>
        <w:t xml:space="preserve">Table </w:t>
      </w:r>
      <w:r w:rsidR="00FB7F03">
        <w:t>2</w:t>
      </w:r>
      <w:r>
        <w:t xml:space="preserve">. </w:t>
      </w:r>
      <w:r w:rsidR="00CE2480">
        <w:t>AMHCC V1.1 d</w:t>
      </w:r>
      <w:r>
        <w:t>ata preparation</w:t>
      </w:r>
      <w:r w:rsidR="00CE2480">
        <w:t xml:space="preserve"> t</w:t>
      </w:r>
      <w:r>
        <w:t xml:space="preserve">rimming </w:t>
      </w:r>
      <w:proofErr w:type="gramStart"/>
      <w:r>
        <w:t>criteria</w:t>
      </w:r>
      <w:proofErr w:type="gramEnd"/>
    </w:p>
    <w:tbl>
      <w:tblPr>
        <w:tblStyle w:val="IHACPATab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32"/>
        <w:gridCol w:w="7310"/>
      </w:tblGrid>
      <w:tr w:rsidR="00480399" w:rsidRPr="00E72F9C" w14:paraId="1F2BBE2E" w14:textId="77777777" w:rsidTr="001F638E">
        <w:trPr>
          <w:cnfStyle w:val="100000000000" w:firstRow="1" w:lastRow="0" w:firstColumn="0" w:lastColumn="0" w:oddVBand="0" w:evenVBand="0" w:oddHBand="0" w:evenHBand="0" w:firstRowFirstColumn="0" w:firstRowLastColumn="0" w:lastRowFirstColumn="0" w:lastRowLastColumn="0"/>
          <w:trHeight w:val="20"/>
          <w:jc w:val="center"/>
        </w:trPr>
        <w:tc>
          <w:tcPr>
            <w:tcW w:w="1248" w:type="pct"/>
            <w:tcBorders>
              <w:bottom w:val="single" w:sz="4" w:space="0" w:color="auto"/>
            </w:tcBorders>
          </w:tcPr>
          <w:p w14:paraId="467A5309" w14:textId="05B24A45" w:rsidR="00480399" w:rsidRPr="00E72F9C" w:rsidRDefault="00480399" w:rsidP="1922062C">
            <w:pPr>
              <w:keepNext/>
              <w:keepLines/>
              <w:spacing w:before="120" w:after="120"/>
              <w:rPr>
                <w:b/>
                <w:bCs/>
                <w:color w:val="1C1C1C"/>
              </w:rPr>
            </w:pPr>
            <w:r w:rsidRPr="1922062C">
              <w:rPr>
                <w:b/>
                <w:bCs/>
                <w:color w:val="FFFFFF" w:themeColor="accent6"/>
              </w:rPr>
              <w:t>Trimming criteria</w:t>
            </w:r>
          </w:p>
        </w:tc>
        <w:tc>
          <w:tcPr>
            <w:tcW w:w="3752" w:type="pct"/>
            <w:tcBorders>
              <w:bottom w:val="single" w:sz="4" w:space="0" w:color="auto"/>
            </w:tcBorders>
          </w:tcPr>
          <w:p w14:paraId="5DD067D2" w14:textId="0EE7EA36" w:rsidR="00480399" w:rsidRPr="00E72F9C" w:rsidRDefault="00480399" w:rsidP="1922062C">
            <w:pPr>
              <w:keepNext/>
              <w:keepLines/>
              <w:spacing w:before="120" w:after="120"/>
              <w:rPr>
                <w:color w:val="1C1C1C"/>
              </w:rPr>
            </w:pPr>
            <w:r w:rsidRPr="1922062C">
              <w:rPr>
                <w:b/>
                <w:bCs/>
                <w:color w:val="FFFFFF" w:themeColor="accent6"/>
              </w:rPr>
              <w:t>Description</w:t>
            </w:r>
          </w:p>
        </w:tc>
      </w:tr>
      <w:tr w:rsidR="00E72F9C" w:rsidRPr="00E72F9C" w14:paraId="1B234C28"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tcPr>
          <w:p w14:paraId="738A4919" w14:textId="294C636E" w:rsidR="00E72F9C" w:rsidRPr="00E72F9C" w:rsidRDefault="00E72F9C" w:rsidP="1922062C">
            <w:pPr>
              <w:keepNext/>
              <w:keepLines/>
              <w:spacing w:before="120" w:after="120"/>
              <w:rPr>
                <w:b/>
                <w:bCs/>
                <w:color w:val="1C1C1C"/>
              </w:rPr>
            </w:pPr>
            <w:r w:rsidRPr="1922062C">
              <w:rPr>
                <w:b/>
                <w:bCs/>
                <w:color w:val="1C1C1C"/>
              </w:rPr>
              <w:t>Category 1: Records trimmed due to unusable data</w:t>
            </w:r>
          </w:p>
        </w:tc>
      </w:tr>
      <w:tr w:rsidR="00480399" w:rsidRPr="00E72F9C" w14:paraId="3A291829"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1248" w:type="pct"/>
            <w:tcBorders>
              <w:top w:val="none" w:sz="0" w:space="0" w:color="auto"/>
              <w:bottom w:val="none" w:sz="0" w:space="0" w:color="auto"/>
            </w:tcBorders>
            <w:shd w:val="clear" w:color="auto" w:fill="auto"/>
          </w:tcPr>
          <w:p w14:paraId="6C2BAAD9" w14:textId="1013A7A7" w:rsidR="00480399" w:rsidRPr="00DF4F2E" w:rsidRDefault="00480399" w:rsidP="1922062C">
            <w:pPr>
              <w:keepNext/>
              <w:keepLines/>
              <w:spacing w:before="120" w:after="120"/>
            </w:pPr>
            <w:r w:rsidRPr="00DF4F2E">
              <w:t>Age less than zero</w:t>
            </w:r>
          </w:p>
        </w:tc>
        <w:tc>
          <w:tcPr>
            <w:tcW w:w="3752" w:type="pct"/>
            <w:tcBorders>
              <w:top w:val="none" w:sz="0" w:space="0" w:color="auto"/>
              <w:bottom w:val="none" w:sz="0" w:space="0" w:color="auto"/>
            </w:tcBorders>
            <w:shd w:val="clear" w:color="auto" w:fill="auto"/>
          </w:tcPr>
          <w:p w14:paraId="182156F1" w14:textId="70F1F736" w:rsidR="00E72F9C" w:rsidRPr="00DF4F2E" w:rsidRDefault="00480399" w:rsidP="1922062C">
            <w:pPr>
              <w:keepNext/>
              <w:keepLines/>
              <w:spacing w:before="120" w:after="120"/>
            </w:pPr>
            <w:r w:rsidRPr="00DF4F2E">
              <w:t xml:space="preserve">Filters out records where </w:t>
            </w:r>
            <w:r w:rsidR="00E72F9C" w:rsidRPr="00DF4F2E">
              <w:t>there was successful data linking, however the phase start date was before the birth date OR there was a missing birth date at the episode (MHCE) level.</w:t>
            </w:r>
          </w:p>
          <w:p w14:paraId="62463340" w14:textId="4E64F9D5" w:rsidR="00E72F9C" w:rsidRPr="00DF4F2E" w:rsidRDefault="00E72F9C" w:rsidP="1922062C">
            <w:pPr>
              <w:keepNext/>
              <w:keepLines/>
              <w:spacing w:before="120" w:after="120"/>
            </w:pPr>
            <w:r w:rsidRPr="00DF4F2E">
              <w:t>Filters out records where there was no successful data linking (</w:t>
            </w:r>
            <w:proofErr w:type="gramStart"/>
            <w:r w:rsidRPr="00DF4F2E">
              <w:t>i.e.</w:t>
            </w:r>
            <w:proofErr w:type="gramEnd"/>
            <w:r w:rsidRPr="00DF4F2E">
              <w:t xml:space="preserve"> MHCP did not link to MHCE/APC) and therefore age could not be calculated.</w:t>
            </w:r>
          </w:p>
        </w:tc>
      </w:tr>
      <w:tr w:rsidR="00480399" w:rsidRPr="00E72F9C" w14:paraId="0798E0B8"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1248" w:type="pct"/>
            <w:tcBorders>
              <w:top w:val="none" w:sz="0" w:space="0" w:color="auto"/>
              <w:left w:val="single" w:sz="4" w:space="0" w:color="auto"/>
              <w:bottom w:val="none" w:sz="0" w:space="0" w:color="auto"/>
              <w:right w:val="single" w:sz="4" w:space="0" w:color="auto"/>
            </w:tcBorders>
            <w:shd w:val="clear" w:color="auto" w:fill="auto"/>
          </w:tcPr>
          <w:p w14:paraId="30CE5732" w14:textId="10B97F3C" w:rsidR="00480399" w:rsidRPr="00DF4F2E" w:rsidRDefault="00480399" w:rsidP="1922062C">
            <w:pPr>
              <w:keepNext/>
              <w:keepLines/>
              <w:spacing w:before="120" w:after="120"/>
            </w:pPr>
            <w:r w:rsidRPr="00DF4F2E">
              <w:t>Unknown length of stay</w:t>
            </w:r>
          </w:p>
        </w:tc>
        <w:tc>
          <w:tcPr>
            <w:tcW w:w="3752" w:type="pct"/>
            <w:tcBorders>
              <w:top w:val="none" w:sz="0" w:space="0" w:color="auto"/>
              <w:left w:val="single" w:sz="4" w:space="0" w:color="auto"/>
              <w:bottom w:val="none" w:sz="0" w:space="0" w:color="auto"/>
              <w:right w:val="single" w:sz="4" w:space="0" w:color="auto"/>
            </w:tcBorders>
            <w:shd w:val="clear" w:color="auto" w:fill="auto"/>
          </w:tcPr>
          <w:p w14:paraId="76F3F207" w14:textId="678F903E" w:rsidR="00480399" w:rsidRPr="00DF4F2E" w:rsidRDefault="00480399" w:rsidP="1922062C">
            <w:pPr>
              <w:keepNext/>
              <w:keepLines/>
              <w:spacing w:before="120" w:after="120"/>
            </w:pPr>
            <w:r w:rsidRPr="00DF4F2E">
              <w:t>Filters out records where there are missing phase start dates or end dates.</w:t>
            </w:r>
          </w:p>
        </w:tc>
      </w:tr>
      <w:tr w:rsidR="00480399" w:rsidRPr="00E72F9C" w14:paraId="512EA8DA"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1248" w:type="pct"/>
            <w:tcBorders>
              <w:top w:val="none" w:sz="0" w:space="0" w:color="auto"/>
              <w:bottom w:val="none" w:sz="0" w:space="0" w:color="auto"/>
            </w:tcBorders>
            <w:shd w:val="clear" w:color="auto" w:fill="auto"/>
          </w:tcPr>
          <w:p w14:paraId="74FE939B" w14:textId="74D9D4B2" w:rsidR="00480399" w:rsidRPr="00DF4F2E" w:rsidRDefault="00480399" w:rsidP="1922062C">
            <w:pPr>
              <w:keepNext/>
              <w:keepLines/>
              <w:spacing w:before="120" w:after="120"/>
            </w:pPr>
            <w:r w:rsidRPr="00DF4F2E">
              <w:t>High per diem cost outlier</w:t>
            </w:r>
          </w:p>
        </w:tc>
        <w:tc>
          <w:tcPr>
            <w:tcW w:w="3752" w:type="pct"/>
            <w:tcBorders>
              <w:top w:val="none" w:sz="0" w:space="0" w:color="auto"/>
              <w:bottom w:val="none" w:sz="0" w:space="0" w:color="auto"/>
            </w:tcBorders>
            <w:shd w:val="clear" w:color="auto" w:fill="auto"/>
          </w:tcPr>
          <w:p w14:paraId="65719359" w14:textId="63CA1C41" w:rsidR="00480399" w:rsidRPr="00DF4F2E" w:rsidRDefault="00480399" w:rsidP="1922062C">
            <w:pPr>
              <w:keepNext/>
              <w:keepLines/>
              <w:spacing w:before="120" w:after="120"/>
            </w:pPr>
            <w:r w:rsidRPr="00DF4F2E">
              <w:t>Filters out records with a per diem phase cost above the 99</w:t>
            </w:r>
            <w:r w:rsidRPr="00F45F2F">
              <w:t>th</w:t>
            </w:r>
            <w:r w:rsidRPr="00DF4F2E">
              <w:t xml:space="preserve"> percentile among all phases.</w:t>
            </w:r>
          </w:p>
        </w:tc>
      </w:tr>
      <w:tr w:rsidR="00480399" w:rsidRPr="00E72F9C" w14:paraId="66AFE6A8"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1248" w:type="pct"/>
            <w:tcBorders>
              <w:top w:val="none" w:sz="0" w:space="0" w:color="auto"/>
              <w:left w:val="single" w:sz="4" w:space="0" w:color="auto"/>
              <w:bottom w:val="none" w:sz="0" w:space="0" w:color="auto"/>
              <w:right w:val="single" w:sz="4" w:space="0" w:color="auto"/>
            </w:tcBorders>
            <w:shd w:val="clear" w:color="auto" w:fill="auto"/>
          </w:tcPr>
          <w:p w14:paraId="05CE7F51" w14:textId="6C93C723" w:rsidR="00480399" w:rsidRPr="00DF4F2E" w:rsidRDefault="00480399" w:rsidP="1922062C">
            <w:pPr>
              <w:keepNext/>
              <w:keepLines/>
              <w:spacing w:before="120" w:after="120"/>
            </w:pPr>
            <w:r w:rsidRPr="00DF4F2E">
              <w:t>Missing costs</w:t>
            </w:r>
          </w:p>
        </w:tc>
        <w:tc>
          <w:tcPr>
            <w:tcW w:w="3752" w:type="pct"/>
            <w:tcBorders>
              <w:top w:val="none" w:sz="0" w:space="0" w:color="auto"/>
              <w:left w:val="single" w:sz="4" w:space="0" w:color="auto"/>
              <w:bottom w:val="none" w:sz="0" w:space="0" w:color="auto"/>
              <w:right w:val="single" w:sz="4" w:space="0" w:color="auto"/>
            </w:tcBorders>
            <w:shd w:val="clear" w:color="auto" w:fill="auto"/>
          </w:tcPr>
          <w:p w14:paraId="5DF6F8B3" w14:textId="0F7EE662" w:rsidR="00480399" w:rsidRPr="00DF4F2E" w:rsidRDefault="00480399" w:rsidP="1922062C">
            <w:pPr>
              <w:keepNext/>
              <w:keepLines/>
              <w:spacing w:before="120" w:after="120"/>
            </w:pPr>
            <w:r w:rsidRPr="00DF4F2E">
              <w:t>Filters out episode or phase activity that does not link to NHCDC costs.</w:t>
            </w:r>
          </w:p>
        </w:tc>
      </w:tr>
      <w:tr w:rsidR="00480399" w:rsidRPr="00E72F9C" w14:paraId="0B507191"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1248" w:type="pct"/>
            <w:tcBorders>
              <w:top w:val="none" w:sz="0" w:space="0" w:color="auto"/>
              <w:bottom w:val="none" w:sz="0" w:space="0" w:color="auto"/>
            </w:tcBorders>
            <w:shd w:val="clear" w:color="auto" w:fill="auto"/>
          </w:tcPr>
          <w:p w14:paraId="6E7AF93D" w14:textId="23FBABA1" w:rsidR="00480399" w:rsidRPr="00DF4F2E" w:rsidRDefault="00480399" w:rsidP="1922062C">
            <w:pPr>
              <w:keepNext/>
              <w:keepLines/>
              <w:spacing w:before="120" w:after="120"/>
            </w:pPr>
            <w:r w:rsidRPr="00DF4F2E">
              <w:t>Missing activity</w:t>
            </w:r>
          </w:p>
        </w:tc>
        <w:tc>
          <w:tcPr>
            <w:tcW w:w="3752" w:type="pct"/>
            <w:tcBorders>
              <w:top w:val="none" w:sz="0" w:space="0" w:color="auto"/>
              <w:bottom w:val="none" w:sz="0" w:space="0" w:color="auto"/>
            </w:tcBorders>
            <w:shd w:val="clear" w:color="auto" w:fill="auto"/>
          </w:tcPr>
          <w:p w14:paraId="7EB89C48" w14:textId="04798707" w:rsidR="00480399" w:rsidRPr="00DF4F2E" w:rsidRDefault="00480399" w:rsidP="1922062C">
            <w:pPr>
              <w:keepNext/>
              <w:keepLines/>
              <w:spacing w:before="120" w:after="120"/>
            </w:pPr>
            <w:r w:rsidRPr="00DF4F2E">
              <w:t>Filters out NHCDC costs that do not link to episode or phase level activity.</w:t>
            </w:r>
          </w:p>
        </w:tc>
      </w:tr>
      <w:tr w:rsidR="00480399" w:rsidRPr="00E72F9C" w14:paraId="295D3589"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1248" w:type="pct"/>
            <w:tcBorders>
              <w:top w:val="none" w:sz="0" w:space="0" w:color="auto"/>
              <w:left w:val="single" w:sz="4" w:space="0" w:color="auto"/>
              <w:bottom w:val="none" w:sz="0" w:space="0" w:color="auto"/>
              <w:right w:val="single" w:sz="4" w:space="0" w:color="auto"/>
            </w:tcBorders>
            <w:shd w:val="clear" w:color="auto" w:fill="auto"/>
          </w:tcPr>
          <w:p w14:paraId="643DC84F" w14:textId="3FB8BBA8" w:rsidR="00480399" w:rsidRPr="00DF4F2E" w:rsidRDefault="00480399" w:rsidP="1922062C">
            <w:pPr>
              <w:keepNext/>
              <w:keepLines/>
              <w:spacing w:before="120" w:after="120"/>
            </w:pPr>
            <w:r w:rsidRPr="00DF4F2E">
              <w:t>Zero costs</w:t>
            </w:r>
          </w:p>
        </w:tc>
        <w:tc>
          <w:tcPr>
            <w:tcW w:w="3752" w:type="pct"/>
            <w:tcBorders>
              <w:top w:val="none" w:sz="0" w:space="0" w:color="auto"/>
              <w:left w:val="single" w:sz="4" w:space="0" w:color="auto"/>
              <w:bottom w:val="none" w:sz="0" w:space="0" w:color="auto"/>
              <w:right w:val="single" w:sz="4" w:space="0" w:color="auto"/>
            </w:tcBorders>
            <w:shd w:val="clear" w:color="auto" w:fill="auto"/>
          </w:tcPr>
          <w:p w14:paraId="313A6C65" w14:textId="61FB0599" w:rsidR="00480399" w:rsidRPr="00DF4F2E" w:rsidRDefault="00480399" w:rsidP="1922062C">
            <w:pPr>
              <w:keepNext/>
              <w:keepLines/>
              <w:spacing w:before="120" w:after="120"/>
            </w:pPr>
            <w:r w:rsidRPr="00DF4F2E">
              <w:t>Filters out records with missing or negative in-scope cost (</w:t>
            </w:r>
            <w:proofErr w:type="gramStart"/>
            <w:r w:rsidRPr="00DF4F2E">
              <w:t>i.e.</w:t>
            </w:r>
            <w:proofErr w:type="gramEnd"/>
            <w:r w:rsidRPr="00DF4F2E">
              <w:t xml:space="preserve"> sum of the relevant cost buckets being 0 or less).</w:t>
            </w:r>
          </w:p>
        </w:tc>
      </w:tr>
      <w:tr w:rsidR="00E72F9C" w:rsidRPr="00E72F9C" w14:paraId="4383BFB1"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tcPr>
          <w:p w14:paraId="7BC15917" w14:textId="5B24D752" w:rsidR="00E72F9C" w:rsidRPr="00E72F9C" w:rsidRDefault="00E72F9C" w:rsidP="1922062C">
            <w:pPr>
              <w:keepNext/>
              <w:keepLines/>
              <w:spacing w:before="120" w:after="120"/>
              <w:rPr>
                <w:b/>
                <w:bCs/>
                <w:color w:val="1C1C1C"/>
              </w:rPr>
            </w:pPr>
            <w:r w:rsidRPr="1922062C">
              <w:rPr>
                <w:b/>
                <w:bCs/>
                <w:color w:val="1C1C1C"/>
              </w:rPr>
              <w:t>Category 2: Records trimmed because they are out of scope for AMHCC</w:t>
            </w:r>
          </w:p>
        </w:tc>
      </w:tr>
      <w:tr w:rsidR="00E72F9C" w:rsidRPr="00E72F9C" w14:paraId="726AF5F3"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1248" w:type="pct"/>
            <w:tcBorders>
              <w:top w:val="single" w:sz="4" w:space="0" w:color="auto"/>
              <w:left w:val="single" w:sz="4" w:space="0" w:color="auto"/>
              <w:bottom w:val="single" w:sz="4" w:space="0" w:color="auto"/>
              <w:right w:val="single" w:sz="4" w:space="0" w:color="auto"/>
            </w:tcBorders>
            <w:shd w:val="clear" w:color="auto" w:fill="auto"/>
          </w:tcPr>
          <w:p w14:paraId="4CC4C7E2" w14:textId="6A554A96" w:rsidR="00E72F9C" w:rsidRPr="00DF4F2E" w:rsidRDefault="00E72F9C" w:rsidP="1922062C">
            <w:pPr>
              <w:keepNext/>
              <w:keepLines/>
              <w:spacing w:before="120" w:after="120"/>
            </w:pPr>
            <w:r w:rsidRPr="00DF4F2E">
              <w:t>Residential setting</w:t>
            </w:r>
          </w:p>
        </w:tc>
        <w:tc>
          <w:tcPr>
            <w:tcW w:w="3752" w:type="pct"/>
            <w:tcBorders>
              <w:top w:val="single" w:sz="4" w:space="0" w:color="auto"/>
              <w:left w:val="single" w:sz="4" w:space="0" w:color="auto"/>
              <w:bottom w:val="single" w:sz="4" w:space="0" w:color="auto"/>
              <w:right w:val="single" w:sz="4" w:space="0" w:color="auto"/>
            </w:tcBorders>
            <w:shd w:val="clear" w:color="auto" w:fill="auto"/>
          </w:tcPr>
          <w:p w14:paraId="34350E1B" w14:textId="7D252C8C" w:rsidR="00E72F9C" w:rsidRPr="00DF4F2E" w:rsidRDefault="00E72F9C" w:rsidP="1922062C">
            <w:pPr>
              <w:keepNext/>
              <w:keepLines/>
              <w:spacing w:before="120" w:after="120"/>
            </w:pPr>
            <w:r w:rsidRPr="00DF4F2E">
              <w:t>Filters out records in the residential setting because they remain out of scope for AMHCC V1.1 due to insufficient volume and quality of data collect</w:t>
            </w:r>
            <w:r w:rsidR="3B522F89" w:rsidRPr="00DF4F2E">
              <w:t>ed</w:t>
            </w:r>
            <w:r w:rsidRPr="00DF4F2E">
              <w:t>.</w:t>
            </w:r>
          </w:p>
        </w:tc>
      </w:tr>
      <w:tr w:rsidR="00E72F9C" w:rsidRPr="00E72F9C" w14:paraId="14459934"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tcPr>
          <w:p w14:paraId="51786EF5" w14:textId="7DD0D145" w:rsidR="00E72F9C" w:rsidRPr="00E72F9C" w:rsidRDefault="00E72F9C" w:rsidP="1922062C">
            <w:pPr>
              <w:keepNext/>
              <w:keepLines/>
              <w:spacing w:before="120" w:after="120"/>
              <w:rPr>
                <w:b/>
                <w:bCs/>
                <w:color w:val="1C1C1C"/>
              </w:rPr>
            </w:pPr>
            <w:r w:rsidRPr="1922062C">
              <w:rPr>
                <w:b/>
                <w:bCs/>
                <w:color w:val="1C1C1C"/>
              </w:rPr>
              <w:t>Category 3: Records trimmed because they are irrelevant to the AMHCC V1.1 update</w:t>
            </w:r>
          </w:p>
        </w:tc>
      </w:tr>
      <w:tr w:rsidR="00E72F9C" w:rsidRPr="00E72F9C" w14:paraId="797152FE" w14:textId="77777777" w:rsidTr="001F638E">
        <w:trPr>
          <w:cnfStyle w:val="000000100000" w:firstRow="0" w:lastRow="0" w:firstColumn="0" w:lastColumn="0" w:oddVBand="0" w:evenVBand="0" w:oddHBand="1" w:evenHBand="0" w:firstRowFirstColumn="0" w:firstRowLastColumn="0" w:lastRowFirstColumn="0" w:lastRowLastColumn="0"/>
          <w:trHeight w:val="20"/>
          <w:jc w:val="center"/>
        </w:trPr>
        <w:tc>
          <w:tcPr>
            <w:tcW w:w="1248" w:type="pct"/>
            <w:tcBorders>
              <w:top w:val="single" w:sz="4" w:space="0" w:color="auto"/>
              <w:left w:val="single" w:sz="4" w:space="0" w:color="auto"/>
              <w:bottom w:val="single" w:sz="4" w:space="0" w:color="auto"/>
              <w:right w:val="single" w:sz="4" w:space="0" w:color="auto"/>
            </w:tcBorders>
            <w:shd w:val="clear" w:color="auto" w:fill="auto"/>
          </w:tcPr>
          <w:p w14:paraId="78F25F7E" w14:textId="74217C03" w:rsidR="00E72F9C" w:rsidRPr="00DF4F2E" w:rsidRDefault="00E72F9C" w:rsidP="1922062C">
            <w:pPr>
              <w:keepNext/>
              <w:keepLines/>
              <w:spacing w:before="120" w:after="120"/>
            </w:pPr>
            <w:r w:rsidRPr="00DF4F2E">
              <w:t xml:space="preserve">Unknown </w:t>
            </w:r>
            <w:proofErr w:type="spellStart"/>
            <w:r w:rsidRPr="00DF4F2E">
              <w:t>MHPoC</w:t>
            </w:r>
            <w:proofErr w:type="spellEnd"/>
          </w:p>
        </w:tc>
        <w:tc>
          <w:tcPr>
            <w:tcW w:w="3752" w:type="pct"/>
            <w:tcBorders>
              <w:top w:val="single" w:sz="4" w:space="0" w:color="auto"/>
              <w:left w:val="single" w:sz="4" w:space="0" w:color="auto"/>
              <w:bottom w:val="single" w:sz="4" w:space="0" w:color="auto"/>
              <w:right w:val="single" w:sz="4" w:space="0" w:color="auto"/>
            </w:tcBorders>
            <w:shd w:val="clear" w:color="auto" w:fill="auto"/>
          </w:tcPr>
          <w:p w14:paraId="05466A86" w14:textId="3250856C" w:rsidR="00E72F9C" w:rsidRPr="00DF4F2E" w:rsidRDefault="005C211C" w:rsidP="1922062C">
            <w:pPr>
              <w:keepNext/>
              <w:keepLines/>
              <w:spacing w:before="120" w:after="120"/>
            </w:pPr>
            <w:r w:rsidRPr="00DF4F2E">
              <w:t xml:space="preserve">Filters out records with an unknown </w:t>
            </w:r>
            <w:proofErr w:type="spellStart"/>
            <w:r w:rsidRPr="00DF4F2E">
              <w:t>MHPoC</w:t>
            </w:r>
            <w:proofErr w:type="spellEnd"/>
            <w:r w:rsidRPr="00DF4F2E">
              <w:t xml:space="preserve"> because this branch is not stratified by complexity in the AMHCC.</w:t>
            </w:r>
          </w:p>
        </w:tc>
      </w:tr>
      <w:tr w:rsidR="00E72F9C" w:rsidRPr="00E72F9C" w14:paraId="44248FBF" w14:textId="77777777" w:rsidTr="001F638E">
        <w:trPr>
          <w:cnfStyle w:val="000000010000" w:firstRow="0" w:lastRow="0" w:firstColumn="0" w:lastColumn="0" w:oddVBand="0" w:evenVBand="0" w:oddHBand="0" w:evenHBand="1" w:firstRowFirstColumn="0" w:firstRowLastColumn="0" w:lastRowFirstColumn="0" w:lastRowLastColumn="0"/>
          <w:trHeight w:val="20"/>
          <w:jc w:val="center"/>
        </w:trPr>
        <w:tc>
          <w:tcPr>
            <w:tcW w:w="1248" w:type="pct"/>
            <w:tcBorders>
              <w:top w:val="single" w:sz="4" w:space="0" w:color="auto"/>
              <w:left w:val="single" w:sz="4" w:space="0" w:color="auto"/>
              <w:bottom w:val="single" w:sz="4" w:space="0" w:color="auto"/>
              <w:right w:val="single" w:sz="4" w:space="0" w:color="auto"/>
            </w:tcBorders>
            <w:shd w:val="clear" w:color="auto" w:fill="auto"/>
          </w:tcPr>
          <w:p w14:paraId="309C36A3" w14:textId="157C8606" w:rsidR="00E72F9C" w:rsidRPr="00DF4F2E" w:rsidRDefault="005C211C" w:rsidP="1922062C">
            <w:pPr>
              <w:keepNext/>
              <w:keepLines/>
              <w:spacing w:before="120" w:after="120"/>
            </w:pPr>
            <w:r w:rsidRPr="00DF4F2E">
              <w:t>Assessment Only episodes</w:t>
            </w:r>
          </w:p>
        </w:tc>
        <w:tc>
          <w:tcPr>
            <w:tcW w:w="3752" w:type="pct"/>
            <w:tcBorders>
              <w:top w:val="single" w:sz="4" w:space="0" w:color="auto"/>
              <w:left w:val="single" w:sz="4" w:space="0" w:color="auto"/>
              <w:bottom w:val="single" w:sz="4" w:space="0" w:color="auto"/>
              <w:right w:val="single" w:sz="4" w:space="0" w:color="auto"/>
            </w:tcBorders>
            <w:shd w:val="clear" w:color="auto" w:fill="auto"/>
          </w:tcPr>
          <w:p w14:paraId="73E8C6EE" w14:textId="0C973208" w:rsidR="00E72F9C" w:rsidRPr="00DF4F2E" w:rsidRDefault="005C211C" w:rsidP="1922062C">
            <w:pPr>
              <w:keepNext/>
              <w:keepLines/>
              <w:spacing w:before="120" w:after="120"/>
            </w:pPr>
            <w:r w:rsidRPr="00DF4F2E">
              <w:t>Filters out records flagged as Assessment Only because this branch is not stratified by complexity in the AMHCC.</w:t>
            </w:r>
          </w:p>
        </w:tc>
      </w:tr>
    </w:tbl>
    <w:p w14:paraId="682DF76F" w14:textId="77777777" w:rsidR="00480399" w:rsidRDefault="00480399" w:rsidP="009432FF"/>
    <w:p w14:paraId="74B805B0" w14:textId="77777777" w:rsidR="00AB547F" w:rsidRDefault="00AB547F">
      <w:pPr>
        <w:rPr>
          <w:b/>
          <w:bCs/>
        </w:rPr>
      </w:pPr>
      <w:r>
        <w:rPr>
          <w:b/>
          <w:bCs/>
        </w:rPr>
        <w:br w:type="page"/>
      </w:r>
    </w:p>
    <w:p w14:paraId="0E916681" w14:textId="0CFF05E1" w:rsidR="001F24FD" w:rsidRDefault="00F84061">
      <w:r w:rsidRPr="00245C7B">
        <w:rPr>
          <w:b/>
          <w:bCs/>
        </w:rPr>
        <w:lastRenderedPageBreak/>
        <w:t xml:space="preserve">Table </w:t>
      </w:r>
      <w:r w:rsidR="00FB7F03">
        <w:rPr>
          <w:b/>
          <w:bCs/>
        </w:rPr>
        <w:t>3</w:t>
      </w:r>
      <w:r w:rsidRPr="00245C7B">
        <w:rPr>
          <w:b/>
          <w:bCs/>
        </w:rPr>
        <w:t xml:space="preserve"> </w:t>
      </w:r>
      <w:r w:rsidR="0084210A" w:rsidRPr="00245C7B">
        <w:t>summari</w:t>
      </w:r>
      <w:r w:rsidR="003E052C">
        <w:t>s</w:t>
      </w:r>
      <w:r w:rsidR="0084210A" w:rsidRPr="00245C7B">
        <w:t xml:space="preserve">es the trimming stages and the number of episodes trimmed at each stage. </w:t>
      </w:r>
    </w:p>
    <w:p w14:paraId="0F679E02" w14:textId="1053BD9D" w:rsidR="005C211C" w:rsidRDefault="00CC1C98" w:rsidP="00CC1C98">
      <w:pPr>
        <w:pStyle w:val="TableFigureheading"/>
      </w:pPr>
      <w:r>
        <w:t xml:space="preserve">Table </w:t>
      </w:r>
      <w:r w:rsidR="00FB7F03">
        <w:t>3</w:t>
      </w:r>
      <w:r>
        <w:t>. Summary of</w:t>
      </w:r>
      <w:r w:rsidR="00CE2480">
        <w:t xml:space="preserve"> AMHCC V1.1</w:t>
      </w:r>
      <w:r>
        <w:t xml:space="preserve"> trimmed records by data </w:t>
      </w:r>
      <w:proofErr w:type="gramStart"/>
      <w:r>
        <w:t>year</w:t>
      </w:r>
      <w:proofErr w:type="gramEnd"/>
    </w:p>
    <w:tbl>
      <w:tblPr>
        <w:tblW w:w="5201" w:type="pct"/>
        <w:tblLayout w:type="fixed"/>
        <w:tblLook w:val="04A0" w:firstRow="1" w:lastRow="0" w:firstColumn="1" w:lastColumn="0" w:noHBand="0" w:noVBand="1"/>
      </w:tblPr>
      <w:tblGrid>
        <w:gridCol w:w="823"/>
        <w:gridCol w:w="5310"/>
        <w:gridCol w:w="951"/>
        <w:gridCol w:w="1056"/>
        <w:gridCol w:w="995"/>
        <w:gridCol w:w="993"/>
        <w:gridCol w:w="6"/>
      </w:tblGrid>
      <w:tr w:rsidR="00514394" w:rsidRPr="001E5EF4" w14:paraId="0E61DFE8" w14:textId="77777777" w:rsidTr="00514394">
        <w:trPr>
          <w:trHeight w:val="289"/>
        </w:trPr>
        <w:tc>
          <w:tcPr>
            <w:tcW w:w="3026" w:type="pct"/>
            <w:gridSpan w:val="2"/>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331A9CE1" w14:textId="0CB71ECA" w:rsidR="001E5EF4" w:rsidRPr="00CC1C98" w:rsidRDefault="001E5EF4" w:rsidP="00BA6C6A">
            <w:pPr>
              <w:keepNext/>
              <w:keepLines/>
              <w:spacing w:before="40" w:after="40" w:line="240" w:lineRule="auto"/>
              <w:rPr>
                <w:rFonts w:eastAsia="Times New Roman" w:cs="Arial"/>
                <w:b/>
                <w:bCs/>
                <w:color w:val="FFFFFF"/>
                <w:sz w:val="16"/>
                <w:szCs w:val="16"/>
                <w:lang w:eastAsia="en-AU"/>
              </w:rPr>
            </w:pPr>
            <w:r w:rsidRPr="387A6296">
              <w:rPr>
                <w:rFonts w:eastAsia="Times New Roman" w:cs="Arial"/>
                <w:b/>
                <w:bCs/>
                <w:color w:val="FFFFFF" w:themeColor="accent6"/>
                <w:sz w:val="16"/>
                <w:szCs w:val="16"/>
              </w:rPr>
              <w:t>Trim stage and category</w:t>
            </w:r>
          </w:p>
        </w:tc>
        <w:tc>
          <w:tcPr>
            <w:tcW w:w="1974" w:type="pct"/>
            <w:gridSpan w:val="5"/>
            <w:tcBorders>
              <w:top w:val="single" w:sz="4" w:space="0" w:color="auto"/>
              <w:left w:val="nil"/>
              <w:bottom w:val="single" w:sz="4" w:space="0" w:color="auto"/>
              <w:right w:val="single" w:sz="4" w:space="0" w:color="000000"/>
            </w:tcBorders>
            <w:shd w:val="clear" w:color="auto" w:fill="15272F" w:themeFill="accent1"/>
            <w:noWrap/>
            <w:vAlign w:val="center"/>
            <w:hideMark/>
          </w:tcPr>
          <w:p w14:paraId="1F014286" w14:textId="77777777" w:rsidR="001E5EF4" w:rsidRPr="00CC1C98" w:rsidRDefault="001E5EF4" w:rsidP="00BA6C6A">
            <w:pPr>
              <w:keepNext/>
              <w:keepLines/>
              <w:spacing w:before="40" w:after="4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Number of trimmed records</w:t>
            </w:r>
          </w:p>
        </w:tc>
      </w:tr>
      <w:tr w:rsidR="00514394" w:rsidRPr="001E5EF4" w14:paraId="1CED65A9" w14:textId="77777777" w:rsidTr="00514394">
        <w:trPr>
          <w:gridAfter w:val="1"/>
          <w:wAfter w:w="3" w:type="pct"/>
          <w:trHeight w:val="289"/>
        </w:trPr>
        <w:tc>
          <w:tcPr>
            <w:tcW w:w="3026" w:type="pct"/>
            <w:gridSpan w:val="2"/>
            <w:vMerge/>
            <w:tcBorders>
              <w:left w:val="single" w:sz="4" w:space="0" w:color="auto"/>
              <w:bottom w:val="single" w:sz="4" w:space="0" w:color="auto"/>
            </w:tcBorders>
            <w:vAlign w:val="center"/>
            <w:hideMark/>
          </w:tcPr>
          <w:p w14:paraId="73F7BCDF" w14:textId="77777777" w:rsidR="001E5EF4" w:rsidRPr="00CC1C98" w:rsidRDefault="001E5EF4" w:rsidP="00BA6C6A">
            <w:pPr>
              <w:keepNext/>
              <w:keepLines/>
              <w:spacing w:before="40" w:after="40" w:line="240" w:lineRule="auto"/>
              <w:jc w:val="right"/>
              <w:rPr>
                <w:rFonts w:eastAsia="Times New Roman" w:cs="Arial"/>
                <w:b/>
                <w:bCs/>
                <w:color w:val="FFFFFF"/>
                <w:sz w:val="16"/>
                <w:szCs w:val="16"/>
                <w:lang w:eastAsia="en-AU"/>
              </w:rPr>
            </w:pPr>
          </w:p>
        </w:tc>
        <w:tc>
          <w:tcPr>
            <w:tcW w:w="469" w:type="pct"/>
            <w:tcBorders>
              <w:top w:val="single" w:sz="4" w:space="0" w:color="auto"/>
              <w:left w:val="single" w:sz="4" w:space="0" w:color="auto"/>
              <w:bottom w:val="single" w:sz="4" w:space="0" w:color="auto"/>
            </w:tcBorders>
            <w:shd w:val="clear" w:color="auto" w:fill="15272F" w:themeFill="accent1"/>
            <w:noWrap/>
            <w:vAlign w:val="center"/>
            <w:hideMark/>
          </w:tcPr>
          <w:p w14:paraId="0215A6E2" w14:textId="77777777" w:rsidR="001E5EF4" w:rsidRPr="00CC1C98" w:rsidRDefault="001E5EF4" w:rsidP="00BA6C6A">
            <w:pPr>
              <w:keepNext/>
              <w:keepLines/>
              <w:spacing w:before="40" w:after="40" w:line="240" w:lineRule="auto"/>
              <w:jc w:val="right"/>
              <w:rPr>
                <w:rFonts w:eastAsia="Times New Roman" w:cs="Arial"/>
                <w:b/>
                <w:bCs/>
                <w:color w:val="FFFFFF"/>
                <w:sz w:val="16"/>
                <w:szCs w:val="16"/>
                <w:lang w:eastAsia="en-AU"/>
              </w:rPr>
            </w:pPr>
            <w:r w:rsidRPr="1922062C">
              <w:rPr>
                <w:rFonts w:eastAsia="Times New Roman" w:cs="Arial"/>
                <w:b/>
                <w:bCs/>
                <w:color w:val="FFFFFF" w:themeColor="accent6"/>
                <w:sz w:val="16"/>
                <w:szCs w:val="16"/>
              </w:rPr>
              <w:t>2018-19</w:t>
            </w:r>
          </w:p>
        </w:tc>
        <w:tc>
          <w:tcPr>
            <w:tcW w:w="521" w:type="pct"/>
            <w:tcBorders>
              <w:top w:val="single" w:sz="4" w:space="0" w:color="auto"/>
              <w:bottom w:val="single" w:sz="4" w:space="0" w:color="auto"/>
            </w:tcBorders>
            <w:shd w:val="clear" w:color="auto" w:fill="15272F" w:themeFill="accent1"/>
            <w:noWrap/>
            <w:vAlign w:val="center"/>
            <w:hideMark/>
          </w:tcPr>
          <w:p w14:paraId="13AFE6EC" w14:textId="77777777" w:rsidR="001E5EF4" w:rsidRPr="00CC1C98" w:rsidRDefault="001E5EF4" w:rsidP="00BA6C6A">
            <w:pPr>
              <w:keepNext/>
              <w:keepLines/>
              <w:spacing w:before="40" w:after="40" w:line="240" w:lineRule="auto"/>
              <w:jc w:val="right"/>
              <w:rPr>
                <w:rFonts w:eastAsia="Times New Roman" w:cs="Arial"/>
                <w:b/>
                <w:bCs/>
                <w:color w:val="FFFFFF"/>
                <w:sz w:val="16"/>
                <w:szCs w:val="16"/>
                <w:lang w:eastAsia="en-AU"/>
              </w:rPr>
            </w:pPr>
            <w:r w:rsidRPr="1922062C">
              <w:rPr>
                <w:rFonts w:eastAsia="Times New Roman" w:cs="Arial"/>
                <w:b/>
                <w:bCs/>
                <w:color w:val="FFFFFF" w:themeColor="accent6"/>
                <w:sz w:val="16"/>
                <w:szCs w:val="16"/>
              </w:rPr>
              <w:t>2019-20</w:t>
            </w:r>
          </w:p>
        </w:tc>
        <w:tc>
          <w:tcPr>
            <w:tcW w:w="491" w:type="pct"/>
            <w:tcBorders>
              <w:top w:val="single" w:sz="4" w:space="0" w:color="auto"/>
              <w:bottom w:val="single" w:sz="4" w:space="0" w:color="auto"/>
              <w:right w:val="single" w:sz="4" w:space="0" w:color="auto"/>
            </w:tcBorders>
            <w:shd w:val="clear" w:color="auto" w:fill="15272F" w:themeFill="accent1"/>
            <w:noWrap/>
            <w:vAlign w:val="center"/>
            <w:hideMark/>
          </w:tcPr>
          <w:p w14:paraId="5E3AB5C4" w14:textId="77777777" w:rsidR="001E5EF4" w:rsidRPr="00CC1C98" w:rsidRDefault="001E5EF4" w:rsidP="00BA6C6A">
            <w:pPr>
              <w:keepNext/>
              <w:keepLines/>
              <w:spacing w:before="40" w:after="40" w:line="240" w:lineRule="auto"/>
              <w:jc w:val="right"/>
              <w:rPr>
                <w:rFonts w:eastAsia="Times New Roman" w:cs="Arial"/>
                <w:b/>
                <w:bCs/>
                <w:color w:val="FFFFFF"/>
                <w:sz w:val="16"/>
                <w:szCs w:val="16"/>
                <w:lang w:eastAsia="en-AU"/>
              </w:rPr>
            </w:pPr>
            <w:r w:rsidRPr="1922062C">
              <w:rPr>
                <w:rFonts w:eastAsia="Times New Roman" w:cs="Arial"/>
                <w:b/>
                <w:bCs/>
                <w:color w:val="FFFFFF" w:themeColor="accent6"/>
                <w:sz w:val="16"/>
                <w:szCs w:val="16"/>
              </w:rPr>
              <w:t>2020-21</w:t>
            </w:r>
          </w:p>
        </w:tc>
        <w:tc>
          <w:tcPr>
            <w:tcW w:w="490" w:type="pct"/>
            <w:tcBorders>
              <w:top w:val="nil"/>
              <w:left w:val="single" w:sz="4" w:space="0" w:color="auto"/>
              <w:bottom w:val="nil"/>
              <w:right w:val="single" w:sz="4" w:space="0" w:color="auto"/>
            </w:tcBorders>
            <w:shd w:val="clear" w:color="auto" w:fill="15272F" w:themeFill="accent1"/>
            <w:noWrap/>
            <w:vAlign w:val="center"/>
            <w:hideMark/>
          </w:tcPr>
          <w:p w14:paraId="0D5BFC5E" w14:textId="77777777" w:rsidR="001E5EF4" w:rsidRPr="00CC1C98" w:rsidRDefault="001E5EF4" w:rsidP="00BA6C6A">
            <w:pPr>
              <w:keepNext/>
              <w:keepLines/>
              <w:spacing w:before="40" w:after="40" w:line="240" w:lineRule="auto"/>
              <w:jc w:val="right"/>
              <w:rPr>
                <w:rFonts w:eastAsia="Times New Roman" w:cs="Arial"/>
                <w:b/>
                <w:bCs/>
                <w:color w:val="FFFFFF"/>
                <w:sz w:val="16"/>
                <w:szCs w:val="16"/>
                <w:lang w:eastAsia="en-AU"/>
              </w:rPr>
            </w:pPr>
            <w:r w:rsidRPr="1922062C">
              <w:rPr>
                <w:rFonts w:eastAsia="Times New Roman" w:cs="Arial"/>
                <w:b/>
                <w:bCs/>
                <w:color w:val="FFFFFF" w:themeColor="accent6"/>
                <w:sz w:val="16"/>
                <w:szCs w:val="16"/>
              </w:rPr>
              <w:t>Total</w:t>
            </w:r>
          </w:p>
        </w:tc>
      </w:tr>
      <w:tr w:rsidR="00514394" w:rsidRPr="001E5EF4" w14:paraId="1097D9B5" w14:textId="77777777" w:rsidTr="00F45F2F">
        <w:trPr>
          <w:gridAfter w:val="1"/>
          <w:wAfter w:w="3" w:type="pct"/>
          <w:trHeight w:val="289"/>
        </w:trPr>
        <w:tc>
          <w:tcPr>
            <w:tcW w:w="3026" w:type="pct"/>
            <w:gridSpan w:val="2"/>
            <w:tcBorders>
              <w:top w:val="single" w:sz="4" w:space="0" w:color="auto"/>
              <w:left w:val="single" w:sz="4" w:space="0" w:color="auto"/>
              <w:bottom w:val="nil"/>
              <w:right w:val="nil"/>
            </w:tcBorders>
            <w:shd w:val="clear" w:color="auto" w:fill="DFEBF1" w:themeFill="accent1" w:themeFillTint="1A"/>
            <w:noWrap/>
            <w:vAlign w:val="center"/>
            <w:hideMark/>
          </w:tcPr>
          <w:p w14:paraId="5A61D11F" w14:textId="77777777" w:rsidR="00CC1C98" w:rsidRPr="00DF4F2E" w:rsidRDefault="00CC1C98" w:rsidP="00BA6C6A">
            <w:pPr>
              <w:keepNext/>
              <w:keepLines/>
              <w:spacing w:before="40" w:after="40" w:line="240" w:lineRule="auto"/>
              <w:rPr>
                <w:rFonts w:eastAsia="Times New Roman" w:cs="Arial"/>
                <w:b/>
                <w:bCs/>
                <w:sz w:val="16"/>
                <w:szCs w:val="16"/>
                <w:lang w:eastAsia="en-AU"/>
              </w:rPr>
            </w:pPr>
            <w:r w:rsidRPr="00DF4F2E">
              <w:rPr>
                <w:rFonts w:eastAsia="Times New Roman" w:cs="Arial"/>
                <w:b/>
                <w:bCs/>
                <w:sz w:val="16"/>
                <w:szCs w:val="16"/>
              </w:rPr>
              <w:t>Initial number of episode/phase-activity and costs of mental health care records</w:t>
            </w:r>
          </w:p>
        </w:tc>
        <w:tc>
          <w:tcPr>
            <w:tcW w:w="469" w:type="pct"/>
            <w:tcBorders>
              <w:top w:val="single" w:sz="4" w:space="0" w:color="auto"/>
              <w:left w:val="single" w:sz="4" w:space="0" w:color="auto"/>
              <w:bottom w:val="nil"/>
              <w:right w:val="nil"/>
            </w:tcBorders>
            <w:shd w:val="clear" w:color="auto" w:fill="DFEBF1" w:themeFill="accent1" w:themeFillTint="1A"/>
            <w:noWrap/>
            <w:vAlign w:val="center"/>
            <w:hideMark/>
          </w:tcPr>
          <w:p w14:paraId="75A06C19" w14:textId="0864F431" w:rsidR="00CC1C98" w:rsidRPr="00DF4F2E" w:rsidRDefault="00CC1C98" w:rsidP="00796BAB">
            <w:pPr>
              <w:keepNext/>
              <w:keepLines/>
              <w:spacing w:before="40" w:after="40" w:line="240" w:lineRule="auto"/>
              <w:ind w:left="-644" w:right="-94" w:hanging="283"/>
              <w:jc w:val="right"/>
              <w:rPr>
                <w:rFonts w:eastAsia="Times New Roman" w:cs="Arial"/>
                <w:b/>
                <w:bCs/>
                <w:sz w:val="16"/>
                <w:szCs w:val="16"/>
                <w:lang w:eastAsia="en-AU"/>
              </w:rPr>
            </w:pPr>
            <w:r w:rsidRPr="00DF4F2E">
              <w:rPr>
                <w:rFonts w:eastAsia="Times New Roman" w:cs="Arial"/>
                <w:b/>
                <w:bCs/>
                <w:sz w:val="16"/>
                <w:szCs w:val="16"/>
              </w:rPr>
              <w:t>1,381,111</w:t>
            </w:r>
          </w:p>
        </w:tc>
        <w:tc>
          <w:tcPr>
            <w:tcW w:w="521" w:type="pct"/>
            <w:tcBorders>
              <w:top w:val="single" w:sz="4" w:space="0" w:color="auto"/>
              <w:left w:val="nil"/>
              <w:bottom w:val="nil"/>
              <w:right w:val="nil"/>
            </w:tcBorders>
            <w:shd w:val="clear" w:color="auto" w:fill="DFEBF1" w:themeFill="accent1" w:themeFillTint="1A"/>
            <w:noWrap/>
            <w:vAlign w:val="center"/>
            <w:hideMark/>
          </w:tcPr>
          <w:p w14:paraId="265FF31E" w14:textId="18EA0BA1" w:rsidR="00CC1C98" w:rsidRPr="00DF4F2E" w:rsidRDefault="00CC1C98" w:rsidP="00796BAB">
            <w:pPr>
              <w:keepNext/>
              <w:keepLines/>
              <w:tabs>
                <w:tab w:val="left" w:pos="617"/>
              </w:tabs>
              <w:spacing w:before="40" w:after="40" w:line="240" w:lineRule="auto"/>
              <w:ind w:hanging="16"/>
              <w:jc w:val="right"/>
              <w:rPr>
                <w:rFonts w:eastAsia="Times New Roman" w:cs="Arial"/>
                <w:b/>
                <w:bCs/>
                <w:sz w:val="16"/>
                <w:szCs w:val="16"/>
                <w:lang w:eastAsia="en-AU"/>
              </w:rPr>
            </w:pPr>
            <w:r w:rsidRPr="00DF4F2E">
              <w:rPr>
                <w:rFonts w:eastAsia="Times New Roman" w:cs="Arial"/>
                <w:b/>
                <w:bCs/>
                <w:sz w:val="16"/>
                <w:szCs w:val="16"/>
              </w:rPr>
              <w:t>1,349,582</w:t>
            </w:r>
          </w:p>
        </w:tc>
        <w:tc>
          <w:tcPr>
            <w:tcW w:w="491" w:type="pct"/>
            <w:tcBorders>
              <w:top w:val="single" w:sz="4" w:space="0" w:color="auto"/>
              <w:left w:val="nil"/>
              <w:bottom w:val="nil"/>
              <w:right w:val="single" w:sz="4" w:space="0" w:color="auto"/>
            </w:tcBorders>
            <w:shd w:val="clear" w:color="auto" w:fill="DFEBF1" w:themeFill="accent1" w:themeFillTint="1A"/>
            <w:noWrap/>
            <w:vAlign w:val="center"/>
            <w:hideMark/>
          </w:tcPr>
          <w:p w14:paraId="49FE9F70" w14:textId="7DF6FD33"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1,844,001</w:t>
            </w:r>
          </w:p>
        </w:tc>
        <w:tc>
          <w:tcPr>
            <w:tcW w:w="490" w:type="pct"/>
            <w:tcBorders>
              <w:top w:val="single" w:sz="4" w:space="0" w:color="auto"/>
              <w:left w:val="nil"/>
              <w:bottom w:val="nil"/>
              <w:right w:val="single" w:sz="4" w:space="0" w:color="auto"/>
            </w:tcBorders>
            <w:shd w:val="clear" w:color="auto" w:fill="DFEBF1" w:themeFill="accent1" w:themeFillTint="1A"/>
            <w:noWrap/>
            <w:vAlign w:val="center"/>
            <w:hideMark/>
          </w:tcPr>
          <w:p w14:paraId="483767D9" w14:textId="05A4A606"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4,574,694</w:t>
            </w:r>
          </w:p>
        </w:tc>
      </w:tr>
      <w:tr w:rsidR="00514394" w:rsidRPr="001E5EF4" w14:paraId="34C2EF07" w14:textId="77777777" w:rsidTr="00F45F2F">
        <w:trPr>
          <w:gridAfter w:val="1"/>
          <w:wAfter w:w="3" w:type="pct"/>
          <w:trHeight w:val="289"/>
        </w:trPr>
        <w:tc>
          <w:tcPr>
            <w:tcW w:w="3026" w:type="pct"/>
            <w:gridSpan w:val="2"/>
            <w:tcBorders>
              <w:top w:val="nil"/>
              <w:left w:val="single" w:sz="4" w:space="0" w:color="auto"/>
              <w:bottom w:val="single" w:sz="4" w:space="0" w:color="auto"/>
              <w:right w:val="nil"/>
            </w:tcBorders>
            <w:shd w:val="clear" w:color="auto" w:fill="DFEBF1" w:themeFill="accent1" w:themeFillTint="1A"/>
            <w:noWrap/>
            <w:vAlign w:val="center"/>
            <w:hideMark/>
          </w:tcPr>
          <w:p w14:paraId="2C87C17B" w14:textId="77777777" w:rsidR="00CC1C98" w:rsidRPr="00DF4F2E" w:rsidRDefault="00CC1C98" w:rsidP="00BA6C6A">
            <w:pPr>
              <w:keepNext/>
              <w:keepLines/>
              <w:spacing w:before="40" w:after="40" w:line="240" w:lineRule="auto"/>
              <w:rPr>
                <w:rFonts w:eastAsia="Times New Roman" w:cs="Arial"/>
                <w:b/>
                <w:bCs/>
                <w:sz w:val="16"/>
                <w:szCs w:val="16"/>
                <w:lang w:eastAsia="en-AU"/>
              </w:rPr>
            </w:pPr>
            <w:r w:rsidRPr="00DF4F2E">
              <w:rPr>
                <w:rFonts w:eastAsia="Times New Roman" w:cs="Arial"/>
                <w:b/>
                <w:bCs/>
                <w:sz w:val="16"/>
                <w:szCs w:val="16"/>
              </w:rPr>
              <w:t>LESS: Trimmed records</w:t>
            </w:r>
          </w:p>
        </w:tc>
        <w:tc>
          <w:tcPr>
            <w:tcW w:w="469" w:type="pct"/>
            <w:tcBorders>
              <w:top w:val="nil"/>
              <w:left w:val="single" w:sz="4" w:space="0" w:color="auto"/>
              <w:bottom w:val="single" w:sz="4" w:space="0" w:color="auto"/>
              <w:right w:val="nil"/>
            </w:tcBorders>
            <w:shd w:val="clear" w:color="auto" w:fill="DFEBF1" w:themeFill="accent1" w:themeFillTint="1A"/>
            <w:noWrap/>
            <w:vAlign w:val="center"/>
            <w:hideMark/>
          </w:tcPr>
          <w:p w14:paraId="6F166585" w14:textId="469DF9E3" w:rsidR="00CC1C98" w:rsidRPr="00DF4F2E" w:rsidRDefault="00514394" w:rsidP="00514394">
            <w:pPr>
              <w:keepNext/>
              <w:keepLines/>
              <w:spacing w:before="40" w:after="40" w:line="240" w:lineRule="auto"/>
              <w:ind w:right="-110" w:hanging="48"/>
              <w:jc w:val="right"/>
              <w:rPr>
                <w:rFonts w:eastAsia="Times New Roman" w:cs="Arial"/>
                <w:b/>
                <w:bCs/>
                <w:sz w:val="16"/>
                <w:szCs w:val="16"/>
                <w:lang w:eastAsia="en-AU"/>
              </w:rPr>
            </w:pPr>
            <w:r>
              <w:rPr>
                <w:rFonts w:eastAsia="Times New Roman" w:cs="Arial"/>
                <w:b/>
                <w:bCs/>
                <w:sz w:val="16"/>
                <w:szCs w:val="16"/>
              </w:rPr>
              <w:t xml:space="preserve"> </w:t>
            </w:r>
            <w:r w:rsidR="00CC1C98" w:rsidRPr="00DF4F2E">
              <w:rPr>
                <w:rFonts w:eastAsia="Times New Roman" w:cs="Arial"/>
                <w:b/>
                <w:bCs/>
                <w:sz w:val="16"/>
                <w:szCs w:val="16"/>
              </w:rPr>
              <w:t>1,183,417</w:t>
            </w:r>
          </w:p>
        </w:tc>
        <w:tc>
          <w:tcPr>
            <w:tcW w:w="521" w:type="pct"/>
            <w:tcBorders>
              <w:top w:val="nil"/>
              <w:left w:val="nil"/>
              <w:bottom w:val="single" w:sz="4" w:space="0" w:color="auto"/>
              <w:right w:val="nil"/>
            </w:tcBorders>
            <w:shd w:val="clear" w:color="auto" w:fill="DFEBF1" w:themeFill="accent1" w:themeFillTint="1A"/>
            <w:noWrap/>
            <w:vAlign w:val="center"/>
            <w:hideMark/>
          </w:tcPr>
          <w:p w14:paraId="4941975A" w14:textId="7CA3DF18"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1,052,279</w:t>
            </w:r>
          </w:p>
        </w:tc>
        <w:tc>
          <w:tcPr>
            <w:tcW w:w="491" w:type="pct"/>
            <w:tcBorders>
              <w:top w:val="nil"/>
              <w:left w:val="nil"/>
              <w:bottom w:val="single" w:sz="4" w:space="0" w:color="auto"/>
              <w:right w:val="single" w:sz="4" w:space="0" w:color="auto"/>
            </w:tcBorders>
            <w:shd w:val="clear" w:color="auto" w:fill="DFEBF1" w:themeFill="accent1" w:themeFillTint="1A"/>
            <w:noWrap/>
            <w:vAlign w:val="center"/>
            <w:hideMark/>
          </w:tcPr>
          <w:p w14:paraId="7458313B" w14:textId="210313D3" w:rsidR="00CC1C98" w:rsidRPr="00DF4F2E" w:rsidRDefault="00CC1C98" w:rsidP="00796BAB">
            <w:pPr>
              <w:keepNext/>
              <w:keepLines/>
              <w:spacing w:before="40" w:after="40" w:line="240" w:lineRule="auto"/>
              <w:ind w:left="-305" w:firstLine="305"/>
              <w:jc w:val="right"/>
              <w:rPr>
                <w:rFonts w:eastAsia="Times New Roman" w:cs="Arial"/>
                <w:b/>
                <w:bCs/>
                <w:sz w:val="16"/>
                <w:szCs w:val="16"/>
                <w:lang w:eastAsia="en-AU"/>
              </w:rPr>
            </w:pPr>
            <w:r w:rsidRPr="00DF4F2E">
              <w:rPr>
                <w:rFonts w:eastAsia="Times New Roman" w:cs="Arial"/>
                <w:b/>
                <w:bCs/>
                <w:sz w:val="16"/>
                <w:szCs w:val="16"/>
              </w:rPr>
              <w:t>1,568,685</w:t>
            </w:r>
          </w:p>
        </w:tc>
        <w:tc>
          <w:tcPr>
            <w:tcW w:w="490" w:type="pct"/>
            <w:tcBorders>
              <w:top w:val="nil"/>
              <w:left w:val="nil"/>
              <w:bottom w:val="single" w:sz="4" w:space="0" w:color="auto"/>
              <w:right w:val="single" w:sz="4" w:space="0" w:color="auto"/>
            </w:tcBorders>
            <w:shd w:val="clear" w:color="auto" w:fill="DFEBF1" w:themeFill="accent1" w:themeFillTint="1A"/>
            <w:noWrap/>
            <w:vAlign w:val="center"/>
            <w:hideMark/>
          </w:tcPr>
          <w:p w14:paraId="7665A6F5" w14:textId="6E497BD1"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3,804,381</w:t>
            </w:r>
          </w:p>
        </w:tc>
      </w:tr>
      <w:tr w:rsidR="00514394" w:rsidRPr="001E5EF4" w14:paraId="300AAF9C" w14:textId="77777777" w:rsidTr="00F45F2F">
        <w:trPr>
          <w:gridAfter w:val="1"/>
          <w:wAfter w:w="3" w:type="pct"/>
          <w:trHeight w:val="289"/>
        </w:trPr>
        <w:tc>
          <w:tcPr>
            <w:tcW w:w="3026" w:type="pct"/>
            <w:gridSpan w:val="2"/>
            <w:tcBorders>
              <w:top w:val="nil"/>
              <w:left w:val="single" w:sz="4" w:space="0" w:color="auto"/>
              <w:bottom w:val="single" w:sz="4" w:space="0" w:color="auto"/>
              <w:right w:val="nil"/>
            </w:tcBorders>
            <w:shd w:val="clear" w:color="auto" w:fill="DFEBF1" w:themeFill="accent1" w:themeFillTint="1A"/>
            <w:noWrap/>
            <w:vAlign w:val="center"/>
            <w:hideMark/>
          </w:tcPr>
          <w:p w14:paraId="3558BA48"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Records trimmed due to unusable data</w:t>
            </w:r>
          </w:p>
        </w:tc>
        <w:tc>
          <w:tcPr>
            <w:tcW w:w="469" w:type="pct"/>
            <w:tcBorders>
              <w:top w:val="nil"/>
              <w:left w:val="single" w:sz="4" w:space="0" w:color="auto"/>
              <w:bottom w:val="single" w:sz="4" w:space="0" w:color="auto"/>
              <w:right w:val="nil"/>
            </w:tcBorders>
            <w:shd w:val="clear" w:color="auto" w:fill="DFEBF1" w:themeFill="accent1" w:themeFillTint="1A"/>
            <w:noWrap/>
            <w:vAlign w:val="center"/>
            <w:hideMark/>
          </w:tcPr>
          <w:p w14:paraId="27EF34B9" w14:textId="2B08FE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900,087</w:t>
            </w:r>
          </w:p>
        </w:tc>
        <w:tc>
          <w:tcPr>
            <w:tcW w:w="521" w:type="pct"/>
            <w:tcBorders>
              <w:top w:val="nil"/>
              <w:left w:val="nil"/>
              <w:bottom w:val="single" w:sz="4" w:space="0" w:color="auto"/>
              <w:right w:val="nil"/>
            </w:tcBorders>
            <w:shd w:val="clear" w:color="auto" w:fill="DFEBF1" w:themeFill="accent1" w:themeFillTint="1A"/>
            <w:noWrap/>
            <w:vAlign w:val="center"/>
            <w:hideMark/>
          </w:tcPr>
          <w:p w14:paraId="1EC66B82" w14:textId="6DF35CB0"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773,830</w:t>
            </w:r>
          </w:p>
        </w:tc>
        <w:tc>
          <w:tcPr>
            <w:tcW w:w="491" w:type="pct"/>
            <w:tcBorders>
              <w:top w:val="nil"/>
              <w:left w:val="nil"/>
              <w:bottom w:val="single" w:sz="4" w:space="0" w:color="auto"/>
              <w:right w:val="single" w:sz="4" w:space="0" w:color="auto"/>
            </w:tcBorders>
            <w:shd w:val="clear" w:color="auto" w:fill="DFEBF1" w:themeFill="accent1" w:themeFillTint="1A"/>
            <w:noWrap/>
            <w:vAlign w:val="center"/>
            <w:hideMark/>
          </w:tcPr>
          <w:p w14:paraId="3D172CF3" w14:textId="7409ADF6"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1,323,450</w:t>
            </w:r>
          </w:p>
        </w:tc>
        <w:tc>
          <w:tcPr>
            <w:tcW w:w="490" w:type="pct"/>
            <w:tcBorders>
              <w:top w:val="nil"/>
              <w:left w:val="nil"/>
              <w:bottom w:val="single" w:sz="4" w:space="0" w:color="auto"/>
              <w:right w:val="single" w:sz="4" w:space="0" w:color="auto"/>
            </w:tcBorders>
            <w:shd w:val="clear" w:color="auto" w:fill="DFEBF1" w:themeFill="accent1" w:themeFillTint="1A"/>
            <w:noWrap/>
            <w:vAlign w:val="center"/>
            <w:hideMark/>
          </w:tcPr>
          <w:p w14:paraId="3D242E22" w14:textId="3673EFF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2,997,367</w:t>
            </w:r>
          </w:p>
        </w:tc>
      </w:tr>
      <w:tr w:rsidR="00514394" w:rsidRPr="001E5EF4" w14:paraId="4BB7F452"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24FFC4AC"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1A</w:t>
            </w:r>
          </w:p>
        </w:tc>
        <w:tc>
          <w:tcPr>
            <w:tcW w:w="2620" w:type="pct"/>
            <w:tcBorders>
              <w:top w:val="nil"/>
              <w:left w:val="nil"/>
              <w:bottom w:val="single" w:sz="4" w:space="0" w:color="auto"/>
              <w:right w:val="nil"/>
            </w:tcBorders>
            <w:shd w:val="clear" w:color="auto" w:fill="auto"/>
            <w:noWrap/>
            <w:vAlign w:val="center"/>
            <w:hideMark/>
          </w:tcPr>
          <w:p w14:paraId="0328BB87" w14:textId="7500A1F9"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Age less than zero (phase start date before birth date OR missing birth date)</w:t>
            </w:r>
          </w:p>
        </w:tc>
        <w:tc>
          <w:tcPr>
            <w:tcW w:w="469" w:type="pct"/>
            <w:tcBorders>
              <w:top w:val="nil"/>
              <w:left w:val="single" w:sz="4" w:space="0" w:color="auto"/>
              <w:bottom w:val="single" w:sz="4" w:space="0" w:color="auto"/>
              <w:right w:val="nil"/>
            </w:tcBorders>
            <w:shd w:val="clear" w:color="auto" w:fill="auto"/>
            <w:noWrap/>
            <w:vAlign w:val="center"/>
            <w:hideMark/>
          </w:tcPr>
          <w:p w14:paraId="4CAED0A1" w14:textId="7EBAE1A6"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w:t>
            </w:r>
          </w:p>
        </w:tc>
        <w:tc>
          <w:tcPr>
            <w:tcW w:w="521" w:type="pct"/>
            <w:tcBorders>
              <w:top w:val="nil"/>
              <w:left w:val="nil"/>
              <w:bottom w:val="single" w:sz="4" w:space="0" w:color="auto"/>
              <w:right w:val="nil"/>
            </w:tcBorders>
            <w:shd w:val="clear" w:color="auto" w:fill="auto"/>
            <w:noWrap/>
            <w:vAlign w:val="center"/>
            <w:hideMark/>
          </w:tcPr>
          <w:p w14:paraId="69869F3C" w14:textId="6F08B540"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230,048</w:t>
            </w:r>
          </w:p>
        </w:tc>
        <w:tc>
          <w:tcPr>
            <w:tcW w:w="491" w:type="pct"/>
            <w:tcBorders>
              <w:top w:val="nil"/>
              <w:left w:val="nil"/>
              <w:bottom w:val="single" w:sz="4" w:space="0" w:color="auto"/>
              <w:right w:val="single" w:sz="4" w:space="0" w:color="auto"/>
            </w:tcBorders>
            <w:shd w:val="clear" w:color="auto" w:fill="auto"/>
            <w:noWrap/>
            <w:vAlign w:val="center"/>
            <w:hideMark/>
          </w:tcPr>
          <w:p w14:paraId="6C979D1B" w14:textId="700C704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205,756</w:t>
            </w:r>
          </w:p>
        </w:tc>
        <w:tc>
          <w:tcPr>
            <w:tcW w:w="490" w:type="pct"/>
            <w:tcBorders>
              <w:top w:val="nil"/>
              <w:left w:val="nil"/>
              <w:bottom w:val="single" w:sz="4" w:space="0" w:color="auto"/>
              <w:right w:val="single" w:sz="4" w:space="0" w:color="auto"/>
            </w:tcBorders>
            <w:shd w:val="clear" w:color="auto" w:fill="auto"/>
            <w:noWrap/>
            <w:vAlign w:val="center"/>
            <w:hideMark/>
          </w:tcPr>
          <w:p w14:paraId="0F730C9F" w14:textId="4D4460D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435,805</w:t>
            </w:r>
          </w:p>
        </w:tc>
      </w:tr>
      <w:tr w:rsidR="00514394" w:rsidRPr="001E5EF4" w14:paraId="1688CE74"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6B24CF58"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1B</w:t>
            </w:r>
          </w:p>
        </w:tc>
        <w:tc>
          <w:tcPr>
            <w:tcW w:w="2620" w:type="pct"/>
            <w:tcBorders>
              <w:top w:val="nil"/>
              <w:left w:val="nil"/>
              <w:bottom w:val="single" w:sz="4" w:space="0" w:color="auto"/>
              <w:right w:val="nil"/>
            </w:tcBorders>
            <w:shd w:val="clear" w:color="auto" w:fill="auto"/>
            <w:noWrap/>
            <w:vAlign w:val="center"/>
            <w:hideMark/>
          </w:tcPr>
          <w:p w14:paraId="7E334FD6" w14:textId="4C3C2C0E"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Age less than zero (age could not be calculated)</w:t>
            </w:r>
          </w:p>
        </w:tc>
        <w:tc>
          <w:tcPr>
            <w:tcW w:w="469" w:type="pct"/>
            <w:tcBorders>
              <w:top w:val="nil"/>
              <w:left w:val="single" w:sz="4" w:space="0" w:color="auto"/>
              <w:bottom w:val="single" w:sz="4" w:space="0" w:color="auto"/>
              <w:right w:val="nil"/>
            </w:tcBorders>
            <w:shd w:val="clear" w:color="auto" w:fill="auto"/>
            <w:noWrap/>
            <w:vAlign w:val="center"/>
            <w:hideMark/>
          </w:tcPr>
          <w:p w14:paraId="118AC21A" w14:textId="52D01A34"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521" w:type="pct"/>
            <w:tcBorders>
              <w:top w:val="nil"/>
              <w:left w:val="nil"/>
              <w:bottom w:val="single" w:sz="4" w:space="0" w:color="auto"/>
              <w:right w:val="nil"/>
            </w:tcBorders>
            <w:shd w:val="clear" w:color="auto" w:fill="auto"/>
            <w:noWrap/>
            <w:vAlign w:val="center"/>
            <w:hideMark/>
          </w:tcPr>
          <w:p w14:paraId="13450E94" w14:textId="12EF9A94"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126,075</w:t>
            </w:r>
          </w:p>
        </w:tc>
        <w:tc>
          <w:tcPr>
            <w:tcW w:w="491" w:type="pct"/>
            <w:tcBorders>
              <w:top w:val="nil"/>
              <w:left w:val="nil"/>
              <w:bottom w:val="single" w:sz="4" w:space="0" w:color="auto"/>
              <w:right w:val="single" w:sz="4" w:space="0" w:color="auto"/>
            </w:tcBorders>
            <w:shd w:val="clear" w:color="auto" w:fill="auto"/>
            <w:noWrap/>
            <w:vAlign w:val="center"/>
            <w:hideMark/>
          </w:tcPr>
          <w:p w14:paraId="5B4D00E8" w14:textId="50103FA1"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585,356</w:t>
            </w:r>
          </w:p>
        </w:tc>
        <w:tc>
          <w:tcPr>
            <w:tcW w:w="490" w:type="pct"/>
            <w:tcBorders>
              <w:top w:val="nil"/>
              <w:left w:val="nil"/>
              <w:bottom w:val="single" w:sz="4" w:space="0" w:color="auto"/>
              <w:right w:val="single" w:sz="4" w:space="0" w:color="auto"/>
            </w:tcBorders>
            <w:shd w:val="clear" w:color="auto" w:fill="auto"/>
            <w:noWrap/>
            <w:vAlign w:val="center"/>
            <w:hideMark/>
          </w:tcPr>
          <w:p w14:paraId="3428A683" w14:textId="537AF39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711,431</w:t>
            </w:r>
          </w:p>
        </w:tc>
      </w:tr>
      <w:tr w:rsidR="00514394" w:rsidRPr="001E5EF4" w14:paraId="636EC739" w14:textId="77777777" w:rsidTr="00514394">
        <w:trPr>
          <w:gridAfter w:val="1"/>
          <w:wAfter w:w="3" w:type="pct"/>
          <w:trHeight w:val="289"/>
        </w:trPr>
        <w:tc>
          <w:tcPr>
            <w:tcW w:w="406" w:type="pct"/>
            <w:tcBorders>
              <w:top w:val="single" w:sz="4" w:space="0" w:color="auto"/>
              <w:left w:val="single" w:sz="4" w:space="0" w:color="auto"/>
              <w:bottom w:val="single" w:sz="4" w:space="0" w:color="auto"/>
              <w:right w:val="nil"/>
            </w:tcBorders>
            <w:shd w:val="clear" w:color="auto" w:fill="auto"/>
            <w:noWrap/>
            <w:vAlign w:val="center"/>
            <w:hideMark/>
          </w:tcPr>
          <w:p w14:paraId="1964E9F8"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w:t>
            </w:r>
          </w:p>
        </w:tc>
        <w:tc>
          <w:tcPr>
            <w:tcW w:w="2620" w:type="pct"/>
            <w:tcBorders>
              <w:top w:val="nil"/>
              <w:left w:val="nil"/>
              <w:bottom w:val="single" w:sz="4" w:space="0" w:color="auto"/>
              <w:right w:val="nil"/>
            </w:tcBorders>
            <w:shd w:val="clear" w:color="auto" w:fill="auto"/>
            <w:noWrap/>
            <w:vAlign w:val="center"/>
            <w:hideMark/>
          </w:tcPr>
          <w:p w14:paraId="4F70A0EA"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Unknown length of stay</w:t>
            </w:r>
          </w:p>
        </w:tc>
        <w:tc>
          <w:tcPr>
            <w:tcW w:w="469" w:type="pct"/>
            <w:tcBorders>
              <w:top w:val="nil"/>
              <w:left w:val="single" w:sz="4" w:space="0" w:color="auto"/>
              <w:bottom w:val="single" w:sz="4" w:space="0" w:color="auto"/>
              <w:right w:val="nil"/>
            </w:tcBorders>
            <w:shd w:val="clear" w:color="auto" w:fill="auto"/>
            <w:noWrap/>
            <w:vAlign w:val="center"/>
            <w:hideMark/>
          </w:tcPr>
          <w:p w14:paraId="2EDA1856" w14:textId="3E93ECA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521" w:type="pct"/>
            <w:tcBorders>
              <w:top w:val="nil"/>
              <w:left w:val="nil"/>
              <w:bottom w:val="single" w:sz="4" w:space="0" w:color="auto"/>
              <w:right w:val="nil"/>
            </w:tcBorders>
            <w:shd w:val="clear" w:color="auto" w:fill="auto"/>
            <w:noWrap/>
            <w:vAlign w:val="center"/>
            <w:hideMark/>
          </w:tcPr>
          <w:p w14:paraId="7FE46139" w14:textId="22C56559"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25</w:t>
            </w:r>
          </w:p>
        </w:tc>
        <w:tc>
          <w:tcPr>
            <w:tcW w:w="491" w:type="pct"/>
            <w:tcBorders>
              <w:top w:val="nil"/>
              <w:left w:val="nil"/>
              <w:bottom w:val="single" w:sz="4" w:space="0" w:color="auto"/>
              <w:right w:val="single" w:sz="4" w:space="0" w:color="auto"/>
            </w:tcBorders>
            <w:shd w:val="clear" w:color="auto" w:fill="auto"/>
            <w:noWrap/>
            <w:vAlign w:val="center"/>
            <w:hideMark/>
          </w:tcPr>
          <w:p w14:paraId="7772BA92" w14:textId="369DF0B0"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50</w:t>
            </w:r>
          </w:p>
        </w:tc>
        <w:tc>
          <w:tcPr>
            <w:tcW w:w="490" w:type="pct"/>
            <w:tcBorders>
              <w:top w:val="nil"/>
              <w:left w:val="nil"/>
              <w:bottom w:val="single" w:sz="4" w:space="0" w:color="auto"/>
              <w:right w:val="single" w:sz="4" w:space="0" w:color="auto"/>
            </w:tcBorders>
            <w:shd w:val="clear" w:color="auto" w:fill="auto"/>
            <w:noWrap/>
            <w:vAlign w:val="center"/>
            <w:hideMark/>
          </w:tcPr>
          <w:p w14:paraId="076C5E6A" w14:textId="567F2F8F"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75</w:t>
            </w:r>
          </w:p>
        </w:tc>
      </w:tr>
      <w:tr w:rsidR="00514394" w:rsidRPr="001E5EF4" w14:paraId="7816B9D6"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2BDDB0D2"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w:t>
            </w:r>
          </w:p>
        </w:tc>
        <w:tc>
          <w:tcPr>
            <w:tcW w:w="2620" w:type="pct"/>
            <w:tcBorders>
              <w:top w:val="nil"/>
              <w:left w:val="nil"/>
              <w:bottom w:val="single" w:sz="4" w:space="0" w:color="auto"/>
              <w:right w:val="nil"/>
            </w:tcBorders>
            <w:shd w:val="clear" w:color="auto" w:fill="auto"/>
            <w:noWrap/>
            <w:vAlign w:val="center"/>
            <w:hideMark/>
          </w:tcPr>
          <w:p w14:paraId="72D53D54"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High per diem cost outlier</w:t>
            </w:r>
          </w:p>
        </w:tc>
        <w:tc>
          <w:tcPr>
            <w:tcW w:w="469" w:type="pct"/>
            <w:tcBorders>
              <w:top w:val="nil"/>
              <w:left w:val="single" w:sz="4" w:space="0" w:color="auto"/>
              <w:bottom w:val="single" w:sz="4" w:space="0" w:color="auto"/>
              <w:right w:val="nil"/>
            </w:tcBorders>
            <w:shd w:val="clear" w:color="auto" w:fill="auto"/>
            <w:noWrap/>
            <w:vAlign w:val="center"/>
            <w:hideMark/>
          </w:tcPr>
          <w:p w14:paraId="799EC5EF" w14:textId="7066CA2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8,210</w:t>
            </w:r>
          </w:p>
        </w:tc>
        <w:tc>
          <w:tcPr>
            <w:tcW w:w="521" w:type="pct"/>
            <w:tcBorders>
              <w:top w:val="nil"/>
              <w:left w:val="nil"/>
              <w:bottom w:val="single" w:sz="4" w:space="0" w:color="auto"/>
              <w:right w:val="nil"/>
            </w:tcBorders>
            <w:shd w:val="clear" w:color="auto" w:fill="auto"/>
            <w:noWrap/>
            <w:vAlign w:val="center"/>
            <w:hideMark/>
          </w:tcPr>
          <w:p w14:paraId="5B1C5CEE" w14:textId="0769B203"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12,971</w:t>
            </w:r>
          </w:p>
        </w:tc>
        <w:tc>
          <w:tcPr>
            <w:tcW w:w="491" w:type="pct"/>
            <w:tcBorders>
              <w:top w:val="nil"/>
              <w:left w:val="nil"/>
              <w:bottom w:val="single" w:sz="4" w:space="0" w:color="auto"/>
              <w:right w:val="single" w:sz="4" w:space="0" w:color="auto"/>
            </w:tcBorders>
            <w:shd w:val="clear" w:color="auto" w:fill="auto"/>
            <w:noWrap/>
            <w:vAlign w:val="center"/>
            <w:hideMark/>
          </w:tcPr>
          <w:p w14:paraId="6A260115" w14:textId="0930D0A8"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17,151</w:t>
            </w:r>
          </w:p>
        </w:tc>
        <w:tc>
          <w:tcPr>
            <w:tcW w:w="490" w:type="pct"/>
            <w:tcBorders>
              <w:top w:val="nil"/>
              <w:left w:val="nil"/>
              <w:bottom w:val="single" w:sz="4" w:space="0" w:color="auto"/>
              <w:right w:val="single" w:sz="4" w:space="0" w:color="auto"/>
            </w:tcBorders>
            <w:shd w:val="clear" w:color="auto" w:fill="auto"/>
            <w:noWrap/>
            <w:vAlign w:val="center"/>
            <w:hideMark/>
          </w:tcPr>
          <w:p w14:paraId="4F046EAD" w14:textId="07314679"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38,332</w:t>
            </w:r>
          </w:p>
        </w:tc>
      </w:tr>
      <w:tr w:rsidR="00514394" w:rsidRPr="001E5EF4" w14:paraId="1BB44CD8"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1AE44287"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4</w:t>
            </w:r>
          </w:p>
        </w:tc>
        <w:tc>
          <w:tcPr>
            <w:tcW w:w="2620" w:type="pct"/>
            <w:tcBorders>
              <w:top w:val="nil"/>
              <w:left w:val="nil"/>
              <w:bottom w:val="single" w:sz="4" w:space="0" w:color="auto"/>
              <w:right w:val="nil"/>
            </w:tcBorders>
            <w:shd w:val="clear" w:color="auto" w:fill="auto"/>
            <w:noWrap/>
            <w:vAlign w:val="center"/>
            <w:hideMark/>
          </w:tcPr>
          <w:p w14:paraId="41D8EB37"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Activity not matched to cost</w:t>
            </w:r>
          </w:p>
        </w:tc>
        <w:tc>
          <w:tcPr>
            <w:tcW w:w="469" w:type="pct"/>
            <w:tcBorders>
              <w:top w:val="nil"/>
              <w:left w:val="single" w:sz="4" w:space="0" w:color="auto"/>
              <w:bottom w:val="single" w:sz="4" w:space="0" w:color="auto"/>
              <w:right w:val="nil"/>
            </w:tcBorders>
            <w:shd w:val="clear" w:color="auto" w:fill="auto"/>
            <w:noWrap/>
            <w:vAlign w:val="center"/>
            <w:hideMark/>
          </w:tcPr>
          <w:p w14:paraId="39C48355" w14:textId="48F0CF2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871,666</w:t>
            </w:r>
          </w:p>
        </w:tc>
        <w:tc>
          <w:tcPr>
            <w:tcW w:w="521" w:type="pct"/>
            <w:tcBorders>
              <w:top w:val="nil"/>
              <w:left w:val="nil"/>
              <w:bottom w:val="single" w:sz="4" w:space="0" w:color="auto"/>
              <w:right w:val="nil"/>
            </w:tcBorders>
            <w:shd w:val="clear" w:color="auto" w:fill="auto"/>
            <w:noWrap/>
            <w:vAlign w:val="center"/>
            <w:hideMark/>
          </w:tcPr>
          <w:p w14:paraId="42EF325D" w14:textId="1BDD3E48"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393,098</w:t>
            </w:r>
          </w:p>
        </w:tc>
        <w:tc>
          <w:tcPr>
            <w:tcW w:w="491" w:type="pct"/>
            <w:tcBorders>
              <w:top w:val="nil"/>
              <w:left w:val="nil"/>
              <w:bottom w:val="single" w:sz="4" w:space="0" w:color="auto"/>
              <w:right w:val="single" w:sz="4" w:space="0" w:color="auto"/>
            </w:tcBorders>
            <w:shd w:val="clear" w:color="auto" w:fill="auto"/>
            <w:noWrap/>
            <w:vAlign w:val="center"/>
            <w:hideMark/>
          </w:tcPr>
          <w:p w14:paraId="6D6BF57F" w14:textId="6BFE89C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509,271</w:t>
            </w:r>
          </w:p>
        </w:tc>
        <w:tc>
          <w:tcPr>
            <w:tcW w:w="490" w:type="pct"/>
            <w:tcBorders>
              <w:top w:val="nil"/>
              <w:left w:val="nil"/>
              <w:bottom w:val="single" w:sz="4" w:space="0" w:color="auto"/>
              <w:right w:val="single" w:sz="4" w:space="0" w:color="auto"/>
            </w:tcBorders>
            <w:shd w:val="clear" w:color="auto" w:fill="auto"/>
            <w:noWrap/>
            <w:vAlign w:val="center"/>
            <w:hideMark/>
          </w:tcPr>
          <w:p w14:paraId="61B5EF90" w14:textId="22EC590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1,774,035</w:t>
            </w:r>
          </w:p>
        </w:tc>
      </w:tr>
      <w:tr w:rsidR="00514394" w:rsidRPr="001E5EF4" w14:paraId="5682C5FA"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6EF4B2AA"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w:t>
            </w:r>
          </w:p>
        </w:tc>
        <w:tc>
          <w:tcPr>
            <w:tcW w:w="2620" w:type="pct"/>
            <w:tcBorders>
              <w:top w:val="nil"/>
              <w:left w:val="nil"/>
              <w:bottom w:val="single" w:sz="4" w:space="0" w:color="auto"/>
              <w:right w:val="nil"/>
            </w:tcBorders>
            <w:shd w:val="clear" w:color="auto" w:fill="auto"/>
            <w:noWrap/>
            <w:vAlign w:val="center"/>
            <w:hideMark/>
          </w:tcPr>
          <w:p w14:paraId="3C770670"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Episode level cost not matched to activity</w:t>
            </w:r>
          </w:p>
        </w:tc>
        <w:tc>
          <w:tcPr>
            <w:tcW w:w="469" w:type="pct"/>
            <w:tcBorders>
              <w:top w:val="nil"/>
              <w:left w:val="single" w:sz="4" w:space="0" w:color="auto"/>
              <w:bottom w:val="single" w:sz="4" w:space="0" w:color="auto"/>
              <w:right w:val="nil"/>
            </w:tcBorders>
            <w:shd w:val="clear" w:color="auto" w:fill="auto"/>
            <w:noWrap/>
            <w:vAlign w:val="center"/>
            <w:hideMark/>
          </w:tcPr>
          <w:p w14:paraId="3D3ED912" w14:textId="6C60048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340</w:t>
            </w:r>
          </w:p>
        </w:tc>
        <w:tc>
          <w:tcPr>
            <w:tcW w:w="521" w:type="pct"/>
            <w:tcBorders>
              <w:top w:val="nil"/>
              <w:left w:val="nil"/>
              <w:bottom w:val="single" w:sz="4" w:space="0" w:color="auto"/>
              <w:right w:val="nil"/>
            </w:tcBorders>
            <w:shd w:val="clear" w:color="auto" w:fill="auto"/>
            <w:noWrap/>
            <w:vAlign w:val="center"/>
            <w:hideMark/>
          </w:tcPr>
          <w:p w14:paraId="2F1A4DF9" w14:textId="7A988CC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14:paraId="1F2E1968" w14:textId="0A9419B0"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46917D5A" w14:textId="0FC668BA"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340</w:t>
            </w:r>
          </w:p>
        </w:tc>
      </w:tr>
      <w:tr w:rsidR="00514394" w:rsidRPr="001E5EF4" w14:paraId="3F2A1966"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71F1F151"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6</w:t>
            </w:r>
          </w:p>
        </w:tc>
        <w:tc>
          <w:tcPr>
            <w:tcW w:w="2620" w:type="pct"/>
            <w:tcBorders>
              <w:top w:val="nil"/>
              <w:left w:val="nil"/>
              <w:bottom w:val="single" w:sz="4" w:space="0" w:color="auto"/>
              <w:right w:val="nil"/>
            </w:tcBorders>
            <w:shd w:val="clear" w:color="auto" w:fill="auto"/>
            <w:noWrap/>
            <w:vAlign w:val="center"/>
            <w:hideMark/>
          </w:tcPr>
          <w:p w14:paraId="69C3A709"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Phase level cost not matched to activity</w:t>
            </w:r>
          </w:p>
        </w:tc>
        <w:tc>
          <w:tcPr>
            <w:tcW w:w="469" w:type="pct"/>
            <w:tcBorders>
              <w:top w:val="nil"/>
              <w:left w:val="single" w:sz="4" w:space="0" w:color="auto"/>
              <w:bottom w:val="single" w:sz="4" w:space="0" w:color="auto"/>
              <w:right w:val="nil"/>
            </w:tcBorders>
            <w:shd w:val="clear" w:color="auto" w:fill="auto"/>
            <w:noWrap/>
            <w:vAlign w:val="center"/>
            <w:hideMark/>
          </w:tcPr>
          <w:p w14:paraId="11EBF2CB" w14:textId="768951DF"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3,063</w:t>
            </w:r>
          </w:p>
        </w:tc>
        <w:tc>
          <w:tcPr>
            <w:tcW w:w="521" w:type="pct"/>
            <w:tcBorders>
              <w:top w:val="nil"/>
              <w:left w:val="nil"/>
              <w:bottom w:val="single" w:sz="4" w:space="0" w:color="auto"/>
              <w:right w:val="nil"/>
            </w:tcBorders>
            <w:shd w:val="clear" w:color="auto" w:fill="auto"/>
            <w:noWrap/>
            <w:vAlign w:val="center"/>
            <w:hideMark/>
          </w:tcPr>
          <w:p w14:paraId="23CE0627" w14:textId="3D2A2D7E"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491" w:type="pct"/>
            <w:tcBorders>
              <w:top w:val="nil"/>
              <w:left w:val="nil"/>
              <w:bottom w:val="single" w:sz="4" w:space="0" w:color="auto"/>
              <w:right w:val="single" w:sz="4" w:space="0" w:color="auto"/>
            </w:tcBorders>
            <w:shd w:val="clear" w:color="auto" w:fill="auto"/>
            <w:noWrap/>
            <w:vAlign w:val="center"/>
            <w:hideMark/>
          </w:tcPr>
          <w:p w14:paraId="31CEC6AF" w14:textId="651A5B5B"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64A8EA1C" w14:textId="20A90A9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3,063</w:t>
            </w:r>
          </w:p>
        </w:tc>
      </w:tr>
      <w:tr w:rsidR="00514394" w:rsidRPr="001E5EF4" w14:paraId="1084ED0B" w14:textId="77777777" w:rsidTr="00514394">
        <w:trPr>
          <w:gridAfter w:val="1"/>
          <w:wAfter w:w="3" w:type="pct"/>
          <w:trHeight w:val="289"/>
        </w:trPr>
        <w:tc>
          <w:tcPr>
            <w:tcW w:w="406" w:type="pct"/>
            <w:tcBorders>
              <w:top w:val="nil"/>
              <w:left w:val="single" w:sz="4" w:space="0" w:color="auto"/>
              <w:bottom w:val="nil"/>
              <w:right w:val="nil"/>
            </w:tcBorders>
            <w:shd w:val="clear" w:color="auto" w:fill="auto"/>
            <w:noWrap/>
            <w:vAlign w:val="center"/>
            <w:hideMark/>
          </w:tcPr>
          <w:p w14:paraId="4D1D471B"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7</w:t>
            </w:r>
          </w:p>
        </w:tc>
        <w:tc>
          <w:tcPr>
            <w:tcW w:w="2620" w:type="pct"/>
            <w:tcBorders>
              <w:top w:val="nil"/>
              <w:left w:val="nil"/>
              <w:bottom w:val="nil"/>
              <w:right w:val="nil"/>
            </w:tcBorders>
            <w:shd w:val="clear" w:color="auto" w:fill="auto"/>
            <w:noWrap/>
            <w:vAlign w:val="center"/>
            <w:hideMark/>
          </w:tcPr>
          <w:p w14:paraId="773DA39B"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Zero cost record</w:t>
            </w:r>
          </w:p>
        </w:tc>
        <w:tc>
          <w:tcPr>
            <w:tcW w:w="469" w:type="pct"/>
            <w:tcBorders>
              <w:top w:val="nil"/>
              <w:left w:val="single" w:sz="4" w:space="0" w:color="auto"/>
              <w:bottom w:val="single" w:sz="4" w:space="0" w:color="auto"/>
              <w:right w:val="nil"/>
            </w:tcBorders>
            <w:shd w:val="clear" w:color="auto" w:fill="auto"/>
            <w:noWrap/>
            <w:vAlign w:val="center"/>
            <w:hideMark/>
          </w:tcPr>
          <w:p w14:paraId="12BA787B" w14:textId="413C658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16,807</w:t>
            </w:r>
          </w:p>
        </w:tc>
        <w:tc>
          <w:tcPr>
            <w:tcW w:w="521" w:type="pct"/>
            <w:tcBorders>
              <w:top w:val="nil"/>
              <w:left w:val="nil"/>
              <w:bottom w:val="nil"/>
              <w:right w:val="nil"/>
            </w:tcBorders>
            <w:shd w:val="clear" w:color="auto" w:fill="auto"/>
            <w:noWrap/>
            <w:vAlign w:val="center"/>
            <w:hideMark/>
          </w:tcPr>
          <w:p w14:paraId="16ACD43D" w14:textId="06EB3A83"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11,613</w:t>
            </w:r>
          </w:p>
        </w:tc>
        <w:tc>
          <w:tcPr>
            <w:tcW w:w="491" w:type="pct"/>
            <w:tcBorders>
              <w:top w:val="nil"/>
              <w:left w:val="nil"/>
              <w:bottom w:val="nil"/>
              <w:right w:val="single" w:sz="4" w:space="0" w:color="auto"/>
            </w:tcBorders>
            <w:shd w:val="clear" w:color="auto" w:fill="auto"/>
            <w:noWrap/>
            <w:vAlign w:val="center"/>
            <w:hideMark/>
          </w:tcPr>
          <w:p w14:paraId="7F56DB8F" w14:textId="230850AA"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5,866</w:t>
            </w:r>
          </w:p>
        </w:tc>
        <w:tc>
          <w:tcPr>
            <w:tcW w:w="490" w:type="pct"/>
            <w:tcBorders>
              <w:top w:val="nil"/>
              <w:left w:val="nil"/>
              <w:bottom w:val="nil"/>
              <w:right w:val="single" w:sz="4" w:space="0" w:color="auto"/>
            </w:tcBorders>
            <w:shd w:val="clear" w:color="auto" w:fill="auto"/>
            <w:noWrap/>
            <w:vAlign w:val="center"/>
            <w:hideMark/>
          </w:tcPr>
          <w:p w14:paraId="4231EE04" w14:textId="7C661CD9"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34,286</w:t>
            </w:r>
          </w:p>
        </w:tc>
      </w:tr>
      <w:tr w:rsidR="00514394" w:rsidRPr="001E5EF4" w14:paraId="24EEFBF2" w14:textId="77777777" w:rsidTr="00F45F2F">
        <w:trPr>
          <w:gridAfter w:val="1"/>
          <w:wAfter w:w="3" w:type="pct"/>
          <w:trHeight w:val="289"/>
        </w:trPr>
        <w:tc>
          <w:tcPr>
            <w:tcW w:w="3026" w:type="pct"/>
            <w:gridSpan w:val="2"/>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56866D73"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Records trimmed because they are out of scope for AMHCC</w:t>
            </w:r>
          </w:p>
        </w:tc>
        <w:tc>
          <w:tcPr>
            <w:tcW w:w="469" w:type="pct"/>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7E21C64A" w14:textId="2C1CBB66"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542</w:t>
            </w:r>
          </w:p>
        </w:tc>
        <w:tc>
          <w:tcPr>
            <w:tcW w:w="521" w:type="pct"/>
            <w:tcBorders>
              <w:top w:val="single" w:sz="4" w:space="0" w:color="auto"/>
              <w:left w:val="nil"/>
              <w:bottom w:val="single" w:sz="4" w:space="0" w:color="auto"/>
              <w:right w:val="nil"/>
            </w:tcBorders>
            <w:shd w:val="clear" w:color="auto" w:fill="DFEBF1" w:themeFill="accent1" w:themeFillTint="1A"/>
            <w:noWrap/>
            <w:vAlign w:val="center"/>
            <w:hideMark/>
          </w:tcPr>
          <w:p w14:paraId="70C10C33" w14:textId="7D39E51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1,628</w:t>
            </w:r>
          </w:p>
        </w:tc>
        <w:tc>
          <w:tcPr>
            <w:tcW w:w="491"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8FE0287" w14:textId="2D8A1BE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1,840</w:t>
            </w:r>
          </w:p>
        </w:tc>
        <w:tc>
          <w:tcPr>
            <w:tcW w:w="490"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3B3D495" w14:textId="57303F3E"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4,010</w:t>
            </w:r>
          </w:p>
        </w:tc>
      </w:tr>
      <w:tr w:rsidR="00514394" w:rsidRPr="001E5EF4" w14:paraId="70678348" w14:textId="77777777" w:rsidTr="00514394">
        <w:trPr>
          <w:gridAfter w:val="1"/>
          <w:wAfter w:w="3" w:type="pct"/>
          <w:trHeight w:val="289"/>
        </w:trPr>
        <w:tc>
          <w:tcPr>
            <w:tcW w:w="406" w:type="pct"/>
            <w:tcBorders>
              <w:top w:val="nil"/>
              <w:left w:val="single" w:sz="4" w:space="0" w:color="auto"/>
              <w:bottom w:val="nil"/>
              <w:right w:val="nil"/>
            </w:tcBorders>
            <w:shd w:val="clear" w:color="auto" w:fill="auto"/>
            <w:noWrap/>
            <w:vAlign w:val="center"/>
            <w:hideMark/>
          </w:tcPr>
          <w:p w14:paraId="7F444602"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8</w:t>
            </w:r>
          </w:p>
        </w:tc>
        <w:tc>
          <w:tcPr>
            <w:tcW w:w="2620" w:type="pct"/>
            <w:tcBorders>
              <w:top w:val="nil"/>
              <w:left w:val="nil"/>
              <w:bottom w:val="nil"/>
              <w:right w:val="nil"/>
            </w:tcBorders>
            <w:shd w:val="clear" w:color="auto" w:fill="auto"/>
            <w:noWrap/>
            <w:vAlign w:val="center"/>
            <w:hideMark/>
          </w:tcPr>
          <w:p w14:paraId="793EA56C"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Residential setting</w:t>
            </w:r>
          </w:p>
        </w:tc>
        <w:tc>
          <w:tcPr>
            <w:tcW w:w="469" w:type="pct"/>
            <w:tcBorders>
              <w:top w:val="nil"/>
              <w:left w:val="single" w:sz="4" w:space="0" w:color="auto"/>
              <w:bottom w:val="single" w:sz="4" w:space="0" w:color="auto"/>
              <w:right w:val="nil"/>
            </w:tcBorders>
            <w:shd w:val="clear" w:color="auto" w:fill="auto"/>
            <w:noWrap/>
            <w:vAlign w:val="center"/>
            <w:hideMark/>
          </w:tcPr>
          <w:p w14:paraId="735D133F" w14:textId="50F3602C"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542</w:t>
            </w:r>
          </w:p>
        </w:tc>
        <w:tc>
          <w:tcPr>
            <w:tcW w:w="521" w:type="pct"/>
            <w:tcBorders>
              <w:top w:val="nil"/>
              <w:left w:val="nil"/>
              <w:bottom w:val="nil"/>
              <w:right w:val="nil"/>
            </w:tcBorders>
            <w:shd w:val="clear" w:color="auto" w:fill="auto"/>
            <w:noWrap/>
            <w:vAlign w:val="center"/>
            <w:hideMark/>
          </w:tcPr>
          <w:p w14:paraId="54B85132" w14:textId="2FBCAB8D"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1,628</w:t>
            </w:r>
          </w:p>
        </w:tc>
        <w:tc>
          <w:tcPr>
            <w:tcW w:w="491" w:type="pct"/>
            <w:tcBorders>
              <w:top w:val="nil"/>
              <w:left w:val="nil"/>
              <w:bottom w:val="nil"/>
              <w:right w:val="single" w:sz="4" w:space="0" w:color="auto"/>
            </w:tcBorders>
            <w:shd w:val="clear" w:color="auto" w:fill="auto"/>
            <w:noWrap/>
            <w:vAlign w:val="center"/>
            <w:hideMark/>
          </w:tcPr>
          <w:p w14:paraId="3E0FC800" w14:textId="5AEB366A"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1,840</w:t>
            </w:r>
          </w:p>
        </w:tc>
        <w:tc>
          <w:tcPr>
            <w:tcW w:w="490" w:type="pct"/>
            <w:tcBorders>
              <w:top w:val="nil"/>
              <w:left w:val="nil"/>
              <w:bottom w:val="nil"/>
              <w:right w:val="single" w:sz="4" w:space="0" w:color="auto"/>
            </w:tcBorders>
            <w:shd w:val="clear" w:color="auto" w:fill="auto"/>
            <w:noWrap/>
            <w:vAlign w:val="center"/>
            <w:hideMark/>
          </w:tcPr>
          <w:p w14:paraId="7E7883DC" w14:textId="1036A961"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4,010</w:t>
            </w:r>
          </w:p>
        </w:tc>
      </w:tr>
      <w:tr w:rsidR="00514394" w:rsidRPr="001E5EF4" w14:paraId="7E12843D" w14:textId="77777777" w:rsidTr="00F45F2F">
        <w:trPr>
          <w:gridAfter w:val="1"/>
          <w:wAfter w:w="3" w:type="pct"/>
          <w:trHeight w:val="289"/>
        </w:trPr>
        <w:tc>
          <w:tcPr>
            <w:tcW w:w="3026" w:type="pct"/>
            <w:gridSpan w:val="2"/>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4E2464CE"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Records trimmed because they are irrelevant to the AMHCC V1.1 update</w:t>
            </w:r>
          </w:p>
        </w:tc>
        <w:tc>
          <w:tcPr>
            <w:tcW w:w="469" w:type="pct"/>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53C1238" w14:textId="2F145394"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282,788</w:t>
            </w:r>
          </w:p>
        </w:tc>
        <w:tc>
          <w:tcPr>
            <w:tcW w:w="521" w:type="pct"/>
            <w:tcBorders>
              <w:top w:val="single" w:sz="4" w:space="0" w:color="auto"/>
              <w:left w:val="nil"/>
              <w:bottom w:val="single" w:sz="4" w:space="0" w:color="auto"/>
              <w:right w:val="nil"/>
            </w:tcBorders>
            <w:shd w:val="clear" w:color="auto" w:fill="DFEBF1" w:themeFill="accent1" w:themeFillTint="1A"/>
            <w:noWrap/>
            <w:vAlign w:val="center"/>
            <w:hideMark/>
          </w:tcPr>
          <w:p w14:paraId="4C93D0F3" w14:textId="0FD03A39"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276,821</w:t>
            </w:r>
          </w:p>
        </w:tc>
        <w:tc>
          <w:tcPr>
            <w:tcW w:w="491"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5DC3D59D" w14:textId="076E08CC"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243,395</w:t>
            </w:r>
          </w:p>
        </w:tc>
        <w:tc>
          <w:tcPr>
            <w:tcW w:w="490"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CE6D1FC" w14:textId="701D9CE2"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803,004</w:t>
            </w:r>
          </w:p>
        </w:tc>
      </w:tr>
      <w:tr w:rsidR="00514394" w:rsidRPr="001E5EF4" w14:paraId="59EB1AB9" w14:textId="77777777" w:rsidTr="00514394">
        <w:trPr>
          <w:gridAfter w:val="1"/>
          <w:wAfter w:w="3" w:type="pct"/>
          <w:trHeight w:val="289"/>
        </w:trPr>
        <w:tc>
          <w:tcPr>
            <w:tcW w:w="406" w:type="pct"/>
            <w:tcBorders>
              <w:top w:val="nil"/>
              <w:left w:val="single" w:sz="4" w:space="0" w:color="auto"/>
              <w:bottom w:val="single" w:sz="4" w:space="0" w:color="auto"/>
              <w:right w:val="nil"/>
            </w:tcBorders>
            <w:shd w:val="clear" w:color="auto" w:fill="auto"/>
            <w:noWrap/>
            <w:vAlign w:val="center"/>
            <w:hideMark/>
          </w:tcPr>
          <w:p w14:paraId="2768143E"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9</w:t>
            </w:r>
          </w:p>
        </w:tc>
        <w:tc>
          <w:tcPr>
            <w:tcW w:w="2620" w:type="pct"/>
            <w:tcBorders>
              <w:top w:val="nil"/>
              <w:left w:val="nil"/>
              <w:bottom w:val="single" w:sz="4" w:space="0" w:color="auto"/>
              <w:right w:val="nil"/>
            </w:tcBorders>
            <w:shd w:val="clear" w:color="auto" w:fill="auto"/>
            <w:noWrap/>
            <w:vAlign w:val="center"/>
            <w:hideMark/>
          </w:tcPr>
          <w:p w14:paraId="5EDD6092" w14:textId="2E914056"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 xml:space="preserve">Assessment </w:t>
            </w:r>
            <w:r w:rsidR="006E783A">
              <w:rPr>
                <w:rFonts w:eastAsia="Times New Roman" w:cs="Arial"/>
                <w:sz w:val="16"/>
                <w:szCs w:val="16"/>
              </w:rPr>
              <w:t>O</w:t>
            </w:r>
            <w:r w:rsidR="006E783A" w:rsidRPr="00DF4F2E">
              <w:rPr>
                <w:rFonts w:eastAsia="Times New Roman" w:cs="Arial"/>
                <w:sz w:val="16"/>
                <w:szCs w:val="16"/>
              </w:rPr>
              <w:t>nly</w:t>
            </w:r>
          </w:p>
        </w:tc>
        <w:tc>
          <w:tcPr>
            <w:tcW w:w="469" w:type="pct"/>
            <w:tcBorders>
              <w:top w:val="nil"/>
              <w:left w:val="single" w:sz="4" w:space="0" w:color="auto"/>
              <w:bottom w:val="single" w:sz="4" w:space="0" w:color="auto"/>
              <w:right w:val="nil"/>
            </w:tcBorders>
            <w:shd w:val="clear" w:color="auto" w:fill="auto"/>
            <w:noWrap/>
            <w:vAlign w:val="center"/>
            <w:hideMark/>
          </w:tcPr>
          <w:p w14:paraId="6DCE96E8" w14:textId="38255C9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20,453</w:t>
            </w:r>
          </w:p>
        </w:tc>
        <w:tc>
          <w:tcPr>
            <w:tcW w:w="521" w:type="pct"/>
            <w:tcBorders>
              <w:top w:val="nil"/>
              <w:left w:val="nil"/>
              <w:bottom w:val="single" w:sz="4" w:space="0" w:color="auto"/>
              <w:right w:val="nil"/>
            </w:tcBorders>
            <w:shd w:val="clear" w:color="auto" w:fill="auto"/>
            <w:noWrap/>
            <w:vAlign w:val="center"/>
            <w:hideMark/>
          </w:tcPr>
          <w:p w14:paraId="29802244" w14:textId="7D8F74C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118,647</w:t>
            </w:r>
          </w:p>
        </w:tc>
        <w:tc>
          <w:tcPr>
            <w:tcW w:w="491" w:type="pct"/>
            <w:tcBorders>
              <w:top w:val="nil"/>
              <w:left w:val="nil"/>
              <w:bottom w:val="single" w:sz="4" w:space="0" w:color="auto"/>
              <w:right w:val="single" w:sz="4" w:space="0" w:color="auto"/>
            </w:tcBorders>
            <w:shd w:val="clear" w:color="auto" w:fill="auto"/>
            <w:noWrap/>
            <w:vAlign w:val="center"/>
            <w:hideMark/>
          </w:tcPr>
          <w:p w14:paraId="33AF5868" w14:textId="5575474F"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92,061</w:t>
            </w:r>
          </w:p>
        </w:tc>
        <w:tc>
          <w:tcPr>
            <w:tcW w:w="490" w:type="pct"/>
            <w:tcBorders>
              <w:top w:val="nil"/>
              <w:left w:val="nil"/>
              <w:bottom w:val="single" w:sz="4" w:space="0" w:color="auto"/>
              <w:right w:val="single" w:sz="4" w:space="0" w:color="auto"/>
            </w:tcBorders>
            <w:shd w:val="clear" w:color="auto" w:fill="auto"/>
            <w:noWrap/>
            <w:vAlign w:val="center"/>
            <w:hideMark/>
          </w:tcPr>
          <w:p w14:paraId="68DF4F1E" w14:textId="43D05948"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231,161</w:t>
            </w:r>
          </w:p>
        </w:tc>
      </w:tr>
      <w:tr w:rsidR="00514394" w:rsidRPr="001E5EF4" w14:paraId="0A968F89" w14:textId="77777777" w:rsidTr="00514394">
        <w:trPr>
          <w:gridAfter w:val="1"/>
          <w:wAfter w:w="3" w:type="pct"/>
          <w:trHeight w:val="289"/>
        </w:trPr>
        <w:tc>
          <w:tcPr>
            <w:tcW w:w="406" w:type="pct"/>
            <w:tcBorders>
              <w:top w:val="single" w:sz="4" w:space="0" w:color="auto"/>
              <w:left w:val="single" w:sz="4" w:space="0" w:color="auto"/>
              <w:bottom w:val="nil"/>
              <w:right w:val="nil"/>
            </w:tcBorders>
            <w:shd w:val="clear" w:color="auto" w:fill="auto"/>
            <w:noWrap/>
            <w:vAlign w:val="center"/>
            <w:hideMark/>
          </w:tcPr>
          <w:p w14:paraId="2B6D0978" w14:textId="7777777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10</w:t>
            </w:r>
          </w:p>
        </w:tc>
        <w:tc>
          <w:tcPr>
            <w:tcW w:w="2620" w:type="pct"/>
            <w:tcBorders>
              <w:top w:val="nil"/>
              <w:left w:val="nil"/>
              <w:bottom w:val="nil"/>
              <w:right w:val="nil"/>
            </w:tcBorders>
            <w:shd w:val="clear" w:color="auto" w:fill="auto"/>
            <w:noWrap/>
            <w:vAlign w:val="center"/>
            <w:hideMark/>
          </w:tcPr>
          <w:p w14:paraId="11110767" w14:textId="77777777" w:rsidR="00CC1C98" w:rsidRPr="00DF4F2E" w:rsidRDefault="00CC1C98" w:rsidP="00BA6C6A">
            <w:pPr>
              <w:keepNext/>
              <w:keepLines/>
              <w:spacing w:before="40" w:after="40" w:line="240" w:lineRule="auto"/>
              <w:rPr>
                <w:rFonts w:eastAsia="Times New Roman" w:cs="Arial"/>
                <w:sz w:val="16"/>
                <w:szCs w:val="16"/>
                <w:lang w:eastAsia="en-AU"/>
              </w:rPr>
            </w:pPr>
            <w:r w:rsidRPr="00DF4F2E">
              <w:rPr>
                <w:rFonts w:eastAsia="Times New Roman" w:cs="Arial"/>
                <w:sz w:val="16"/>
                <w:szCs w:val="16"/>
              </w:rPr>
              <w:t>Unknown phase</w:t>
            </w:r>
          </w:p>
        </w:tc>
        <w:tc>
          <w:tcPr>
            <w:tcW w:w="469" w:type="pct"/>
            <w:tcBorders>
              <w:top w:val="nil"/>
              <w:left w:val="single" w:sz="4" w:space="0" w:color="auto"/>
              <w:bottom w:val="single" w:sz="4" w:space="0" w:color="auto"/>
              <w:right w:val="nil"/>
            </w:tcBorders>
            <w:shd w:val="clear" w:color="auto" w:fill="auto"/>
            <w:noWrap/>
            <w:vAlign w:val="center"/>
            <w:hideMark/>
          </w:tcPr>
          <w:p w14:paraId="5555C6D8" w14:textId="6A7D14DE"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262,335</w:t>
            </w:r>
          </w:p>
        </w:tc>
        <w:tc>
          <w:tcPr>
            <w:tcW w:w="521" w:type="pct"/>
            <w:tcBorders>
              <w:top w:val="nil"/>
              <w:left w:val="nil"/>
              <w:bottom w:val="nil"/>
              <w:right w:val="nil"/>
            </w:tcBorders>
            <w:shd w:val="clear" w:color="auto" w:fill="auto"/>
            <w:noWrap/>
            <w:vAlign w:val="center"/>
            <w:hideMark/>
          </w:tcPr>
          <w:p w14:paraId="56BA30CC" w14:textId="39718057"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158,174</w:t>
            </w:r>
          </w:p>
        </w:tc>
        <w:tc>
          <w:tcPr>
            <w:tcW w:w="491" w:type="pct"/>
            <w:tcBorders>
              <w:top w:val="nil"/>
              <w:left w:val="nil"/>
              <w:bottom w:val="nil"/>
              <w:right w:val="single" w:sz="4" w:space="0" w:color="auto"/>
            </w:tcBorders>
            <w:shd w:val="clear" w:color="auto" w:fill="auto"/>
            <w:noWrap/>
            <w:vAlign w:val="center"/>
            <w:hideMark/>
          </w:tcPr>
          <w:p w14:paraId="3FEEE444" w14:textId="32252EF5"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151,334</w:t>
            </w:r>
          </w:p>
        </w:tc>
        <w:tc>
          <w:tcPr>
            <w:tcW w:w="490" w:type="pct"/>
            <w:tcBorders>
              <w:top w:val="nil"/>
              <w:left w:val="nil"/>
              <w:bottom w:val="nil"/>
              <w:right w:val="single" w:sz="4" w:space="0" w:color="auto"/>
            </w:tcBorders>
            <w:shd w:val="clear" w:color="auto" w:fill="auto"/>
            <w:noWrap/>
            <w:vAlign w:val="center"/>
            <w:hideMark/>
          </w:tcPr>
          <w:p w14:paraId="4AB7DC98" w14:textId="785FE48C" w:rsidR="00CC1C98" w:rsidRPr="00DF4F2E" w:rsidRDefault="00CC1C98" w:rsidP="00BA6C6A">
            <w:pPr>
              <w:keepNext/>
              <w:keepLines/>
              <w:spacing w:before="40" w:after="40" w:line="240" w:lineRule="auto"/>
              <w:jc w:val="right"/>
              <w:rPr>
                <w:rFonts w:eastAsia="Times New Roman" w:cs="Arial"/>
                <w:sz w:val="16"/>
                <w:szCs w:val="16"/>
                <w:lang w:eastAsia="en-AU"/>
              </w:rPr>
            </w:pPr>
            <w:r w:rsidRPr="00DF4F2E">
              <w:rPr>
                <w:rFonts w:eastAsia="Times New Roman" w:cs="Arial"/>
                <w:sz w:val="16"/>
                <w:szCs w:val="16"/>
              </w:rPr>
              <w:t>571,843</w:t>
            </w:r>
          </w:p>
        </w:tc>
      </w:tr>
      <w:tr w:rsidR="00514394" w:rsidRPr="001E5EF4" w14:paraId="219AC3CF" w14:textId="77777777" w:rsidTr="00F45F2F">
        <w:trPr>
          <w:gridAfter w:val="1"/>
          <w:wAfter w:w="3" w:type="pct"/>
          <w:trHeight w:val="289"/>
        </w:trPr>
        <w:tc>
          <w:tcPr>
            <w:tcW w:w="3026" w:type="pct"/>
            <w:gridSpan w:val="2"/>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4D0D25DA" w14:textId="77777777" w:rsidR="00CC1C98" w:rsidRPr="00DF4F2E" w:rsidRDefault="00CC1C98" w:rsidP="00BA6C6A">
            <w:pPr>
              <w:keepNext/>
              <w:keepLines/>
              <w:spacing w:before="40" w:after="40" w:line="240" w:lineRule="auto"/>
              <w:rPr>
                <w:rFonts w:eastAsia="Times New Roman" w:cs="Arial"/>
                <w:b/>
                <w:bCs/>
                <w:sz w:val="16"/>
                <w:szCs w:val="16"/>
                <w:lang w:eastAsia="en-AU"/>
              </w:rPr>
            </w:pPr>
            <w:r w:rsidRPr="00DF4F2E">
              <w:rPr>
                <w:rFonts w:eastAsia="Times New Roman" w:cs="Arial"/>
                <w:b/>
                <w:bCs/>
                <w:sz w:val="16"/>
                <w:szCs w:val="16"/>
              </w:rPr>
              <w:t>Records retained for AMHCC V1.1 development</w:t>
            </w:r>
          </w:p>
        </w:tc>
        <w:tc>
          <w:tcPr>
            <w:tcW w:w="469" w:type="pct"/>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C72070C" w14:textId="6BA95198"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197,694</w:t>
            </w:r>
          </w:p>
        </w:tc>
        <w:tc>
          <w:tcPr>
            <w:tcW w:w="521" w:type="pct"/>
            <w:tcBorders>
              <w:top w:val="single" w:sz="4" w:space="0" w:color="auto"/>
              <w:left w:val="nil"/>
              <w:bottom w:val="single" w:sz="4" w:space="0" w:color="auto"/>
              <w:right w:val="nil"/>
            </w:tcBorders>
            <w:shd w:val="clear" w:color="auto" w:fill="DFEBF1" w:themeFill="accent1" w:themeFillTint="1A"/>
            <w:noWrap/>
            <w:vAlign w:val="center"/>
            <w:hideMark/>
          </w:tcPr>
          <w:p w14:paraId="0D850B96" w14:textId="3DCB8BE9"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297,303</w:t>
            </w:r>
          </w:p>
        </w:tc>
        <w:tc>
          <w:tcPr>
            <w:tcW w:w="491"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441A441F" w14:textId="1242DABF"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275,316</w:t>
            </w:r>
          </w:p>
        </w:tc>
        <w:tc>
          <w:tcPr>
            <w:tcW w:w="490" w:type="pct"/>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EB42FCE" w14:textId="75C5A1AF" w:rsidR="00CC1C98" w:rsidRPr="00DF4F2E" w:rsidRDefault="00CC1C98" w:rsidP="00BA6C6A">
            <w:pPr>
              <w:keepNext/>
              <w:keepLines/>
              <w:spacing w:before="40" w:after="40" w:line="240" w:lineRule="auto"/>
              <w:jc w:val="right"/>
              <w:rPr>
                <w:rFonts w:eastAsia="Times New Roman" w:cs="Arial"/>
                <w:b/>
                <w:bCs/>
                <w:sz w:val="16"/>
                <w:szCs w:val="16"/>
                <w:lang w:eastAsia="en-AU"/>
              </w:rPr>
            </w:pPr>
            <w:r w:rsidRPr="00DF4F2E">
              <w:rPr>
                <w:rFonts w:eastAsia="Times New Roman" w:cs="Arial"/>
                <w:b/>
                <w:bCs/>
                <w:sz w:val="16"/>
                <w:szCs w:val="16"/>
              </w:rPr>
              <w:t>770,313</w:t>
            </w:r>
          </w:p>
        </w:tc>
      </w:tr>
    </w:tbl>
    <w:p w14:paraId="216C61F9" w14:textId="671A85C9" w:rsidR="00CC1C98" w:rsidRDefault="00CC1C98"/>
    <w:p w14:paraId="288DED55" w14:textId="6336AC7A" w:rsidR="001D0AB0" w:rsidRPr="00DF4F2E" w:rsidRDefault="00AB547F" w:rsidP="00BA6C6A">
      <w:pPr>
        <w:autoSpaceDE w:val="0"/>
        <w:autoSpaceDN w:val="0"/>
        <w:adjustRightInd w:val="0"/>
        <w:spacing w:before="120"/>
        <w:rPr>
          <w:rFonts w:cs="Arial"/>
        </w:rPr>
      </w:pPr>
      <w:r w:rsidRPr="00D82B81">
        <w:t>Additionally,</w:t>
      </w:r>
      <w:r w:rsidR="001D0AB0" w:rsidRPr="00DF4F2E">
        <w:rPr>
          <w:rFonts w:cs="Arial"/>
        </w:rPr>
        <w:t xml:space="preserve"> IHACPA considered the potential impact of coronavirus disease 2019 (COVID-19) by comparing average </w:t>
      </w:r>
      <w:r w:rsidR="00065833">
        <w:rPr>
          <w:rFonts w:cs="Arial"/>
        </w:rPr>
        <w:t>phase cost</w:t>
      </w:r>
      <w:r w:rsidR="001D0AB0" w:rsidRPr="00DF4F2E">
        <w:rPr>
          <w:rFonts w:cs="Arial"/>
        </w:rPr>
        <w:t xml:space="preserve"> and analysing the distribution of key classification variables across data years. Due to minimal impacts observed, the COVID-19 </w:t>
      </w:r>
      <w:r w:rsidR="00AC4331">
        <w:rPr>
          <w:rFonts w:cs="Arial"/>
        </w:rPr>
        <w:t xml:space="preserve">impacted </w:t>
      </w:r>
      <w:r w:rsidR="001D0AB0" w:rsidRPr="00DF4F2E">
        <w:rPr>
          <w:rFonts w:cs="Arial"/>
        </w:rPr>
        <w:t xml:space="preserve">data was retained for the AMHCC V1.1 refinement. </w:t>
      </w:r>
      <w:r w:rsidR="001D0AB0" w:rsidRPr="00DF4F2E">
        <w:rPr>
          <w:rFonts w:cs="Arial"/>
          <w:b/>
          <w:bCs/>
        </w:rPr>
        <w:t xml:space="preserve">Appendix B </w:t>
      </w:r>
      <w:r w:rsidR="001D0AB0" w:rsidRPr="00DF4F2E">
        <w:rPr>
          <w:rFonts w:cs="Arial"/>
        </w:rPr>
        <w:t xml:space="preserve">provides detailed cost per phase </w:t>
      </w:r>
      <w:r w:rsidR="00065833">
        <w:rPr>
          <w:rFonts w:cs="Arial"/>
        </w:rPr>
        <w:t xml:space="preserve">and variable distribution </w:t>
      </w:r>
      <w:r w:rsidR="001D0AB0" w:rsidRPr="00DF4F2E">
        <w:rPr>
          <w:rFonts w:cs="Arial"/>
        </w:rPr>
        <w:t>analysis.</w:t>
      </w:r>
    </w:p>
    <w:p w14:paraId="00A19FD5" w14:textId="128A0359" w:rsidR="00282CFE" w:rsidRDefault="001D0AB0" w:rsidP="00245C7B">
      <w:pPr>
        <w:pStyle w:val="Heading2"/>
        <w:numPr>
          <w:ilvl w:val="1"/>
          <w:numId w:val="5"/>
        </w:numPr>
      </w:pPr>
      <w:bookmarkStart w:id="102" w:name="_Toc152277107"/>
      <w:bookmarkStart w:id="103" w:name="_Toc152312729"/>
      <w:bookmarkStart w:id="104" w:name="_Toc153371603"/>
      <w:bookmarkStart w:id="105" w:name="_Hlk141718079"/>
      <w:r>
        <w:t>Methodology</w:t>
      </w:r>
      <w:bookmarkEnd w:id="102"/>
      <w:bookmarkEnd w:id="103"/>
      <w:bookmarkEnd w:id="104"/>
      <w:r>
        <w:t xml:space="preserve"> </w:t>
      </w:r>
      <w:bookmarkEnd w:id="105"/>
    </w:p>
    <w:p w14:paraId="2F75FF8D" w14:textId="507B2F0B" w:rsidR="005943C4" w:rsidRPr="00D63B83" w:rsidRDefault="005943C4" w:rsidP="00BA6C6A">
      <w:r w:rsidRPr="00DF4F2E">
        <w:t>The AMHCC V1.1 complexity model seeks to minimise the volatility of weights arising due to small sample sizes by initially pooling data at the setting-age group level (for example, admitted consumers, age</w:t>
      </w:r>
      <w:r w:rsidR="00AA3AB8">
        <w:t>d</w:t>
      </w:r>
      <w:r w:rsidRPr="00DF4F2E">
        <w:t xml:space="preserve"> 18-64 years), before modifying the weights to capture different cost and </w:t>
      </w:r>
      <w:proofErr w:type="spellStart"/>
      <w:r w:rsidRPr="00DF4F2E">
        <w:t>HoNOS</w:t>
      </w:r>
      <w:proofErr w:type="spellEnd"/>
      <w:r w:rsidRPr="00DF4F2E">
        <w:t xml:space="preserve"> relationships for each phase group. Comparatively, the methodology for the AMHCC V1.0 calculates </w:t>
      </w:r>
      <w:proofErr w:type="spellStart"/>
      <w:r w:rsidRPr="00DF4F2E">
        <w:t>HoNOS</w:t>
      </w:r>
      <w:proofErr w:type="spellEnd"/>
      <w:r w:rsidRPr="00DF4F2E">
        <w:t xml:space="preserve"> weights directly at the setting-phase-age group level. While there were changes to how the </w:t>
      </w:r>
      <w:proofErr w:type="spellStart"/>
      <w:r w:rsidRPr="00DF4F2E">
        <w:t>HoNOS</w:t>
      </w:r>
      <w:proofErr w:type="spellEnd"/>
      <w:r w:rsidRPr="00DF4F2E">
        <w:t xml:space="preserve"> weight values are determined under the AMHCC V1.1, the way in which these weights are applied in calculating the </w:t>
      </w:r>
      <w:proofErr w:type="spellStart"/>
      <w:r w:rsidRPr="00DF4F2E">
        <w:t>HoNOS</w:t>
      </w:r>
      <w:proofErr w:type="spellEnd"/>
      <w:r w:rsidRPr="00DF4F2E">
        <w:t xml:space="preserve"> complexity score remains the same. Similarly, the calculation of the LSP-16 complexity score also remains the same between classification versions.  </w:t>
      </w:r>
    </w:p>
    <w:p w14:paraId="2B47BAA5" w14:textId="26517625" w:rsidR="00EC4E2B" w:rsidRPr="00D63B83" w:rsidRDefault="001D0AB0" w:rsidP="00245C7B">
      <w:pPr>
        <w:pStyle w:val="Heading3"/>
        <w:numPr>
          <w:ilvl w:val="2"/>
          <w:numId w:val="5"/>
        </w:numPr>
      </w:pPr>
      <w:r>
        <w:t>Determining weights and rescaling factors</w:t>
      </w:r>
      <w:r w:rsidR="000727B6">
        <w:t xml:space="preserve"> </w:t>
      </w:r>
    </w:p>
    <w:p w14:paraId="41B53175" w14:textId="12DD9718" w:rsidR="00C928F7" w:rsidRPr="00D82B81" w:rsidRDefault="00136877" w:rsidP="00DD024E">
      <w:r w:rsidRPr="00D82B81">
        <w:t>In the AMHCC V1.1</w:t>
      </w:r>
      <w:r w:rsidR="00B725A6">
        <w:t>,</w:t>
      </w:r>
      <w:r w:rsidRPr="00D82B81">
        <w:t xml:space="preserve"> a weight is </w:t>
      </w:r>
      <w:r w:rsidR="00B725A6">
        <w:t>calculated for</w:t>
      </w:r>
      <w:r w:rsidRPr="00D82B81">
        <w:t xml:space="preserve"> each individual item within the </w:t>
      </w:r>
      <w:proofErr w:type="spellStart"/>
      <w:r w:rsidRPr="00D82B81">
        <w:t>HoNOS</w:t>
      </w:r>
      <w:proofErr w:type="spellEnd"/>
      <w:r w:rsidRPr="00D82B81">
        <w:t xml:space="preserve">, </w:t>
      </w:r>
      <w:proofErr w:type="spellStart"/>
      <w:r w:rsidRPr="00D82B81">
        <w:t>HoNOSCA</w:t>
      </w:r>
      <w:proofErr w:type="spellEnd"/>
      <w:r w:rsidRPr="00D82B81">
        <w:t xml:space="preserve"> and </w:t>
      </w:r>
      <w:proofErr w:type="spellStart"/>
      <w:r w:rsidRPr="00D82B81">
        <w:t>HoNOS</w:t>
      </w:r>
      <w:proofErr w:type="spellEnd"/>
      <w:r w:rsidRPr="00D82B81">
        <w:t xml:space="preserve"> 65+</w:t>
      </w:r>
      <w:r w:rsidR="00C043B2" w:rsidRPr="00D82B81">
        <w:t xml:space="preserve"> instrument</w:t>
      </w:r>
      <w:r w:rsidR="00B725A6">
        <w:t>s</w:t>
      </w:r>
      <w:r w:rsidR="00C043B2" w:rsidRPr="00D82B81">
        <w:t xml:space="preserve">. </w:t>
      </w:r>
      <w:r w:rsidR="00693725">
        <w:t xml:space="preserve">The </w:t>
      </w:r>
      <w:r w:rsidR="007C52BE">
        <w:t xml:space="preserve">magnitude of a </w:t>
      </w:r>
      <w:proofErr w:type="spellStart"/>
      <w:r w:rsidR="007C52BE">
        <w:t>HoNOS</w:t>
      </w:r>
      <w:proofErr w:type="spellEnd"/>
      <w:r w:rsidR="007C52BE">
        <w:t xml:space="preserve"> item’s </w:t>
      </w:r>
      <w:r w:rsidR="00693725">
        <w:t>weight</w:t>
      </w:r>
      <w:r w:rsidR="004278BD">
        <w:t xml:space="preserve"> </w:t>
      </w:r>
      <w:r w:rsidR="007C52BE">
        <w:t>represents</w:t>
      </w:r>
      <w:r w:rsidR="00693725">
        <w:t xml:space="preserve"> </w:t>
      </w:r>
      <w:r w:rsidR="004278BD">
        <w:t>its</w:t>
      </w:r>
      <w:r w:rsidR="00693725">
        <w:t xml:space="preserve"> relative </w:t>
      </w:r>
      <w:r w:rsidR="007C52BE">
        <w:t>contribution</w:t>
      </w:r>
      <w:r w:rsidR="00693725">
        <w:t xml:space="preserve"> </w:t>
      </w:r>
      <w:r w:rsidR="004278BD">
        <w:t>to</w:t>
      </w:r>
      <w:r w:rsidR="00693725">
        <w:t xml:space="preserve"> the </w:t>
      </w:r>
      <w:proofErr w:type="spellStart"/>
      <w:r w:rsidR="00693725">
        <w:t>HoNOS</w:t>
      </w:r>
      <w:proofErr w:type="spellEnd"/>
      <w:r w:rsidR="00693725">
        <w:t xml:space="preserve"> complexity of a phase (as measured by its cost). </w:t>
      </w:r>
    </w:p>
    <w:p w14:paraId="49EC9577" w14:textId="0D256779" w:rsidR="004278BD" w:rsidRDefault="004278BD" w:rsidP="00DD024E">
      <w:r w:rsidRPr="00D82B81">
        <w:lastRenderedPageBreak/>
        <w:t xml:space="preserve">Additionally, the AMHCC V1.1 calculates a single </w:t>
      </w:r>
      <w:proofErr w:type="spellStart"/>
      <w:r w:rsidRPr="00D82B81">
        <w:t>HoNOS</w:t>
      </w:r>
      <w:proofErr w:type="spellEnd"/>
      <w:r w:rsidRPr="00D82B81">
        <w:t xml:space="preserve"> rescaling factor for each segment.</w:t>
      </w:r>
      <w:r w:rsidR="004851A7">
        <w:t xml:space="preserve"> These rescaling factors only serve to </w:t>
      </w:r>
      <w:r w:rsidR="001533E2">
        <w:t xml:space="preserve">ensure that the maximum possible </w:t>
      </w:r>
      <w:proofErr w:type="spellStart"/>
      <w:r w:rsidR="001533E2">
        <w:t>HoNOS</w:t>
      </w:r>
      <w:proofErr w:type="spellEnd"/>
      <w:r w:rsidR="001533E2">
        <w:t xml:space="preserve"> score is the same in each segment and do not impact the performance of the model.</w:t>
      </w:r>
    </w:p>
    <w:p w14:paraId="513F0A13" w14:textId="7FDC65D6" w:rsidR="000F4747" w:rsidRPr="00D82B81" w:rsidRDefault="00C043B2" w:rsidP="00DD024E">
      <w:r w:rsidRPr="00D82B81">
        <w:t xml:space="preserve">Comparatively, there are no weights calculated for the LSP-16 in AMHCC V1.1. This results in all </w:t>
      </w:r>
      <w:r w:rsidR="006B1068" w:rsidRPr="00D82B81">
        <w:t xml:space="preserve">LSP-16 </w:t>
      </w:r>
      <w:r w:rsidRPr="00D82B81">
        <w:t>individual items</w:t>
      </w:r>
      <w:r w:rsidR="006B1068" w:rsidRPr="00D82B81">
        <w:t xml:space="preserve"> given equal weighting and </w:t>
      </w:r>
      <w:r w:rsidRPr="00D82B81">
        <w:t xml:space="preserve">the complexity model </w:t>
      </w:r>
      <w:r w:rsidR="002B44DB" w:rsidRPr="00D82B81">
        <w:t xml:space="preserve">assumes </w:t>
      </w:r>
      <w:r w:rsidR="006B1068" w:rsidRPr="00D82B81">
        <w:t xml:space="preserve">that </w:t>
      </w:r>
      <w:r w:rsidR="002B44DB" w:rsidRPr="00D82B81">
        <w:t xml:space="preserve">all 16 </w:t>
      </w:r>
      <w:r w:rsidRPr="00D82B81">
        <w:t>items</w:t>
      </w:r>
      <w:r w:rsidR="006B1068" w:rsidRPr="00D82B81">
        <w:t xml:space="preserve"> impact the LSP-16 complexity of a phase (as measured by cost) to the same degree.</w:t>
      </w:r>
      <w:r w:rsidRPr="00D82B81">
        <w:t xml:space="preserve"> </w:t>
      </w:r>
    </w:p>
    <w:p w14:paraId="62EEC1EF" w14:textId="0665ADBC" w:rsidR="009432FF" w:rsidRDefault="003A2D06" w:rsidP="00E26E19">
      <w:pPr>
        <w:pStyle w:val="Heading3"/>
        <w:numPr>
          <w:ilvl w:val="2"/>
          <w:numId w:val="5"/>
        </w:numPr>
      </w:pPr>
      <w:r>
        <w:t>Selecting</w:t>
      </w:r>
      <w:r w:rsidR="008E452E">
        <w:t xml:space="preserve"> complexity split thresholds</w:t>
      </w:r>
    </w:p>
    <w:p w14:paraId="76CD302C" w14:textId="20C89BD4" w:rsidR="00331B16" w:rsidRPr="00D82B81" w:rsidRDefault="00331B16" w:rsidP="00331B16">
      <w:r>
        <w:t>The AMHCC V1.1 utilises a set of principles to improve the cost differentiation between complexity groupings and seek</w:t>
      </w:r>
      <w:r w:rsidR="00D736B8">
        <w:t>s</w:t>
      </w:r>
      <w:r>
        <w:t xml:space="preserve"> to produce a classification that is less vulnerable to fluctuations in cost and volume of activities. The principles were largely based on those currently used in other classification development processes such as that of the Australian Refined Diagnosis Related Groups classification.</w:t>
      </w:r>
    </w:p>
    <w:p w14:paraId="73FE00D9" w14:textId="38BE0D5C" w:rsidR="00DD024E" w:rsidRPr="00D82B81" w:rsidRDefault="009F303C" w:rsidP="00DD024E">
      <w:r w:rsidRPr="00D82B81">
        <w:t xml:space="preserve">The </w:t>
      </w:r>
      <w:r w:rsidR="003A2D06" w:rsidRPr="00D82B81">
        <w:t>AMHCC V1.1</w:t>
      </w:r>
      <w:r w:rsidR="00D7748C" w:rsidRPr="00D82B81">
        <w:t xml:space="preserve"> complexity split thresholds </w:t>
      </w:r>
      <w:r w:rsidR="003A2D06" w:rsidRPr="00D82B81">
        <w:t xml:space="preserve">are selected </w:t>
      </w:r>
      <w:r w:rsidR="00CA07D7" w:rsidRPr="00D82B81">
        <w:t>based on</w:t>
      </w:r>
      <w:r w:rsidR="00D7748C" w:rsidRPr="00D82B81">
        <w:t xml:space="preserve"> the following </w:t>
      </w:r>
      <w:r w:rsidR="00A31817" w:rsidRPr="00D82B81">
        <w:t>principles</w:t>
      </w:r>
      <w:r w:rsidR="00D7748C" w:rsidRPr="00D82B81">
        <w:t>:</w:t>
      </w:r>
    </w:p>
    <w:p w14:paraId="0EA1EAAD" w14:textId="77777777" w:rsidR="00CA07D7" w:rsidRPr="00D82B81" w:rsidRDefault="00CA07D7" w:rsidP="00D1238A">
      <w:pPr>
        <w:pStyle w:val="ListParagraph"/>
        <w:numPr>
          <w:ilvl w:val="0"/>
          <w:numId w:val="10"/>
        </w:numPr>
      </w:pPr>
      <w:r w:rsidRPr="00D82B81">
        <w:t xml:space="preserve">the average cost for high complexity phases is greater than that of moderate complexity phases within the same </w:t>
      </w:r>
      <w:proofErr w:type="gramStart"/>
      <w:r w:rsidRPr="00D82B81">
        <w:t>segment</w:t>
      </w:r>
      <w:proofErr w:type="gramEnd"/>
    </w:p>
    <w:p w14:paraId="74B49E20" w14:textId="77777777" w:rsidR="00CA07D7" w:rsidRPr="00D82B81" w:rsidRDefault="00CA07D7" w:rsidP="00D1238A">
      <w:pPr>
        <w:pStyle w:val="ListParagraph"/>
        <w:numPr>
          <w:ilvl w:val="0"/>
          <w:numId w:val="10"/>
        </w:numPr>
      </w:pPr>
      <w:r w:rsidRPr="00D82B81">
        <w:t xml:space="preserve">the number of phases having a high complexity is lower than the number having a moderate complexity within the same </w:t>
      </w:r>
      <w:proofErr w:type="gramStart"/>
      <w:r w:rsidRPr="00D82B81">
        <w:t>segment</w:t>
      </w:r>
      <w:proofErr w:type="gramEnd"/>
    </w:p>
    <w:p w14:paraId="50232311" w14:textId="77777777" w:rsidR="00CA07D7" w:rsidRPr="00D82B81" w:rsidRDefault="00CA07D7" w:rsidP="00D1238A">
      <w:pPr>
        <w:pStyle w:val="ListParagraph"/>
        <w:numPr>
          <w:ilvl w:val="0"/>
          <w:numId w:val="10"/>
        </w:numPr>
      </w:pPr>
      <w:r w:rsidRPr="00D82B81">
        <w:t>the number of phases in each complexity group is at least 10 per cent of the total phases in the segment.</w:t>
      </w:r>
    </w:p>
    <w:p w14:paraId="72BCB9C5" w14:textId="06D299B2" w:rsidR="00EE06D5" w:rsidRDefault="00EE06D5" w:rsidP="005E4A5B">
      <w:r w:rsidRPr="00D82B81">
        <w:t xml:space="preserve">If there is more than one value </w:t>
      </w:r>
      <w:r w:rsidR="005E4A5B" w:rsidRPr="00D82B81">
        <w:t>that</w:t>
      </w:r>
      <w:r w:rsidRPr="00D82B81">
        <w:t xml:space="preserve"> </w:t>
      </w:r>
      <w:r w:rsidR="005E4A5B" w:rsidRPr="00D82B81">
        <w:t>satisfies</w:t>
      </w:r>
      <w:r w:rsidRPr="00D82B81">
        <w:t xml:space="preserve"> the above principles, then the one which produces the greatest reduction in </w:t>
      </w:r>
      <w:r w:rsidR="007E7374">
        <w:t xml:space="preserve">mean squared </w:t>
      </w:r>
      <w:r w:rsidRPr="00D82B81">
        <w:t>error is selected as the complexity split threshold value</w:t>
      </w:r>
      <w:r w:rsidR="00CA07D7" w:rsidRPr="00D82B81">
        <w:t xml:space="preserve"> for that segment.</w:t>
      </w:r>
      <w:r w:rsidR="005E4A5B" w:rsidRPr="00D82B81">
        <w:t xml:space="preserve"> These principles are applied in the selection of </w:t>
      </w:r>
      <w:r w:rsidR="002002A8" w:rsidRPr="00D82B81">
        <w:t xml:space="preserve">both </w:t>
      </w:r>
      <w:proofErr w:type="spellStart"/>
      <w:r w:rsidR="009F303C" w:rsidRPr="00D82B81">
        <w:t>HoNOS</w:t>
      </w:r>
      <w:proofErr w:type="spellEnd"/>
      <w:r w:rsidR="009F303C" w:rsidRPr="00D82B81">
        <w:t>/</w:t>
      </w:r>
      <w:proofErr w:type="spellStart"/>
      <w:r w:rsidR="009F303C" w:rsidRPr="00D82B81">
        <w:t>HoNOSCA</w:t>
      </w:r>
      <w:proofErr w:type="spellEnd"/>
      <w:r w:rsidR="009F303C" w:rsidRPr="00D82B81">
        <w:t>/</w:t>
      </w:r>
      <w:proofErr w:type="spellStart"/>
      <w:r w:rsidR="009F303C" w:rsidRPr="00D82B81">
        <w:t>HoNOS</w:t>
      </w:r>
      <w:proofErr w:type="spellEnd"/>
      <w:r w:rsidR="009F303C" w:rsidRPr="00D82B81">
        <w:t xml:space="preserve"> 65+ </w:t>
      </w:r>
      <w:r w:rsidR="005E4A5B" w:rsidRPr="00D82B81">
        <w:t>and LSP-16 complexity split thresholds.</w:t>
      </w:r>
    </w:p>
    <w:p w14:paraId="25EAC4E5" w14:textId="26D09DDD" w:rsidR="0054725A" w:rsidRDefault="00C60481" w:rsidP="00E26E19">
      <w:pPr>
        <w:pStyle w:val="Heading3"/>
        <w:numPr>
          <w:ilvl w:val="2"/>
          <w:numId w:val="5"/>
        </w:numPr>
      </w:pPr>
      <w:bookmarkStart w:id="106" w:name="_Toc141450709"/>
      <w:bookmarkStart w:id="107" w:name="_Toc141450789"/>
      <w:bookmarkStart w:id="108" w:name="_Hlk141784307"/>
      <w:bookmarkEnd w:id="106"/>
      <w:bookmarkEnd w:id="107"/>
      <w:r>
        <w:t xml:space="preserve">Treatment of records with missing </w:t>
      </w:r>
      <w:proofErr w:type="spellStart"/>
      <w:r>
        <w:t>HoNOS</w:t>
      </w:r>
      <w:proofErr w:type="spellEnd"/>
      <w:r>
        <w:t xml:space="preserve"> item scores</w:t>
      </w:r>
    </w:p>
    <w:p w14:paraId="69FC88DB" w14:textId="4B0503B4" w:rsidR="009F303C" w:rsidRPr="00DF4F2E" w:rsidRDefault="009F303C" w:rsidP="00DF4F2E">
      <w:pPr>
        <w:rPr>
          <w:rFonts w:eastAsia="Fira Sans regular" w:cs="Times New Roman"/>
        </w:rPr>
      </w:pPr>
      <w:bookmarkStart w:id="109" w:name="_Toc141453203"/>
      <w:r w:rsidRPr="00D82B81">
        <w:t xml:space="preserve">Under the AMHCC V1.0, phase records with any incomplete </w:t>
      </w:r>
      <w:proofErr w:type="spellStart"/>
      <w:r w:rsidRPr="00D82B81">
        <w:t>HoNOS</w:t>
      </w:r>
      <w:proofErr w:type="spellEnd"/>
      <w:r w:rsidRPr="00D82B81">
        <w:t>/</w:t>
      </w:r>
      <w:proofErr w:type="spellStart"/>
      <w:r w:rsidRPr="00D82B81">
        <w:t>HoNOSCA</w:t>
      </w:r>
      <w:proofErr w:type="spellEnd"/>
      <w:r w:rsidRPr="00D82B81">
        <w:t>/</w:t>
      </w:r>
      <w:proofErr w:type="spellStart"/>
      <w:r w:rsidRPr="00D82B81">
        <w:t>HoNOS</w:t>
      </w:r>
      <w:proofErr w:type="spellEnd"/>
      <w:r w:rsidRPr="00D82B81">
        <w:t xml:space="preserve"> 65+ items do not receive a valid complexity score and default to the unknown </w:t>
      </w:r>
      <w:proofErr w:type="spellStart"/>
      <w:r w:rsidRPr="00D82B81">
        <w:t>HoNOS</w:t>
      </w:r>
      <w:proofErr w:type="spellEnd"/>
      <w:r w:rsidRPr="00D82B81">
        <w:t xml:space="preserve"> complexity group. Conversely, the</w:t>
      </w:r>
      <w:r w:rsidRPr="00DF4F2E">
        <w:rPr>
          <w:rFonts w:eastAsia="Fira Sans regular" w:cs="Times New Roman"/>
        </w:rPr>
        <w:t xml:space="preserve"> National Outcomes and </w:t>
      </w:r>
      <w:proofErr w:type="spellStart"/>
      <w:r w:rsidRPr="00DF4F2E">
        <w:rPr>
          <w:rFonts w:eastAsia="Fira Sans regular" w:cs="Times New Roman"/>
        </w:rPr>
        <w:t>Casemix</w:t>
      </w:r>
      <w:proofErr w:type="spellEnd"/>
      <w:r w:rsidRPr="00DF4F2E">
        <w:rPr>
          <w:rFonts w:eastAsia="Fira Sans regular" w:cs="Times New Roman"/>
        </w:rPr>
        <w:t xml:space="preserve"> Collection</w:t>
      </w:r>
      <w:r w:rsidRPr="00D82B81">
        <w:t xml:space="preserve"> (</w:t>
      </w:r>
      <w:r w:rsidRPr="00D82B81">
        <w:rPr>
          <w:rFonts w:eastAsia="Times New Roman"/>
        </w:rPr>
        <w:t xml:space="preserve">NOCC) rules currently allow for up to </w:t>
      </w:r>
      <w:r w:rsidRPr="00D82B81">
        <w:t xml:space="preserve">two missing </w:t>
      </w:r>
      <w:proofErr w:type="spellStart"/>
      <w:r w:rsidRPr="00D82B81">
        <w:t>HoNOS</w:t>
      </w:r>
      <w:proofErr w:type="spellEnd"/>
      <w:r w:rsidRPr="00D82B81">
        <w:t xml:space="preserve"> </w:t>
      </w:r>
      <w:r w:rsidRPr="00DF4F2E">
        <w:rPr>
          <w:rFonts w:eastAsia="Fira Sans regular" w:cs="Times New Roman"/>
        </w:rPr>
        <w:t xml:space="preserve">items for the overall </w:t>
      </w:r>
      <w:proofErr w:type="spellStart"/>
      <w:r w:rsidRPr="00DF4F2E">
        <w:rPr>
          <w:rFonts w:eastAsia="Fira Sans regular" w:cs="Times New Roman"/>
        </w:rPr>
        <w:t>HoNOS</w:t>
      </w:r>
      <w:proofErr w:type="spellEnd"/>
      <w:r w:rsidRPr="00DF4F2E">
        <w:rPr>
          <w:rFonts w:eastAsia="Fira Sans regular" w:cs="Times New Roman"/>
        </w:rPr>
        <w:t xml:space="preserve"> rating to still be considered valid.  </w:t>
      </w:r>
    </w:p>
    <w:p w14:paraId="7CE246AC" w14:textId="593BAEED" w:rsidR="003D3C1D" w:rsidRPr="00DF4F2E" w:rsidRDefault="009F303C" w:rsidP="00E26E19">
      <w:pPr>
        <w:rPr>
          <w:rFonts w:eastAsia="Fira Sans regular" w:cs="Times New Roman"/>
        </w:rPr>
      </w:pPr>
      <w:r w:rsidRPr="00DF4F2E">
        <w:rPr>
          <w:rFonts w:eastAsia="Fira Sans regular" w:cs="Times New Roman"/>
        </w:rPr>
        <w:t xml:space="preserve">IHACPA considered </w:t>
      </w:r>
      <w:bookmarkEnd w:id="109"/>
      <w:r w:rsidR="00D10105" w:rsidRPr="00DF4F2E">
        <w:rPr>
          <w:rFonts w:eastAsia="Fira Sans regular" w:cs="Times New Roman"/>
        </w:rPr>
        <w:t xml:space="preserve">two options to increase the tolerance of </w:t>
      </w:r>
      <w:r w:rsidR="00BA6C67">
        <w:rPr>
          <w:rFonts w:eastAsia="Fira Sans regular" w:cs="Times New Roman"/>
        </w:rPr>
        <w:t xml:space="preserve">the </w:t>
      </w:r>
      <w:r w:rsidR="003D3C1D" w:rsidRPr="00DF4F2E">
        <w:rPr>
          <w:rFonts w:eastAsia="Fira Sans regular" w:cs="Times New Roman"/>
        </w:rPr>
        <w:t>AMHCC V1.1</w:t>
      </w:r>
      <w:r w:rsidR="00D10105" w:rsidRPr="00DF4F2E">
        <w:rPr>
          <w:rFonts w:eastAsia="Fira Sans regular" w:cs="Times New Roman"/>
        </w:rPr>
        <w:t xml:space="preserve"> </w:t>
      </w:r>
      <w:r w:rsidRPr="00DF4F2E">
        <w:rPr>
          <w:rFonts w:eastAsia="Fira Sans regular" w:cs="Times New Roman"/>
        </w:rPr>
        <w:t>complexity model</w:t>
      </w:r>
      <w:r w:rsidR="00D10105" w:rsidRPr="00DF4F2E">
        <w:rPr>
          <w:rFonts w:eastAsia="Fira Sans regular" w:cs="Times New Roman"/>
        </w:rPr>
        <w:t xml:space="preserve">. The first option was to allow records with one or two missing </w:t>
      </w:r>
      <w:proofErr w:type="spellStart"/>
      <w:r w:rsidR="00D10105" w:rsidRPr="00DF4F2E">
        <w:rPr>
          <w:rFonts w:eastAsia="Fira Sans regular" w:cs="Times New Roman"/>
        </w:rPr>
        <w:t>HoNOS</w:t>
      </w:r>
      <w:proofErr w:type="spellEnd"/>
      <w:r w:rsidR="00D10105" w:rsidRPr="00DF4F2E">
        <w:rPr>
          <w:rFonts w:eastAsia="Fira Sans regular" w:cs="Times New Roman"/>
        </w:rPr>
        <w:t xml:space="preserve"> scores to feed into the AMHCC complexity model</w:t>
      </w:r>
      <w:r w:rsidR="003D3C1D" w:rsidRPr="00DF4F2E">
        <w:rPr>
          <w:rFonts w:eastAsia="Fira Sans regular" w:cs="Times New Roman"/>
        </w:rPr>
        <w:t xml:space="preserve"> (</w:t>
      </w:r>
      <w:r w:rsidR="005478B9" w:rsidRPr="00DF4F2E">
        <w:rPr>
          <w:rFonts w:eastAsia="Fira Sans regular" w:cs="Times New Roman"/>
        </w:rPr>
        <w:t xml:space="preserve">specifically, </w:t>
      </w:r>
      <w:r w:rsidR="00D10105" w:rsidRPr="00DF4F2E">
        <w:rPr>
          <w:rFonts w:eastAsia="Fira Sans regular" w:cs="Times New Roman"/>
        </w:rPr>
        <w:t>the linear regression models of phase cost</w:t>
      </w:r>
      <w:r w:rsidR="003D3C1D" w:rsidRPr="00DF4F2E">
        <w:rPr>
          <w:rFonts w:eastAsia="Fira Sans regular" w:cs="Times New Roman"/>
        </w:rPr>
        <w:t>)</w:t>
      </w:r>
      <w:r w:rsidR="00D10105" w:rsidRPr="00DF4F2E">
        <w:rPr>
          <w:rFonts w:eastAsia="Fira Sans regular" w:cs="Times New Roman"/>
        </w:rPr>
        <w:t xml:space="preserve">. This </w:t>
      </w:r>
      <w:r w:rsidR="003D3C1D" w:rsidRPr="00DF4F2E">
        <w:rPr>
          <w:rFonts w:eastAsia="Fira Sans regular" w:cs="Times New Roman"/>
        </w:rPr>
        <w:t>meant</w:t>
      </w:r>
      <w:r w:rsidR="00D10105" w:rsidRPr="00DF4F2E">
        <w:rPr>
          <w:rFonts w:eastAsia="Fira Sans regular" w:cs="Times New Roman"/>
        </w:rPr>
        <w:t xml:space="preserve"> that these additional records would directly impact the determination of the weights and rescaling factors.</w:t>
      </w:r>
    </w:p>
    <w:p w14:paraId="539451CD" w14:textId="4D83DD6E" w:rsidR="00631E1A" w:rsidRPr="00DF4F2E" w:rsidRDefault="00631E1A" w:rsidP="00E26E19">
      <w:pPr>
        <w:rPr>
          <w:rFonts w:eastAsia="Fira Sans regular" w:cs="Times New Roman"/>
        </w:rPr>
      </w:pPr>
      <w:r w:rsidRPr="00DF4F2E">
        <w:rPr>
          <w:rFonts w:eastAsia="Fira Sans regular" w:cs="Times New Roman"/>
        </w:rPr>
        <w:t xml:space="preserve">To assess whether the first option was </w:t>
      </w:r>
      <w:r w:rsidR="005478B9" w:rsidRPr="00DF4F2E">
        <w:rPr>
          <w:rFonts w:eastAsia="Fira Sans regular" w:cs="Times New Roman"/>
        </w:rPr>
        <w:t>appropriate</w:t>
      </w:r>
      <w:r w:rsidRPr="00DF4F2E">
        <w:rPr>
          <w:rFonts w:eastAsia="Fira Sans regular" w:cs="Times New Roman"/>
        </w:rPr>
        <w:t xml:space="preserve">, IHACPA undertook </w:t>
      </w:r>
      <w:r w:rsidR="009F303C" w:rsidRPr="00DF4F2E">
        <w:rPr>
          <w:rFonts w:eastAsia="Fira Sans regular" w:cs="Times New Roman"/>
        </w:rPr>
        <w:t xml:space="preserve">the following </w:t>
      </w:r>
      <w:r w:rsidRPr="00DF4F2E">
        <w:rPr>
          <w:rFonts w:eastAsia="Fira Sans regular" w:cs="Times New Roman"/>
        </w:rPr>
        <w:t>analysis:</w:t>
      </w:r>
    </w:p>
    <w:p w14:paraId="7C13065A" w14:textId="4B0CAA65" w:rsidR="00631E1A" w:rsidRPr="00DF4F2E" w:rsidRDefault="00631E1A" w:rsidP="00D1238A">
      <w:pPr>
        <w:pStyle w:val="ListParagraph"/>
        <w:numPr>
          <w:ilvl w:val="0"/>
          <w:numId w:val="16"/>
        </w:numPr>
        <w:rPr>
          <w:rFonts w:eastAsia="Fira Sans regular" w:cs="Times New Roman"/>
        </w:rPr>
      </w:pPr>
      <w:r w:rsidRPr="00DF4F2E">
        <w:rPr>
          <w:rFonts w:eastAsia="Fira Sans regular" w:cs="Times New Roman"/>
        </w:rPr>
        <w:t xml:space="preserve">Whether the profile of records with one or two missing </w:t>
      </w:r>
      <w:proofErr w:type="spellStart"/>
      <w:r w:rsidRPr="00DF4F2E">
        <w:rPr>
          <w:rFonts w:eastAsia="Fira Sans regular" w:cs="Times New Roman"/>
        </w:rPr>
        <w:t>HoNOS</w:t>
      </w:r>
      <w:proofErr w:type="spellEnd"/>
      <w:r w:rsidRPr="00DF4F2E">
        <w:rPr>
          <w:rFonts w:eastAsia="Fira Sans regular" w:cs="Times New Roman"/>
        </w:rPr>
        <w:t xml:space="preserve"> items was </w:t>
      </w:r>
      <w:proofErr w:type="gramStart"/>
      <w:r w:rsidRPr="00DF4F2E">
        <w:rPr>
          <w:rFonts w:eastAsia="Fira Sans regular" w:cs="Times New Roman"/>
        </w:rPr>
        <w:t>similar to</w:t>
      </w:r>
      <w:proofErr w:type="gramEnd"/>
      <w:r w:rsidRPr="00DF4F2E">
        <w:rPr>
          <w:rFonts w:eastAsia="Fira Sans regular" w:cs="Times New Roman"/>
        </w:rPr>
        <w:t xml:space="preserve"> the profile of records with no missing </w:t>
      </w:r>
      <w:proofErr w:type="spellStart"/>
      <w:r w:rsidRPr="00DF4F2E">
        <w:rPr>
          <w:rFonts w:eastAsia="Fira Sans regular" w:cs="Times New Roman"/>
        </w:rPr>
        <w:t>HoNOS</w:t>
      </w:r>
      <w:proofErr w:type="spellEnd"/>
      <w:r w:rsidRPr="00DF4F2E">
        <w:rPr>
          <w:rFonts w:eastAsia="Fira Sans regular" w:cs="Times New Roman"/>
        </w:rPr>
        <w:t xml:space="preserve"> items</w:t>
      </w:r>
    </w:p>
    <w:p w14:paraId="78724A2B" w14:textId="5DA5594B" w:rsidR="00631E1A" w:rsidRPr="00DF4F2E" w:rsidRDefault="00631E1A" w:rsidP="00D1238A">
      <w:pPr>
        <w:pStyle w:val="ListParagraph"/>
        <w:numPr>
          <w:ilvl w:val="0"/>
          <w:numId w:val="16"/>
        </w:numPr>
        <w:rPr>
          <w:rFonts w:eastAsia="Fira Sans regular" w:cs="Times New Roman"/>
        </w:rPr>
      </w:pPr>
      <w:r w:rsidRPr="00DF4F2E">
        <w:rPr>
          <w:rFonts w:eastAsia="Fira Sans regular" w:cs="Times New Roman"/>
        </w:rPr>
        <w:t xml:space="preserve">The impact on model performance when records with one or two missing </w:t>
      </w:r>
      <w:proofErr w:type="spellStart"/>
      <w:r w:rsidRPr="00DF4F2E">
        <w:rPr>
          <w:rFonts w:eastAsia="Fira Sans regular" w:cs="Times New Roman"/>
        </w:rPr>
        <w:t>HoNOS</w:t>
      </w:r>
      <w:proofErr w:type="spellEnd"/>
      <w:r w:rsidRPr="00DF4F2E">
        <w:rPr>
          <w:rFonts w:eastAsia="Fira Sans regular" w:cs="Times New Roman"/>
        </w:rPr>
        <w:t xml:space="preserve"> items are included or excluded from the AMHCC complexity model.</w:t>
      </w:r>
    </w:p>
    <w:p w14:paraId="73E11C56" w14:textId="6DC4B8FA" w:rsidR="00EC2C4F" w:rsidRDefault="00D10105" w:rsidP="00FC0BEC">
      <w:pPr>
        <w:autoSpaceDE w:val="0"/>
        <w:autoSpaceDN w:val="0"/>
        <w:adjustRightInd w:val="0"/>
        <w:spacing w:before="120" w:after="120"/>
      </w:pPr>
      <w:r w:rsidRPr="00DF4F2E">
        <w:rPr>
          <w:rFonts w:eastAsia="Fira Sans regular" w:cs="Times New Roman"/>
        </w:rPr>
        <w:t xml:space="preserve">The second option was to </w:t>
      </w:r>
      <w:r w:rsidR="003D3C1D" w:rsidRPr="00DF4F2E">
        <w:rPr>
          <w:rFonts w:eastAsia="Fira Sans regular" w:cs="Times New Roman"/>
        </w:rPr>
        <w:t xml:space="preserve">only use records with no missing </w:t>
      </w:r>
      <w:proofErr w:type="spellStart"/>
      <w:r w:rsidR="003D3C1D" w:rsidRPr="00DF4F2E">
        <w:rPr>
          <w:rFonts w:eastAsia="Fira Sans regular" w:cs="Times New Roman"/>
        </w:rPr>
        <w:t>HoNOS</w:t>
      </w:r>
      <w:proofErr w:type="spellEnd"/>
      <w:r w:rsidR="003D3C1D" w:rsidRPr="00DF4F2E">
        <w:rPr>
          <w:rFonts w:eastAsia="Fira Sans regular" w:cs="Times New Roman"/>
        </w:rPr>
        <w:t xml:space="preserve"> scores </w:t>
      </w:r>
      <w:r w:rsidR="004278BD">
        <w:rPr>
          <w:rFonts w:eastAsia="Fira Sans regular" w:cs="Times New Roman"/>
        </w:rPr>
        <w:t>for the</w:t>
      </w:r>
      <w:r w:rsidR="003D3C1D" w:rsidRPr="00DF4F2E">
        <w:rPr>
          <w:rFonts w:eastAsia="Fira Sans regular" w:cs="Times New Roman"/>
        </w:rPr>
        <w:t xml:space="preserve"> AMHCC complexity model and change the data validation rules for AMHCC V1.1 to allow records with one or two missing </w:t>
      </w:r>
      <w:proofErr w:type="spellStart"/>
      <w:r w:rsidR="003D3C1D" w:rsidRPr="00DF4F2E">
        <w:rPr>
          <w:rFonts w:eastAsia="Fira Sans regular" w:cs="Times New Roman"/>
        </w:rPr>
        <w:t>HoNOS</w:t>
      </w:r>
      <w:proofErr w:type="spellEnd"/>
      <w:r w:rsidR="003D3C1D" w:rsidRPr="00DF4F2E">
        <w:rPr>
          <w:rFonts w:eastAsia="Fira Sans regular" w:cs="Times New Roman"/>
        </w:rPr>
        <w:t xml:space="preserve"> scores to receive a valid complexity score. This meant that the records with one or two missing </w:t>
      </w:r>
      <w:proofErr w:type="spellStart"/>
      <w:r w:rsidR="003D3C1D" w:rsidRPr="00DF4F2E">
        <w:rPr>
          <w:rFonts w:eastAsia="Fira Sans regular" w:cs="Times New Roman"/>
        </w:rPr>
        <w:t>HoNOS</w:t>
      </w:r>
      <w:proofErr w:type="spellEnd"/>
      <w:r w:rsidR="003D3C1D" w:rsidRPr="00DF4F2E">
        <w:rPr>
          <w:rFonts w:eastAsia="Fira Sans regular" w:cs="Times New Roman"/>
        </w:rPr>
        <w:t xml:space="preserve"> scores would not influence the determination of weights and rescaling factors.</w:t>
      </w:r>
      <w:r w:rsidR="00D10758" w:rsidRPr="00DF4F2E">
        <w:rPr>
          <w:rFonts w:eastAsia="Fira Sans regular" w:cs="Times New Roman"/>
        </w:rPr>
        <w:t xml:space="preserve"> </w:t>
      </w:r>
      <w:bookmarkEnd w:id="108"/>
    </w:p>
    <w:p w14:paraId="0B3EC1D5" w14:textId="500D51BB" w:rsidR="00EC2C4F" w:rsidRDefault="0031406E" w:rsidP="00E26E19">
      <w:pPr>
        <w:pStyle w:val="Heading1"/>
        <w:numPr>
          <w:ilvl w:val="0"/>
          <w:numId w:val="5"/>
        </w:numPr>
      </w:pPr>
      <w:bookmarkStart w:id="110" w:name="_Toc152277108"/>
      <w:bookmarkStart w:id="111" w:name="_Toc152312730"/>
      <w:bookmarkStart w:id="112" w:name="_Toc153371604"/>
      <w:r>
        <w:lastRenderedPageBreak/>
        <w:t>A</w:t>
      </w:r>
      <w:r w:rsidR="00190566">
        <w:t xml:space="preserve">ustralian </w:t>
      </w:r>
      <w:r>
        <w:t>M</w:t>
      </w:r>
      <w:r w:rsidR="00190566">
        <w:t xml:space="preserve">ental </w:t>
      </w:r>
      <w:r>
        <w:t>H</w:t>
      </w:r>
      <w:r w:rsidR="00190566">
        <w:t xml:space="preserve">ealth </w:t>
      </w:r>
      <w:r>
        <w:t>C</w:t>
      </w:r>
      <w:r w:rsidR="00190566">
        <w:t xml:space="preserve">are </w:t>
      </w:r>
      <w:r>
        <w:t>C</w:t>
      </w:r>
      <w:r w:rsidR="00190566">
        <w:t>lassification</w:t>
      </w:r>
      <w:r>
        <w:t xml:space="preserve"> V</w:t>
      </w:r>
      <w:r w:rsidR="00190566">
        <w:t xml:space="preserve">ersion </w:t>
      </w:r>
      <w:r>
        <w:t>1.1</w:t>
      </w:r>
      <w:bookmarkEnd w:id="110"/>
      <w:bookmarkEnd w:id="111"/>
      <w:bookmarkEnd w:id="112"/>
    </w:p>
    <w:p w14:paraId="31C0D1F8" w14:textId="26595A73" w:rsidR="0031406E" w:rsidRDefault="0031406E" w:rsidP="00E26E19">
      <w:pPr>
        <w:pStyle w:val="Heading2"/>
        <w:numPr>
          <w:ilvl w:val="1"/>
          <w:numId w:val="5"/>
        </w:numPr>
      </w:pPr>
      <w:bookmarkStart w:id="113" w:name="_Toc152277109"/>
      <w:bookmarkStart w:id="114" w:name="_Toc152312731"/>
      <w:bookmarkStart w:id="115" w:name="_Toc153371605"/>
      <w:r w:rsidRPr="00E26E19">
        <w:t>Overview</w:t>
      </w:r>
      <w:bookmarkEnd w:id="113"/>
      <w:bookmarkEnd w:id="114"/>
      <w:bookmarkEnd w:id="115"/>
      <w:r w:rsidRPr="00E26E19">
        <w:t xml:space="preserve"> </w:t>
      </w:r>
    </w:p>
    <w:p w14:paraId="38DC069A" w14:textId="198978E2" w:rsidR="0031406E" w:rsidRPr="00D82B81" w:rsidRDefault="00F35A7D" w:rsidP="00F35A7D">
      <w:r w:rsidRPr="00D82B81">
        <w:t>The A</w:t>
      </w:r>
      <w:r w:rsidR="00190566">
        <w:t xml:space="preserve">ustralian </w:t>
      </w:r>
      <w:r w:rsidRPr="00D82B81">
        <w:t>M</w:t>
      </w:r>
      <w:r w:rsidR="00190566">
        <w:t xml:space="preserve">ental </w:t>
      </w:r>
      <w:r w:rsidRPr="00D82B81">
        <w:t>H</w:t>
      </w:r>
      <w:r w:rsidR="00190566">
        <w:t xml:space="preserve">ealth </w:t>
      </w:r>
      <w:r w:rsidRPr="00D82B81">
        <w:t>C</w:t>
      </w:r>
      <w:r w:rsidR="00190566">
        <w:t xml:space="preserve">are </w:t>
      </w:r>
      <w:r w:rsidRPr="00D82B81">
        <w:t>C</w:t>
      </w:r>
      <w:r w:rsidR="00190566">
        <w:t>lassification</w:t>
      </w:r>
      <w:r w:rsidRPr="00D82B81">
        <w:t xml:space="preserve"> V</w:t>
      </w:r>
      <w:r w:rsidR="00190566">
        <w:t xml:space="preserve">ersion </w:t>
      </w:r>
      <w:r w:rsidR="00196B86">
        <w:t>(</w:t>
      </w:r>
      <w:r w:rsidRPr="00D82B81">
        <w:t>AMHCC</w:t>
      </w:r>
      <w:r w:rsidR="00196B86">
        <w:t xml:space="preserve">) Version </w:t>
      </w:r>
      <w:r w:rsidRPr="00D82B81">
        <w:t>1.1</w:t>
      </w:r>
      <w:r w:rsidR="00196B86">
        <w:t xml:space="preserve"> (</w:t>
      </w:r>
      <w:r w:rsidRPr="00D82B81">
        <w:t>V1.1</w:t>
      </w:r>
      <w:r w:rsidR="00196B86">
        <w:t>)</w:t>
      </w:r>
      <w:r w:rsidRPr="00D82B81">
        <w:t xml:space="preserve"> </w:t>
      </w:r>
      <w:r w:rsidR="0031406E" w:rsidRPr="00D82B81">
        <w:t>is a modest refinement to AMHCC V1.0.</w:t>
      </w:r>
      <w:r w:rsidR="004D688A">
        <w:t xml:space="preserve"> </w:t>
      </w:r>
      <w:r w:rsidR="00DD280B">
        <w:t xml:space="preserve">The full list of AMHCC V1.1 end </w:t>
      </w:r>
      <w:r w:rsidR="00F166C4">
        <w:t>classes can</w:t>
      </w:r>
      <w:r w:rsidR="004D688A">
        <w:t xml:space="preserve"> be found at </w:t>
      </w:r>
      <w:r w:rsidR="004D688A" w:rsidRPr="004D688A">
        <w:rPr>
          <w:b/>
          <w:bCs/>
        </w:rPr>
        <w:t xml:space="preserve">Appendix </w:t>
      </w:r>
      <w:r w:rsidR="00177AE4">
        <w:rPr>
          <w:b/>
          <w:bCs/>
        </w:rPr>
        <w:t>C</w:t>
      </w:r>
      <w:r w:rsidR="004D688A">
        <w:t xml:space="preserve">. </w:t>
      </w:r>
    </w:p>
    <w:p w14:paraId="46048388" w14:textId="49EF24EE" w:rsidR="001C44D2" w:rsidRPr="00D82B81" w:rsidRDefault="001C44D2" w:rsidP="00F35A7D">
      <w:r w:rsidRPr="00D82B81">
        <w:rPr>
          <w:b/>
          <w:bCs/>
        </w:rPr>
        <w:t xml:space="preserve">Table </w:t>
      </w:r>
      <w:r w:rsidR="00EC7100" w:rsidRPr="00D82B81">
        <w:rPr>
          <w:b/>
          <w:bCs/>
        </w:rPr>
        <w:t>4</w:t>
      </w:r>
      <w:r w:rsidRPr="00D82B81">
        <w:t xml:space="preserve"> </w:t>
      </w:r>
      <w:r w:rsidR="0031406E" w:rsidRPr="00D82B81">
        <w:t>summari</w:t>
      </w:r>
      <w:r w:rsidR="00595F45">
        <w:t>s</w:t>
      </w:r>
      <w:r w:rsidR="0031406E" w:rsidRPr="00D82B81">
        <w:t xml:space="preserve">es the key similarities and difference between </w:t>
      </w:r>
      <w:r w:rsidRPr="00D82B81">
        <w:t>AMHCC V</w:t>
      </w:r>
      <w:r w:rsidR="00196B86">
        <w:t xml:space="preserve">ersion </w:t>
      </w:r>
      <w:r w:rsidRPr="00D82B81">
        <w:t>1.0</w:t>
      </w:r>
      <w:r w:rsidR="00196B86">
        <w:t xml:space="preserve"> (</w:t>
      </w:r>
      <w:r w:rsidRPr="00D82B81">
        <w:t>V1.0</w:t>
      </w:r>
      <w:r w:rsidR="00196B86">
        <w:t>)</w:t>
      </w:r>
      <w:r w:rsidRPr="00D82B81">
        <w:t xml:space="preserve"> and AMHCC V1.1.</w:t>
      </w:r>
    </w:p>
    <w:p w14:paraId="3A040ACB" w14:textId="2F3E7B7E" w:rsidR="001C44D2" w:rsidRPr="00E26E19" w:rsidRDefault="001C44D2" w:rsidP="00E26E19">
      <w:pPr>
        <w:pStyle w:val="TableFigureheading"/>
      </w:pPr>
      <w:r w:rsidRPr="00E26E19">
        <w:t xml:space="preserve">Table </w:t>
      </w:r>
      <w:r w:rsidR="00EC7100" w:rsidRPr="00E26E19">
        <w:t>4</w:t>
      </w:r>
      <w:r w:rsidRPr="00E26E19">
        <w:t xml:space="preserve">. </w:t>
      </w:r>
      <w:r w:rsidR="001016BC" w:rsidRPr="00E26E19">
        <w:t xml:space="preserve">Comparing </w:t>
      </w:r>
      <w:r w:rsidRPr="00E26E19">
        <w:t>AMHCC V1.0 and AMHCC V1.1</w:t>
      </w:r>
    </w:p>
    <w:tbl>
      <w:tblPr>
        <w:tblStyle w:val="IHACPA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8"/>
        <w:tblDescription w:val="Summary of Performance for Activity 6: Independent and transparent decision-making and engagement with stakeholders"/>
      </w:tblPr>
      <w:tblGrid>
        <w:gridCol w:w="3903"/>
        <w:gridCol w:w="5839"/>
      </w:tblGrid>
      <w:tr w:rsidR="00840EC1" w:rsidRPr="00CB2553" w14:paraId="06CF3662" w14:textId="77777777" w:rsidTr="00F45F2F">
        <w:trPr>
          <w:cnfStyle w:val="100000000000" w:firstRow="1" w:lastRow="0" w:firstColumn="0" w:lastColumn="0" w:oddVBand="0" w:evenVBand="0" w:oddHBand="0" w:evenHBand="0" w:firstRowFirstColumn="0" w:firstRowLastColumn="0" w:lastRowFirstColumn="0" w:lastRowLastColumn="0"/>
          <w:trHeight w:val="20"/>
          <w:tblHeader/>
        </w:trPr>
        <w:tc>
          <w:tcPr>
            <w:tcW w:w="0" w:type="pct"/>
          </w:tcPr>
          <w:p w14:paraId="60808C19" w14:textId="3A6BC89A" w:rsidR="001016BC" w:rsidRPr="001542BE" w:rsidRDefault="001016BC" w:rsidP="1922062C">
            <w:pPr>
              <w:spacing w:before="120" w:after="120"/>
              <w:rPr>
                <w:b/>
                <w:bCs/>
                <w:color w:val="1C1C1C"/>
                <w:szCs w:val="18"/>
              </w:rPr>
            </w:pPr>
            <w:r w:rsidRPr="001542BE">
              <w:rPr>
                <w:b/>
                <w:bCs/>
                <w:color w:val="FFFFFF" w:themeColor="accent6"/>
                <w:szCs w:val="18"/>
              </w:rPr>
              <w:t>Feature</w:t>
            </w:r>
          </w:p>
        </w:tc>
        <w:tc>
          <w:tcPr>
            <w:tcW w:w="0" w:type="pct"/>
          </w:tcPr>
          <w:p w14:paraId="3E8B7333" w14:textId="41AB0F7B" w:rsidR="001016BC" w:rsidRPr="001542BE" w:rsidRDefault="001016BC" w:rsidP="001016BC">
            <w:pPr>
              <w:spacing w:before="120" w:after="120"/>
              <w:rPr>
                <w:color w:val="1C1C1C"/>
                <w:szCs w:val="18"/>
              </w:rPr>
            </w:pPr>
            <w:r w:rsidRPr="001542BE">
              <w:rPr>
                <w:b/>
                <w:bCs/>
                <w:color w:val="FFFFFF" w:themeColor="accent6"/>
                <w:szCs w:val="18"/>
              </w:rPr>
              <w:t>Summary of AMHCC V1.1 changes from AMHCC V1.0</w:t>
            </w:r>
          </w:p>
        </w:tc>
      </w:tr>
      <w:tr w:rsidR="00852A96" w:rsidRPr="00CB2553" w14:paraId="4F7F32B2"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right w:val="single" w:sz="4" w:space="0" w:color="auto"/>
            </w:tcBorders>
            <w:shd w:val="clear" w:color="auto" w:fill="auto"/>
          </w:tcPr>
          <w:p w14:paraId="6E84A4DA" w14:textId="60DB3DFD" w:rsidR="001016BC" w:rsidRPr="001542BE" w:rsidRDefault="55D96415" w:rsidP="001016BC">
            <w:pPr>
              <w:spacing w:before="120" w:after="120"/>
              <w:rPr>
                <w:color w:val="1C1C1C"/>
                <w:szCs w:val="18"/>
              </w:rPr>
            </w:pPr>
            <w:r w:rsidRPr="001542BE">
              <w:rPr>
                <w:color w:val="1C1C1C"/>
                <w:szCs w:val="18"/>
              </w:rPr>
              <w:t>N</w:t>
            </w:r>
            <w:r w:rsidR="001016BC" w:rsidRPr="001542BE">
              <w:rPr>
                <w:color w:val="1C1C1C"/>
                <w:szCs w:val="18"/>
              </w:rPr>
              <w:t xml:space="preserve">umber of </w:t>
            </w:r>
            <w:r w:rsidRPr="001542BE">
              <w:rPr>
                <w:color w:val="1C1C1C"/>
                <w:szCs w:val="18"/>
              </w:rPr>
              <w:t>classification variables</w:t>
            </w:r>
          </w:p>
        </w:tc>
        <w:tc>
          <w:tcPr>
            <w:tcW w:w="2997" w:type="pct"/>
            <w:tcBorders>
              <w:top w:val="single" w:sz="4" w:space="0" w:color="auto"/>
              <w:left w:val="single" w:sz="4" w:space="0" w:color="auto"/>
              <w:right w:val="single" w:sz="4" w:space="0" w:color="auto"/>
            </w:tcBorders>
            <w:shd w:val="clear" w:color="auto" w:fill="auto"/>
          </w:tcPr>
          <w:p w14:paraId="71B53355" w14:textId="2F7CBBE5" w:rsidR="00AE38C5" w:rsidRPr="001542BE" w:rsidRDefault="001016BC" w:rsidP="001016BC">
            <w:pPr>
              <w:spacing w:before="120" w:after="120"/>
              <w:rPr>
                <w:color w:val="1C1C1C"/>
                <w:szCs w:val="18"/>
              </w:rPr>
            </w:pPr>
            <w:r w:rsidRPr="001542BE">
              <w:rPr>
                <w:color w:val="1C1C1C"/>
                <w:szCs w:val="18"/>
              </w:rPr>
              <w:t>No change</w:t>
            </w:r>
            <w:r w:rsidR="55D96415" w:rsidRPr="001542BE">
              <w:rPr>
                <w:color w:val="1C1C1C"/>
                <w:szCs w:val="18"/>
              </w:rPr>
              <w:t>.</w:t>
            </w:r>
          </w:p>
        </w:tc>
      </w:tr>
      <w:tr w:rsidR="00840EC1" w:rsidRPr="00CB2553" w14:paraId="77B563B4"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170FC982" w14:textId="090F9E6B" w:rsidR="00AE38C5" w:rsidRPr="001542BE" w:rsidRDefault="55D96415" w:rsidP="001016BC">
            <w:pPr>
              <w:spacing w:before="120" w:after="120"/>
              <w:rPr>
                <w:color w:val="1C1C1C"/>
                <w:szCs w:val="18"/>
              </w:rPr>
            </w:pPr>
            <w:r w:rsidRPr="001542BE">
              <w:rPr>
                <w:color w:val="1C1C1C"/>
                <w:szCs w:val="18"/>
              </w:rPr>
              <w:t xml:space="preserve">Number of end classes </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5637AE0C" w14:textId="77777777" w:rsidR="00AE38C5" w:rsidRPr="001542BE" w:rsidRDefault="55D96415" w:rsidP="001016BC">
            <w:pPr>
              <w:spacing w:before="120" w:after="120"/>
              <w:rPr>
                <w:szCs w:val="18"/>
              </w:rPr>
            </w:pPr>
            <w:r w:rsidRPr="001542BE">
              <w:rPr>
                <w:color w:val="1C1C1C"/>
                <w:szCs w:val="18"/>
              </w:rPr>
              <w:t>No change.</w:t>
            </w:r>
            <w:r w:rsidRPr="001542BE">
              <w:rPr>
                <w:szCs w:val="18"/>
              </w:rPr>
              <w:t xml:space="preserve"> </w:t>
            </w:r>
          </w:p>
          <w:p w14:paraId="62860457" w14:textId="0D8F42A3" w:rsidR="00E320D7" w:rsidRPr="001542BE" w:rsidRDefault="1B5EB41E" w:rsidP="001016BC">
            <w:pPr>
              <w:spacing w:before="120" w:after="120"/>
              <w:rPr>
                <w:color w:val="1C1C1C"/>
                <w:szCs w:val="18"/>
              </w:rPr>
            </w:pPr>
            <w:r w:rsidRPr="001542BE">
              <w:rPr>
                <w:color w:val="1C1C1C"/>
                <w:szCs w:val="18"/>
              </w:rPr>
              <w:t xml:space="preserve">However, two end classes will be inactive in AMHCC </w:t>
            </w:r>
            <w:r w:rsidR="007624A3" w:rsidRPr="001542BE">
              <w:rPr>
                <w:color w:val="1C1C1C"/>
                <w:szCs w:val="18"/>
              </w:rPr>
              <w:t>V1</w:t>
            </w:r>
            <w:r w:rsidRPr="001542BE">
              <w:rPr>
                <w:color w:val="1C1C1C"/>
                <w:szCs w:val="18"/>
              </w:rPr>
              <w:t>.1</w:t>
            </w:r>
            <w:r w:rsidR="313C85CA" w:rsidRPr="001542BE">
              <w:rPr>
                <w:color w:val="1C1C1C"/>
                <w:szCs w:val="18"/>
              </w:rPr>
              <w:t xml:space="preserve"> including:</w:t>
            </w:r>
          </w:p>
          <w:p w14:paraId="5EB13039" w14:textId="2F42D1A8" w:rsidR="00E320D7" w:rsidRPr="001542BE" w:rsidRDefault="1057A261" w:rsidP="00E320D7">
            <w:pPr>
              <w:pStyle w:val="ListParagraph"/>
              <w:numPr>
                <w:ilvl w:val="0"/>
                <w:numId w:val="17"/>
              </w:numPr>
              <w:spacing w:before="120" w:after="120"/>
              <w:rPr>
                <w:color w:val="1C1C1C"/>
                <w:szCs w:val="18"/>
              </w:rPr>
            </w:pPr>
            <w:r w:rsidRPr="001542BE">
              <w:rPr>
                <w:rFonts w:cs="Arial"/>
                <w:szCs w:val="18"/>
              </w:rPr>
              <w:t xml:space="preserve">Admitted, Consolidating gain, 0-17 years, High </w:t>
            </w:r>
            <w:r w:rsidR="001E76E9">
              <w:rPr>
                <w:rFonts w:cs="Arial"/>
                <w:szCs w:val="18"/>
              </w:rPr>
              <w:t>Health of the Nation Outcome Scale (</w:t>
            </w:r>
            <w:proofErr w:type="spellStart"/>
            <w:r w:rsidRPr="001542BE">
              <w:rPr>
                <w:rFonts w:cs="Arial"/>
                <w:szCs w:val="18"/>
              </w:rPr>
              <w:t>HoNOS</w:t>
            </w:r>
            <w:proofErr w:type="spellEnd"/>
            <w:r w:rsidR="001E76E9">
              <w:rPr>
                <w:rFonts w:cs="Arial"/>
                <w:szCs w:val="18"/>
              </w:rPr>
              <w:t>)</w:t>
            </w:r>
            <w:r w:rsidRPr="001542BE">
              <w:rPr>
                <w:rFonts w:cs="Arial"/>
                <w:szCs w:val="18"/>
              </w:rPr>
              <w:t xml:space="preserve"> </w:t>
            </w:r>
            <w:proofErr w:type="gramStart"/>
            <w:r w:rsidRPr="001542BE">
              <w:rPr>
                <w:rFonts w:cs="Arial"/>
                <w:szCs w:val="18"/>
              </w:rPr>
              <w:t>complexity</w:t>
            </w:r>
            <w:proofErr w:type="gramEnd"/>
          </w:p>
          <w:p w14:paraId="3099289A" w14:textId="77777777" w:rsidR="003D5218" w:rsidRPr="00FC0BEC" w:rsidRDefault="2919E11F" w:rsidP="003D5218">
            <w:pPr>
              <w:pStyle w:val="ListParagraph"/>
              <w:numPr>
                <w:ilvl w:val="0"/>
                <w:numId w:val="17"/>
              </w:numPr>
              <w:spacing w:before="120" w:after="120"/>
              <w:rPr>
                <w:color w:val="1C1C1C"/>
                <w:szCs w:val="18"/>
              </w:rPr>
            </w:pPr>
            <w:r w:rsidRPr="001542BE">
              <w:rPr>
                <w:rFonts w:cs="Arial"/>
                <w:szCs w:val="18"/>
              </w:rPr>
              <w:t xml:space="preserve">Admitted, Consolidating gain, 0-17 years, Moderate </w:t>
            </w:r>
            <w:proofErr w:type="spellStart"/>
            <w:r w:rsidRPr="001542BE">
              <w:rPr>
                <w:rFonts w:cs="Arial"/>
                <w:szCs w:val="18"/>
              </w:rPr>
              <w:t>HoNOS</w:t>
            </w:r>
            <w:proofErr w:type="spellEnd"/>
            <w:r w:rsidRPr="001542BE">
              <w:rPr>
                <w:rFonts w:cs="Arial"/>
                <w:szCs w:val="18"/>
              </w:rPr>
              <w:t xml:space="preserve"> complexity</w:t>
            </w:r>
            <w:r w:rsidR="006F7178">
              <w:rPr>
                <w:rFonts w:cs="Arial"/>
                <w:szCs w:val="18"/>
              </w:rPr>
              <w:t>.</w:t>
            </w:r>
          </w:p>
          <w:p w14:paraId="53B23C05" w14:textId="2E513C01" w:rsidR="003D5218" w:rsidRPr="00FC0BEC" w:rsidRDefault="003D5218" w:rsidP="00FC0BEC">
            <w:pPr>
              <w:spacing w:before="120" w:after="120"/>
              <w:rPr>
                <w:color w:val="1C1C1C"/>
                <w:szCs w:val="18"/>
              </w:rPr>
            </w:pPr>
            <w:r>
              <w:rPr>
                <w:color w:val="1C1C1C"/>
                <w:szCs w:val="18"/>
              </w:rPr>
              <w:t xml:space="preserve">This means that </w:t>
            </w:r>
            <w:r w:rsidR="00706722">
              <w:rPr>
                <w:color w:val="1C1C1C"/>
                <w:szCs w:val="18"/>
              </w:rPr>
              <w:t>the AMHCC V1.1 grouper will not assign any phase records to these two end classes.</w:t>
            </w:r>
          </w:p>
        </w:tc>
      </w:tr>
      <w:tr w:rsidR="00840EC1" w:rsidRPr="00CB2553" w14:paraId="73E16B1F"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32DB8C07" w14:textId="5F1DDF4F" w:rsidR="00AE38C5" w:rsidRPr="001542BE" w:rsidRDefault="00FD292A" w:rsidP="001016BC">
            <w:pPr>
              <w:spacing w:before="120" w:after="120"/>
              <w:rPr>
                <w:color w:val="1C1C1C"/>
                <w:szCs w:val="18"/>
              </w:rPr>
            </w:pPr>
            <w:r>
              <w:rPr>
                <w:color w:val="1C1C1C"/>
                <w:szCs w:val="18"/>
              </w:rPr>
              <w:t xml:space="preserve">Number of </w:t>
            </w:r>
            <w:proofErr w:type="spellStart"/>
            <w:r w:rsidR="55D96415" w:rsidRPr="001542BE">
              <w:rPr>
                <w:color w:val="1C1C1C"/>
                <w:szCs w:val="18"/>
              </w:rPr>
              <w:t>HoNOS</w:t>
            </w:r>
            <w:proofErr w:type="spellEnd"/>
            <w:r w:rsidR="55D96415" w:rsidRPr="001542BE">
              <w:rPr>
                <w:color w:val="1C1C1C"/>
                <w:szCs w:val="18"/>
              </w:rPr>
              <w:t xml:space="preserve"> complexity split</w:t>
            </w:r>
            <w:r w:rsidR="725C766B" w:rsidRPr="001542BE">
              <w:rPr>
                <w:color w:val="1C1C1C"/>
                <w:szCs w:val="18"/>
              </w:rPr>
              <w:t xml:space="preserve"> thresholds</w:t>
            </w:r>
            <w:r w:rsidR="55D96415" w:rsidRPr="001542BE">
              <w:rPr>
                <w:color w:val="1C1C1C"/>
                <w:szCs w:val="18"/>
              </w:rPr>
              <w:t xml:space="preserve"> </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56D6134D" w14:textId="4A90423D" w:rsidR="00AE38C5" w:rsidRPr="001542BE" w:rsidRDefault="55D96415" w:rsidP="001016BC">
            <w:pPr>
              <w:spacing w:before="120" w:after="120"/>
              <w:rPr>
                <w:color w:val="1C1C1C"/>
                <w:szCs w:val="18"/>
              </w:rPr>
            </w:pPr>
            <w:r w:rsidRPr="001542BE">
              <w:rPr>
                <w:color w:val="1C1C1C"/>
                <w:szCs w:val="18"/>
              </w:rPr>
              <w:t xml:space="preserve">AMHCC </w:t>
            </w:r>
            <w:r w:rsidR="007624A3" w:rsidRPr="001542BE">
              <w:rPr>
                <w:color w:val="1C1C1C"/>
                <w:szCs w:val="18"/>
              </w:rPr>
              <w:t>V1</w:t>
            </w:r>
            <w:r w:rsidRPr="001542BE">
              <w:rPr>
                <w:color w:val="1C1C1C"/>
                <w:szCs w:val="18"/>
              </w:rPr>
              <w:t xml:space="preserve">.1 will have different complexity split thresholds for each </w:t>
            </w:r>
            <w:r w:rsidR="003F2907">
              <w:t>Mental Health Legal Status (</w:t>
            </w:r>
            <w:r w:rsidRPr="001542BE">
              <w:rPr>
                <w:color w:val="1C1C1C"/>
                <w:szCs w:val="18"/>
              </w:rPr>
              <w:t>MHLS</w:t>
            </w:r>
            <w:r w:rsidR="003F2907">
              <w:rPr>
                <w:color w:val="1C1C1C"/>
                <w:szCs w:val="18"/>
              </w:rPr>
              <w:t>)</w:t>
            </w:r>
            <w:r w:rsidRPr="001542BE">
              <w:rPr>
                <w:color w:val="1C1C1C"/>
                <w:szCs w:val="18"/>
              </w:rPr>
              <w:t xml:space="preserve"> value (involuntary and voluntary) </w:t>
            </w:r>
            <w:r w:rsidR="76D5887D" w:rsidRPr="001542BE">
              <w:rPr>
                <w:color w:val="1C1C1C"/>
                <w:szCs w:val="18"/>
              </w:rPr>
              <w:t>for</w:t>
            </w:r>
            <w:r w:rsidRPr="001542BE">
              <w:rPr>
                <w:color w:val="1C1C1C"/>
                <w:szCs w:val="18"/>
              </w:rPr>
              <w:t xml:space="preserve"> the </w:t>
            </w:r>
            <w:r w:rsidR="00735154">
              <w:rPr>
                <w:color w:val="1C1C1C"/>
                <w:szCs w:val="18"/>
              </w:rPr>
              <w:t>A</w:t>
            </w:r>
            <w:r w:rsidRPr="001542BE">
              <w:rPr>
                <w:color w:val="1C1C1C"/>
                <w:szCs w:val="18"/>
              </w:rPr>
              <w:t xml:space="preserve">dmitted, </w:t>
            </w:r>
            <w:r w:rsidR="00735154">
              <w:rPr>
                <w:color w:val="1C1C1C"/>
                <w:szCs w:val="18"/>
              </w:rPr>
              <w:t>A</w:t>
            </w:r>
            <w:r w:rsidRPr="001542BE">
              <w:rPr>
                <w:color w:val="1C1C1C"/>
                <w:szCs w:val="18"/>
              </w:rPr>
              <w:t xml:space="preserve">cute </w:t>
            </w:r>
            <w:r w:rsidR="003F2907">
              <w:rPr>
                <w:color w:val="1C1C1C"/>
                <w:szCs w:val="18"/>
              </w:rPr>
              <w:t>Mental Health Phase of Care (</w:t>
            </w:r>
            <w:proofErr w:type="spellStart"/>
            <w:r w:rsidRPr="001542BE">
              <w:rPr>
                <w:color w:val="1C1C1C"/>
                <w:szCs w:val="18"/>
              </w:rPr>
              <w:t>MHPoC</w:t>
            </w:r>
            <w:proofErr w:type="spellEnd"/>
            <w:r w:rsidR="003F2907">
              <w:rPr>
                <w:color w:val="1C1C1C"/>
                <w:szCs w:val="18"/>
              </w:rPr>
              <w:t>)</w:t>
            </w:r>
            <w:r w:rsidRPr="001542BE">
              <w:rPr>
                <w:color w:val="1C1C1C"/>
                <w:szCs w:val="18"/>
              </w:rPr>
              <w:t xml:space="preserve"> and 18-64 years </w:t>
            </w:r>
            <w:r w:rsidR="76D5887D" w:rsidRPr="001542BE">
              <w:rPr>
                <w:color w:val="1C1C1C"/>
                <w:szCs w:val="18"/>
              </w:rPr>
              <w:t>branch</w:t>
            </w:r>
            <w:r w:rsidRPr="001542BE">
              <w:rPr>
                <w:color w:val="1C1C1C"/>
                <w:szCs w:val="18"/>
              </w:rPr>
              <w:t>.</w:t>
            </w:r>
          </w:p>
          <w:p w14:paraId="2B97A6A9" w14:textId="7DA261DA" w:rsidR="00AE38C5" w:rsidRPr="001542BE" w:rsidRDefault="55D96415" w:rsidP="001016BC">
            <w:pPr>
              <w:spacing w:before="120" w:after="120"/>
              <w:rPr>
                <w:color w:val="1C1C1C"/>
                <w:szCs w:val="18"/>
              </w:rPr>
            </w:pPr>
            <w:r w:rsidRPr="001542BE">
              <w:rPr>
                <w:color w:val="1C1C1C"/>
                <w:szCs w:val="18"/>
              </w:rPr>
              <w:t xml:space="preserve">There will </w:t>
            </w:r>
            <w:r w:rsidR="11ABA734" w:rsidRPr="001542BE">
              <w:rPr>
                <w:color w:val="1C1C1C"/>
                <w:szCs w:val="18"/>
              </w:rPr>
              <w:t xml:space="preserve">be </w:t>
            </w:r>
            <w:r w:rsidRPr="001542BE">
              <w:rPr>
                <w:color w:val="1C1C1C"/>
                <w:szCs w:val="18"/>
              </w:rPr>
              <w:t xml:space="preserve">no complexity split threshold for the </w:t>
            </w:r>
            <w:r w:rsidR="00735154">
              <w:rPr>
                <w:color w:val="1C1C1C"/>
                <w:szCs w:val="18"/>
              </w:rPr>
              <w:t>A</w:t>
            </w:r>
            <w:r w:rsidRPr="001542BE">
              <w:rPr>
                <w:color w:val="1C1C1C"/>
                <w:szCs w:val="18"/>
              </w:rPr>
              <w:t xml:space="preserve">dmitted, </w:t>
            </w:r>
            <w:r w:rsidR="00735154">
              <w:rPr>
                <w:color w:val="1C1C1C"/>
                <w:szCs w:val="18"/>
              </w:rPr>
              <w:t>C</w:t>
            </w:r>
            <w:r w:rsidRPr="001542BE">
              <w:rPr>
                <w:color w:val="1C1C1C"/>
                <w:szCs w:val="18"/>
              </w:rPr>
              <w:t xml:space="preserve">onsolidating gain </w:t>
            </w:r>
            <w:proofErr w:type="spellStart"/>
            <w:r w:rsidRPr="001542BE">
              <w:rPr>
                <w:color w:val="1C1C1C"/>
                <w:szCs w:val="18"/>
              </w:rPr>
              <w:t>MHPoC</w:t>
            </w:r>
            <w:proofErr w:type="spellEnd"/>
            <w:r w:rsidRPr="001542BE">
              <w:rPr>
                <w:color w:val="1C1C1C"/>
                <w:szCs w:val="18"/>
              </w:rPr>
              <w:t xml:space="preserve"> and 0-17 years branch.</w:t>
            </w:r>
          </w:p>
        </w:tc>
      </w:tr>
      <w:tr w:rsidR="00840EC1" w:rsidRPr="00CB2553" w14:paraId="242F6A70"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5282D247" w14:textId="40F7D8D8" w:rsidR="00355ACC" w:rsidRDefault="00355ACC" w:rsidP="001016BC">
            <w:pPr>
              <w:spacing w:before="120" w:after="120"/>
              <w:rPr>
                <w:color w:val="1C1C1C"/>
                <w:szCs w:val="18"/>
              </w:rPr>
            </w:pPr>
            <w:proofErr w:type="spellStart"/>
            <w:r>
              <w:rPr>
                <w:color w:val="1C1C1C"/>
                <w:szCs w:val="18"/>
              </w:rPr>
              <w:t>HoNOS</w:t>
            </w:r>
            <w:proofErr w:type="spellEnd"/>
            <w:r>
              <w:rPr>
                <w:color w:val="1C1C1C"/>
                <w:szCs w:val="18"/>
              </w:rPr>
              <w:t xml:space="preserve"> complexity split threshold values</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7FC9CE26" w14:textId="54C9B7CD" w:rsidR="00355ACC" w:rsidRPr="001542BE" w:rsidRDefault="00355ACC" w:rsidP="001016BC">
            <w:pPr>
              <w:spacing w:before="120" w:after="120"/>
              <w:rPr>
                <w:color w:val="1C1C1C"/>
                <w:szCs w:val="18"/>
              </w:rPr>
            </w:pPr>
            <w:r>
              <w:rPr>
                <w:color w:val="1C1C1C"/>
                <w:szCs w:val="18"/>
              </w:rPr>
              <w:t xml:space="preserve">The </w:t>
            </w:r>
            <w:proofErr w:type="spellStart"/>
            <w:r w:rsidR="00840EC1">
              <w:rPr>
                <w:color w:val="1C1C1C"/>
                <w:szCs w:val="18"/>
              </w:rPr>
              <w:t>HoNOS</w:t>
            </w:r>
            <w:proofErr w:type="spellEnd"/>
            <w:r w:rsidR="00840EC1">
              <w:rPr>
                <w:color w:val="1C1C1C"/>
                <w:szCs w:val="18"/>
              </w:rPr>
              <w:t xml:space="preserve"> complexity split threshold</w:t>
            </w:r>
            <w:r w:rsidR="00852A96">
              <w:rPr>
                <w:color w:val="1C1C1C"/>
                <w:szCs w:val="18"/>
              </w:rPr>
              <w:t xml:space="preserve"> values </w:t>
            </w:r>
            <w:r w:rsidR="00840EC1">
              <w:rPr>
                <w:color w:val="1C1C1C"/>
                <w:szCs w:val="18"/>
              </w:rPr>
              <w:t>will be different under AMHCC V1.0 and AMHCC V1.1. Split threshold values have been recalibrated using national mental health care data for AMHCC V1.1.</w:t>
            </w:r>
          </w:p>
        </w:tc>
      </w:tr>
      <w:tr w:rsidR="00840EC1" w:rsidRPr="00CB2553" w14:paraId="30D0C651"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2B424021" w14:textId="78A7D5EC" w:rsidR="00AE38C5" w:rsidRPr="001542BE" w:rsidRDefault="00FD292A" w:rsidP="001016BC">
            <w:pPr>
              <w:spacing w:before="120" w:after="120"/>
              <w:rPr>
                <w:color w:val="1C1C1C"/>
                <w:szCs w:val="18"/>
              </w:rPr>
            </w:pPr>
            <w:r>
              <w:rPr>
                <w:color w:val="1C1C1C"/>
                <w:szCs w:val="18"/>
              </w:rPr>
              <w:t xml:space="preserve">Number of </w:t>
            </w:r>
            <w:r w:rsidR="002B4C95" w:rsidRPr="00DF4F2E">
              <w:rPr>
                <w:rFonts w:cs="Arial"/>
              </w:rPr>
              <w:t>Abbreviated Life Skills Profile</w:t>
            </w:r>
            <w:r w:rsidR="002B4C95" w:rsidRPr="001542BE">
              <w:rPr>
                <w:color w:val="1C1C1C"/>
                <w:szCs w:val="18"/>
              </w:rPr>
              <w:t xml:space="preserve"> </w:t>
            </w:r>
            <w:r w:rsidR="002B4C95">
              <w:rPr>
                <w:color w:val="1C1C1C"/>
                <w:szCs w:val="18"/>
              </w:rPr>
              <w:t>(</w:t>
            </w:r>
            <w:r w:rsidR="55D96415" w:rsidRPr="001542BE">
              <w:rPr>
                <w:color w:val="1C1C1C"/>
                <w:szCs w:val="18"/>
              </w:rPr>
              <w:t>LSP-16</w:t>
            </w:r>
            <w:r w:rsidR="002B4C95">
              <w:rPr>
                <w:color w:val="1C1C1C"/>
                <w:szCs w:val="18"/>
              </w:rPr>
              <w:t>)</w:t>
            </w:r>
            <w:r w:rsidR="55D96415" w:rsidRPr="001542BE">
              <w:rPr>
                <w:color w:val="1C1C1C"/>
                <w:szCs w:val="18"/>
              </w:rPr>
              <w:t xml:space="preserve"> complexity split</w:t>
            </w:r>
            <w:r w:rsidR="725C766B" w:rsidRPr="001542BE">
              <w:rPr>
                <w:color w:val="1C1C1C"/>
                <w:szCs w:val="18"/>
              </w:rPr>
              <w:t xml:space="preserve"> thresholds</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27A2EFA8" w14:textId="169F8462" w:rsidR="00AE38C5" w:rsidRPr="001542BE" w:rsidRDefault="55D96415" w:rsidP="001016BC">
            <w:pPr>
              <w:spacing w:before="120" w:after="120"/>
              <w:rPr>
                <w:color w:val="1C1C1C"/>
                <w:szCs w:val="18"/>
              </w:rPr>
            </w:pPr>
            <w:r w:rsidRPr="001542BE">
              <w:rPr>
                <w:color w:val="1C1C1C"/>
                <w:szCs w:val="18"/>
              </w:rPr>
              <w:t>No change.</w:t>
            </w:r>
          </w:p>
        </w:tc>
      </w:tr>
      <w:tr w:rsidR="00840EC1" w:rsidRPr="00CB2553" w14:paraId="1DB718BA"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08476741" w14:textId="65BA0F9A" w:rsidR="00355ACC" w:rsidRDefault="00355ACC" w:rsidP="001016BC">
            <w:pPr>
              <w:spacing w:before="120" w:after="120"/>
              <w:rPr>
                <w:color w:val="1C1C1C"/>
                <w:szCs w:val="18"/>
              </w:rPr>
            </w:pPr>
            <w:r w:rsidRPr="001542BE">
              <w:rPr>
                <w:color w:val="1C1C1C"/>
                <w:szCs w:val="18"/>
              </w:rPr>
              <w:t>LSP-16 complexity split threshold</w:t>
            </w:r>
            <w:r>
              <w:rPr>
                <w:color w:val="1C1C1C"/>
                <w:szCs w:val="18"/>
              </w:rPr>
              <w:t xml:space="preserve"> values</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3650D100" w14:textId="35E6B03A" w:rsidR="00355ACC" w:rsidRPr="001542BE" w:rsidRDefault="00840EC1" w:rsidP="001016BC">
            <w:pPr>
              <w:spacing w:before="120" w:after="120"/>
              <w:rPr>
                <w:color w:val="1C1C1C"/>
                <w:szCs w:val="18"/>
              </w:rPr>
            </w:pPr>
            <w:r>
              <w:rPr>
                <w:color w:val="1C1C1C"/>
                <w:szCs w:val="18"/>
              </w:rPr>
              <w:t>The LSP-16 complexity split threshold</w:t>
            </w:r>
            <w:r w:rsidR="00852A96">
              <w:rPr>
                <w:color w:val="1C1C1C"/>
                <w:szCs w:val="18"/>
              </w:rPr>
              <w:t xml:space="preserve"> values </w:t>
            </w:r>
            <w:r>
              <w:rPr>
                <w:color w:val="1C1C1C"/>
                <w:szCs w:val="18"/>
              </w:rPr>
              <w:t>will be different under AMHCC V1.0 and AMHCC V1.1. Split threshold values have been recalibrated using national mental health care data for AMHCC V1.1.</w:t>
            </w:r>
          </w:p>
        </w:tc>
      </w:tr>
      <w:tr w:rsidR="00840EC1" w:rsidRPr="00CB2553" w14:paraId="4612AAED"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1BDAB8D7" w14:textId="0066EB4D" w:rsidR="00AE38C5" w:rsidRPr="001542BE" w:rsidRDefault="725C766B" w:rsidP="00F45F2F">
            <w:pPr>
              <w:spacing w:before="120" w:after="120"/>
              <w:rPr>
                <w:color w:val="1C1C1C"/>
                <w:szCs w:val="18"/>
              </w:rPr>
            </w:pPr>
            <w:r w:rsidRPr="001542BE">
              <w:rPr>
                <w:color w:val="1C1C1C"/>
                <w:szCs w:val="18"/>
              </w:rPr>
              <w:t>The application of the</w:t>
            </w:r>
            <w:r w:rsidR="55D96415" w:rsidRPr="001542BE">
              <w:rPr>
                <w:color w:val="1C1C1C"/>
                <w:szCs w:val="18"/>
              </w:rPr>
              <w:t xml:space="preserve"> LSP-16 complexity split </w:t>
            </w:r>
            <w:r w:rsidRPr="001542BE">
              <w:rPr>
                <w:color w:val="1C1C1C"/>
                <w:szCs w:val="18"/>
              </w:rPr>
              <w:t xml:space="preserve">is limited to the community setting, 18-64 </w:t>
            </w:r>
            <w:r w:rsidRPr="001542BE">
              <w:rPr>
                <w:color w:val="1C1C1C"/>
                <w:szCs w:val="18"/>
              </w:rPr>
              <w:lastRenderedPageBreak/>
              <w:t xml:space="preserve">years age group with Moderate </w:t>
            </w:r>
            <w:proofErr w:type="spellStart"/>
            <w:r w:rsidRPr="001542BE">
              <w:rPr>
                <w:color w:val="1C1C1C"/>
                <w:szCs w:val="18"/>
              </w:rPr>
              <w:t>HoNOS</w:t>
            </w:r>
            <w:proofErr w:type="spellEnd"/>
            <w:r w:rsidRPr="001542BE">
              <w:rPr>
                <w:color w:val="1C1C1C"/>
                <w:szCs w:val="18"/>
              </w:rPr>
              <w:t xml:space="preserve"> complexity</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30F1C4AB" w14:textId="4BBFDDD6" w:rsidR="00AE38C5" w:rsidRPr="001542BE" w:rsidRDefault="55D96415" w:rsidP="001016BC">
            <w:pPr>
              <w:spacing w:before="120" w:after="120"/>
              <w:rPr>
                <w:color w:val="1C1C1C"/>
                <w:szCs w:val="18"/>
              </w:rPr>
            </w:pPr>
            <w:r w:rsidRPr="001542BE">
              <w:rPr>
                <w:color w:val="1C1C1C"/>
                <w:szCs w:val="18"/>
              </w:rPr>
              <w:lastRenderedPageBreak/>
              <w:t>No change.</w:t>
            </w:r>
          </w:p>
        </w:tc>
      </w:tr>
      <w:tr w:rsidR="00840EC1" w:rsidRPr="00CB2553" w14:paraId="530535DF"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1E76F009" w14:textId="64FAE9FB" w:rsidR="00AE38C5" w:rsidRPr="001542BE" w:rsidRDefault="55D96415" w:rsidP="001016BC">
            <w:pPr>
              <w:spacing w:before="120" w:after="120"/>
              <w:rPr>
                <w:color w:val="1C1C1C"/>
                <w:szCs w:val="18"/>
              </w:rPr>
            </w:pPr>
            <w:r w:rsidRPr="001542BE">
              <w:rPr>
                <w:color w:val="1C1C1C"/>
                <w:szCs w:val="18"/>
              </w:rPr>
              <w:t xml:space="preserve">Calculation of </w:t>
            </w:r>
            <w:proofErr w:type="spellStart"/>
            <w:r w:rsidRPr="001542BE">
              <w:rPr>
                <w:color w:val="1C1C1C"/>
                <w:szCs w:val="18"/>
              </w:rPr>
              <w:t>HoNOS</w:t>
            </w:r>
            <w:proofErr w:type="spellEnd"/>
            <w:r w:rsidRPr="001542BE">
              <w:rPr>
                <w:color w:val="1C1C1C"/>
                <w:szCs w:val="18"/>
              </w:rPr>
              <w:t xml:space="preserve"> complexity score</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53E35373" w14:textId="0CCFAFFF" w:rsidR="00AE38C5" w:rsidRPr="001542BE" w:rsidRDefault="55D96415" w:rsidP="001016BC">
            <w:pPr>
              <w:spacing w:before="120" w:after="120"/>
              <w:rPr>
                <w:color w:val="1C1C1C"/>
                <w:szCs w:val="18"/>
              </w:rPr>
            </w:pPr>
            <w:r w:rsidRPr="001542BE">
              <w:rPr>
                <w:color w:val="1C1C1C"/>
                <w:szCs w:val="18"/>
              </w:rPr>
              <w:t>No change.</w:t>
            </w:r>
          </w:p>
        </w:tc>
      </w:tr>
      <w:tr w:rsidR="00840EC1" w:rsidRPr="00CB2553" w14:paraId="6F2F5570"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4208A870" w14:textId="3BC07F93" w:rsidR="00AE38C5" w:rsidRPr="001542BE" w:rsidRDefault="55D96415" w:rsidP="00047FAD">
            <w:pPr>
              <w:spacing w:before="120" w:after="120"/>
              <w:rPr>
                <w:color w:val="1C1C1C"/>
                <w:szCs w:val="18"/>
              </w:rPr>
            </w:pPr>
            <w:r w:rsidRPr="001542BE">
              <w:rPr>
                <w:color w:val="1C1C1C"/>
                <w:szCs w:val="18"/>
              </w:rPr>
              <w:t>Calculation of LSP-16 complexity score</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6132A6A1" w14:textId="3B5D7EA1" w:rsidR="00AE38C5" w:rsidRPr="001542BE" w:rsidRDefault="55D96415" w:rsidP="001016BC">
            <w:pPr>
              <w:spacing w:before="120" w:after="120"/>
              <w:rPr>
                <w:color w:val="1C1C1C"/>
                <w:szCs w:val="18"/>
              </w:rPr>
            </w:pPr>
            <w:r w:rsidRPr="001542BE">
              <w:rPr>
                <w:color w:val="1C1C1C"/>
                <w:szCs w:val="18"/>
              </w:rPr>
              <w:t>No change.</w:t>
            </w:r>
          </w:p>
        </w:tc>
      </w:tr>
      <w:tr w:rsidR="00840EC1" w:rsidRPr="00CB2553" w14:paraId="20A64F14"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1D834964" w14:textId="36C2B15B" w:rsidR="00AE38C5" w:rsidRPr="001542BE" w:rsidRDefault="55D96415" w:rsidP="00047FAD">
            <w:pPr>
              <w:spacing w:before="120" w:after="120"/>
              <w:rPr>
                <w:color w:val="1C1C1C"/>
                <w:szCs w:val="18"/>
              </w:rPr>
            </w:pPr>
            <w:r w:rsidRPr="001542BE">
              <w:rPr>
                <w:color w:val="1C1C1C"/>
                <w:szCs w:val="18"/>
              </w:rPr>
              <w:t>Method</w:t>
            </w:r>
            <w:r w:rsidR="7517DB10" w:rsidRPr="001542BE">
              <w:rPr>
                <w:color w:val="1C1C1C"/>
                <w:szCs w:val="18"/>
              </w:rPr>
              <w:t xml:space="preserve">ology </w:t>
            </w:r>
            <w:r w:rsidRPr="001542BE">
              <w:rPr>
                <w:color w:val="1C1C1C"/>
                <w:szCs w:val="18"/>
              </w:rPr>
              <w:t xml:space="preserve">to assign </w:t>
            </w:r>
            <w:proofErr w:type="spellStart"/>
            <w:r w:rsidRPr="001542BE">
              <w:rPr>
                <w:color w:val="1C1C1C"/>
                <w:szCs w:val="18"/>
              </w:rPr>
              <w:t>HoNOS</w:t>
            </w:r>
            <w:proofErr w:type="spellEnd"/>
            <w:r w:rsidRPr="001542BE">
              <w:rPr>
                <w:color w:val="1C1C1C"/>
                <w:szCs w:val="18"/>
              </w:rPr>
              <w:t xml:space="preserve"> or LSP-16 complexity grouping</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50A337F3" w14:textId="78148DA6" w:rsidR="00AE38C5" w:rsidRPr="001542BE" w:rsidRDefault="55D96415" w:rsidP="001016BC">
            <w:pPr>
              <w:spacing w:before="120" w:after="120"/>
              <w:rPr>
                <w:color w:val="1C1C1C"/>
                <w:szCs w:val="18"/>
              </w:rPr>
            </w:pPr>
            <w:r w:rsidRPr="001542BE">
              <w:rPr>
                <w:color w:val="1C1C1C"/>
                <w:szCs w:val="18"/>
              </w:rPr>
              <w:t>No change.</w:t>
            </w:r>
          </w:p>
        </w:tc>
      </w:tr>
      <w:tr w:rsidR="00840EC1" w:rsidRPr="00CB2553" w14:paraId="6F1816D9" w14:textId="77777777" w:rsidTr="001F638E">
        <w:trPr>
          <w:cnfStyle w:val="000000100000" w:firstRow="0" w:lastRow="0" w:firstColumn="0" w:lastColumn="0" w:oddVBand="0" w:evenVBand="0" w:oddHBand="1" w:evenHBand="0"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06F4A261" w14:textId="630CD93D" w:rsidR="00AE38C5" w:rsidRPr="001542BE" w:rsidRDefault="55D96415" w:rsidP="00047FAD">
            <w:pPr>
              <w:spacing w:before="120" w:after="120"/>
              <w:rPr>
                <w:color w:val="1C1C1C"/>
                <w:szCs w:val="18"/>
              </w:rPr>
            </w:pPr>
            <w:r w:rsidRPr="001542BE">
              <w:rPr>
                <w:color w:val="1C1C1C"/>
                <w:szCs w:val="18"/>
              </w:rPr>
              <w:t xml:space="preserve">Treatment of records with missing </w:t>
            </w:r>
            <w:proofErr w:type="spellStart"/>
            <w:r w:rsidRPr="001542BE">
              <w:rPr>
                <w:color w:val="1C1C1C"/>
                <w:szCs w:val="18"/>
              </w:rPr>
              <w:t>HoNOS</w:t>
            </w:r>
            <w:proofErr w:type="spellEnd"/>
            <w:r w:rsidRPr="001542BE">
              <w:rPr>
                <w:color w:val="1C1C1C"/>
                <w:szCs w:val="18"/>
              </w:rPr>
              <w:t xml:space="preserve"> scores</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720619C9" w14:textId="3BB9DC50" w:rsidR="00AE38C5" w:rsidRPr="001542BE" w:rsidRDefault="55D96415" w:rsidP="001016BC">
            <w:pPr>
              <w:spacing w:before="120" w:after="120"/>
              <w:rPr>
                <w:color w:val="1C1C1C"/>
                <w:szCs w:val="18"/>
              </w:rPr>
            </w:pPr>
            <w:r w:rsidRPr="001542BE">
              <w:rPr>
                <w:color w:val="1C1C1C"/>
                <w:szCs w:val="18"/>
              </w:rPr>
              <w:t xml:space="preserve">Under AMHCC </w:t>
            </w:r>
            <w:r w:rsidR="007624A3" w:rsidRPr="001542BE">
              <w:rPr>
                <w:color w:val="1C1C1C"/>
                <w:szCs w:val="18"/>
              </w:rPr>
              <w:t>V1</w:t>
            </w:r>
            <w:r w:rsidRPr="001542BE">
              <w:rPr>
                <w:color w:val="1C1C1C"/>
                <w:szCs w:val="18"/>
              </w:rPr>
              <w:t xml:space="preserve">.1, records with one or two missing </w:t>
            </w:r>
            <w:proofErr w:type="spellStart"/>
            <w:r w:rsidRPr="001542BE">
              <w:rPr>
                <w:color w:val="1C1C1C"/>
                <w:szCs w:val="18"/>
              </w:rPr>
              <w:t>HoNOS</w:t>
            </w:r>
            <w:proofErr w:type="spellEnd"/>
            <w:r w:rsidRPr="001542BE">
              <w:rPr>
                <w:color w:val="1C1C1C"/>
                <w:szCs w:val="18"/>
              </w:rPr>
              <w:t xml:space="preserve"> items will receive a valid complexity score and a High or Moderate </w:t>
            </w:r>
            <w:proofErr w:type="spellStart"/>
            <w:r w:rsidRPr="001542BE">
              <w:rPr>
                <w:color w:val="1C1C1C"/>
                <w:szCs w:val="18"/>
              </w:rPr>
              <w:t>HoNOS</w:t>
            </w:r>
            <w:proofErr w:type="spellEnd"/>
            <w:r w:rsidRPr="001542BE">
              <w:rPr>
                <w:color w:val="1C1C1C"/>
                <w:szCs w:val="18"/>
              </w:rPr>
              <w:t xml:space="preserve"> complexity grouping. </w:t>
            </w:r>
          </w:p>
        </w:tc>
      </w:tr>
      <w:tr w:rsidR="00840EC1" w:rsidRPr="00CB2553" w14:paraId="2232DE07" w14:textId="77777777" w:rsidTr="001F638E">
        <w:trPr>
          <w:cnfStyle w:val="000000010000" w:firstRow="0" w:lastRow="0" w:firstColumn="0" w:lastColumn="0" w:oddVBand="0" w:evenVBand="0" w:oddHBand="0" w:evenHBand="1" w:firstRowFirstColumn="0" w:firstRowLastColumn="0" w:lastRowFirstColumn="0" w:lastRowLastColumn="0"/>
          <w:trHeight w:val="20"/>
        </w:trPr>
        <w:tc>
          <w:tcPr>
            <w:tcW w:w="2003" w:type="pct"/>
            <w:tcBorders>
              <w:top w:val="single" w:sz="4" w:space="0" w:color="auto"/>
              <w:left w:val="single" w:sz="4" w:space="0" w:color="auto"/>
              <w:bottom w:val="single" w:sz="4" w:space="0" w:color="auto"/>
              <w:right w:val="single" w:sz="4" w:space="0" w:color="auto"/>
            </w:tcBorders>
            <w:shd w:val="clear" w:color="auto" w:fill="auto"/>
          </w:tcPr>
          <w:p w14:paraId="02DC42FF" w14:textId="5C3C2152" w:rsidR="00AE38C5" w:rsidRPr="001542BE" w:rsidRDefault="55D96415" w:rsidP="00047FAD">
            <w:pPr>
              <w:spacing w:before="120" w:after="120"/>
              <w:rPr>
                <w:color w:val="1C1C1C"/>
                <w:szCs w:val="18"/>
              </w:rPr>
            </w:pPr>
            <w:r w:rsidRPr="001542BE">
              <w:rPr>
                <w:color w:val="1C1C1C"/>
                <w:szCs w:val="18"/>
              </w:rPr>
              <w:t>Treatment of records with missing LSP-16 scores</w:t>
            </w:r>
          </w:p>
        </w:tc>
        <w:tc>
          <w:tcPr>
            <w:tcW w:w="2997" w:type="pct"/>
            <w:tcBorders>
              <w:top w:val="single" w:sz="4" w:space="0" w:color="auto"/>
              <w:left w:val="single" w:sz="4" w:space="0" w:color="auto"/>
              <w:bottom w:val="single" w:sz="4" w:space="0" w:color="auto"/>
              <w:right w:val="single" w:sz="4" w:space="0" w:color="auto"/>
            </w:tcBorders>
            <w:shd w:val="clear" w:color="auto" w:fill="auto"/>
          </w:tcPr>
          <w:p w14:paraId="5702D1AE" w14:textId="015A133E" w:rsidR="00AE38C5" w:rsidRPr="001542BE" w:rsidRDefault="725C766B" w:rsidP="001016BC">
            <w:pPr>
              <w:spacing w:before="120" w:after="120"/>
              <w:rPr>
                <w:color w:val="1C1C1C"/>
                <w:szCs w:val="18"/>
              </w:rPr>
            </w:pPr>
            <w:r w:rsidRPr="001542BE">
              <w:rPr>
                <w:color w:val="1C1C1C"/>
                <w:szCs w:val="18"/>
              </w:rPr>
              <w:t>No change.</w:t>
            </w:r>
          </w:p>
        </w:tc>
      </w:tr>
    </w:tbl>
    <w:p w14:paraId="10BCE357" w14:textId="77777777" w:rsidR="001542BE" w:rsidRDefault="001542BE" w:rsidP="00F45F2F">
      <w:pPr>
        <w:pStyle w:val="Heading2"/>
      </w:pPr>
    </w:p>
    <w:p w14:paraId="65E648CF" w14:textId="58F6D7AD" w:rsidR="001C44D2" w:rsidRPr="0082679F" w:rsidRDefault="00046420" w:rsidP="00E26E19">
      <w:pPr>
        <w:pStyle w:val="Heading2"/>
        <w:numPr>
          <w:ilvl w:val="1"/>
          <w:numId w:val="5"/>
        </w:numPr>
      </w:pPr>
      <w:bookmarkStart w:id="116" w:name="_Toc152277110"/>
      <w:bookmarkStart w:id="117" w:name="_Toc152312732"/>
      <w:bookmarkStart w:id="118" w:name="_Toc153371606"/>
      <w:r>
        <w:t>Weights and threshold refinement</w:t>
      </w:r>
      <w:bookmarkEnd w:id="116"/>
      <w:bookmarkEnd w:id="117"/>
      <w:bookmarkEnd w:id="118"/>
      <w:r>
        <w:t xml:space="preserve"> </w:t>
      </w:r>
    </w:p>
    <w:p w14:paraId="4F8640E8" w14:textId="46ED68E5" w:rsidR="00046420" w:rsidRPr="00E26E19" w:rsidRDefault="00046420" w:rsidP="00D82B81">
      <w:pPr>
        <w:pStyle w:val="Heading3"/>
        <w:numPr>
          <w:ilvl w:val="2"/>
          <w:numId w:val="5"/>
        </w:numPr>
      </w:pPr>
      <w:proofErr w:type="spellStart"/>
      <w:r w:rsidRPr="00E26E19">
        <w:t>HoNOS</w:t>
      </w:r>
      <w:proofErr w:type="spellEnd"/>
      <w:r w:rsidRPr="00E26E19">
        <w:t xml:space="preserve"> weights</w:t>
      </w:r>
    </w:p>
    <w:p w14:paraId="76E727DE" w14:textId="296ACD19" w:rsidR="0031404D" w:rsidRPr="00D82B81" w:rsidRDefault="00590781" w:rsidP="00BA6C6A">
      <w:r>
        <w:t xml:space="preserve">In the AMHCC V1.1 there </w:t>
      </w:r>
      <w:r w:rsidR="0031404D">
        <w:t>are 13</w:t>
      </w:r>
      <w:r w:rsidR="0031404D" w:rsidRPr="00D82B81">
        <w:t xml:space="preserve"> </w:t>
      </w:r>
      <w:proofErr w:type="spellStart"/>
      <w:r w:rsidR="0031404D" w:rsidRPr="00D82B81">
        <w:t>HoNOS</w:t>
      </w:r>
      <w:proofErr w:type="spellEnd"/>
      <w:r w:rsidR="0031404D" w:rsidRPr="00D82B81">
        <w:t xml:space="preserve"> </w:t>
      </w:r>
      <w:r w:rsidR="0031404D">
        <w:t>weights</w:t>
      </w:r>
      <w:r w:rsidR="0031404D" w:rsidRPr="00D82B81">
        <w:t xml:space="preserve"> for 0-17 </w:t>
      </w:r>
      <w:r w:rsidR="0031404D">
        <w:t xml:space="preserve">years branches </w:t>
      </w:r>
      <w:r w:rsidR="0031404D" w:rsidRPr="00D82B81">
        <w:t xml:space="preserve">and 12 </w:t>
      </w:r>
      <w:proofErr w:type="spellStart"/>
      <w:r w:rsidR="0031404D" w:rsidRPr="00D82B81">
        <w:t>HoNOS</w:t>
      </w:r>
      <w:proofErr w:type="spellEnd"/>
      <w:r w:rsidR="0031404D" w:rsidRPr="00D82B81">
        <w:t xml:space="preserve"> items for the 18-64 years and 65+ years </w:t>
      </w:r>
      <w:r w:rsidR="0031404D">
        <w:t>branches</w:t>
      </w:r>
      <w:r w:rsidR="0031404D" w:rsidRPr="00D82B81">
        <w:t>.</w:t>
      </w:r>
      <w:r w:rsidR="0031404D">
        <w:t xml:space="preserve"> There is a total of 24 rescaling factors, one for each unique combination of setting, </w:t>
      </w:r>
      <w:proofErr w:type="gramStart"/>
      <w:r w:rsidR="0031404D">
        <w:t>phase</w:t>
      </w:r>
      <w:proofErr w:type="gramEnd"/>
      <w:r w:rsidR="0031404D">
        <w:t xml:space="preserve"> and age group. </w:t>
      </w:r>
    </w:p>
    <w:p w14:paraId="4D029DEB" w14:textId="408A88C6" w:rsidR="0031404D" w:rsidRDefault="0031404D" w:rsidP="0031404D">
      <w:r w:rsidRPr="00D82B81">
        <w:t xml:space="preserve">The number of </w:t>
      </w:r>
      <w:proofErr w:type="spellStart"/>
      <w:r w:rsidRPr="00D82B81">
        <w:t>HoNOS</w:t>
      </w:r>
      <w:proofErr w:type="spellEnd"/>
      <w:r w:rsidRPr="00D82B81">
        <w:t>/</w:t>
      </w:r>
      <w:r w:rsidR="009E2F95" w:rsidRPr="009E2F95">
        <w:t xml:space="preserve"> </w:t>
      </w:r>
      <w:r w:rsidR="009E2F95">
        <w:t>Health of the Nation Outcome Scale Children and Adolescents (</w:t>
      </w:r>
      <w:proofErr w:type="spellStart"/>
      <w:r w:rsidRPr="00D82B81">
        <w:t>HoNOSCA</w:t>
      </w:r>
      <w:proofErr w:type="spellEnd"/>
      <w:r w:rsidR="009E2F95">
        <w:t>)</w:t>
      </w:r>
      <w:r w:rsidRPr="00D82B81">
        <w:t>/</w:t>
      </w:r>
      <w:proofErr w:type="spellStart"/>
      <w:r w:rsidRPr="00D82B81">
        <w:t>HoNOS</w:t>
      </w:r>
      <w:proofErr w:type="spellEnd"/>
      <w:r w:rsidRPr="00D82B81">
        <w:t xml:space="preserve"> 65+ weights and rescaling factors and the absence of LSP-16 weights </w:t>
      </w:r>
      <w:r>
        <w:t>h</w:t>
      </w:r>
      <w:r w:rsidRPr="00D82B81">
        <w:t xml:space="preserve">as not changed between AMHCC V1.0 and V1.1. </w:t>
      </w:r>
      <w:r>
        <w:t xml:space="preserve">The AMHCC V1.1 weights are provided in </w:t>
      </w:r>
      <w:r w:rsidRPr="009B7773">
        <w:rPr>
          <w:b/>
          <w:bCs/>
        </w:rPr>
        <w:t xml:space="preserve">Appendix </w:t>
      </w:r>
      <w:r w:rsidR="0005669C">
        <w:rPr>
          <w:b/>
          <w:bCs/>
        </w:rPr>
        <w:t>D</w:t>
      </w:r>
      <w:r>
        <w:t>.</w:t>
      </w:r>
    </w:p>
    <w:p w14:paraId="2EF0322A" w14:textId="54ED96F0" w:rsidR="00046420" w:rsidRPr="00046420" w:rsidRDefault="00046420" w:rsidP="00E26E19">
      <w:pPr>
        <w:pStyle w:val="Heading3"/>
        <w:numPr>
          <w:ilvl w:val="2"/>
          <w:numId w:val="5"/>
        </w:numPr>
        <w:autoSpaceDE w:val="0"/>
        <w:autoSpaceDN w:val="0"/>
        <w:adjustRightInd w:val="0"/>
        <w:spacing w:after="120" w:line="240" w:lineRule="auto"/>
      </w:pPr>
      <w:proofErr w:type="spellStart"/>
      <w:r>
        <w:t>HoNOS</w:t>
      </w:r>
      <w:proofErr w:type="spellEnd"/>
      <w:r>
        <w:t xml:space="preserve"> complexity split thresholds</w:t>
      </w:r>
    </w:p>
    <w:p w14:paraId="368A22F5" w14:textId="5F1D17F0" w:rsidR="0082679F" w:rsidRPr="00D82B81" w:rsidRDefault="0082679F" w:rsidP="0082679F">
      <w:pPr>
        <w:pStyle w:val="Heading4"/>
      </w:pPr>
      <w:r w:rsidRPr="00D82B81">
        <w:t xml:space="preserve">Admitted setting, Acute </w:t>
      </w:r>
      <w:proofErr w:type="spellStart"/>
      <w:r w:rsidRPr="00D82B81">
        <w:t>MHPoC</w:t>
      </w:r>
      <w:proofErr w:type="spellEnd"/>
      <w:r w:rsidRPr="00D82B81">
        <w:t xml:space="preserve">, 18-64 years age group, involuntary and voluntary MHLS </w:t>
      </w:r>
      <w:proofErr w:type="gramStart"/>
      <w:r w:rsidRPr="00D82B81">
        <w:t>branches</w:t>
      </w:r>
      <w:proofErr w:type="gramEnd"/>
    </w:p>
    <w:p w14:paraId="6C0166AC" w14:textId="70C6C21A" w:rsidR="00046420" w:rsidRPr="00655D12" w:rsidRDefault="00046420" w:rsidP="00BA6C6A">
      <w:pPr>
        <w:autoSpaceDE w:val="0"/>
        <w:autoSpaceDN w:val="0"/>
        <w:adjustRightInd w:val="0"/>
        <w:spacing w:before="120" w:after="0"/>
        <w:rPr>
          <w:rFonts w:eastAsia="Times New Roman" w:cs="Arial"/>
        </w:rPr>
      </w:pPr>
      <w:r w:rsidRPr="00655D12">
        <w:rPr>
          <w:rFonts w:eastAsia="Times New Roman" w:cs="Arial"/>
        </w:rPr>
        <w:t xml:space="preserve">In the AMHCC V1.0 </w:t>
      </w:r>
      <w:r w:rsidR="00047170">
        <w:rPr>
          <w:rFonts w:eastAsia="Times New Roman" w:cs="Arial"/>
        </w:rPr>
        <w:t>the same</w:t>
      </w:r>
      <w:r w:rsidRPr="00655D12">
        <w:rPr>
          <w:rFonts w:eastAsia="Times New Roman" w:cs="Arial"/>
        </w:rPr>
        <w:t xml:space="preserve"> </w:t>
      </w:r>
      <w:proofErr w:type="spellStart"/>
      <w:r w:rsidRPr="00655D12">
        <w:rPr>
          <w:rFonts w:eastAsia="Times New Roman" w:cs="Arial"/>
        </w:rPr>
        <w:t>HoNOS</w:t>
      </w:r>
      <w:proofErr w:type="spellEnd"/>
      <w:r w:rsidRPr="00655D12">
        <w:rPr>
          <w:rFonts w:eastAsia="Times New Roman" w:cs="Arial"/>
        </w:rPr>
        <w:t xml:space="preserve"> complexity </w:t>
      </w:r>
      <w:r w:rsidR="00047170">
        <w:rPr>
          <w:rFonts w:eastAsia="Times New Roman" w:cs="Arial"/>
        </w:rPr>
        <w:t xml:space="preserve">threshold </w:t>
      </w:r>
      <w:r w:rsidRPr="00655D12">
        <w:rPr>
          <w:rFonts w:eastAsia="Times New Roman" w:cs="Arial"/>
        </w:rPr>
        <w:t xml:space="preserve">is applied across the involuntary and voluntary branches of the Admitted Acute </w:t>
      </w:r>
      <w:proofErr w:type="spellStart"/>
      <w:r w:rsidRPr="00655D12">
        <w:rPr>
          <w:rFonts w:eastAsia="Times New Roman" w:cs="Arial"/>
        </w:rPr>
        <w:t>MHPoC</w:t>
      </w:r>
      <w:proofErr w:type="spellEnd"/>
      <w:r w:rsidRPr="00655D12">
        <w:rPr>
          <w:rFonts w:eastAsia="Times New Roman" w:cs="Arial"/>
        </w:rPr>
        <w:t>, age</w:t>
      </w:r>
      <w:r w:rsidR="00BC230C">
        <w:rPr>
          <w:rFonts w:eastAsia="Times New Roman" w:cs="Arial"/>
        </w:rPr>
        <w:t>d</w:t>
      </w:r>
      <w:r w:rsidRPr="00655D12">
        <w:rPr>
          <w:rFonts w:eastAsia="Times New Roman" w:cs="Arial"/>
        </w:rPr>
        <w:t xml:space="preserve"> 18-64 years segment. </w:t>
      </w:r>
      <w:r w:rsidR="00047170">
        <w:rPr>
          <w:rFonts w:eastAsia="Times New Roman" w:cs="Arial"/>
        </w:rPr>
        <w:t xml:space="preserve">Episodes with an involuntary MHLS generally have a </w:t>
      </w:r>
      <w:r w:rsidR="00480A1E">
        <w:rPr>
          <w:rFonts w:eastAsia="Times New Roman" w:cs="Arial"/>
        </w:rPr>
        <w:t>higher</w:t>
      </w:r>
      <w:r w:rsidR="00047170">
        <w:rPr>
          <w:rFonts w:eastAsia="Times New Roman" w:cs="Arial"/>
        </w:rPr>
        <w:t xml:space="preserve"> </w:t>
      </w:r>
      <w:proofErr w:type="spellStart"/>
      <w:r w:rsidR="00ED3FA6">
        <w:rPr>
          <w:rFonts w:eastAsia="Times New Roman" w:cs="Arial"/>
        </w:rPr>
        <w:t>HoNOS</w:t>
      </w:r>
      <w:proofErr w:type="spellEnd"/>
      <w:r w:rsidR="00ED3FA6">
        <w:rPr>
          <w:rFonts w:eastAsia="Times New Roman" w:cs="Arial"/>
        </w:rPr>
        <w:t xml:space="preserve"> </w:t>
      </w:r>
      <w:r w:rsidR="00047170">
        <w:rPr>
          <w:rFonts w:eastAsia="Times New Roman" w:cs="Arial"/>
        </w:rPr>
        <w:t>complexity score than those with a</w:t>
      </w:r>
      <w:r w:rsidR="00E564DB">
        <w:rPr>
          <w:rFonts w:eastAsia="Times New Roman" w:cs="Arial"/>
        </w:rPr>
        <w:t xml:space="preserve"> </w:t>
      </w:r>
      <w:r w:rsidR="00047170">
        <w:rPr>
          <w:rFonts w:eastAsia="Times New Roman" w:cs="Arial"/>
        </w:rPr>
        <w:t>voluntary MHLS. Consequently, most</w:t>
      </w:r>
      <w:r w:rsidRPr="00655D12">
        <w:rPr>
          <w:rFonts w:eastAsia="Times New Roman" w:cs="Arial"/>
        </w:rPr>
        <w:t xml:space="preserve"> phases with involuntary MHLS group to the </w:t>
      </w:r>
      <w:r w:rsidR="00E56AD6">
        <w:rPr>
          <w:rFonts w:eastAsia="Times New Roman" w:cs="Arial"/>
        </w:rPr>
        <w:t>H</w:t>
      </w:r>
      <w:r w:rsidRPr="00655D12">
        <w:rPr>
          <w:rFonts w:eastAsia="Times New Roman" w:cs="Arial"/>
        </w:rPr>
        <w:t xml:space="preserve">igh </w:t>
      </w:r>
      <w:proofErr w:type="spellStart"/>
      <w:r w:rsidRPr="00655D12">
        <w:rPr>
          <w:rFonts w:eastAsia="Times New Roman" w:cs="Arial"/>
        </w:rPr>
        <w:t>HoNOS</w:t>
      </w:r>
      <w:proofErr w:type="spellEnd"/>
      <w:r w:rsidRPr="00655D12">
        <w:rPr>
          <w:rFonts w:eastAsia="Times New Roman" w:cs="Arial"/>
        </w:rPr>
        <w:t xml:space="preserve"> complexity group and </w:t>
      </w:r>
      <w:r w:rsidR="00047170">
        <w:rPr>
          <w:rFonts w:eastAsia="Times New Roman" w:cs="Arial"/>
        </w:rPr>
        <w:t xml:space="preserve">most </w:t>
      </w:r>
      <w:r w:rsidRPr="00655D12">
        <w:rPr>
          <w:rFonts w:eastAsia="Times New Roman" w:cs="Arial"/>
        </w:rPr>
        <w:t xml:space="preserve">phases with voluntary MHLS group to the </w:t>
      </w:r>
      <w:r w:rsidR="00E56AD6">
        <w:rPr>
          <w:rFonts w:eastAsia="Times New Roman" w:cs="Arial"/>
        </w:rPr>
        <w:t>M</w:t>
      </w:r>
      <w:r w:rsidRPr="00655D12">
        <w:rPr>
          <w:rFonts w:eastAsia="Times New Roman" w:cs="Arial"/>
        </w:rPr>
        <w:t xml:space="preserve">oderate </w:t>
      </w:r>
      <w:proofErr w:type="spellStart"/>
      <w:r w:rsidRPr="00655D12">
        <w:rPr>
          <w:rFonts w:eastAsia="Times New Roman" w:cs="Arial"/>
        </w:rPr>
        <w:t>HoNOS</w:t>
      </w:r>
      <w:proofErr w:type="spellEnd"/>
      <w:r w:rsidRPr="00655D12">
        <w:rPr>
          <w:rFonts w:eastAsia="Times New Roman" w:cs="Arial"/>
        </w:rPr>
        <w:t xml:space="preserve"> complexity group. The AMHCC V1.1 seeks to better differentiate complexity within the two MHLS groups</w:t>
      </w:r>
      <w:r w:rsidR="00C741F5">
        <w:rPr>
          <w:rFonts w:eastAsia="Times New Roman" w:cs="Arial"/>
        </w:rPr>
        <w:t xml:space="preserve"> by introducing different complexity split thresholds for each MHLS value</w:t>
      </w:r>
      <w:r w:rsidRPr="00655D12">
        <w:rPr>
          <w:rFonts w:eastAsia="Times New Roman" w:cs="Arial"/>
        </w:rPr>
        <w:t xml:space="preserve">. </w:t>
      </w:r>
    </w:p>
    <w:p w14:paraId="2655742D" w14:textId="70A55452" w:rsidR="0082679F" w:rsidRPr="00D82B81" w:rsidRDefault="00E95AF5" w:rsidP="0082679F">
      <w:pPr>
        <w:autoSpaceDE w:val="0"/>
        <w:autoSpaceDN w:val="0"/>
        <w:adjustRightInd w:val="0"/>
        <w:spacing w:before="120" w:after="120" w:line="240" w:lineRule="auto"/>
      </w:pPr>
      <w:r w:rsidRPr="00D82B81">
        <w:rPr>
          <w:b/>
          <w:bCs/>
        </w:rPr>
        <w:t>Figure 3</w:t>
      </w:r>
      <w:r w:rsidRPr="00D82B81">
        <w:t xml:space="preserve"> </w:t>
      </w:r>
      <w:r w:rsidR="00F43B0F">
        <w:rPr>
          <w:rFonts w:eastAsia="Times New Roman" w:cs="Arial"/>
        </w:rPr>
        <w:t>is a</w:t>
      </w:r>
      <w:r w:rsidRPr="00655D12">
        <w:rPr>
          <w:rFonts w:eastAsia="Times New Roman" w:cs="Arial"/>
        </w:rPr>
        <w:t xml:space="preserve"> </w:t>
      </w:r>
      <w:r w:rsidR="0082679F" w:rsidRPr="00655D12">
        <w:rPr>
          <w:rFonts w:eastAsia="Times New Roman" w:cs="Arial"/>
        </w:rPr>
        <w:t>case example showing the implications of th</w:t>
      </w:r>
      <w:r w:rsidRPr="00655D12">
        <w:rPr>
          <w:rFonts w:eastAsia="Times New Roman" w:cs="Arial"/>
        </w:rPr>
        <w:t>e split threshold</w:t>
      </w:r>
      <w:r w:rsidR="0082679F" w:rsidRPr="00655D12">
        <w:rPr>
          <w:rFonts w:eastAsia="Times New Roman" w:cs="Arial"/>
        </w:rPr>
        <w:t xml:space="preserve"> change</w:t>
      </w:r>
      <w:r w:rsidRPr="00655D12">
        <w:rPr>
          <w:rFonts w:eastAsia="Times New Roman" w:cs="Arial"/>
        </w:rPr>
        <w:t xml:space="preserve"> for AMHCC V1.1.</w:t>
      </w:r>
      <w:r w:rsidRPr="00D82B81">
        <w:t xml:space="preserve"> </w:t>
      </w:r>
    </w:p>
    <w:p w14:paraId="3756B718" w14:textId="658EDDCE" w:rsidR="0082679F" w:rsidRDefault="0082679F" w:rsidP="0082679F">
      <w:pPr>
        <w:pStyle w:val="TableFigureheading"/>
      </w:pPr>
      <w:r>
        <w:lastRenderedPageBreak/>
        <w:t xml:space="preserve">Figure </w:t>
      </w:r>
      <w:r w:rsidR="00E95AF5">
        <w:t>3</w:t>
      </w:r>
      <w:r>
        <w:t xml:space="preserve">. Case example showing the impact of the change to the split threshold for the </w:t>
      </w:r>
      <w:r w:rsidR="00735154">
        <w:t>A</w:t>
      </w:r>
      <w:r>
        <w:t xml:space="preserve">dmitted setting, </w:t>
      </w:r>
      <w:r w:rsidR="00735154">
        <w:t>A</w:t>
      </w:r>
      <w:r>
        <w:t xml:space="preserve">cute </w:t>
      </w:r>
      <w:proofErr w:type="spellStart"/>
      <w:r>
        <w:t>MHPoC</w:t>
      </w:r>
      <w:proofErr w:type="spellEnd"/>
      <w:r>
        <w:t xml:space="preserve">, 18-64 years age group, </w:t>
      </w:r>
      <w:r w:rsidR="00735154">
        <w:t>I</w:t>
      </w:r>
      <w:r>
        <w:t xml:space="preserve">nvoluntary and </w:t>
      </w:r>
      <w:r w:rsidR="00735154">
        <w:t>V</w:t>
      </w:r>
      <w:r>
        <w:t xml:space="preserve">oluntary </w:t>
      </w:r>
      <w:proofErr w:type="gramStart"/>
      <w:r>
        <w:t>branches</w:t>
      </w:r>
      <w:proofErr w:type="gramEnd"/>
    </w:p>
    <w:tbl>
      <w:tblPr>
        <w:tblStyle w:val="TableGrid"/>
        <w:tblW w:w="5000" w:type="pct"/>
        <w:jc w:val="center"/>
        <w:tblLook w:val="04A0" w:firstRow="1" w:lastRow="0" w:firstColumn="1" w:lastColumn="0" w:noHBand="0" w:noVBand="1"/>
      </w:tblPr>
      <w:tblGrid>
        <w:gridCol w:w="876"/>
        <w:gridCol w:w="2095"/>
        <w:gridCol w:w="2038"/>
        <w:gridCol w:w="1339"/>
        <w:gridCol w:w="1993"/>
        <w:gridCol w:w="1401"/>
      </w:tblGrid>
      <w:tr w:rsidR="00D82B81" w:rsidRPr="00D82B81" w14:paraId="0F220CCC" w14:textId="77777777" w:rsidTr="001F638E">
        <w:trPr>
          <w:jc w:val="center"/>
        </w:trPr>
        <w:tc>
          <w:tcPr>
            <w:tcW w:w="5000" w:type="pct"/>
            <w:gridSpan w:val="6"/>
            <w:tcBorders>
              <w:bottom w:val="nil"/>
            </w:tcBorders>
          </w:tcPr>
          <w:p w14:paraId="14BAD7E8" w14:textId="77777777" w:rsidR="0082679F" w:rsidRPr="00655D12" w:rsidRDefault="0082679F" w:rsidP="00BA6C6A">
            <w:pPr>
              <w:keepNext/>
              <w:keepLines/>
              <w:spacing w:before="120" w:after="40"/>
              <w:rPr>
                <w:rFonts w:cs="Arial"/>
                <w:b/>
                <w:bCs/>
                <w:i/>
                <w:iCs/>
                <w:sz w:val="18"/>
                <w:szCs w:val="18"/>
              </w:rPr>
            </w:pPr>
            <w:r w:rsidRPr="00655D12">
              <w:rPr>
                <w:rFonts w:cs="Arial"/>
                <w:b/>
                <w:bCs/>
                <w:i/>
                <w:iCs/>
                <w:sz w:val="18"/>
                <w:szCs w:val="18"/>
              </w:rPr>
              <w:t xml:space="preserve">Two consumers are both aged between 18-64 years with an acute phase in the admitted setting and the same </w:t>
            </w:r>
            <w:proofErr w:type="spellStart"/>
            <w:r w:rsidRPr="00655D12">
              <w:rPr>
                <w:rFonts w:cs="Arial"/>
                <w:b/>
                <w:bCs/>
                <w:i/>
                <w:iCs/>
                <w:sz w:val="18"/>
                <w:szCs w:val="18"/>
              </w:rPr>
              <w:t>HoNOS</w:t>
            </w:r>
            <w:proofErr w:type="spellEnd"/>
            <w:r w:rsidRPr="00655D12">
              <w:rPr>
                <w:rFonts w:cs="Arial"/>
                <w:b/>
                <w:bCs/>
                <w:i/>
                <w:iCs/>
                <w:sz w:val="18"/>
                <w:szCs w:val="18"/>
              </w:rPr>
              <w:t xml:space="preserve"> complexity score of 17. One consumer has an involuntary MHLS while the other has a voluntary MHLS.</w:t>
            </w:r>
          </w:p>
          <w:p w14:paraId="5EF99DFF" w14:textId="77777777" w:rsidR="0082679F" w:rsidRPr="00655D12" w:rsidRDefault="0082679F" w:rsidP="004D5904">
            <w:pPr>
              <w:keepNext/>
              <w:keepLines/>
              <w:spacing w:before="40" w:after="40"/>
              <w:rPr>
                <w:rFonts w:cs="Arial"/>
                <w:sz w:val="18"/>
                <w:szCs w:val="18"/>
              </w:rPr>
            </w:pPr>
          </w:p>
          <w:p w14:paraId="292F1AC0" w14:textId="12A67EBC" w:rsidR="0082679F" w:rsidRPr="00655D12" w:rsidRDefault="0082679F" w:rsidP="00BA6C6A">
            <w:pPr>
              <w:keepNext/>
              <w:keepLines/>
              <w:spacing w:before="40" w:after="100"/>
              <w:rPr>
                <w:rFonts w:cs="Arial"/>
                <w:sz w:val="18"/>
                <w:szCs w:val="18"/>
              </w:rPr>
            </w:pPr>
            <w:r w:rsidRPr="00655D12">
              <w:rPr>
                <w:rFonts w:cs="Arial"/>
                <w:sz w:val="18"/>
                <w:szCs w:val="18"/>
              </w:rPr>
              <w:t xml:space="preserve">Under AMHCC </w:t>
            </w:r>
            <w:r w:rsidR="007624A3">
              <w:rPr>
                <w:rFonts w:cs="Arial"/>
                <w:sz w:val="18"/>
                <w:szCs w:val="18"/>
              </w:rPr>
              <w:t>V1</w:t>
            </w:r>
            <w:r w:rsidRPr="00655D12">
              <w:rPr>
                <w:rFonts w:cs="Arial"/>
                <w:sz w:val="18"/>
                <w:szCs w:val="18"/>
              </w:rPr>
              <w:t xml:space="preserve">.0, both consumers would group to the </w:t>
            </w:r>
            <w:r w:rsidR="00E56650" w:rsidRPr="00655D12">
              <w:rPr>
                <w:rFonts w:cs="Arial"/>
                <w:sz w:val="18"/>
                <w:szCs w:val="18"/>
              </w:rPr>
              <w:t>H</w:t>
            </w:r>
            <w:r w:rsidRPr="00655D12">
              <w:rPr>
                <w:rFonts w:cs="Arial"/>
                <w:sz w:val="18"/>
                <w:szCs w:val="18"/>
              </w:rPr>
              <w:t xml:space="preserve">igh </w:t>
            </w:r>
            <w:proofErr w:type="spellStart"/>
            <w:r w:rsidRPr="00655D12">
              <w:rPr>
                <w:rFonts w:cs="Arial"/>
                <w:sz w:val="18"/>
                <w:szCs w:val="18"/>
              </w:rPr>
              <w:t>HoNOS</w:t>
            </w:r>
            <w:proofErr w:type="spellEnd"/>
            <w:r w:rsidRPr="00655D12">
              <w:rPr>
                <w:rFonts w:cs="Arial"/>
                <w:sz w:val="18"/>
                <w:szCs w:val="18"/>
              </w:rPr>
              <w:t xml:space="preserve"> complexity end class.</w:t>
            </w:r>
          </w:p>
        </w:tc>
      </w:tr>
      <w:tr w:rsidR="00D82B81" w:rsidRPr="00D82B81" w14:paraId="4004669B" w14:textId="77777777" w:rsidTr="00F45F2F">
        <w:trPr>
          <w:trHeight w:val="318"/>
          <w:jc w:val="center"/>
        </w:trPr>
        <w:tc>
          <w:tcPr>
            <w:tcW w:w="450" w:type="pct"/>
            <w:tcBorders>
              <w:top w:val="nil"/>
              <w:left w:val="single" w:sz="4" w:space="0" w:color="auto"/>
              <w:bottom w:val="nil"/>
              <w:right w:val="single" w:sz="4" w:space="0" w:color="auto"/>
            </w:tcBorders>
          </w:tcPr>
          <w:p w14:paraId="2851A7CE" w14:textId="77777777" w:rsidR="0082679F" w:rsidRPr="00655D12" w:rsidRDefault="0082679F" w:rsidP="004D5904">
            <w:pPr>
              <w:keepNext/>
              <w:keepLines/>
              <w:spacing w:before="40" w:after="40"/>
              <w:rPr>
                <w:rFonts w:cs="Arial"/>
                <w:sz w:val="18"/>
                <w:szCs w:val="18"/>
              </w:rPr>
            </w:pPr>
          </w:p>
        </w:tc>
        <w:tc>
          <w:tcPr>
            <w:tcW w:w="1075" w:type="pct"/>
            <w:tcBorders>
              <w:top w:val="single" w:sz="4" w:space="0" w:color="auto"/>
              <w:left w:val="single" w:sz="4" w:space="0" w:color="auto"/>
            </w:tcBorders>
            <w:shd w:val="clear" w:color="auto" w:fill="15272F" w:themeFill="text2"/>
            <w:vAlign w:val="center"/>
          </w:tcPr>
          <w:p w14:paraId="5F9F5E6E" w14:textId="77777777" w:rsidR="0082679F" w:rsidRPr="00F45F2F" w:rsidRDefault="0082679F" w:rsidP="00F45F2F">
            <w:pPr>
              <w:keepNext/>
              <w:keepLines/>
              <w:spacing w:before="40" w:after="40"/>
              <w:jc w:val="center"/>
              <w:rPr>
                <w:b/>
                <w:color w:val="FFFFFF" w:themeColor="background2"/>
                <w:sz w:val="18"/>
              </w:rPr>
            </w:pPr>
            <w:r w:rsidRPr="00F45F2F">
              <w:rPr>
                <w:b/>
                <w:color w:val="FFFFFF" w:themeColor="background2"/>
                <w:sz w:val="18"/>
              </w:rPr>
              <w:t>MHLS</w:t>
            </w:r>
          </w:p>
        </w:tc>
        <w:tc>
          <w:tcPr>
            <w:tcW w:w="1046" w:type="pct"/>
            <w:tcBorders>
              <w:top w:val="single" w:sz="4" w:space="0" w:color="auto"/>
            </w:tcBorders>
            <w:shd w:val="clear" w:color="auto" w:fill="15272F" w:themeFill="text2"/>
            <w:vAlign w:val="center"/>
          </w:tcPr>
          <w:p w14:paraId="7FF67E92" w14:textId="74DDAB1B" w:rsidR="0082679F" w:rsidRPr="00F45F2F" w:rsidRDefault="0082679F" w:rsidP="00F45F2F">
            <w:pPr>
              <w:keepNext/>
              <w:keepLines/>
              <w:spacing w:before="40" w:after="40"/>
              <w:jc w:val="center"/>
              <w:rPr>
                <w:b/>
                <w:color w:val="FFFFFF" w:themeColor="background2"/>
                <w:sz w:val="18"/>
              </w:rPr>
            </w:pPr>
            <w:r w:rsidRPr="00F45F2F">
              <w:rPr>
                <w:b/>
                <w:color w:val="FFFFFF" w:themeColor="background2"/>
                <w:sz w:val="18"/>
              </w:rPr>
              <w:t xml:space="preserve">AMHCC </w:t>
            </w:r>
            <w:r w:rsidR="007624A3" w:rsidRPr="00F45F2F">
              <w:rPr>
                <w:b/>
                <w:color w:val="FFFFFF" w:themeColor="background2"/>
                <w:sz w:val="18"/>
              </w:rPr>
              <w:t>V1</w:t>
            </w:r>
            <w:r w:rsidRPr="00F45F2F">
              <w:rPr>
                <w:b/>
                <w:color w:val="FFFFFF" w:themeColor="background2"/>
                <w:sz w:val="18"/>
              </w:rPr>
              <w:t xml:space="preserve">.0 </w:t>
            </w:r>
            <w:r w:rsidR="002F5E12" w:rsidRPr="00F45F2F">
              <w:rPr>
                <w:rFonts w:cs="Arial"/>
                <w:b/>
                <w:bCs/>
                <w:color w:val="FFFFFF" w:themeColor="background2"/>
                <w:sz w:val="18"/>
                <w:szCs w:val="18"/>
              </w:rPr>
              <w:t>s</w:t>
            </w:r>
            <w:r w:rsidRPr="00F45F2F">
              <w:rPr>
                <w:rFonts w:cs="Arial"/>
                <w:b/>
                <w:bCs/>
                <w:color w:val="FFFFFF" w:themeColor="background2"/>
                <w:sz w:val="18"/>
                <w:szCs w:val="18"/>
              </w:rPr>
              <w:t>plit</w:t>
            </w:r>
            <w:r w:rsidRPr="00F45F2F">
              <w:rPr>
                <w:b/>
                <w:color w:val="FFFFFF" w:themeColor="background2"/>
                <w:sz w:val="18"/>
              </w:rPr>
              <w:t xml:space="preserve"> threshold</w:t>
            </w:r>
          </w:p>
        </w:tc>
        <w:tc>
          <w:tcPr>
            <w:tcW w:w="687" w:type="pct"/>
            <w:tcBorders>
              <w:top w:val="single" w:sz="4" w:space="0" w:color="auto"/>
            </w:tcBorders>
            <w:shd w:val="clear" w:color="auto" w:fill="15272F" w:themeFill="text2"/>
            <w:vAlign w:val="center"/>
          </w:tcPr>
          <w:p w14:paraId="2E62945C" w14:textId="77777777" w:rsidR="0082679F" w:rsidRPr="00F45F2F" w:rsidRDefault="0082679F" w:rsidP="00F45F2F">
            <w:pPr>
              <w:keepNext/>
              <w:keepLines/>
              <w:spacing w:before="40" w:after="40"/>
              <w:jc w:val="center"/>
              <w:rPr>
                <w:b/>
                <w:color w:val="FFFFFF" w:themeColor="background2"/>
                <w:sz w:val="18"/>
              </w:rPr>
            </w:pPr>
            <w:r w:rsidRPr="00F45F2F">
              <w:rPr>
                <w:b/>
                <w:color w:val="FFFFFF" w:themeColor="background2"/>
                <w:sz w:val="18"/>
              </w:rPr>
              <w:t>Complexity score</w:t>
            </w:r>
          </w:p>
        </w:tc>
        <w:tc>
          <w:tcPr>
            <w:tcW w:w="1023" w:type="pct"/>
            <w:tcBorders>
              <w:top w:val="single" w:sz="4" w:space="0" w:color="auto"/>
              <w:right w:val="single" w:sz="4" w:space="0" w:color="auto"/>
            </w:tcBorders>
            <w:shd w:val="clear" w:color="auto" w:fill="15272F" w:themeFill="text2"/>
            <w:vAlign w:val="center"/>
          </w:tcPr>
          <w:p w14:paraId="16E267DD" w14:textId="77777777" w:rsidR="0082679F" w:rsidRPr="00F45F2F" w:rsidRDefault="0082679F" w:rsidP="004D5904">
            <w:pPr>
              <w:keepNext/>
              <w:keepLines/>
              <w:spacing w:before="40" w:after="40"/>
              <w:jc w:val="center"/>
              <w:rPr>
                <w:b/>
                <w:color w:val="FFFFFF" w:themeColor="background2"/>
                <w:sz w:val="18"/>
              </w:rPr>
            </w:pPr>
            <w:proofErr w:type="spellStart"/>
            <w:r w:rsidRPr="00F45F2F">
              <w:rPr>
                <w:b/>
                <w:color w:val="FFFFFF" w:themeColor="background2"/>
                <w:sz w:val="18"/>
              </w:rPr>
              <w:t>HoNOS</w:t>
            </w:r>
            <w:proofErr w:type="spellEnd"/>
            <w:r w:rsidRPr="00F45F2F">
              <w:rPr>
                <w:b/>
                <w:color w:val="FFFFFF" w:themeColor="background2"/>
                <w:sz w:val="18"/>
              </w:rPr>
              <w:t xml:space="preserve"> complexity group</w:t>
            </w:r>
          </w:p>
        </w:tc>
        <w:tc>
          <w:tcPr>
            <w:tcW w:w="718" w:type="pct"/>
            <w:tcBorders>
              <w:top w:val="nil"/>
              <w:left w:val="single" w:sz="4" w:space="0" w:color="auto"/>
              <w:bottom w:val="nil"/>
              <w:right w:val="single" w:sz="4" w:space="0" w:color="auto"/>
            </w:tcBorders>
          </w:tcPr>
          <w:p w14:paraId="06B745FB" w14:textId="77777777" w:rsidR="0082679F" w:rsidRPr="00655D12" w:rsidRDefault="0082679F" w:rsidP="004D5904">
            <w:pPr>
              <w:keepNext/>
              <w:keepLines/>
              <w:spacing w:before="40" w:after="40"/>
              <w:rPr>
                <w:rFonts w:cs="Arial"/>
                <w:sz w:val="18"/>
                <w:szCs w:val="18"/>
              </w:rPr>
            </w:pPr>
          </w:p>
        </w:tc>
      </w:tr>
      <w:tr w:rsidR="00D82B81" w:rsidRPr="00D82B81" w14:paraId="3A928C9A" w14:textId="77777777" w:rsidTr="00F45F2F">
        <w:trPr>
          <w:trHeight w:val="317"/>
          <w:jc w:val="center"/>
        </w:trPr>
        <w:tc>
          <w:tcPr>
            <w:tcW w:w="450" w:type="pct"/>
            <w:tcBorders>
              <w:top w:val="nil"/>
              <w:left w:val="single" w:sz="4" w:space="0" w:color="auto"/>
              <w:bottom w:val="nil"/>
              <w:right w:val="single" w:sz="4" w:space="0" w:color="auto"/>
            </w:tcBorders>
          </w:tcPr>
          <w:p w14:paraId="03E11989" w14:textId="77777777" w:rsidR="0082679F" w:rsidRPr="00655D12" w:rsidRDefault="0082679F" w:rsidP="004D5904">
            <w:pPr>
              <w:keepNext/>
              <w:keepLines/>
              <w:spacing w:before="40" w:after="40"/>
              <w:rPr>
                <w:rFonts w:cs="Arial"/>
                <w:sz w:val="18"/>
                <w:szCs w:val="18"/>
              </w:rPr>
            </w:pPr>
          </w:p>
        </w:tc>
        <w:tc>
          <w:tcPr>
            <w:tcW w:w="1075" w:type="pct"/>
            <w:tcBorders>
              <w:left w:val="single" w:sz="4" w:space="0" w:color="auto"/>
              <w:bottom w:val="single" w:sz="4" w:space="0" w:color="auto"/>
            </w:tcBorders>
            <w:vAlign w:val="center"/>
          </w:tcPr>
          <w:p w14:paraId="6D9D4C59"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Involuntary</w:t>
            </w:r>
          </w:p>
        </w:tc>
        <w:tc>
          <w:tcPr>
            <w:tcW w:w="1046" w:type="pct"/>
            <w:tcBorders>
              <w:bottom w:val="single" w:sz="4" w:space="0" w:color="auto"/>
            </w:tcBorders>
            <w:vAlign w:val="center"/>
          </w:tcPr>
          <w:p w14:paraId="4686D949"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14</w:t>
            </w:r>
          </w:p>
        </w:tc>
        <w:tc>
          <w:tcPr>
            <w:tcW w:w="687" w:type="pct"/>
            <w:tcBorders>
              <w:bottom w:val="single" w:sz="4" w:space="0" w:color="auto"/>
            </w:tcBorders>
            <w:vAlign w:val="center"/>
          </w:tcPr>
          <w:p w14:paraId="3E4A8F2D"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17</w:t>
            </w:r>
          </w:p>
        </w:tc>
        <w:tc>
          <w:tcPr>
            <w:tcW w:w="1023" w:type="pct"/>
            <w:tcBorders>
              <w:bottom w:val="single" w:sz="4" w:space="0" w:color="auto"/>
              <w:right w:val="single" w:sz="4" w:space="0" w:color="auto"/>
            </w:tcBorders>
            <w:vAlign w:val="center"/>
          </w:tcPr>
          <w:p w14:paraId="4D637A07" w14:textId="77777777" w:rsidR="0082679F" w:rsidRPr="00655D12" w:rsidRDefault="0082679F" w:rsidP="004D5904">
            <w:pPr>
              <w:keepNext/>
              <w:keepLines/>
              <w:spacing w:before="40" w:after="40"/>
              <w:jc w:val="center"/>
              <w:rPr>
                <w:rFonts w:cs="Arial"/>
                <w:sz w:val="18"/>
                <w:szCs w:val="18"/>
              </w:rPr>
            </w:pPr>
            <w:r w:rsidRPr="00655D12">
              <w:rPr>
                <w:rFonts w:cs="Arial"/>
                <w:sz w:val="18"/>
                <w:szCs w:val="18"/>
              </w:rPr>
              <w:t>High</w:t>
            </w:r>
          </w:p>
        </w:tc>
        <w:tc>
          <w:tcPr>
            <w:tcW w:w="718" w:type="pct"/>
            <w:tcBorders>
              <w:top w:val="nil"/>
              <w:left w:val="single" w:sz="4" w:space="0" w:color="auto"/>
              <w:bottom w:val="nil"/>
              <w:right w:val="single" w:sz="4" w:space="0" w:color="auto"/>
            </w:tcBorders>
          </w:tcPr>
          <w:p w14:paraId="7C4D3FB9" w14:textId="77777777" w:rsidR="0082679F" w:rsidRPr="00655D12" w:rsidRDefault="0082679F" w:rsidP="004D5904">
            <w:pPr>
              <w:keepNext/>
              <w:keepLines/>
              <w:spacing w:before="40" w:after="40"/>
              <w:rPr>
                <w:rFonts w:cs="Arial"/>
                <w:sz w:val="18"/>
                <w:szCs w:val="18"/>
              </w:rPr>
            </w:pPr>
          </w:p>
        </w:tc>
      </w:tr>
      <w:tr w:rsidR="00D82B81" w:rsidRPr="00D82B81" w14:paraId="111C3273" w14:textId="77777777" w:rsidTr="00F45F2F">
        <w:trPr>
          <w:trHeight w:val="317"/>
          <w:jc w:val="center"/>
        </w:trPr>
        <w:tc>
          <w:tcPr>
            <w:tcW w:w="450" w:type="pct"/>
            <w:tcBorders>
              <w:top w:val="nil"/>
              <w:left w:val="single" w:sz="4" w:space="0" w:color="auto"/>
              <w:bottom w:val="nil"/>
              <w:right w:val="single" w:sz="4" w:space="0" w:color="auto"/>
            </w:tcBorders>
          </w:tcPr>
          <w:p w14:paraId="2328B51B" w14:textId="77777777" w:rsidR="0082679F" w:rsidRPr="00655D12" w:rsidRDefault="0082679F" w:rsidP="004D5904">
            <w:pPr>
              <w:keepNext/>
              <w:keepLines/>
              <w:spacing w:before="40" w:after="40"/>
              <w:rPr>
                <w:rFonts w:cs="Arial"/>
                <w:sz w:val="18"/>
                <w:szCs w:val="18"/>
              </w:rPr>
            </w:pPr>
          </w:p>
        </w:tc>
        <w:tc>
          <w:tcPr>
            <w:tcW w:w="1075" w:type="pct"/>
            <w:tcBorders>
              <w:left w:val="single" w:sz="4" w:space="0" w:color="auto"/>
              <w:bottom w:val="single" w:sz="4" w:space="0" w:color="auto"/>
            </w:tcBorders>
            <w:vAlign w:val="center"/>
          </w:tcPr>
          <w:p w14:paraId="6BB89962"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Voluntary</w:t>
            </w:r>
          </w:p>
        </w:tc>
        <w:tc>
          <w:tcPr>
            <w:tcW w:w="1046" w:type="pct"/>
            <w:tcBorders>
              <w:bottom w:val="single" w:sz="4" w:space="0" w:color="auto"/>
            </w:tcBorders>
            <w:vAlign w:val="center"/>
          </w:tcPr>
          <w:p w14:paraId="23E136DF"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14</w:t>
            </w:r>
          </w:p>
        </w:tc>
        <w:tc>
          <w:tcPr>
            <w:tcW w:w="687" w:type="pct"/>
            <w:tcBorders>
              <w:bottom w:val="single" w:sz="4" w:space="0" w:color="auto"/>
            </w:tcBorders>
            <w:vAlign w:val="center"/>
          </w:tcPr>
          <w:p w14:paraId="1202BCA4"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17</w:t>
            </w:r>
          </w:p>
        </w:tc>
        <w:tc>
          <w:tcPr>
            <w:tcW w:w="1023" w:type="pct"/>
            <w:tcBorders>
              <w:bottom w:val="single" w:sz="4" w:space="0" w:color="auto"/>
              <w:right w:val="single" w:sz="4" w:space="0" w:color="auto"/>
            </w:tcBorders>
            <w:vAlign w:val="center"/>
          </w:tcPr>
          <w:p w14:paraId="0E0B98D4" w14:textId="77777777" w:rsidR="0082679F" w:rsidRPr="00655D12" w:rsidRDefault="0082679F" w:rsidP="004D5904">
            <w:pPr>
              <w:keepNext/>
              <w:keepLines/>
              <w:spacing w:before="40" w:after="40"/>
              <w:jc w:val="center"/>
              <w:rPr>
                <w:rFonts w:cs="Arial"/>
                <w:sz w:val="18"/>
                <w:szCs w:val="18"/>
              </w:rPr>
            </w:pPr>
            <w:r w:rsidRPr="00655D12">
              <w:rPr>
                <w:rFonts w:cs="Arial"/>
                <w:sz w:val="18"/>
                <w:szCs w:val="18"/>
              </w:rPr>
              <w:t>High</w:t>
            </w:r>
          </w:p>
        </w:tc>
        <w:tc>
          <w:tcPr>
            <w:tcW w:w="718" w:type="pct"/>
            <w:tcBorders>
              <w:top w:val="nil"/>
              <w:left w:val="single" w:sz="4" w:space="0" w:color="auto"/>
              <w:bottom w:val="nil"/>
              <w:right w:val="single" w:sz="4" w:space="0" w:color="auto"/>
            </w:tcBorders>
          </w:tcPr>
          <w:p w14:paraId="6DF2A7CC" w14:textId="77777777" w:rsidR="0082679F" w:rsidRPr="00655D12" w:rsidRDefault="0082679F" w:rsidP="004D5904">
            <w:pPr>
              <w:keepNext/>
              <w:keepLines/>
              <w:spacing w:before="40" w:after="40"/>
              <w:rPr>
                <w:rFonts w:cs="Arial"/>
                <w:sz w:val="18"/>
                <w:szCs w:val="18"/>
              </w:rPr>
            </w:pPr>
          </w:p>
        </w:tc>
      </w:tr>
      <w:tr w:rsidR="00D82B81" w:rsidRPr="00D82B81" w14:paraId="5A6BBE1C" w14:textId="77777777" w:rsidTr="00F45F2F">
        <w:trPr>
          <w:trHeight w:val="317"/>
          <w:jc w:val="center"/>
        </w:trPr>
        <w:tc>
          <w:tcPr>
            <w:tcW w:w="450" w:type="pct"/>
            <w:tcBorders>
              <w:top w:val="nil"/>
              <w:left w:val="single" w:sz="4" w:space="0" w:color="auto"/>
              <w:bottom w:val="nil"/>
              <w:right w:val="nil"/>
            </w:tcBorders>
          </w:tcPr>
          <w:p w14:paraId="01C82AA4"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75" w:type="pct"/>
            <w:tcBorders>
              <w:top w:val="single" w:sz="4" w:space="0" w:color="auto"/>
              <w:left w:val="nil"/>
              <w:bottom w:val="nil"/>
              <w:right w:val="nil"/>
            </w:tcBorders>
            <w:vAlign w:val="center"/>
          </w:tcPr>
          <w:p w14:paraId="77188647"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46" w:type="pct"/>
            <w:tcBorders>
              <w:top w:val="single" w:sz="4" w:space="0" w:color="auto"/>
              <w:left w:val="nil"/>
              <w:bottom w:val="nil"/>
              <w:right w:val="nil"/>
            </w:tcBorders>
            <w:vAlign w:val="center"/>
          </w:tcPr>
          <w:p w14:paraId="02E4548D"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687" w:type="pct"/>
            <w:tcBorders>
              <w:top w:val="single" w:sz="4" w:space="0" w:color="auto"/>
              <w:left w:val="nil"/>
              <w:bottom w:val="nil"/>
              <w:right w:val="nil"/>
            </w:tcBorders>
            <w:vAlign w:val="center"/>
          </w:tcPr>
          <w:p w14:paraId="0C8C47EB"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23" w:type="pct"/>
            <w:tcBorders>
              <w:top w:val="single" w:sz="4" w:space="0" w:color="auto"/>
              <w:left w:val="nil"/>
              <w:bottom w:val="nil"/>
              <w:right w:val="nil"/>
            </w:tcBorders>
            <w:vAlign w:val="center"/>
          </w:tcPr>
          <w:p w14:paraId="7CAFB9AB"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718" w:type="pct"/>
            <w:tcBorders>
              <w:top w:val="nil"/>
              <w:left w:val="nil"/>
              <w:bottom w:val="nil"/>
              <w:right w:val="single" w:sz="4" w:space="0" w:color="auto"/>
            </w:tcBorders>
          </w:tcPr>
          <w:p w14:paraId="7C72C7E6" w14:textId="77777777" w:rsidR="0082679F" w:rsidRPr="00655D12" w:rsidRDefault="0082679F" w:rsidP="004D5904">
            <w:pPr>
              <w:pStyle w:val="NoSpacing"/>
              <w:keepNext/>
              <w:keepLines/>
              <w:spacing w:before="40" w:after="40"/>
              <w:rPr>
                <w:rFonts w:cs="Arial"/>
                <w:color w:val="15272F" w:themeColor="accent1"/>
                <w:sz w:val="18"/>
                <w:szCs w:val="18"/>
              </w:rPr>
            </w:pPr>
          </w:p>
        </w:tc>
      </w:tr>
      <w:tr w:rsidR="00D82B81" w:rsidRPr="00D82B81" w14:paraId="46ECEBD8" w14:textId="77777777" w:rsidTr="001F638E">
        <w:trPr>
          <w:trHeight w:val="542"/>
          <w:jc w:val="center"/>
        </w:trPr>
        <w:tc>
          <w:tcPr>
            <w:tcW w:w="5000" w:type="pct"/>
            <w:gridSpan w:val="6"/>
            <w:tcBorders>
              <w:top w:val="nil"/>
              <w:bottom w:val="nil"/>
            </w:tcBorders>
          </w:tcPr>
          <w:p w14:paraId="7269263D" w14:textId="3762939C" w:rsidR="0082679F" w:rsidRPr="00655D12" w:rsidRDefault="0082679F" w:rsidP="004D5904">
            <w:pPr>
              <w:keepNext/>
              <w:keepLines/>
              <w:spacing w:before="40" w:after="40"/>
              <w:rPr>
                <w:rFonts w:cs="Arial"/>
                <w:sz w:val="18"/>
                <w:szCs w:val="18"/>
              </w:rPr>
            </w:pPr>
            <w:r w:rsidRPr="00655D12">
              <w:rPr>
                <w:rFonts w:cs="Arial"/>
                <w:sz w:val="18"/>
                <w:szCs w:val="18"/>
              </w:rPr>
              <w:t xml:space="preserve">Under the proposed AMHCC </w:t>
            </w:r>
            <w:r w:rsidR="007624A3">
              <w:rPr>
                <w:rFonts w:cs="Arial"/>
                <w:sz w:val="18"/>
                <w:szCs w:val="18"/>
              </w:rPr>
              <w:t>V1</w:t>
            </w:r>
            <w:r w:rsidRPr="00655D12">
              <w:rPr>
                <w:rFonts w:cs="Arial"/>
                <w:sz w:val="18"/>
                <w:szCs w:val="18"/>
              </w:rPr>
              <w:t xml:space="preserve">.1, the involuntary consumer would group to the </w:t>
            </w:r>
            <w:r w:rsidR="00E56650" w:rsidRPr="00655D12">
              <w:rPr>
                <w:rFonts w:cs="Arial"/>
                <w:sz w:val="18"/>
                <w:szCs w:val="18"/>
              </w:rPr>
              <w:t>M</w:t>
            </w:r>
            <w:r w:rsidRPr="00655D12">
              <w:rPr>
                <w:rFonts w:cs="Arial"/>
                <w:sz w:val="18"/>
                <w:szCs w:val="18"/>
              </w:rPr>
              <w:t xml:space="preserve">oderate </w:t>
            </w:r>
            <w:proofErr w:type="spellStart"/>
            <w:r w:rsidRPr="00655D12">
              <w:rPr>
                <w:rFonts w:cs="Arial"/>
                <w:sz w:val="18"/>
                <w:szCs w:val="18"/>
              </w:rPr>
              <w:t>HoNOS</w:t>
            </w:r>
            <w:proofErr w:type="spellEnd"/>
            <w:r w:rsidRPr="00655D12">
              <w:rPr>
                <w:rFonts w:cs="Arial"/>
                <w:sz w:val="18"/>
                <w:szCs w:val="18"/>
              </w:rPr>
              <w:t xml:space="preserve"> complexity end class while the voluntary consumer would group to the </w:t>
            </w:r>
            <w:r w:rsidR="00E56650" w:rsidRPr="00655D12">
              <w:rPr>
                <w:rFonts w:cs="Arial"/>
                <w:sz w:val="18"/>
                <w:szCs w:val="18"/>
              </w:rPr>
              <w:t>H</w:t>
            </w:r>
            <w:r w:rsidRPr="00655D12">
              <w:rPr>
                <w:rFonts w:cs="Arial"/>
                <w:sz w:val="18"/>
                <w:szCs w:val="18"/>
              </w:rPr>
              <w:t xml:space="preserve">igh </w:t>
            </w:r>
            <w:proofErr w:type="spellStart"/>
            <w:r w:rsidRPr="00655D12">
              <w:rPr>
                <w:rFonts w:cs="Arial"/>
                <w:sz w:val="18"/>
                <w:szCs w:val="18"/>
              </w:rPr>
              <w:t>HoNOS</w:t>
            </w:r>
            <w:proofErr w:type="spellEnd"/>
            <w:r w:rsidRPr="00655D12">
              <w:rPr>
                <w:rFonts w:cs="Arial"/>
                <w:sz w:val="18"/>
                <w:szCs w:val="18"/>
              </w:rPr>
              <w:t xml:space="preserve"> complexity end class.</w:t>
            </w:r>
          </w:p>
        </w:tc>
      </w:tr>
      <w:tr w:rsidR="00B02FA5" w:rsidRPr="00D82B81" w14:paraId="5B56FDB9" w14:textId="77777777" w:rsidTr="002966DE">
        <w:trPr>
          <w:trHeight w:val="291"/>
          <w:jc w:val="center"/>
        </w:trPr>
        <w:tc>
          <w:tcPr>
            <w:tcW w:w="450" w:type="pct"/>
            <w:tcBorders>
              <w:top w:val="nil"/>
              <w:left w:val="single" w:sz="4" w:space="0" w:color="auto"/>
              <w:bottom w:val="nil"/>
              <w:right w:val="single" w:sz="4" w:space="0" w:color="auto"/>
            </w:tcBorders>
          </w:tcPr>
          <w:p w14:paraId="0A2096B6" w14:textId="77777777" w:rsidR="0082679F" w:rsidRPr="00655D12" w:rsidRDefault="0082679F" w:rsidP="004D5904">
            <w:pPr>
              <w:keepNext/>
              <w:keepLines/>
              <w:spacing w:before="40" w:after="40"/>
              <w:rPr>
                <w:rFonts w:cs="Arial"/>
                <w:sz w:val="18"/>
                <w:szCs w:val="18"/>
              </w:rPr>
            </w:pPr>
          </w:p>
        </w:tc>
        <w:tc>
          <w:tcPr>
            <w:tcW w:w="1075" w:type="pct"/>
            <w:tcBorders>
              <w:top w:val="single" w:sz="4" w:space="0" w:color="auto"/>
              <w:left w:val="single" w:sz="4" w:space="0" w:color="auto"/>
              <w:bottom w:val="single" w:sz="4" w:space="0" w:color="auto"/>
            </w:tcBorders>
            <w:shd w:val="clear" w:color="auto" w:fill="15272F" w:themeFill="text2"/>
            <w:vAlign w:val="center"/>
          </w:tcPr>
          <w:p w14:paraId="1F428468" w14:textId="77777777" w:rsidR="0082679F" w:rsidRPr="00F45F2F" w:rsidRDefault="0082679F" w:rsidP="00F45F2F">
            <w:pPr>
              <w:keepNext/>
              <w:keepLines/>
              <w:spacing w:before="40" w:after="40"/>
              <w:jc w:val="center"/>
              <w:rPr>
                <w:color w:val="FFFFFF" w:themeColor="background2"/>
                <w:sz w:val="18"/>
              </w:rPr>
            </w:pPr>
            <w:r w:rsidRPr="00F45F2F">
              <w:rPr>
                <w:b/>
                <w:color w:val="FFFFFF" w:themeColor="background2"/>
                <w:sz w:val="18"/>
              </w:rPr>
              <w:t>MHLS</w:t>
            </w:r>
          </w:p>
        </w:tc>
        <w:tc>
          <w:tcPr>
            <w:tcW w:w="1046" w:type="pct"/>
            <w:tcBorders>
              <w:top w:val="single" w:sz="4" w:space="0" w:color="auto"/>
              <w:bottom w:val="single" w:sz="4" w:space="0" w:color="auto"/>
            </w:tcBorders>
            <w:shd w:val="clear" w:color="auto" w:fill="15272F" w:themeFill="text2"/>
            <w:vAlign w:val="center"/>
          </w:tcPr>
          <w:p w14:paraId="55DE5DC6" w14:textId="76BB3EF9" w:rsidR="0082679F" w:rsidRPr="00F45F2F" w:rsidRDefault="0082679F" w:rsidP="00F45F2F">
            <w:pPr>
              <w:keepNext/>
              <w:keepLines/>
              <w:spacing w:before="40" w:after="40"/>
              <w:jc w:val="center"/>
              <w:rPr>
                <w:color w:val="FFFFFF" w:themeColor="background2"/>
                <w:sz w:val="18"/>
              </w:rPr>
            </w:pPr>
            <w:r w:rsidRPr="00F45F2F">
              <w:rPr>
                <w:b/>
                <w:color w:val="FFFFFF" w:themeColor="background2"/>
                <w:sz w:val="18"/>
              </w:rPr>
              <w:t xml:space="preserve">AMHCC </w:t>
            </w:r>
            <w:r w:rsidR="007624A3" w:rsidRPr="00F45F2F">
              <w:rPr>
                <w:b/>
                <w:color w:val="FFFFFF" w:themeColor="background2"/>
                <w:sz w:val="18"/>
              </w:rPr>
              <w:t>V1</w:t>
            </w:r>
            <w:r w:rsidRPr="00F45F2F">
              <w:rPr>
                <w:b/>
                <w:color w:val="FFFFFF" w:themeColor="background2"/>
                <w:sz w:val="18"/>
              </w:rPr>
              <w:t xml:space="preserve">.1 </w:t>
            </w:r>
            <w:r w:rsidR="002F5E12" w:rsidRPr="00F45F2F">
              <w:rPr>
                <w:rFonts w:cs="Arial"/>
                <w:b/>
                <w:bCs/>
                <w:color w:val="FFFFFF" w:themeColor="background2"/>
                <w:sz w:val="18"/>
                <w:szCs w:val="18"/>
              </w:rPr>
              <w:t>s</w:t>
            </w:r>
            <w:r w:rsidRPr="00F45F2F">
              <w:rPr>
                <w:rFonts w:cs="Arial"/>
                <w:b/>
                <w:bCs/>
                <w:color w:val="FFFFFF" w:themeColor="background2"/>
                <w:sz w:val="18"/>
                <w:szCs w:val="18"/>
              </w:rPr>
              <w:t>plit</w:t>
            </w:r>
            <w:r w:rsidRPr="00F45F2F">
              <w:rPr>
                <w:b/>
                <w:color w:val="FFFFFF" w:themeColor="background2"/>
                <w:sz w:val="18"/>
              </w:rPr>
              <w:t xml:space="preserve"> threshold</w:t>
            </w:r>
          </w:p>
        </w:tc>
        <w:tc>
          <w:tcPr>
            <w:tcW w:w="687" w:type="pct"/>
            <w:tcBorders>
              <w:top w:val="single" w:sz="4" w:space="0" w:color="auto"/>
              <w:bottom w:val="single" w:sz="4" w:space="0" w:color="auto"/>
            </w:tcBorders>
            <w:shd w:val="clear" w:color="auto" w:fill="15272F" w:themeFill="text2"/>
            <w:vAlign w:val="center"/>
          </w:tcPr>
          <w:p w14:paraId="4EC06685" w14:textId="77777777" w:rsidR="0082679F" w:rsidRPr="00F45F2F" w:rsidRDefault="0082679F" w:rsidP="00F45F2F">
            <w:pPr>
              <w:keepNext/>
              <w:keepLines/>
              <w:spacing w:before="40" w:after="40"/>
              <w:jc w:val="center"/>
              <w:rPr>
                <w:color w:val="FFFFFF" w:themeColor="background2"/>
                <w:sz w:val="18"/>
              </w:rPr>
            </w:pPr>
            <w:r w:rsidRPr="00F45F2F">
              <w:rPr>
                <w:b/>
                <w:color w:val="FFFFFF" w:themeColor="background2"/>
                <w:sz w:val="18"/>
              </w:rPr>
              <w:t>Complexity score</w:t>
            </w:r>
          </w:p>
        </w:tc>
        <w:tc>
          <w:tcPr>
            <w:tcW w:w="1023" w:type="pct"/>
            <w:tcBorders>
              <w:top w:val="single" w:sz="4" w:space="0" w:color="auto"/>
              <w:bottom w:val="single" w:sz="4" w:space="0" w:color="auto"/>
              <w:right w:val="single" w:sz="4" w:space="0" w:color="auto"/>
            </w:tcBorders>
            <w:shd w:val="clear" w:color="auto" w:fill="15272F" w:themeFill="text2"/>
            <w:vAlign w:val="center"/>
          </w:tcPr>
          <w:p w14:paraId="4629E43E" w14:textId="77777777" w:rsidR="0082679F" w:rsidRPr="00F45F2F" w:rsidRDefault="0082679F" w:rsidP="004D5904">
            <w:pPr>
              <w:keepNext/>
              <w:keepLines/>
              <w:spacing w:before="40" w:after="40"/>
              <w:jc w:val="center"/>
              <w:rPr>
                <w:color w:val="FFFFFF" w:themeColor="background2"/>
                <w:sz w:val="18"/>
              </w:rPr>
            </w:pPr>
            <w:proofErr w:type="spellStart"/>
            <w:r w:rsidRPr="00F45F2F">
              <w:rPr>
                <w:b/>
                <w:color w:val="FFFFFF" w:themeColor="background2"/>
                <w:sz w:val="18"/>
              </w:rPr>
              <w:t>HoNOS</w:t>
            </w:r>
            <w:proofErr w:type="spellEnd"/>
            <w:r w:rsidRPr="00F45F2F">
              <w:rPr>
                <w:b/>
                <w:color w:val="FFFFFF" w:themeColor="background2"/>
                <w:sz w:val="18"/>
              </w:rPr>
              <w:t xml:space="preserve"> complexity group</w:t>
            </w:r>
          </w:p>
        </w:tc>
        <w:tc>
          <w:tcPr>
            <w:tcW w:w="718" w:type="pct"/>
            <w:tcBorders>
              <w:top w:val="nil"/>
              <w:left w:val="single" w:sz="4" w:space="0" w:color="auto"/>
              <w:bottom w:val="nil"/>
              <w:right w:val="single" w:sz="4" w:space="0" w:color="auto"/>
            </w:tcBorders>
          </w:tcPr>
          <w:p w14:paraId="5025F5E4" w14:textId="77777777" w:rsidR="0082679F" w:rsidRPr="00655D12" w:rsidRDefault="0082679F" w:rsidP="004D5904">
            <w:pPr>
              <w:keepNext/>
              <w:keepLines/>
              <w:spacing w:before="40" w:after="40"/>
              <w:rPr>
                <w:rFonts w:cs="Arial"/>
                <w:sz w:val="18"/>
                <w:szCs w:val="18"/>
              </w:rPr>
            </w:pPr>
          </w:p>
        </w:tc>
      </w:tr>
      <w:tr w:rsidR="00D82B81" w:rsidRPr="00D82B81" w14:paraId="451C397A" w14:textId="77777777" w:rsidTr="00F45F2F">
        <w:trPr>
          <w:trHeight w:val="291"/>
          <w:jc w:val="center"/>
        </w:trPr>
        <w:tc>
          <w:tcPr>
            <w:tcW w:w="450" w:type="pct"/>
            <w:tcBorders>
              <w:top w:val="nil"/>
              <w:left w:val="single" w:sz="4" w:space="0" w:color="auto"/>
              <w:bottom w:val="nil"/>
              <w:right w:val="single" w:sz="4" w:space="0" w:color="auto"/>
            </w:tcBorders>
          </w:tcPr>
          <w:p w14:paraId="33509081" w14:textId="77777777" w:rsidR="0082679F" w:rsidRPr="00655D12" w:rsidRDefault="0082679F" w:rsidP="004D5904">
            <w:pPr>
              <w:keepNext/>
              <w:keepLines/>
              <w:spacing w:before="40" w:after="40"/>
              <w:rPr>
                <w:rFonts w:cs="Arial"/>
                <w:sz w:val="18"/>
                <w:szCs w:val="18"/>
              </w:rPr>
            </w:pPr>
          </w:p>
        </w:tc>
        <w:tc>
          <w:tcPr>
            <w:tcW w:w="1075" w:type="pct"/>
            <w:tcBorders>
              <w:top w:val="single" w:sz="4" w:space="0" w:color="auto"/>
              <w:left w:val="single" w:sz="4" w:space="0" w:color="auto"/>
              <w:bottom w:val="single" w:sz="4" w:space="0" w:color="auto"/>
            </w:tcBorders>
            <w:vAlign w:val="center"/>
          </w:tcPr>
          <w:p w14:paraId="34C466BA"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Involuntary</w:t>
            </w:r>
          </w:p>
        </w:tc>
        <w:tc>
          <w:tcPr>
            <w:tcW w:w="1046" w:type="pct"/>
            <w:tcBorders>
              <w:top w:val="single" w:sz="4" w:space="0" w:color="auto"/>
              <w:bottom w:val="single" w:sz="4" w:space="0" w:color="auto"/>
            </w:tcBorders>
            <w:vAlign w:val="center"/>
          </w:tcPr>
          <w:p w14:paraId="6DA5BA72"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20</w:t>
            </w:r>
          </w:p>
        </w:tc>
        <w:tc>
          <w:tcPr>
            <w:tcW w:w="687" w:type="pct"/>
            <w:tcBorders>
              <w:top w:val="single" w:sz="4" w:space="0" w:color="auto"/>
              <w:bottom w:val="single" w:sz="4" w:space="0" w:color="auto"/>
            </w:tcBorders>
            <w:vAlign w:val="center"/>
          </w:tcPr>
          <w:p w14:paraId="09EE8F32"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17</w:t>
            </w:r>
          </w:p>
        </w:tc>
        <w:tc>
          <w:tcPr>
            <w:tcW w:w="1023" w:type="pct"/>
            <w:tcBorders>
              <w:top w:val="single" w:sz="4" w:space="0" w:color="auto"/>
              <w:bottom w:val="single" w:sz="4" w:space="0" w:color="auto"/>
              <w:right w:val="single" w:sz="4" w:space="0" w:color="auto"/>
            </w:tcBorders>
            <w:vAlign w:val="center"/>
          </w:tcPr>
          <w:p w14:paraId="1FF8144F" w14:textId="77777777" w:rsidR="0082679F" w:rsidRPr="00655D12" w:rsidRDefault="0082679F" w:rsidP="004D5904">
            <w:pPr>
              <w:keepNext/>
              <w:keepLines/>
              <w:spacing w:before="40" w:after="40"/>
              <w:jc w:val="center"/>
              <w:rPr>
                <w:rFonts w:cs="Arial"/>
                <w:sz w:val="18"/>
                <w:szCs w:val="18"/>
              </w:rPr>
            </w:pPr>
            <w:r w:rsidRPr="00655D12">
              <w:rPr>
                <w:rFonts w:cs="Arial"/>
                <w:sz w:val="18"/>
                <w:szCs w:val="18"/>
              </w:rPr>
              <w:t>Moderate</w:t>
            </w:r>
          </w:p>
        </w:tc>
        <w:tc>
          <w:tcPr>
            <w:tcW w:w="718" w:type="pct"/>
            <w:tcBorders>
              <w:top w:val="nil"/>
              <w:left w:val="single" w:sz="4" w:space="0" w:color="auto"/>
              <w:bottom w:val="nil"/>
              <w:right w:val="single" w:sz="4" w:space="0" w:color="auto"/>
            </w:tcBorders>
          </w:tcPr>
          <w:p w14:paraId="0B2FD572" w14:textId="77777777" w:rsidR="0082679F" w:rsidRPr="00655D12" w:rsidRDefault="0082679F" w:rsidP="004D5904">
            <w:pPr>
              <w:keepNext/>
              <w:keepLines/>
              <w:spacing w:before="40" w:after="40"/>
              <w:rPr>
                <w:rFonts w:cs="Arial"/>
                <w:sz w:val="18"/>
                <w:szCs w:val="18"/>
              </w:rPr>
            </w:pPr>
          </w:p>
        </w:tc>
      </w:tr>
      <w:tr w:rsidR="00D82B81" w:rsidRPr="00D82B81" w14:paraId="28E9791E" w14:textId="77777777" w:rsidTr="00F45F2F">
        <w:trPr>
          <w:trHeight w:val="291"/>
          <w:jc w:val="center"/>
        </w:trPr>
        <w:tc>
          <w:tcPr>
            <w:tcW w:w="450" w:type="pct"/>
            <w:tcBorders>
              <w:top w:val="nil"/>
              <w:left w:val="single" w:sz="4" w:space="0" w:color="auto"/>
              <w:bottom w:val="nil"/>
              <w:right w:val="single" w:sz="4" w:space="0" w:color="auto"/>
            </w:tcBorders>
          </w:tcPr>
          <w:p w14:paraId="66D5C699" w14:textId="77777777" w:rsidR="0082679F" w:rsidRPr="00655D12" w:rsidRDefault="0082679F" w:rsidP="004D5904">
            <w:pPr>
              <w:keepNext/>
              <w:keepLines/>
              <w:spacing w:before="40" w:after="40"/>
              <w:rPr>
                <w:rFonts w:cs="Arial"/>
                <w:sz w:val="18"/>
                <w:szCs w:val="18"/>
              </w:rPr>
            </w:pPr>
          </w:p>
        </w:tc>
        <w:tc>
          <w:tcPr>
            <w:tcW w:w="1075" w:type="pct"/>
            <w:tcBorders>
              <w:top w:val="single" w:sz="4" w:space="0" w:color="auto"/>
              <w:left w:val="single" w:sz="4" w:space="0" w:color="auto"/>
              <w:bottom w:val="single" w:sz="4" w:space="0" w:color="auto"/>
            </w:tcBorders>
            <w:vAlign w:val="center"/>
          </w:tcPr>
          <w:p w14:paraId="3230CE26"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Voluntary</w:t>
            </w:r>
          </w:p>
        </w:tc>
        <w:tc>
          <w:tcPr>
            <w:tcW w:w="1046" w:type="pct"/>
            <w:tcBorders>
              <w:top w:val="single" w:sz="4" w:space="0" w:color="auto"/>
              <w:bottom w:val="single" w:sz="4" w:space="0" w:color="auto"/>
            </w:tcBorders>
            <w:vAlign w:val="center"/>
          </w:tcPr>
          <w:p w14:paraId="1561573B"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9</w:t>
            </w:r>
          </w:p>
        </w:tc>
        <w:tc>
          <w:tcPr>
            <w:tcW w:w="687" w:type="pct"/>
            <w:tcBorders>
              <w:top w:val="single" w:sz="4" w:space="0" w:color="auto"/>
              <w:bottom w:val="single" w:sz="4" w:space="0" w:color="auto"/>
            </w:tcBorders>
            <w:vAlign w:val="center"/>
          </w:tcPr>
          <w:p w14:paraId="525C3A97" w14:textId="77777777" w:rsidR="0082679F" w:rsidRPr="00655D12" w:rsidRDefault="0082679F" w:rsidP="00F45F2F">
            <w:pPr>
              <w:keepNext/>
              <w:keepLines/>
              <w:spacing w:before="40" w:after="40"/>
              <w:jc w:val="center"/>
              <w:rPr>
                <w:rFonts w:cs="Arial"/>
                <w:sz w:val="18"/>
                <w:szCs w:val="18"/>
              </w:rPr>
            </w:pPr>
            <w:r w:rsidRPr="00655D12">
              <w:rPr>
                <w:rFonts w:cs="Arial"/>
                <w:sz w:val="18"/>
                <w:szCs w:val="18"/>
              </w:rPr>
              <w:t>17</w:t>
            </w:r>
          </w:p>
        </w:tc>
        <w:tc>
          <w:tcPr>
            <w:tcW w:w="1023" w:type="pct"/>
            <w:tcBorders>
              <w:top w:val="single" w:sz="4" w:space="0" w:color="auto"/>
              <w:bottom w:val="single" w:sz="4" w:space="0" w:color="auto"/>
              <w:right w:val="single" w:sz="4" w:space="0" w:color="auto"/>
            </w:tcBorders>
            <w:vAlign w:val="center"/>
          </w:tcPr>
          <w:p w14:paraId="374089A0" w14:textId="77777777" w:rsidR="0082679F" w:rsidRPr="00655D12" w:rsidRDefault="0082679F" w:rsidP="004D5904">
            <w:pPr>
              <w:keepNext/>
              <w:keepLines/>
              <w:spacing w:before="40" w:after="40"/>
              <w:jc w:val="center"/>
              <w:rPr>
                <w:rFonts w:cs="Arial"/>
                <w:sz w:val="18"/>
                <w:szCs w:val="18"/>
              </w:rPr>
            </w:pPr>
            <w:r w:rsidRPr="00655D12">
              <w:rPr>
                <w:rFonts w:cs="Arial"/>
                <w:sz w:val="18"/>
                <w:szCs w:val="18"/>
              </w:rPr>
              <w:t>High</w:t>
            </w:r>
          </w:p>
        </w:tc>
        <w:tc>
          <w:tcPr>
            <w:tcW w:w="718" w:type="pct"/>
            <w:tcBorders>
              <w:top w:val="nil"/>
              <w:left w:val="single" w:sz="4" w:space="0" w:color="auto"/>
              <w:bottom w:val="nil"/>
              <w:right w:val="single" w:sz="4" w:space="0" w:color="auto"/>
            </w:tcBorders>
          </w:tcPr>
          <w:p w14:paraId="41EC7FA3" w14:textId="77777777" w:rsidR="0082679F" w:rsidRPr="00655D12" w:rsidRDefault="0082679F" w:rsidP="004D5904">
            <w:pPr>
              <w:keepNext/>
              <w:keepLines/>
              <w:spacing w:before="40" w:after="40"/>
              <w:rPr>
                <w:rFonts w:cs="Arial"/>
                <w:sz w:val="18"/>
                <w:szCs w:val="18"/>
              </w:rPr>
            </w:pPr>
          </w:p>
        </w:tc>
      </w:tr>
      <w:tr w:rsidR="00D82B81" w:rsidRPr="00D82B81" w14:paraId="711EF818" w14:textId="77777777" w:rsidTr="00F45F2F">
        <w:trPr>
          <w:trHeight w:val="291"/>
          <w:jc w:val="center"/>
        </w:trPr>
        <w:tc>
          <w:tcPr>
            <w:tcW w:w="450" w:type="pct"/>
            <w:tcBorders>
              <w:top w:val="nil"/>
              <w:left w:val="single" w:sz="4" w:space="0" w:color="auto"/>
              <w:bottom w:val="single" w:sz="4" w:space="0" w:color="auto"/>
              <w:right w:val="nil"/>
            </w:tcBorders>
          </w:tcPr>
          <w:p w14:paraId="1FD832C4"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75" w:type="pct"/>
            <w:tcBorders>
              <w:top w:val="single" w:sz="4" w:space="0" w:color="auto"/>
              <w:left w:val="nil"/>
              <w:bottom w:val="single" w:sz="4" w:space="0" w:color="auto"/>
              <w:right w:val="nil"/>
            </w:tcBorders>
            <w:vAlign w:val="center"/>
          </w:tcPr>
          <w:p w14:paraId="44204BE4"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46" w:type="pct"/>
            <w:tcBorders>
              <w:top w:val="single" w:sz="4" w:space="0" w:color="auto"/>
              <w:left w:val="nil"/>
              <w:bottom w:val="single" w:sz="4" w:space="0" w:color="auto"/>
              <w:right w:val="nil"/>
            </w:tcBorders>
          </w:tcPr>
          <w:p w14:paraId="260C36A2"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687" w:type="pct"/>
            <w:tcBorders>
              <w:top w:val="single" w:sz="4" w:space="0" w:color="auto"/>
              <w:left w:val="nil"/>
              <w:bottom w:val="single" w:sz="4" w:space="0" w:color="auto"/>
              <w:right w:val="nil"/>
            </w:tcBorders>
          </w:tcPr>
          <w:p w14:paraId="3D989F4C"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1023" w:type="pct"/>
            <w:tcBorders>
              <w:top w:val="single" w:sz="4" w:space="0" w:color="auto"/>
              <w:left w:val="nil"/>
              <w:bottom w:val="single" w:sz="4" w:space="0" w:color="auto"/>
              <w:right w:val="nil"/>
            </w:tcBorders>
          </w:tcPr>
          <w:p w14:paraId="2323F42A" w14:textId="77777777" w:rsidR="0082679F" w:rsidRPr="00655D12" w:rsidRDefault="0082679F" w:rsidP="004D5904">
            <w:pPr>
              <w:pStyle w:val="NoSpacing"/>
              <w:keepNext/>
              <w:keepLines/>
              <w:spacing w:before="40" w:after="40"/>
              <w:rPr>
                <w:rFonts w:cs="Arial"/>
                <w:color w:val="15272F" w:themeColor="accent1"/>
                <w:sz w:val="18"/>
                <w:szCs w:val="18"/>
              </w:rPr>
            </w:pPr>
          </w:p>
        </w:tc>
        <w:tc>
          <w:tcPr>
            <w:tcW w:w="718" w:type="pct"/>
            <w:tcBorders>
              <w:top w:val="nil"/>
              <w:left w:val="nil"/>
              <w:bottom w:val="single" w:sz="4" w:space="0" w:color="auto"/>
              <w:right w:val="single" w:sz="4" w:space="0" w:color="auto"/>
            </w:tcBorders>
          </w:tcPr>
          <w:p w14:paraId="355AA2A9" w14:textId="77777777" w:rsidR="0082679F" w:rsidRPr="00655D12" w:rsidRDefault="0082679F" w:rsidP="004D5904">
            <w:pPr>
              <w:pStyle w:val="NoSpacing"/>
              <w:keepNext/>
              <w:keepLines/>
              <w:spacing w:before="40" w:after="40"/>
              <w:rPr>
                <w:rFonts w:cs="Arial"/>
                <w:color w:val="15272F" w:themeColor="accent1"/>
                <w:sz w:val="18"/>
                <w:szCs w:val="18"/>
              </w:rPr>
            </w:pPr>
          </w:p>
        </w:tc>
      </w:tr>
    </w:tbl>
    <w:p w14:paraId="4C20B498" w14:textId="77777777" w:rsidR="0082679F" w:rsidRDefault="0082679F" w:rsidP="0082679F">
      <w:pPr>
        <w:autoSpaceDE w:val="0"/>
        <w:autoSpaceDN w:val="0"/>
        <w:adjustRightInd w:val="0"/>
        <w:spacing w:before="120" w:after="120" w:line="240" w:lineRule="auto"/>
      </w:pPr>
    </w:p>
    <w:p w14:paraId="1DBCF912" w14:textId="2BF8686F" w:rsidR="0082679F" w:rsidRPr="00D82B81" w:rsidRDefault="0082679F" w:rsidP="0082679F">
      <w:pPr>
        <w:pStyle w:val="Heading4"/>
      </w:pPr>
      <w:r w:rsidRPr="00D82B81">
        <w:t xml:space="preserve">Admitted setting, Consolidating gain </w:t>
      </w:r>
      <w:proofErr w:type="spellStart"/>
      <w:r w:rsidRPr="00D82B81">
        <w:t>MHPoC</w:t>
      </w:r>
      <w:proofErr w:type="spellEnd"/>
      <w:r w:rsidRPr="00D82B81">
        <w:t xml:space="preserve">, 0-17 years age </w:t>
      </w:r>
      <w:proofErr w:type="gramStart"/>
      <w:r w:rsidRPr="00D82B81">
        <w:t>group</w:t>
      </w:r>
      <w:proofErr w:type="gramEnd"/>
    </w:p>
    <w:p w14:paraId="5EF242B4" w14:textId="2E29B45E" w:rsidR="00E95AF5" w:rsidRPr="00655D12" w:rsidRDefault="00E95AF5" w:rsidP="00BA6C6A">
      <w:pPr>
        <w:autoSpaceDE w:val="0"/>
        <w:autoSpaceDN w:val="0"/>
        <w:adjustRightInd w:val="0"/>
        <w:spacing w:before="120" w:after="120"/>
        <w:rPr>
          <w:rFonts w:eastAsia="Times New Roman" w:cs="Arial"/>
        </w:rPr>
      </w:pPr>
      <w:r w:rsidRPr="00655D12">
        <w:rPr>
          <w:rFonts w:eastAsia="Times New Roman" w:cs="Arial"/>
        </w:rPr>
        <w:t xml:space="preserve">In the AMHCC V1.0 there is a complexity split threshold for the Admitted Consolidating Gain 0-17 years segment which separates phases into High and Moderate </w:t>
      </w:r>
      <w:proofErr w:type="spellStart"/>
      <w:r w:rsidRPr="00655D12">
        <w:rPr>
          <w:rFonts w:eastAsia="Times New Roman" w:cs="Arial"/>
        </w:rPr>
        <w:t>HoNOS</w:t>
      </w:r>
      <w:proofErr w:type="spellEnd"/>
      <w:r w:rsidRPr="00655D12">
        <w:rPr>
          <w:rFonts w:eastAsia="Times New Roman" w:cs="Arial"/>
        </w:rPr>
        <w:t xml:space="preserve"> complexity.</w:t>
      </w:r>
    </w:p>
    <w:p w14:paraId="2141C15F" w14:textId="32DB945A" w:rsidR="00046420" w:rsidRPr="00655D12" w:rsidRDefault="00E95AF5" w:rsidP="00BA6C6A">
      <w:pPr>
        <w:autoSpaceDE w:val="0"/>
        <w:autoSpaceDN w:val="0"/>
        <w:adjustRightInd w:val="0"/>
        <w:spacing w:before="120" w:after="120"/>
        <w:rPr>
          <w:rFonts w:eastAsiaTheme="majorEastAsia" w:cstheme="majorBidi"/>
          <w:b/>
          <w:bCs/>
          <w:sz w:val="26"/>
          <w:szCs w:val="26"/>
        </w:rPr>
      </w:pPr>
      <w:r w:rsidRPr="00655D12">
        <w:rPr>
          <w:rFonts w:eastAsia="Times New Roman" w:cs="Arial"/>
        </w:rPr>
        <w:t>The AMHCC V1.1 does not apply a</w:t>
      </w:r>
      <w:r w:rsidR="00046420" w:rsidRPr="00655D12">
        <w:rPr>
          <w:rFonts w:eastAsia="Times New Roman" w:cs="Arial"/>
        </w:rPr>
        <w:t xml:space="preserve"> split threshold for the Admitted Consolidating Gain 0-17 years segment. Nationally, there are fewer than 20 costed records with fully populated </w:t>
      </w:r>
      <w:proofErr w:type="spellStart"/>
      <w:r w:rsidR="00046420" w:rsidRPr="00655D12">
        <w:rPr>
          <w:rFonts w:eastAsia="Times New Roman" w:cs="Arial"/>
        </w:rPr>
        <w:t>HoNOS</w:t>
      </w:r>
      <w:proofErr w:type="spellEnd"/>
      <w:r w:rsidR="00046420" w:rsidRPr="00655D12">
        <w:rPr>
          <w:rFonts w:eastAsia="Times New Roman" w:cs="Arial"/>
        </w:rPr>
        <w:t xml:space="preserve"> items for this segment across three years of data. This results in high variability in phase cost and no suitable value which meets the split threshold principles</w:t>
      </w:r>
      <w:r w:rsidR="00DF4F2E">
        <w:rPr>
          <w:rFonts w:eastAsia="Times New Roman" w:cs="Arial"/>
        </w:rPr>
        <w:t xml:space="preserve"> </w:t>
      </w:r>
      <w:r w:rsidR="00E26E19" w:rsidRPr="00655D12">
        <w:rPr>
          <w:rFonts w:eastAsia="Times New Roman" w:cs="Arial"/>
        </w:rPr>
        <w:t>f</w:t>
      </w:r>
      <w:r w:rsidR="00046420" w:rsidRPr="00655D12">
        <w:rPr>
          <w:rFonts w:eastAsia="Times New Roman" w:cs="Arial"/>
        </w:rPr>
        <w:t>or AMHCC V1.1</w:t>
      </w:r>
      <w:r w:rsidR="00655D12" w:rsidRPr="00655D12">
        <w:rPr>
          <w:rFonts w:eastAsia="Times New Roman" w:cs="Arial"/>
        </w:rPr>
        <w:t xml:space="preserve"> </w:t>
      </w:r>
      <w:r w:rsidR="00655D12">
        <w:rPr>
          <w:rFonts w:eastAsia="Times New Roman" w:cs="Arial"/>
        </w:rPr>
        <w:t xml:space="preserve">discussed in Section </w:t>
      </w:r>
      <w:r w:rsidR="00655D12" w:rsidRPr="00655D12">
        <w:rPr>
          <w:rFonts w:eastAsia="Times New Roman" w:cs="Arial"/>
        </w:rPr>
        <w:t>3.5.2</w:t>
      </w:r>
      <w:r w:rsidR="00655D12">
        <w:rPr>
          <w:rFonts w:eastAsia="Times New Roman" w:cs="Arial"/>
        </w:rPr>
        <w:t xml:space="preserve">. </w:t>
      </w:r>
    </w:p>
    <w:p w14:paraId="2E87A28C" w14:textId="086BD743" w:rsidR="00CB2553" w:rsidRPr="00D82B81" w:rsidRDefault="00CB2553" w:rsidP="00BA6C6A">
      <w:pPr>
        <w:keepLines/>
        <w:autoSpaceDE w:val="0"/>
        <w:autoSpaceDN w:val="0"/>
        <w:adjustRightInd w:val="0"/>
        <w:spacing w:before="120" w:after="120"/>
      </w:pPr>
      <w:r w:rsidRPr="00D82B81">
        <w:rPr>
          <w:b/>
          <w:bCs/>
        </w:rPr>
        <w:t xml:space="preserve">Figure </w:t>
      </w:r>
      <w:r w:rsidR="00E95AF5" w:rsidRPr="00D82B81">
        <w:rPr>
          <w:b/>
          <w:bCs/>
        </w:rPr>
        <w:t>4</w:t>
      </w:r>
      <w:r w:rsidR="00C05201" w:rsidRPr="00D82B81">
        <w:t xml:space="preserve"> </w:t>
      </w:r>
      <w:r w:rsidRPr="00655D12">
        <w:rPr>
          <w:rFonts w:eastAsia="Times New Roman" w:cs="Arial"/>
        </w:rPr>
        <w:t xml:space="preserve">shows the available end classes for the </w:t>
      </w:r>
      <w:r w:rsidR="00E95AF5" w:rsidRPr="00655D12">
        <w:rPr>
          <w:rFonts w:eastAsia="Times New Roman" w:cs="Arial"/>
        </w:rPr>
        <w:t>A</w:t>
      </w:r>
      <w:r w:rsidRPr="00655D12">
        <w:rPr>
          <w:rFonts w:eastAsia="Times New Roman" w:cs="Arial"/>
        </w:rPr>
        <w:t xml:space="preserve">dmitted setting, </w:t>
      </w:r>
      <w:r w:rsidR="00E95AF5" w:rsidRPr="00655D12">
        <w:rPr>
          <w:rFonts w:eastAsia="Times New Roman" w:cs="Arial"/>
        </w:rPr>
        <w:t>C</w:t>
      </w:r>
      <w:r w:rsidRPr="00655D12">
        <w:rPr>
          <w:rFonts w:eastAsia="Times New Roman" w:cs="Arial"/>
        </w:rPr>
        <w:t xml:space="preserve">onsolidating </w:t>
      </w:r>
      <w:r w:rsidR="00E95AF5" w:rsidRPr="00655D12">
        <w:rPr>
          <w:rFonts w:eastAsia="Times New Roman" w:cs="Arial"/>
        </w:rPr>
        <w:t>G</w:t>
      </w:r>
      <w:r w:rsidRPr="00655D12">
        <w:rPr>
          <w:rFonts w:eastAsia="Times New Roman" w:cs="Arial"/>
        </w:rPr>
        <w:t xml:space="preserve">ain </w:t>
      </w:r>
      <w:proofErr w:type="spellStart"/>
      <w:r w:rsidRPr="00655D12">
        <w:rPr>
          <w:rFonts w:eastAsia="Times New Roman" w:cs="Arial"/>
        </w:rPr>
        <w:t>MHPoC</w:t>
      </w:r>
      <w:proofErr w:type="spellEnd"/>
      <w:r w:rsidRPr="00655D12">
        <w:rPr>
          <w:rFonts w:eastAsia="Times New Roman" w:cs="Arial"/>
        </w:rPr>
        <w:t xml:space="preserve"> and 0-17 years age group. Under AMHCC V1.0, records with missing </w:t>
      </w:r>
      <w:proofErr w:type="spellStart"/>
      <w:r w:rsidRPr="00655D12">
        <w:rPr>
          <w:rFonts w:eastAsia="Times New Roman" w:cs="Arial"/>
        </w:rPr>
        <w:t>HoNOS</w:t>
      </w:r>
      <w:proofErr w:type="spellEnd"/>
      <w:r w:rsidRPr="00655D12">
        <w:rPr>
          <w:rFonts w:eastAsia="Times New Roman" w:cs="Arial"/>
        </w:rPr>
        <w:t xml:space="preserve"> items would default to the Unknown </w:t>
      </w:r>
      <w:proofErr w:type="spellStart"/>
      <w:r w:rsidRPr="00655D12">
        <w:rPr>
          <w:rFonts w:eastAsia="Times New Roman" w:cs="Arial"/>
        </w:rPr>
        <w:t>HoNOS</w:t>
      </w:r>
      <w:proofErr w:type="spellEnd"/>
      <w:r w:rsidRPr="00655D12">
        <w:rPr>
          <w:rFonts w:eastAsia="Times New Roman" w:cs="Arial"/>
        </w:rPr>
        <w:t xml:space="preserve"> complexity (141Z). Records with fully populated </w:t>
      </w:r>
      <w:proofErr w:type="spellStart"/>
      <w:r w:rsidRPr="00655D12">
        <w:rPr>
          <w:rFonts w:eastAsia="Times New Roman" w:cs="Arial"/>
        </w:rPr>
        <w:t>HoNOS</w:t>
      </w:r>
      <w:proofErr w:type="spellEnd"/>
      <w:r w:rsidRPr="00655D12">
        <w:rPr>
          <w:rFonts w:eastAsia="Times New Roman" w:cs="Arial"/>
        </w:rPr>
        <w:t xml:space="preserve"> items would be assigned to the High (141A) or Moderate Complexity (141B) end class based on the complexity split threshold. Under AMHCC V1.1, all records will group to a single end class (141Z). The 141A and 141B end classes </w:t>
      </w:r>
      <w:r w:rsidR="00E95AF5" w:rsidRPr="00655D12">
        <w:rPr>
          <w:rFonts w:eastAsia="Times New Roman" w:cs="Arial"/>
        </w:rPr>
        <w:t>are</w:t>
      </w:r>
      <w:r w:rsidRPr="00655D12">
        <w:rPr>
          <w:rFonts w:eastAsia="Times New Roman" w:cs="Arial"/>
        </w:rPr>
        <w:t xml:space="preserve"> inactive </w:t>
      </w:r>
      <w:r w:rsidR="005D5C89">
        <w:rPr>
          <w:rFonts w:eastAsia="Times New Roman" w:cs="Arial"/>
        </w:rPr>
        <w:t xml:space="preserve">and whilst will not be used, are retained within </w:t>
      </w:r>
      <w:r w:rsidRPr="00655D12">
        <w:rPr>
          <w:rFonts w:eastAsia="Times New Roman" w:cs="Arial"/>
        </w:rPr>
        <w:t>AMHCC V1</w:t>
      </w:r>
      <w:r w:rsidRPr="00D82B81">
        <w:t xml:space="preserve">.1. </w:t>
      </w:r>
    </w:p>
    <w:p w14:paraId="13CADCD5" w14:textId="629F4CDF" w:rsidR="00CB2553" w:rsidRDefault="00CB2553" w:rsidP="00CB2553">
      <w:pPr>
        <w:pStyle w:val="TableFigureheading"/>
      </w:pPr>
      <w:r>
        <w:lastRenderedPageBreak/>
        <w:t xml:space="preserve">Figure </w:t>
      </w:r>
      <w:r w:rsidR="00E95AF5">
        <w:t>4</w:t>
      </w:r>
      <w:r>
        <w:t xml:space="preserve">. </w:t>
      </w:r>
      <w:r w:rsidR="00E95AF5">
        <w:t>Refin</w:t>
      </w:r>
      <w:r w:rsidR="00D10758">
        <w:t>e</w:t>
      </w:r>
      <w:r w:rsidR="00E95AF5">
        <w:t>ment</w:t>
      </w:r>
      <w:r>
        <w:t xml:space="preserve"> to Admitted, Consolidating Gain 0-17 years </w:t>
      </w:r>
      <w:proofErr w:type="gramStart"/>
      <w:r>
        <w:t>branch</w:t>
      </w:r>
      <w:proofErr w:type="gramEnd"/>
    </w:p>
    <w:p w14:paraId="0362F1DE" w14:textId="0C7F962F" w:rsidR="00CB2553" w:rsidRDefault="00CB2553" w:rsidP="00E72F9C">
      <w:pPr>
        <w:jc w:val="center"/>
      </w:pPr>
      <w:r>
        <w:rPr>
          <w:noProof/>
        </w:rPr>
        <w:drawing>
          <wp:inline distT="0" distB="0" distL="0" distR="0" wp14:anchorId="510E6FD9" wp14:editId="4A03BB07">
            <wp:extent cx="6155266" cy="22640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5266" cy="2264069"/>
                    </a:xfrm>
                    <a:prstGeom prst="rect">
                      <a:avLst/>
                    </a:prstGeom>
                  </pic:spPr>
                </pic:pic>
              </a:graphicData>
            </a:graphic>
          </wp:inline>
        </w:drawing>
      </w:r>
    </w:p>
    <w:p w14:paraId="2E063525" w14:textId="58D3D673" w:rsidR="00CB2553" w:rsidRDefault="00CB2553" w:rsidP="00E72F9C">
      <w:pPr>
        <w:jc w:val="center"/>
      </w:pPr>
      <w:r>
        <w:rPr>
          <w:noProof/>
        </w:rPr>
        <w:drawing>
          <wp:inline distT="0" distB="0" distL="0" distR="0" wp14:anchorId="588D4B13" wp14:editId="1B5C4242">
            <wp:extent cx="6192518" cy="1181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92518" cy="1181735"/>
                    </a:xfrm>
                    <a:prstGeom prst="rect">
                      <a:avLst/>
                    </a:prstGeom>
                  </pic:spPr>
                </pic:pic>
              </a:graphicData>
            </a:graphic>
          </wp:inline>
        </w:drawing>
      </w:r>
    </w:p>
    <w:p w14:paraId="69867D74" w14:textId="2C2DE21C" w:rsidR="00CB2553" w:rsidRDefault="00E95AF5" w:rsidP="00BA6C6A">
      <w:pPr>
        <w:keepLines/>
        <w:autoSpaceDE w:val="0"/>
        <w:autoSpaceDN w:val="0"/>
        <w:adjustRightInd w:val="0"/>
        <w:spacing w:before="120" w:after="120"/>
      </w:pPr>
      <w:r w:rsidRPr="00D82B81">
        <w:t xml:space="preserve">The AMHCC V1.1 </w:t>
      </w:r>
      <w:r w:rsidR="00D10758" w:rsidRPr="00D82B81">
        <w:t>additionally</w:t>
      </w:r>
      <w:r w:rsidRPr="00D82B81">
        <w:t xml:space="preserve"> update</w:t>
      </w:r>
      <w:r w:rsidR="00D10758" w:rsidRPr="00D82B81">
        <w:t>s</w:t>
      </w:r>
      <w:r w:rsidRPr="00D82B81">
        <w:t xml:space="preserve"> the description of the 141Z </w:t>
      </w:r>
      <w:r w:rsidR="00D10758" w:rsidRPr="00D82B81">
        <w:t xml:space="preserve">end </w:t>
      </w:r>
      <w:r w:rsidRPr="00D82B81">
        <w:t xml:space="preserve">class to remove the words “Unknown </w:t>
      </w:r>
      <w:proofErr w:type="spellStart"/>
      <w:r w:rsidRPr="00D82B81">
        <w:t>HoNOS</w:t>
      </w:r>
      <w:proofErr w:type="spellEnd"/>
      <w:r w:rsidRPr="00D82B81">
        <w:t xml:space="preserve">.” </w:t>
      </w:r>
      <w:r w:rsidRPr="00D82B81">
        <w:rPr>
          <w:b/>
          <w:bCs/>
        </w:rPr>
        <w:t>Table 5</w:t>
      </w:r>
      <w:r w:rsidRPr="00D82B81">
        <w:t xml:space="preserve"> summarises the changes to the end classes between AMHCC V1.0 and V1.1.</w:t>
      </w:r>
    </w:p>
    <w:p w14:paraId="15469235" w14:textId="0A1098CA" w:rsidR="00DD280B" w:rsidRDefault="00DD280B" w:rsidP="00DD280B">
      <w:pPr>
        <w:pStyle w:val="TableFigureheading"/>
      </w:pPr>
      <w:r>
        <w:t xml:space="preserve">Table 5. AMHCC V1.0 and V1.1 end class change for Admitted, Consolidating Gain, 0-17 years </w:t>
      </w:r>
      <w:proofErr w:type="gramStart"/>
      <w:r>
        <w:t>bran</w:t>
      </w:r>
      <w:r w:rsidR="00C03C63">
        <w:t>ch</w:t>
      </w:r>
      <w:proofErr w:type="gramEnd"/>
    </w:p>
    <w:tbl>
      <w:tblPr>
        <w:tblStyle w:val="TableGrid"/>
        <w:tblW w:w="5000" w:type="pct"/>
        <w:jc w:val="center"/>
        <w:tblLook w:val="04A0" w:firstRow="1" w:lastRow="0" w:firstColumn="1" w:lastColumn="0" w:noHBand="0" w:noVBand="1"/>
      </w:tblPr>
      <w:tblGrid>
        <w:gridCol w:w="747"/>
        <w:gridCol w:w="3416"/>
        <w:gridCol w:w="3488"/>
        <w:gridCol w:w="951"/>
        <w:gridCol w:w="1140"/>
      </w:tblGrid>
      <w:tr w:rsidR="00CB2553" w:rsidRPr="006916AD" w14:paraId="74D3FAA6" w14:textId="77777777" w:rsidTr="00091E59">
        <w:trPr>
          <w:trHeight w:val="470"/>
          <w:jc w:val="center"/>
        </w:trPr>
        <w:tc>
          <w:tcPr>
            <w:tcW w:w="384" w:type="pct"/>
            <w:shd w:val="clear" w:color="auto" w:fill="15272F" w:themeFill="accent1"/>
          </w:tcPr>
          <w:p w14:paraId="2CAB92EF" w14:textId="77777777" w:rsidR="00CB2553" w:rsidRPr="00F43B0F" w:rsidDel="00EA1915" w:rsidRDefault="00CB2553" w:rsidP="00CB2553">
            <w:pPr>
              <w:keepNext/>
              <w:keepLines/>
              <w:spacing w:before="120" w:after="120"/>
              <w:rPr>
                <w:b/>
                <w:bCs/>
                <w:color w:val="FFFFFF" w:themeColor="background2"/>
                <w:sz w:val="18"/>
                <w:szCs w:val="18"/>
                <w:lang w:val="en-US"/>
              </w:rPr>
            </w:pPr>
            <w:r w:rsidRPr="00F43B0F">
              <w:rPr>
                <w:b/>
                <w:bCs/>
                <w:color w:val="FFFFFF" w:themeColor="accent6"/>
                <w:sz w:val="18"/>
                <w:szCs w:val="18"/>
              </w:rPr>
              <w:t>Class code</w:t>
            </w:r>
          </w:p>
        </w:tc>
        <w:tc>
          <w:tcPr>
            <w:tcW w:w="1753" w:type="pct"/>
            <w:shd w:val="clear" w:color="auto" w:fill="15272F" w:themeFill="accent1"/>
            <w:vAlign w:val="center"/>
          </w:tcPr>
          <w:p w14:paraId="4D30B5B6" w14:textId="77777777" w:rsidR="00CB2553" w:rsidRPr="00F43B0F" w:rsidRDefault="00CB2553" w:rsidP="00CB2553">
            <w:pPr>
              <w:keepNext/>
              <w:keepLines/>
              <w:spacing w:before="120" w:after="120"/>
              <w:rPr>
                <w:b/>
                <w:bCs/>
                <w:color w:val="FFFFFF" w:themeColor="background2"/>
                <w:sz w:val="18"/>
                <w:szCs w:val="18"/>
                <w:lang w:val="en-US"/>
              </w:rPr>
            </w:pPr>
            <w:r w:rsidRPr="00F43B0F">
              <w:rPr>
                <w:b/>
                <w:bCs/>
                <w:color w:val="FFFFFF" w:themeColor="accent6"/>
                <w:sz w:val="18"/>
                <w:szCs w:val="18"/>
              </w:rPr>
              <w:t>AMHCC V1.0 end class name</w:t>
            </w:r>
          </w:p>
        </w:tc>
        <w:tc>
          <w:tcPr>
            <w:tcW w:w="1790" w:type="pct"/>
            <w:shd w:val="clear" w:color="auto" w:fill="15272F" w:themeFill="accent1"/>
            <w:vAlign w:val="center"/>
          </w:tcPr>
          <w:p w14:paraId="60B7ED9E" w14:textId="77777777" w:rsidR="00CB2553" w:rsidRPr="00F43B0F" w:rsidRDefault="00CB2553" w:rsidP="00CB2553">
            <w:pPr>
              <w:keepNext/>
              <w:keepLines/>
              <w:spacing w:before="120" w:after="120"/>
              <w:rPr>
                <w:b/>
                <w:bCs/>
                <w:color w:val="FFFFFF" w:themeColor="background2"/>
                <w:sz w:val="18"/>
                <w:szCs w:val="18"/>
                <w:lang w:val="en-US"/>
              </w:rPr>
            </w:pPr>
            <w:r w:rsidRPr="00F43B0F">
              <w:rPr>
                <w:b/>
                <w:bCs/>
                <w:color w:val="FFFFFF" w:themeColor="accent6"/>
                <w:sz w:val="18"/>
                <w:szCs w:val="18"/>
              </w:rPr>
              <w:t>AMHCC V1.1 end class name</w:t>
            </w:r>
          </w:p>
        </w:tc>
        <w:tc>
          <w:tcPr>
            <w:tcW w:w="488" w:type="pct"/>
            <w:shd w:val="clear" w:color="auto" w:fill="15272F" w:themeFill="accent1"/>
            <w:vAlign w:val="center"/>
          </w:tcPr>
          <w:p w14:paraId="0B23B2D3" w14:textId="77777777" w:rsidR="00CB2553" w:rsidRPr="00F43B0F" w:rsidRDefault="00CB2553" w:rsidP="00CB2553">
            <w:pPr>
              <w:keepNext/>
              <w:keepLines/>
              <w:spacing w:before="120" w:after="120"/>
              <w:jc w:val="center"/>
              <w:rPr>
                <w:b/>
                <w:bCs/>
                <w:color w:val="FFFFFF" w:themeColor="background2"/>
                <w:sz w:val="18"/>
                <w:szCs w:val="18"/>
                <w:lang w:val="en-US"/>
              </w:rPr>
            </w:pPr>
            <w:r w:rsidRPr="00F43B0F">
              <w:rPr>
                <w:b/>
                <w:bCs/>
                <w:color w:val="FFFFFF" w:themeColor="accent6"/>
                <w:sz w:val="18"/>
                <w:szCs w:val="18"/>
              </w:rPr>
              <w:t>AMHCC V1.0</w:t>
            </w:r>
          </w:p>
        </w:tc>
        <w:tc>
          <w:tcPr>
            <w:tcW w:w="585" w:type="pct"/>
            <w:shd w:val="clear" w:color="auto" w:fill="15272F" w:themeFill="accent1"/>
            <w:vAlign w:val="center"/>
          </w:tcPr>
          <w:p w14:paraId="738FF5C2" w14:textId="32561755" w:rsidR="00CB2553" w:rsidRPr="00F43B0F" w:rsidRDefault="00CB2553" w:rsidP="00CB2553">
            <w:pPr>
              <w:keepNext/>
              <w:keepLines/>
              <w:spacing w:before="120" w:after="120"/>
              <w:jc w:val="center"/>
              <w:rPr>
                <w:b/>
                <w:bCs/>
                <w:color w:val="FFFFFF" w:themeColor="background2"/>
                <w:sz w:val="18"/>
                <w:szCs w:val="18"/>
                <w:lang w:val="en-US"/>
              </w:rPr>
            </w:pPr>
            <w:r w:rsidRPr="00F43B0F">
              <w:rPr>
                <w:b/>
                <w:bCs/>
                <w:color w:val="FFFFFF" w:themeColor="accent6"/>
                <w:sz w:val="18"/>
                <w:szCs w:val="18"/>
              </w:rPr>
              <w:t>AMHCC V1.1</w:t>
            </w:r>
          </w:p>
        </w:tc>
      </w:tr>
      <w:tr w:rsidR="00CB2553" w:rsidRPr="006916AD" w14:paraId="3E51B75C" w14:textId="77777777" w:rsidTr="00091E59">
        <w:trPr>
          <w:jc w:val="center"/>
        </w:trPr>
        <w:tc>
          <w:tcPr>
            <w:tcW w:w="384" w:type="pct"/>
            <w:vAlign w:val="center"/>
          </w:tcPr>
          <w:p w14:paraId="0343B728" w14:textId="77777777" w:rsidR="00CB2553" w:rsidRPr="00F43B0F" w:rsidRDefault="00CB2553" w:rsidP="00F45F2F">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141A</w:t>
            </w:r>
          </w:p>
        </w:tc>
        <w:tc>
          <w:tcPr>
            <w:tcW w:w="1753" w:type="pct"/>
            <w:vAlign w:val="center"/>
          </w:tcPr>
          <w:p w14:paraId="57D62EF4"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 xml:space="preserve">Admitted, Consolidating gain, 0-17 years, High </w:t>
            </w:r>
            <w:proofErr w:type="spellStart"/>
            <w:r w:rsidRPr="00F43B0F">
              <w:rPr>
                <w:rFonts w:cs="Arial"/>
                <w:color w:val="15272F" w:themeColor="accent1"/>
                <w:sz w:val="18"/>
                <w:szCs w:val="18"/>
              </w:rPr>
              <w:t>HoNOS</w:t>
            </w:r>
            <w:proofErr w:type="spellEnd"/>
            <w:r w:rsidRPr="00F43B0F">
              <w:rPr>
                <w:rFonts w:cs="Arial"/>
                <w:color w:val="15272F" w:themeColor="accent1"/>
                <w:sz w:val="18"/>
                <w:szCs w:val="18"/>
              </w:rPr>
              <w:t xml:space="preserve"> complexity</w:t>
            </w:r>
          </w:p>
        </w:tc>
        <w:tc>
          <w:tcPr>
            <w:tcW w:w="1790" w:type="pct"/>
            <w:vAlign w:val="center"/>
          </w:tcPr>
          <w:p w14:paraId="4ED4340A"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 xml:space="preserve">Admitted, Consolidating gain, 0-17 years, High </w:t>
            </w:r>
            <w:proofErr w:type="spellStart"/>
            <w:r w:rsidRPr="00F43B0F">
              <w:rPr>
                <w:rFonts w:cs="Arial"/>
                <w:color w:val="15272F" w:themeColor="accent1"/>
                <w:sz w:val="18"/>
                <w:szCs w:val="18"/>
              </w:rPr>
              <w:t>HoNOS</w:t>
            </w:r>
            <w:proofErr w:type="spellEnd"/>
            <w:r w:rsidRPr="00F43B0F">
              <w:rPr>
                <w:rFonts w:cs="Arial"/>
                <w:color w:val="15272F" w:themeColor="accent1"/>
                <w:sz w:val="18"/>
                <w:szCs w:val="18"/>
              </w:rPr>
              <w:t xml:space="preserve"> complexity</w:t>
            </w:r>
          </w:p>
        </w:tc>
        <w:tc>
          <w:tcPr>
            <w:tcW w:w="488" w:type="pct"/>
            <w:vAlign w:val="center"/>
          </w:tcPr>
          <w:p w14:paraId="3DDD359B"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Active</w:t>
            </w:r>
          </w:p>
        </w:tc>
        <w:tc>
          <w:tcPr>
            <w:tcW w:w="585" w:type="pct"/>
            <w:vAlign w:val="center"/>
          </w:tcPr>
          <w:p w14:paraId="6A5E4A35"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Inactive</w:t>
            </w:r>
          </w:p>
        </w:tc>
      </w:tr>
      <w:tr w:rsidR="00CB2553" w:rsidRPr="006916AD" w14:paraId="0A0344C1" w14:textId="77777777" w:rsidTr="00091E59">
        <w:trPr>
          <w:jc w:val="center"/>
        </w:trPr>
        <w:tc>
          <w:tcPr>
            <w:tcW w:w="384" w:type="pct"/>
            <w:vAlign w:val="center"/>
          </w:tcPr>
          <w:p w14:paraId="5FF411AC" w14:textId="77777777" w:rsidR="00CB2553" w:rsidRPr="00F43B0F" w:rsidRDefault="00CB2553" w:rsidP="00F45F2F">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141B</w:t>
            </w:r>
          </w:p>
        </w:tc>
        <w:tc>
          <w:tcPr>
            <w:tcW w:w="1753" w:type="pct"/>
            <w:vAlign w:val="center"/>
          </w:tcPr>
          <w:p w14:paraId="3156D7BD"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 xml:space="preserve">Admitted, Consolidating gain, 0-17 years, Moderate </w:t>
            </w:r>
            <w:proofErr w:type="spellStart"/>
            <w:r w:rsidRPr="00F43B0F">
              <w:rPr>
                <w:rFonts w:cs="Arial"/>
                <w:color w:val="15272F" w:themeColor="accent1"/>
                <w:sz w:val="18"/>
                <w:szCs w:val="18"/>
              </w:rPr>
              <w:t>HoNOS</w:t>
            </w:r>
            <w:proofErr w:type="spellEnd"/>
            <w:r w:rsidRPr="00F43B0F">
              <w:rPr>
                <w:rFonts w:cs="Arial"/>
                <w:color w:val="15272F" w:themeColor="accent1"/>
                <w:sz w:val="18"/>
                <w:szCs w:val="18"/>
              </w:rPr>
              <w:t xml:space="preserve"> complexity</w:t>
            </w:r>
          </w:p>
        </w:tc>
        <w:tc>
          <w:tcPr>
            <w:tcW w:w="1790" w:type="pct"/>
            <w:vAlign w:val="center"/>
          </w:tcPr>
          <w:p w14:paraId="6B9F48D8"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 xml:space="preserve">Admitted, Consolidating gain, 0-17 years, Moderate </w:t>
            </w:r>
            <w:proofErr w:type="spellStart"/>
            <w:r w:rsidRPr="00F43B0F">
              <w:rPr>
                <w:rFonts w:cs="Arial"/>
                <w:color w:val="15272F" w:themeColor="accent1"/>
                <w:sz w:val="18"/>
                <w:szCs w:val="18"/>
              </w:rPr>
              <w:t>HoNOS</w:t>
            </w:r>
            <w:proofErr w:type="spellEnd"/>
            <w:r w:rsidRPr="00F43B0F">
              <w:rPr>
                <w:rFonts w:cs="Arial"/>
                <w:color w:val="15272F" w:themeColor="accent1"/>
                <w:sz w:val="18"/>
                <w:szCs w:val="18"/>
              </w:rPr>
              <w:t xml:space="preserve"> complexity</w:t>
            </w:r>
          </w:p>
        </w:tc>
        <w:tc>
          <w:tcPr>
            <w:tcW w:w="488" w:type="pct"/>
            <w:vAlign w:val="center"/>
          </w:tcPr>
          <w:p w14:paraId="58BA88D8"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Active</w:t>
            </w:r>
          </w:p>
        </w:tc>
        <w:tc>
          <w:tcPr>
            <w:tcW w:w="585" w:type="pct"/>
            <w:vAlign w:val="center"/>
          </w:tcPr>
          <w:p w14:paraId="0720A269"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Inactive</w:t>
            </w:r>
          </w:p>
        </w:tc>
      </w:tr>
      <w:tr w:rsidR="00CB2553" w:rsidRPr="006916AD" w14:paraId="054C9EBD" w14:textId="77777777" w:rsidTr="00091E59">
        <w:trPr>
          <w:jc w:val="center"/>
        </w:trPr>
        <w:tc>
          <w:tcPr>
            <w:tcW w:w="384" w:type="pct"/>
            <w:vAlign w:val="center"/>
          </w:tcPr>
          <w:p w14:paraId="3A7152D7" w14:textId="77777777" w:rsidR="00CB2553" w:rsidRPr="00F43B0F" w:rsidRDefault="00CB2553" w:rsidP="00F45F2F">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141Z</w:t>
            </w:r>
          </w:p>
        </w:tc>
        <w:tc>
          <w:tcPr>
            <w:tcW w:w="1753" w:type="pct"/>
            <w:vAlign w:val="center"/>
          </w:tcPr>
          <w:p w14:paraId="2883DAD3"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 xml:space="preserve">Admitted, Consolidating gain, 0-17 years, Unknown </w:t>
            </w:r>
            <w:proofErr w:type="spellStart"/>
            <w:r w:rsidRPr="00F43B0F">
              <w:rPr>
                <w:rFonts w:cs="Arial"/>
                <w:color w:val="15272F" w:themeColor="accent1"/>
                <w:sz w:val="18"/>
                <w:szCs w:val="18"/>
              </w:rPr>
              <w:t>HoNOS</w:t>
            </w:r>
            <w:proofErr w:type="spellEnd"/>
          </w:p>
        </w:tc>
        <w:tc>
          <w:tcPr>
            <w:tcW w:w="1790" w:type="pct"/>
            <w:vAlign w:val="center"/>
          </w:tcPr>
          <w:p w14:paraId="656E8686" w14:textId="77777777" w:rsidR="00CB2553" w:rsidRPr="00F43B0F" w:rsidRDefault="00CB2553" w:rsidP="00CB2553">
            <w:pPr>
              <w:pStyle w:val="NoSpacing"/>
              <w:keepNext/>
              <w:keepLines/>
              <w:spacing w:before="40" w:after="40"/>
              <w:rPr>
                <w:rFonts w:cs="Arial"/>
                <w:color w:val="15272F" w:themeColor="accent1"/>
                <w:sz w:val="18"/>
                <w:szCs w:val="18"/>
              </w:rPr>
            </w:pPr>
            <w:r w:rsidRPr="00F43B0F">
              <w:rPr>
                <w:rFonts w:cs="Arial"/>
                <w:color w:val="15272F" w:themeColor="accent1"/>
                <w:sz w:val="18"/>
                <w:szCs w:val="18"/>
              </w:rPr>
              <w:t>Admitted, Consolidating gain, 0-17 years</w:t>
            </w:r>
          </w:p>
        </w:tc>
        <w:tc>
          <w:tcPr>
            <w:tcW w:w="488" w:type="pct"/>
            <w:vAlign w:val="center"/>
          </w:tcPr>
          <w:p w14:paraId="5C2BB385"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Active</w:t>
            </w:r>
          </w:p>
        </w:tc>
        <w:tc>
          <w:tcPr>
            <w:tcW w:w="585" w:type="pct"/>
            <w:vAlign w:val="center"/>
          </w:tcPr>
          <w:p w14:paraId="1392E44A" w14:textId="77777777" w:rsidR="00CB2553" w:rsidRPr="00F43B0F" w:rsidRDefault="00CB2553" w:rsidP="00CB2553">
            <w:pPr>
              <w:pStyle w:val="NoSpacing"/>
              <w:keepNext/>
              <w:keepLines/>
              <w:spacing w:before="40" w:after="40"/>
              <w:jc w:val="center"/>
              <w:rPr>
                <w:rFonts w:cs="Arial"/>
                <w:color w:val="15272F" w:themeColor="accent1"/>
                <w:sz w:val="18"/>
                <w:szCs w:val="18"/>
              </w:rPr>
            </w:pPr>
            <w:r w:rsidRPr="00F43B0F">
              <w:rPr>
                <w:rFonts w:cs="Arial"/>
                <w:color w:val="15272F" w:themeColor="accent1"/>
                <w:sz w:val="18"/>
                <w:szCs w:val="18"/>
              </w:rPr>
              <w:t>Active</w:t>
            </w:r>
          </w:p>
        </w:tc>
      </w:tr>
    </w:tbl>
    <w:p w14:paraId="26FFF105" w14:textId="50D939B0" w:rsidR="00DD280B" w:rsidRDefault="00DD280B">
      <w:pPr>
        <w:rPr>
          <w:rFonts w:eastAsiaTheme="majorEastAsia" w:cstheme="majorBidi"/>
          <w:b/>
          <w:bCs/>
          <w:color w:val="104F99" w:themeColor="accent2"/>
          <w:sz w:val="36"/>
          <w:szCs w:val="36"/>
        </w:rPr>
      </w:pPr>
    </w:p>
    <w:p w14:paraId="61BE615B" w14:textId="16FA9A58" w:rsidR="00DD280B" w:rsidRPr="00DD280B" w:rsidRDefault="00DD280B" w:rsidP="0045432A">
      <w:pPr>
        <w:pStyle w:val="Heading2"/>
        <w:numPr>
          <w:ilvl w:val="1"/>
          <w:numId w:val="5"/>
        </w:numPr>
      </w:pPr>
      <w:bookmarkStart w:id="119" w:name="_Toc152277111"/>
      <w:bookmarkStart w:id="120" w:name="_Toc152312733"/>
      <w:bookmarkStart w:id="121" w:name="_Toc153371607"/>
      <w:r>
        <w:t xml:space="preserve">Treatment of records with missing </w:t>
      </w:r>
      <w:proofErr w:type="spellStart"/>
      <w:r>
        <w:t>HoNOS</w:t>
      </w:r>
      <w:proofErr w:type="spellEnd"/>
      <w:r>
        <w:t xml:space="preserve"> items</w:t>
      </w:r>
      <w:bookmarkEnd w:id="119"/>
      <w:bookmarkEnd w:id="120"/>
      <w:bookmarkEnd w:id="121"/>
    </w:p>
    <w:p w14:paraId="4D8229B4" w14:textId="13F341CB" w:rsidR="00EB4FA2" w:rsidRDefault="00590781" w:rsidP="00EB4FA2">
      <w:r>
        <w:t>In the AMHCC w</w:t>
      </w:r>
      <w:r w:rsidR="00EB4FA2" w:rsidRPr="00D82B81">
        <w:t>ithin the same segment</w:t>
      </w:r>
      <w:r>
        <w:t>,</w:t>
      </w:r>
      <w:r w:rsidR="00EB4FA2" w:rsidRPr="00D82B81">
        <w:t xml:space="preserve"> records with one or two missing </w:t>
      </w:r>
      <w:proofErr w:type="spellStart"/>
      <w:r w:rsidR="00EB4FA2" w:rsidRPr="00D82B81">
        <w:t>HoNOS</w:t>
      </w:r>
      <w:proofErr w:type="spellEnd"/>
      <w:r w:rsidR="00EB4FA2" w:rsidRPr="00D82B81">
        <w:t xml:space="preserve"> item scores often had a </w:t>
      </w:r>
      <w:r w:rsidR="001209D5">
        <w:t xml:space="preserve">greater proportion of scores with higher severity compared to </w:t>
      </w:r>
      <w:r w:rsidR="00EB4FA2" w:rsidRPr="00D82B81">
        <w:t xml:space="preserve">records with no missing </w:t>
      </w:r>
      <w:proofErr w:type="spellStart"/>
      <w:r w:rsidR="00EB4FA2" w:rsidRPr="00D82B81">
        <w:t>HoNOS</w:t>
      </w:r>
      <w:proofErr w:type="spellEnd"/>
      <w:r w:rsidR="00EB4FA2" w:rsidRPr="00D82B81">
        <w:t xml:space="preserve"> scores. </w:t>
      </w:r>
      <w:r w:rsidR="001209D5">
        <w:t xml:space="preserve">Further, </w:t>
      </w:r>
      <w:r w:rsidR="001209D5" w:rsidRPr="00D82B81">
        <w:t xml:space="preserve">records with one or two missing </w:t>
      </w:r>
      <w:proofErr w:type="spellStart"/>
      <w:r w:rsidR="001209D5" w:rsidRPr="00D82B81">
        <w:t>HoNOS</w:t>
      </w:r>
      <w:proofErr w:type="spellEnd"/>
      <w:r w:rsidR="001209D5" w:rsidRPr="00D82B81">
        <w:t xml:space="preserve"> item scores </w:t>
      </w:r>
      <w:r w:rsidR="001209D5">
        <w:t xml:space="preserve">had a disproportionate number of missing scores against </w:t>
      </w:r>
      <w:proofErr w:type="spellStart"/>
      <w:r w:rsidR="001209D5">
        <w:t>HoNOSCA</w:t>
      </w:r>
      <w:proofErr w:type="spellEnd"/>
      <w:r w:rsidR="001209D5">
        <w:t xml:space="preserve"> item 13 (poor school attendance) whereas records with no missing </w:t>
      </w:r>
      <w:proofErr w:type="spellStart"/>
      <w:r w:rsidR="001209D5">
        <w:t>HoNOS</w:t>
      </w:r>
      <w:proofErr w:type="spellEnd"/>
      <w:r w:rsidR="001209D5">
        <w:t xml:space="preserve"> items often reported scores greater than zero against this item.</w:t>
      </w:r>
    </w:p>
    <w:p w14:paraId="2A12EAE7" w14:textId="1466CA5A" w:rsidR="00516BF9" w:rsidRPr="00D82B81" w:rsidRDefault="00516BF9" w:rsidP="00EB4FA2">
      <w:r>
        <w:t>Th</w:t>
      </w:r>
      <w:r w:rsidR="0062760D">
        <w:t xml:space="preserve">is </w:t>
      </w:r>
      <w:r>
        <w:t xml:space="preserve">analysis indicated that the </w:t>
      </w:r>
      <w:proofErr w:type="spellStart"/>
      <w:r>
        <w:t>HoNOS</w:t>
      </w:r>
      <w:proofErr w:type="spellEnd"/>
      <w:r>
        <w:t xml:space="preserve"> reporting profile of records with one or two missing </w:t>
      </w:r>
      <w:proofErr w:type="spellStart"/>
      <w:r w:rsidR="003D2FE3">
        <w:t>HoNOS</w:t>
      </w:r>
      <w:proofErr w:type="spellEnd"/>
      <w:r w:rsidR="003D2FE3">
        <w:t xml:space="preserve"> </w:t>
      </w:r>
      <w:r>
        <w:t xml:space="preserve">items was </w:t>
      </w:r>
      <w:r w:rsidR="007B6354">
        <w:t xml:space="preserve">considerably </w:t>
      </w:r>
      <w:r w:rsidR="003D2FE3">
        <w:t xml:space="preserve">different to that of records with no missing </w:t>
      </w:r>
      <w:proofErr w:type="spellStart"/>
      <w:r w:rsidR="003D2FE3">
        <w:t>HoNOS</w:t>
      </w:r>
      <w:proofErr w:type="spellEnd"/>
      <w:r w:rsidR="003D2FE3">
        <w:t xml:space="preserve"> items. This meant that the inclusion of the former </w:t>
      </w:r>
      <w:r w:rsidR="006D680C">
        <w:t xml:space="preserve">data </w:t>
      </w:r>
      <w:r w:rsidR="003D2FE3">
        <w:t xml:space="preserve">cohort into the complexity model would </w:t>
      </w:r>
      <w:r w:rsidR="00A322E9">
        <w:t>substantially change</w:t>
      </w:r>
      <w:r w:rsidR="00B701D8">
        <w:t xml:space="preserve"> </w:t>
      </w:r>
      <w:r w:rsidR="003D2FE3">
        <w:t>the</w:t>
      </w:r>
      <w:r w:rsidR="00A322E9">
        <w:t xml:space="preserve"> </w:t>
      </w:r>
      <w:r w:rsidR="0062760D">
        <w:lastRenderedPageBreak/>
        <w:t xml:space="preserve">modelled </w:t>
      </w:r>
      <w:r w:rsidR="003D2FE3">
        <w:t xml:space="preserve">relationship of </w:t>
      </w:r>
      <w:proofErr w:type="spellStart"/>
      <w:r w:rsidR="003D2FE3">
        <w:t>HoNOS</w:t>
      </w:r>
      <w:proofErr w:type="spellEnd"/>
      <w:r w:rsidR="003D2FE3">
        <w:t xml:space="preserve"> items and phase cost</w:t>
      </w:r>
      <w:r w:rsidR="00B701D8">
        <w:t xml:space="preserve">. </w:t>
      </w:r>
      <w:r w:rsidR="00556413">
        <w:t xml:space="preserve">For example, the inclusion of phases with one or two missing </w:t>
      </w:r>
      <w:proofErr w:type="spellStart"/>
      <w:r w:rsidR="00556413">
        <w:t>HoNOSCA</w:t>
      </w:r>
      <w:proofErr w:type="spellEnd"/>
      <w:r w:rsidR="00556413">
        <w:t xml:space="preserve"> items would dilute the phases with a non-missing </w:t>
      </w:r>
      <w:proofErr w:type="spellStart"/>
      <w:r w:rsidR="00556413">
        <w:t>HoNOSCA</w:t>
      </w:r>
      <w:proofErr w:type="spellEnd"/>
      <w:r w:rsidR="00556413">
        <w:t xml:space="preserve"> item 13 and potentially cause a systematic under-estimate of the impact of this item. </w:t>
      </w:r>
      <w:r w:rsidR="00B701D8">
        <w:t xml:space="preserve">This </w:t>
      </w:r>
      <w:r w:rsidR="006D680C">
        <w:t xml:space="preserve">would ultimately </w:t>
      </w:r>
      <w:r w:rsidR="00A322E9">
        <w:t>distort</w:t>
      </w:r>
      <w:r w:rsidR="006D680C">
        <w:t xml:space="preserve"> </w:t>
      </w:r>
      <w:r w:rsidR="00635FFE">
        <w:t xml:space="preserve">the resulting </w:t>
      </w:r>
      <w:proofErr w:type="spellStart"/>
      <w:r w:rsidR="00635FFE">
        <w:t>HoNOS</w:t>
      </w:r>
      <w:proofErr w:type="spellEnd"/>
      <w:r w:rsidR="00635FFE">
        <w:t xml:space="preserve"> weights and complexity split thresholds from the complexity model. </w:t>
      </w:r>
    </w:p>
    <w:p w14:paraId="0FD45309" w14:textId="1E253E2A" w:rsidR="00F26A56" w:rsidRPr="00D82B81" w:rsidRDefault="0062760D" w:rsidP="00955719">
      <w:r>
        <w:t>Therefore,</w:t>
      </w:r>
      <w:r w:rsidR="001209D5">
        <w:t xml:space="preserve"> </w:t>
      </w:r>
      <w:r w:rsidR="00F26A56" w:rsidRPr="00D82B81">
        <w:t xml:space="preserve">records with one or two missing </w:t>
      </w:r>
      <w:proofErr w:type="spellStart"/>
      <w:r w:rsidR="00F26A56" w:rsidRPr="00D82B81">
        <w:t>HoNOS</w:t>
      </w:r>
      <w:proofErr w:type="spellEnd"/>
      <w:r w:rsidR="00F26A56" w:rsidRPr="00D82B81">
        <w:t xml:space="preserve"> scores were not used as input to the AMHCC </w:t>
      </w:r>
      <w:r w:rsidR="00D82B81">
        <w:t>V</w:t>
      </w:r>
      <w:r w:rsidR="00F26A56" w:rsidRPr="00D82B81">
        <w:t xml:space="preserve">1.1 complexity model. Instead, AMHCC </w:t>
      </w:r>
      <w:r w:rsidR="007624A3">
        <w:t>V1</w:t>
      </w:r>
      <w:r w:rsidR="00F26A56" w:rsidRPr="00D82B81">
        <w:t xml:space="preserve">.1 will introduce updated data validation rules such that phases with one or two missing </w:t>
      </w:r>
      <w:proofErr w:type="spellStart"/>
      <w:r w:rsidR="00F26A56" w:rsidRPr="00D82B81">
        <w:t>HoNOS</w:t>
      </w:r>
      <w:proofErr w:type="spellEnd"/>
      <w:r w:rsidR="00F26A56" w:rsidRPr="00D82B81">
        <w:t xml:space="preserve"> scores will now receive a valid complexity score and a </w:t>
      </w:r>
      <w:r w:rsidR="00955719">
        <w:t>H</w:t>
      </w:r>
      <w:r w:rsidR="00955719" w:rsidRPr="00D82B81">
        <w:t xml:space="preserve">igh </w:t>
      </w:r>
      <w:r w:rsidR="00F26A56" w:rsidRPr="00D82B81">
        <w:t xml:space="preserve">or </w:t>
      </w:r>
      <w:r w:rsidR="00955719">
        <w:t>M</w:t>
      </w:r>
      <w:r w:rsidR="00955719" w:rsidRPr="00D82B81">
        <w:t xml:space="preserve">oderate </w:t>
      </w:r>
      <w:proofErr w:type="spellStart"/>
      <w:r w:rsidR="00F26A56" w:rsidRPr="00D82B81">
        <w:t>HoNOS</w:t>
      </w:r>
      <w:proofErr w:type="spellEnd"/>
      <w:r w:rsidR="00F26A56" w:rsidRPr="00D82B81">
        <w:t xml:space="preserve"> complexity group. This treatment of records with missing </w:t>
      </w:r>
      <w:proofErr w:type="spellStart"/>
      <w:r w:rsidR="00F26A56" w:rsidRPr="00D82B81">
        <w:t>HoNOS</w:t>
      </w:r>
      <w:proofErr w:type="spellEnd"/>
      <w:r w:rsidR="00F26A56" w:rsidRPr="00D82B81">
        <w:t xml:space="preserve"> items under AMHCC </w:t>
      </w:r>
      <w:r w:rsidR="007624A3">
        <w:t>V1</w:t>
      </w:r>
      <w:r w:rsidR="00F26A56" w:rsidRPr="00D82B81">
        <w:t xml:space="preserve">.1 is summarised in </w:t>
      </w:r>
      <w:r w:rsidR="00F26A56" w:rsidRPr="00D82B81">
        <w:rPr>
          <w:b/>
          <w:bCs/>
        </w:rPr>
        <w:t xml:space="preserve">Table </w:t>
      </w:r>
      <w:r w:rsidR="00EC7100" w:rsidRPr="00D82B81">
        <w:rPr>
          <w:b/>
          <w:bCs/>
        </w:rPr>
        <w:t>6</w:t>
      </w:r>
      <w:r w:rsidR="00F26A56" w:rsidRPr="00D82B81">
        <w:t>.</w:t>
      </w:r>
    </w:p>
    <w:p w14:paraId="1817BC1B" w14:textId="7913FF0F" w:rsidR="00F26A56" w:rsidRDefault="00F26A56" w:rsidP="00F26A56">
      <w:pPr>
        <w:pStyle w:val="TableFigureheading"/>
      </w:pPr>
      <w:r>
        <w:t xml:space="preserve">Table </w:t>
      </w:r>
      <w:r w:rsidR="00EC7100">
        <w:t>6</w:t>
      </w:r>
      <w:r>
        <w:t xml:space="preserve">. Treatment of records with missing </w:t>
      </w:r>
      <w:proofErr w:type="spellStart"/>
      <w:r>
        <w:t>HoNOS</w:t>
      </w:r>
      <w:proofErr w:type="spellEnd"/>
      <w:r>
        <w:t xml:space="preserve"> scores under AMHCC </w:t>
      </w:r>
      <w:r w:rsidR="00D82B81">
        <w:t>V</w:t>
      </w:r>
      <w:r>
        <w:t>1.1</w:t>
      </w:r>
    </w:p>
    <w:tbl>
      <w:tblPr>
        <w:tblStyle w:val="IHACPATable"/>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5807"/>
        <w:gridCol w:w="1372"/>
        <w:gridCol w:w="1372"/>
        <w:gridCol w:w="1372"/>
      </w:tblGrid>
      <w:tr w:rsidR="00F26A56" w:rsidRPr="001F638E" w14:paraId="3623256E" w14:textId="77777777" w:rsidTr="0004259B">
        <w:trPr>
          <w:cnfStyle w:val="100000000000" w:firstRow="1" w:lastRow="0" w:firstColumn="0" w:lastColumn="0" w:oddVBand="0" w:evenVBand="0" w:oddHBand="0" w:evenHBand="0" w:firstRowFirstColumn="0" w:firstRowLastColumn="0" w:lastRowFirstColumn="0" w:lastRowLastColumn="0"/>
          <w:trHeight w:val="20"/>
        </w:trPr>
        <w:tc>
          <w:tcPr>
            <w:tcW w:w="5807" w:type="dxa"/>
            <w:vMerge w:val="restart"/>
            <w:vAlign w:val="center"/>
          </w:tcPr>
          <w:p w14:paraId="61981566" w14:textId="77777777" w:rsidR="00F26A56" w:rsidRPr="001F638E" w:rsidRDefault="00F26A56" w:rsidP="0004259B">
            <w:pPr>
              <w:keepNext/>
              <w:keepLines/>
              <w:spacing w:before="120" w:after="120"/>
              <w:rPr>
                <w:b/>
                <w:bCs/>
                <w:color w:val="FFFFFF" w:themeColor="background2"/>
                <w:szCs w:val="18"/>
              </w:rPr>
            </w:pPr>
            <w:r w:rsidRPr="001F638E">
              <w:rPr>
                <w:b/>
                <w:bCs/>
                <w:color w:val="FFFFFF" w:themeColor="accent6"/>
                <w:szCs w:val="18"/>
              </w:rPr>
              <w:t>Treatment</w:t>
            </w:r>
          </w:p>
        </w:tc>
        <w:tc>
          <w:tcPr>
            <w:tcW w:w="4116" w:type="dxa"/>
            <w:gridSpan w:val="3"/>
            <w:vAlign w:val="center"/>
          </w:tcPr>
          <w:p w14:paraId="2279CFBC" w14:textId="77777777" w:rsidR="00F26A56" w:rsidRPr="001F638E" w:rsidRDefault="00F26A56" w:rsidP="0004259B">
            <w:pPr>
              <w:keepNext/>
              <w:keepLines/>
              <w:spacing w:before="120" w:after="120"/>
              <w:jc w:val="center"/>
              <w:rPr>
                <w:b/>
                <w:bCs/>
                <w:color w:val="FFFFFF" w:themeColor="background2"/>
                <w:szCs w:val="18"/>
              </w:rPr>
            </w:pPr>
            <w:r w:rsidRPr="001F638E">
              <w:rPr>
                <w:b/>
                <w:bCs/>
                <w:color w:val="FFFFFF" w:themeColor="accent6"/>
                <w:szCs w:val="18"/>
              </w:rPr>
              <w:t xml:space="preserve">Number of missing </w:t>
            </w:r>
            <w:proofErr w:type="spellStart"/>
            <w:r w:rsidRPr="001F638E">
              <w:rPr>
                <w:b/>
                <w:bCs/>
                <w:color w:val="FFFFFF" w:themeColor="accent6"/>
                <w:szCs w:val="18"/>
              </w:rPr>
              <w:t>HoNOS</w:t>
            </w:r>
            <w:proofErr w:type="spellEnd"/>
            <w:r w:rsidRPr="001F638E">
              <w:rPr>
                <w:b/>
                <w:bCs/>
                <w:color w:val="FFFFFF" w:themeColor="accent6"/>
                <w:szCs w:val="18"/>
              </w:rPr>
              <w:t xml:space="preserve"> item scores</w:t>
            </w:r>
          </w:p>
        </w:tc>
      </w:tr>
      <w:tr w:rsidR="004B1BE0" w:rsidRPr="001F638E" w14:paraId="12A69629" w14:textId="77777777" w:rsidTr="00F45F2F">
        <w:trPr>
          <w:cnfStyle w:val="000000100000" w:firstRow="0" w:lastRow="0" w:firstColumn="0" w:lastColumn="0" w:oddVBand="0" w:evenVBand="0" w:oddHBand="1" w:evenHBand="0" w:firstRowFirstColumn="0" w:firstRowLastColumn="0" w:lastRowFirstColumn="0" w:lastRowLastColumn="0"/>
          <w:trHeight w:val="20"/>
        </w:trPr>
        <w:tc>
          <w:tcPr>
            <w:tcW w:w="0" w:type="dxa"/>
            <w:vMerge/>
            <w:tcBorders>
              <w:left w:val="single" w:sz="4" w:space="0" w:color="auto"/>
              <w:right w:val="single" w:sz="4" w:space="0" w:color="auto"/>
            </w:tcBorders>
          </w:tcPr>
          <w:p w14:paraId="7D5FC765" w14:textId="77777777" w:rsidR="00F26A56" w:rsidRPr="001F638E" w:rsidRDefault="00F26A56" w:rsidP="0004259B">
            <w:pPr>
              <w:keepNext/>
              <w:keepLines/>
              <w:spacing w:before="120" w:after="120"/>
              <w:rPr>
                <w:b/>
                <w:bCs/>
                <w:color w:val="FFFFFF" w:themeColor="background2"/>
                <w:szCs w:val="18"/>
              </w:rPr>
            </w:pPr>
          </w:p>
        </w:tc>
        <w:tc>
          <w:tcPr>
            <w:tcW w:w="0" w:type="dxa"/>
            <w:tcBorders>
              <w:left w:val="single" w:sz="4" w:space="0" w:color="auto"/>
              <w:right w:val="single" w:sz="4" w:space="0" w:color="auto"/>
            </w:tcBorders>
            <w:shd w:val="clear" w:color="auto" w:fill="65A0BA" w:themeFill="accent1" w:themeFillTint="80"/>
            <w:vAlign w:val="center"/>
          </w:tcPr>
          <w:p w14:paraId="5E71771C" w14:textId="77777777" w:rsidR="00F26A56" w:rsidRPr="001F638E" w:rsidRDefault="00F26A56" w:rsidP="0004259B">
            <w:pPr>
              <w:keepNext/>
              <w:keepLines/>
              <w:spacing w:before="120" w:after="120"/>
              <w:jc w:val="center"/>
              <w:rPr>
                <w:b/>
                <w:bCs/>
                <w:color w:val="FFFFFF" w:themeColor="background2"/>
                <w:szCs w:val="18"/>
              </w:rPr>
            </w:pPr>
            <w:r w:rsidRPr="001F638E">
              <w:rPr>
                <w:b/>
                <w:bCs/>
                <w:color w:val="FFFFFF" w:themeColor="accent6"/>
                <w:szCs w:val="18"/>
              </w:rPr>
              <w:t>0</w:t>
            </w:r>
          </w:p>
        </w:tc>
        <w:tc>
          <w:tcPr>
            <w:tcW w:w="0" w:type="dxa"/>
            <w:tcBorders>
              <w:left w:val="single" w:sz="4" w:space="0" w:color="auto"/>
              <w:right w:val="single" w:sz="4" w:space="0" w:color="auto"/>
            </w:tcBorders>
            <w:shd w:val="clear" w:color="auto" w:fill="65A0BA" w:themeFill="accent1" w:themeFillTint="80"/>
            <w:vAlign w:val="center"/>
          </w:tcPr>
          <w:p w14:paraId="41F34C1B" w14:textId="77777777" w:rsidR="00F26A56" w:rsidRPr="001F638E" w:rsidRDefault="00F26A56" w:rsidP="0004259B">
            <w:pPr>
              <w:keepNext/>
              <w:keepLines/>
              <w:spacing w:before="120" w:after="120"/>
              <w:jc w:val="center"/>
              <w:rPr>
                <w:b/>
                <w:bCs/>
                <w:color w:val="FFFFFF" w:themeColor="background2"/>
                <w:szCs w:val="18"/>
              </w:rPr>
            </w:pPr>
            <w:r w:rsidRPr="001F638E">
              <w:rPr>
                <w:b/>
                <w:bCs/>
                <w:color w:val="FFFFFF" w:themeColor="accent6"/>
                <w:szCs w:val="18"/>
              </w:rPr>
              <w:t>1-2</w:t>
            </w:r>
          </w:p>
        </w:tc>
        <w:tc>
          <w:tcPr>
            <w:tcW w:w="0" w:type="dxa"/>
            <w:tcBorders>
              <w:left w:val="single" w:sz="4" w:space="0" w:color="auto"/>
              <w:right w:val="single" w:sz="4" w:space="0" w:color="auto"/>
            </w:tcBorders>
            <w:shd w:val="clear" w:color="auto" w:fill="65A0BA" w:themeFill="accent1" w:themeFillTint="80"/>
            <w:vAlign w:val="center"/>
          </w:tcPr>
          <w:p w14:paraId="2DBB86F8" w14:textId="77777777" w:rsidR="00F26A56" w:rsidRPr="001F638E" w:rsidRDefault="00F26A56" w:rsidP="0004259B">
            <w:pPr>
              <w:keepNext/>
              <w:keepLines/>
              <w:spacing w:before="120" w:after="120"/>
              <w:jc w:val="center"/>
              <w:rPr>
                <w:b/>
                <w:bCs/>
                <w:color w:val="FFFFFF" w:themeColor="background2"/>
                <w:szCs w:val="18"/>
              </w:rPr>
            </w:pPr>
            <w:r w:rsidRPr="001F638E">
              <w:rPr>
                <w:b/>
                <w:bCs/>
                <w:color w:val="FFFFFF" w:themeColor="accent6"/>
                <w:szCs w:val="18"/>
              </w:rPr>
              <w:t>More than 2</w:t>
            </w:r>
          </w:p>
        </w:tc>
      </w:tr>
      <w:tr w:rsidR="00F26A56" w:rsidRPr="001F638E" w14:paraId="4278DC6C" w14:textId="77777777" w:rsidTr="0004259B">
        <w:trPr>
          <w:cnfStyle w:val="000000010000" w:firstRow="0" w:lastRow="0" w:firstColumn="0" w:lastColumn="0" w:oddVBand="0" w:evenVBand="0" w:oddHBand="0" w:evenHBand="1" w:firstRowFirstColumn="0" w:firstRowLastColumn="0" w:lastRowFirstColumn="0" w:lastRowLastColumn="0"/>
          <w:trHeight w:val="20"/>
        </w:trPr>
        <w:tc>
          <w:tcPr>
            <w:tcW w:w="5807" w:type="dxa"/>
            <w:tcBorders>
              <w:top w:val="none" w:sz="0" w:space="0" w:color="auto"/>
              <w:bottom w:val="none" w:sz="0" w:space="0" w:color="auto"/>
            </w:tcBorders>
            <w:shd w:val="clear" w:color="auto" w:fill="auto"/>
          </w:tcPr>
          <w:p w14:paraId="3B264473" w14:textId="646E6547" w:rsidR="00F26A56" w:rsidRPr="001F638E" w:rsidRDefault="00F26A56" w:rsidP="0004259B">
            <w:pPr>
              <w:keepNext/>
              <w:keepLines/>
              <w:spacing w:before="120" w:after="120"/>
              <w:rPr>
                <w:szCs w:val="18"/>
              </w:rPr>
            </w:pPr>
            <w:r w:rsidRPr="001F638E">
              <w:rPr>
                <w:szCs w:val="18"/>
              </w:rPr>
              <w:t xml:space="preserve">Records are used in AMHCC </w:t>
            </w:r>
            <w:r w:rsidR="007624A3" w:rsidRPr="001F638E">
              <w:rPr>
                <w:szCs w:val="18"/>
              </w:rPr>
              <w:t>V1</w:t>
            </w:r>
            <w:r w:rsidRPr="001F638E">
              <w:rPr>
                <w:szCs w:val="18"/>
              </w:rPr>
              <w:t>.1 complexity model</w:t>
            </w:r>
          </w:p>
        </w:tc>
        <w:tc>
          <w:tcPr>
            <w:tcW w:w="1372" w:type="dxa"/>
            <w:tcBorders>
              <w:top w:val="none" w:sz="0" w:space="0" w:color="auto"/>
              <w:bottom w:val="none" w:sz="0" w:space="0" w:color="auto"/>
            </w:tcBorders>
            <w:shd w:val="clear" w:color="auto" w:fill="auto"/>
            <w:vAlign w:val="center"/>
          </w:tcPr>
          <w:p w14:paraId="461CB23D"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ü</w:t>
            </w:r>
          </w:p>
        </w:tc>
        <w:tc>
          <w:tcPr>
            <w:tcW w:w="1372" w:type="dxa"/>
            <w:tcBorders>
              <w:top w:val="none" w:sz="0" w:space="0" w:color="auto"/>
              <w:bottom w:val="none" w:sz="0" w:space="0" w:color="auto"/>
            </w:tcBorders>
            <w:shd w:val="clear" w:color="auto" w:fill="auto"/>
            <w:vAlign w:val="center"/>
          </w:tcPr>
          <w:p w14:paraId="55EEAC6B"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û</w:t>
            </w:r>
          </w:p>
        </w:tc>
        <w:tc>
          <w:tcPr>
            <w:tcW w:w="1372" w:type="dxa"/>
            <w:tcBorders>
              <w:top w:val="none" w:sz="0" w:space="0" w:color="auto"/>
              <w:bottom w:val="none" w:sz="0" w:space="0" w:color="auto"/>
            </w:tcBorders>
            <w:shd w:val="clear" w:color="auto" w:fill="auto"/>
            <w:vAlign w:val="center"/>
          </w:tcPr>
          <w:p w14:paraId="4059720B"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û</w:t>
            </w:r>
          </w:p>
        </w:tc>
      </w:tr>
      <w:tr w:rsidR="00F26A56" w:rsidRPr="001F638E" w14:paraId="58F8CFDE" w14:textId="77777777" w:rsidTr="0004259B">
        <w:trPr>
          <w:cnfStyle w:val="000000100000" w:firstRow="0" w:lastRow="0" w:firstColumn="0" w:lastColumn="0" w:oddVBand="0" w:evenVBand="0" w:oddHBand="1" w:evenHBand="0" w:firstRowFirstColumn="0" w:firstRowLastColumn="0" w:lastRowFirstColumn="0" w:lastRowLastColumn="0"/>
          <w:trHeight w:val="20"/>
        </w:trPr>
        <w:tc>
          <w:tcPr>
            <w:tcW w:w="58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1ACFF91" w14:textId="77777777" w:rsidR="00F26A56" w:rsidRPr="001F638E" w:rsidRDefault="00F26A56" w:rsidP="0004259B">
            <w:pPr>
              <w:keepNext/>
              <w:keepLines/>
              <w:spacing w:before="120" w:after="120"/>
              <w:rPr>
                <w:szCs w:val="18"/>
              </w:rPr>
            </w:pPr>
            <w:r w:rsidRPr="001F638E">
              <w:rPr>
                <w:szCs w:val="18"/>
              </w:rPr>
              <w:t>Records receive valid complexity score and High/Moderate complexity group</w:t>
            </w:r>
          </w:p>
        </w:tc>
        <w:tc>
          <w:tcPr>
            <w:tcW w:w="1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4D51978"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ü</w:t>
            </w:r>
          </w:p>
        </w:tc>
        <w:tc>
          <w:tcPr>
            <w:tcW w:w="1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E3EE87D"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ü</w:t>
            </w:r>
          </w:p>
        </w:tc>
        <w:tc>
          <w:tcPr>
            <w:tcW w:w="13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69B95C" w14:textId="77777777" w:rsidR="00F26A56" w:rsidRPr="001F638E" w:rsidRDefault="00F26A56" w:rsidP="0004259B">
            <w:pPr>
              <w:keepNext/>
              <w:keepLines/>
              <w:spacing w:before="120" w:after="120"/>
              <w:jc w:val="center"/>
              <w:rPr>
                <w:szCs w:val="18"/>
              </w:rPr>
            </w:pPr>
            <w:r w:rsidRPr="001F638E">
              <w:rPr>
                <w:rFonts w:ascii="Wingdings" w:eastAsia="Wingdings" w:hAnsi="Wingdings" w:cs="Wingdings"/>
                <w:szCs w:val="18"/>
              </w:rPr>
              <w:t>û</w:t>
            </w:r>
          </w:p>
        </w:tc>
      </w:tr>
    </w:tbl>
    <w:p w14:paraId="00CE43A4" w14:textId="19B43458" w:rsidR="00D82B81" w:rsidRDefault="00D82B81" w:rsidP="00955719"/>
    <w:p w14:paraId="11F2FF90" w14:textId="4E0E254B" w:rsidR="00955719" w:rsidRPr="00D82B81" w:rsidRDefault="00955719" w:rsidP="00955719">
      <w:r>
        <w:t>IHACPA has also undertaken additional analyses which showed that</w:t>
      </w:r>
      <w:r w:rsidRPr="00D82B81">
        <w:t xml:space="preserve"> an AMHCC complexity model developed using only fully populated </w:t>
      </w:r>
      <w:proofErr w:type="spellStart"/>
      <w:r w:rsidRPr="00D82B81">
        <w:t>HoNOS</w:t>
      </w:r>
      <w:proofErr w:type="spellEnd"/>
      <w:r w:rsidRPr="00D82B81">
        <w:t xml:space="preserve"> records was still able to reasonably predict the cost of records with one to two missing </w:t>
      </w:r>
      <w:proofErr w:type="spellStart"/>
      <w:r w:rsidRPr="00D82B81">
        <w:t>HoNOS</w:t>
      </w:r>
      <w:proofErr w:type="spellEnd"/>
      <w:r w:rsidRPr="00D82B81">
        <w:t xml:space="preserve"> items</w:t>
      </w:r>
      <w:r w:rsidR="00C3051B">
        <w:t>,</w:t>
      </w:r>
      <w:r w:rsidRPr="00D82B81">
        <w:t xml:space="preserve"> with no substantial deterioration in model performance.</w:t>
      </w:r>
    </w:p>
    <w:p w14:paraId="3148DFB9" w14:textId="77777777" w:rsidR="00955719" w:rsidRDefault="00955719" w:rsidP="00BA6C6A"/>
    <w:p w14:paraId="64EF6361" w14:textId="77777777" w:rsidR="00D82B81" w:rsidRDefault="00D82B81">
      <w:pPr>
        <w:rPr>
          <w:rFonts w:eastAsiaTheme="majorEastAsia" w:cstheme="majorBidi"/>
          <w:b/>
          <w:bCs/>
          <w:sz w:val="72"/>
          <w:szCs w:val="72"/>
        </w:rPr>
      </w:pPr>
      <w:r>
        <w:br w:type="page"/>
      </w:r>
    </w:p>
    <w:p w14:paraId="42A557A9" w14:textId="5DE3FCC8" w:rsidR="00077091" w:rsidRDefault="00DE414C" w:rsidP="00077091">
      <w:pPr>
        <w:pStyle w:val="Heading1"/>
        <w:numPr>
          <w:ilvl w:val="0"/>
          <w:numId w:val="5"/>
        </w:numPr>
      </w:pPr>
      <w:bookmarkStart w:id="122" w:name="_Toc152277112"/>
      <w:bookmarkStart w:id="123" w:name="_Toc152312734"/>
      <w:bookmarkStart w:id="124" w:name="_Toc153371608"/>
      <w:r>
        <w:lastRenderedPageBreak/>
        <w:t>A</w:t>
      </w:r>
      <w:r w:rsidR="00F02127">
        <w:t xml:space="preserve">ustralian </w:t>
      </w:r>
      <w:r>
        <w:t>M</w:t>
      </w:r>
      <w:r w:rsidR="00F02127">
        <w:t xml:space="preserve">ental </w:t>
      </w:r>
      <w:r>
        <w:t>H</w:t>
      </w:r>
      <w:r w:rsidR="00F02127">
        <w:t xml:space="preserve">ealth </w:t>
      </w:r>
      <w:r>
        <w:t>C</w:t>
      </w:r>
      <w:r w:rsidR="00F02127">
        <w:t xml:space="preserve">are </w:t>
      </w:r>
      <w:r>
        <w:t>C</w:t>
      </w:r>
      <w:r w:rsidR="00F02127">
        <w:t>lassification</w:t>
      </w:r>
      <w:r>
        <w:t xml:space="preserve"> V</w:t>
      </w:r>
      <w:r w:rsidR="00F02127">
        <w:t xml:space="preserve">ersion </w:t>
      </w:r>
      <w:r>
        <w:t>1.1 model</w:t>
      </w:r>
      <w:r w:rsidR="00F166C4">
        <w:t xml:space="preserve"> performance</w:t>
      </w:r>
      <w:bookmarkEnd w:id="122"/>
      <w:bookmarkEnd w:id="123"/>
      <w:bookmarkEnd w:id="124"/>
    </w:p>
    <w:p w14:paraId="07C37142" w14:textId="46DB8691" w:rsidR="00077091" w:rsidRPr="00077091" w:rsidRDefault="00F02127" w:rsidP="00077091">
      <w:pPr>
        <w:rPr>
          <w:rFonts w:eastAsiaTheme="majorEastAsia" w:cstheme="majorBidi"/>
          <w:b/>
          <w:bCs/>
          <w:sz w:val="72"/>
          <w:szCs w:val="72"/>
        </w:rPr>
      </w:pPr>
      <w:r>
        <w:t>The Independent Health and Aged Care Pricing Authority (</w:t>
      </w:r>
      <w:r w:rsidR="008E1EF7" w:rsidRPr="00077091">
        <w:t>IHACPA</w:t>
      </w:r>
      <w:r>
        <w:t>)</w:t>
      </w:r>
      <w:r w:rsidR="008E1EF7" w:rsidRPr="00077091">
        <w:t xml:space="preserve"> ha</w:t>
      </w:r>
      <w:r w:rsidR="00F43B0F" w:rsidRPr="00077091">
        <w:t>s</w:t>
      </w:r>
      <w:r w:rsidR="008E1EF7" w:rsidRPr="00077091">
        <w:t xml:space="preserve"> </w:t>
      </w:r>
      <w:r w:rsidR="002B17D6" w:rsidRPr="00077091">
        <w:t xml:space="preserve">evaluated </w:t>
      </w:r>
      <w:r w:rsidR="008E1EF7" w:rsidRPr="00077091">
        <w:t xml:space="preserve">the overall performance of the </w:t>
      </w:r>
      <w:r>
        <w:t>Australian Mental Health Care Classification (</w:t>
      </w:r>
      <w:r w:rsidR="008E1EF7" w:rsidRPr="00077091">
        <w:t>AMHCC</w:t>
      </w:r>
      <w:r>
        <w:t>) Version</w:t>
      </w:r>
      <w:r w:rsidR="00412B9C">
        <w:t xml:space="preserve"> 1.1</w:t>
      </w:r>
      <w:r w:rsidR="008E1EF7" w:rsidRPr="00077091">
        <w:t xml:space="preserve"> </w:t>
      </w:r>
      <w:r w:rsidR="00412B9C">
        <w:t>(</w:t>
      </w:r>
      <w:r w:rsidR="008E1EF7" w:rsidRPr="00077091">
        <w:t>V1.1</w:t>
      </w:r>
      <w:r w:rsidR="00412B9C">
        <w:t>)</w:t>
      </w:r>
      <w:r w:rsidR="008E1EF7" w:rsidRPr="00077091">
        <w:t xml:space="preserve"> model </w:t>
      </w:r>
      <w:r w:rsidR="002B17D6" w:rsidRPr="00077091">
        <w:t xml:space="preserve">by considering </w:t>
      </w:r>
      <w:r w:rsidR="008E1EF7" w:rsidRPr="00077091">
        <w:t xml:space="preserve">the change in end class distribution, changes in </w:t>
      </w:r>
      <w:r w:rsidR="00313E10" w:rsidRPr="00313E10">
        <w:t>Health of the Nation Outcome Scales</w:t>
      </w:r>
      <w:r w:rsidR="00412B9C">
        <w:t xml:space="preserve"> </w:t>
      </w:r>
      <w:r w:rsidR="00313E10">
        <w:t>(</w:t>
      </w:r>
      <w:proofErr w:type="spellStart"/>
      <w:r w:rsidR="008E1EF7" w:rsidRPr="00077091">
        <w:t>HoNOS</w:t>
      </w:r>
      <w:proofErr w:type="spellEnd"/>
      <w:r w:rsidR="00313E10">
        <w:t>)</w:t>
      </w:r>
      <w:r w:rsidR="008E1EF7" w:rsidRPr="00077091">
        <w:t xml:space="preserve"> and </w:t>
      </w:r>
      <w:r w:rsidR="00562B4F" w:rsidRPr="00562B4F">
        <w:t>Abbreviated Life Skills Profile</w:t>
      </w:r>
      <w:r w:rsidR="00562B4F">
        <w:t xml:space="preserve"> (</w:t>
      </w:r>
      <w:r w:rsidR="008E1EF7" w:rsidRPr="00077091">
        <w:t>LSP-16</w:t>
      </w:r>
      <w:r w:rsidR="00562B4F">
        <w:t>)</w:t>
      </w:r>
      <w:r w:rsidR="008E1EF7" w:rsidRPr="00077091">
        <w:t xml:space="preserve"> complexity grouping and statistical performance. </w:t>
      </w:r>
    </w:p>
    <w:p w14:paraId="150C0921" w14:textId="5420C21B" w:rsidR="005B2D22" w:rsidRPr="005D5C89" w:rsidRDefault="005B2D22" w:rsidP="005D5C89">
      <w:pPr>
        <w:pStyle w:val="Heading2"/>
        <w:numPr>
          <w:ilvl w:val="1"/>
          <w:numId w:val="5"/>
        </w:numPr>
      </w:pPr>
      <w:bookmarkStart w:id="125" w:name="_Toc152277113"/>
      <w:bookmarkStart w:id="126" w:name="_Toc152312735"/>
      <w:bookmarkStart w:id="127" w:name="_Toc153371609"/>
      <w:r w:rsidRPr="005D5C89">
        <w:t>Changes in end class</w:t>
      </w:r>
      <w:r w:rsidR="003463ED" w:rsidRPr="005D5C89">
        <w:t xml:space="preserve"> distribution</w:t>
      </w:r>
      <w:bookmarkEnd w:id="125"/>
      <w:bookmarkEnd w:id="126"/>
      <w:bookmarkEnd w:id="127"/>
      <w:r w:rsidRPr="005D5C89">
        <w:t xml:space="preserve"> </w:t>
      </w:r>
    </w:p>
    <w:p w14:paraId="44087E04" w14:textId="01F43354" w:rsidR="00F43B0F" w:rsidRDefault="007D24D3" w:rsidP="005B2D22">
      <w:r>
        <w:t xml:space="preserve">The AMHCC V1.1 improves the cost differentiation between High and Moderate complexity groups across most segments. Additionally, the AMHCC V1.1 resolves the issue </w:t>
      </w:r>
      <w:r w:rsidR="00922AFF">
        <w:t xml:space="preserve">seen in some segments </w:t>
      </w:r>
      <w:r>
        <w:t>under the AMHCC V</w:t>
      </w:r>
      <w:r w:rsidR="00562B4F">
        <w:t xml:space="preserve">ersion </w:t>
      </w:r>
      <w:r>
        <w:t>1.0</w:t>
      </w:r>
      <w:r w:rsidR="001C434C">
        <w:t xml:space="preserve"> (</w:t>
      </w:r>
      <w:r>
        <w:t>V1.0</w:t>
      </w:r>
      <w:r w:rsidR="001C434C">
        <w:t>)</w:t>
      </w:r>
      <w:r>
        <w:t xml:space="preserve"> where the average cost of the High complexity group was lower than that of the Moderate complexity group within the same segment. </w:t>
      </w:r>
    </w:p>
    <w:p w14:paraId="76CFB16C" w14:textId="1509F5F2" w:rsidR="00FD4F6B" w:rsidRPr="00DF4F2E" w:rsidRDefault="003047FB" w:rsidP="005B2D22">
      <w:r w:rsidRPr="00DF4F2E">
        <w:t xml:space="preserve">The distribution of phase records by end class and the average cost per phase under AMHCC </w:t>
      </w:r>
      <w:r w:rsidR="007624A3">
        <w:t>V1</w:t>
      </w:r>
      <w:r w:rsidRPr="00DF4F2E">
        <w:t xml:space="preserve">.0 and AMHCC </w:t>
      </w:r>
      <w:r w:rsidR="007624A3">
        <w:t>V1</w:t>
      </w:r>
      <w:r w:rsidRPr="00DF4F2E">
        <w:t xml:space="preserve">.1 are provided in </w:t>
      </w:r>
      <w:r w:rsidRPr="00655D12">
        <w:rPr>
          <w:b/>
          <w:bCs/>
        </w:rPr>
        <w:t xml:space="preserve">Appendix </w:t>
      </w:r>
      <w:r w:rsidR="0005669C">
        <w:rPr>
          <w:b/>
          <w:bCs/>
        </w:rPr>
        <w:t>E</w:t>
      </w:r>
      <w:r w:rsidR="00FD4F6B" w:rsidRPr="00DF4F2E">
        <w:t xml:space="preserve">. </w:t>
      </w:r>
    </w:p>
    <w:p w14:paraId="5B6420D2" w14:textId="410AE58D" w:rsidR="00BD78D3" w:rsidRDefault="00BD78D3" w:rsidP="00655D12">
      <w:pPr>
        <w:pStyle w:val="Heading2"/>
        <w:numPr>
          <w:ilvl w:val="1"/>
          <w:numId w:val="5"/>
        </w:numPr>
      </w:pPr>
      <w:bookmarkStart w:id="128" w:name="_Toc152277114"/>
      <w:bookmarkStart w:id="129" w:name="_Toc152312736"/>
      <w:bookmarkStart w:id="130" w:name="_Toc153371610"/>
      <w:r w:rsidRPr="00BD78D3">
        <w:t xml:space="preserve">Changes in complexity </w:t>
      </w:r>
      <w:proofErr w:type="gramStart"/>
      <w:r w:rsidRPr="00BD78D3">
        <w:t>grouping</w:t>
      </w:r>
      <w:bookmarkEnd w:id="128"/>
      <w:bookmarkEnd w:id="129"/>
      <w:bookmarkEnd w:id="130"/>
      <w:proofErr w:type="gramEnd"/>
    </w:p>
    <w:p w14:paraId="262881FB" w14:textId="32DA500C" w:rsidR="005E194E" w:rsidRDefault="005E194E" w:rsidP="00655D12">
      <w:pPr>
        <w:pStyle w:val="Heading3"/>
        <w:numPr>
          <w:ilvl w:val="2"/>
          <w:numId w:val="5"/>
        </w:numPr>
      </w:pPr>
      <w:r>
        <w:t xml:space="preserve">Changes in </w:t>
      </w:r>
      <w:proofErr w:type="spellStart"/>
      <w:r>
        <w:t>HoNOS</w:t>
      </w:r>
      <w:proofErr w:type="spellEnd"/>
      <w:r>
        <w:t xml:space="preserve"> complexity </w:t>
      </w:r>
      <w:proofErr w:type="gramStart"/>
      <w:r>
        <w:t>grouping</w:t>
      </w:r>
      <w:proofErr w:type="gramEnd"/>
    </w:p>
    <w:p w14:paraId="1479B90F" w14:textId="0FF7F9C0" w:rsidR="007D24D3" w:rsidRDefault="0092415B" w:rsidP="0092415B">
      <w:pPr>
        <w:rPr>
          <w:rFonts w:cs="Arial"/>
          <w:color w:val="auto"/>
        </w:rPr>
      </w:pPr>
      <w:r>
        <w:rPr>
          <w:rFonts w:cs="Arial"/>
          <w:color w:val="auto"/>
        </w:rPr>
        <w:t>The</w:t>
      </w:r>
      <w:r w:rsidRPr="0092415B">
        <w:rPr>
          <w:rFonts w:cs="Arial"/>
          <w:color w:val="auto"/>
        </w:rPr>
        <w:t xml:space="preserve"> AMHCC V1.1 </w:t>
      </w:r>
      <w:r>
        <w:rPr>
          <w:rFonts w:cs="Arial"/>
          <w:color w:val="auto"/>
        </w:rPr>
        <w:t>had</w:t>
      </w:r>
      <w:r w:rsidRPr="0092415B">
        <w:rPr>
          <w:rFonts w:cs="Arial"/>
          <w:color w:val="auto"/>
        </w:rPr>
        <w:t xml:space="preserve"> </w:t>
      </w:r>
      <w:r w:rsidR="007A5A6A">
        <w:rPr>
          <w:rFonts w:cs="Arial"/>
          <w:color w:val="auto"/>
        </w:rPr>
        <w:t xml:space="preserve">a </w:t>
      </w:r>
      <w:r w:rsidRPr="0092415B">
        <w:rPr>
          <w:rFonts w:cs="Arial"/>
          <w:color w:val="auto"/>
        </w:rPr>
        <w:t xml:space="preserve">modest impact on the assignment of </w:t>
      </w:r>
      <w:proofErr w:type="spellStart"/>
      <w:r w:rsidRPr="0092415B">
        <w:rPr>
          <w:rFonts w:cs="Arial"/>
          <w:color w:val="auto"/>
        </w:rPr>
        <w:t>HoNOS</w:t>
      </w:r>
      <w:proofErr w:type="spellEnd"/>
      <w:r w:rsidRPr="0092415B">
        <w:rPr>
          <w:rFonts w:cs="Arial"/>
          <w:color w:val="auto"/>
        </w:rPr>
        <w:t xml:space="preserve"> complexity grouping for records with no missing </w:t>
      </w:r>
      <w:proofErr w:type="spellStart"/>
      <w:r w:rsidRPr="0092415B">
        <w:rPr>
          <w:rFonts w:cs="Arial"/>
          <w:color w:val="auto"/>
        </w:rPr>
        <w:t>HoNOS</w:t>
      </w:r>
      <w:proofErr w:type="spellEnd"/>
      <w:r w:rsidRPr="0092415B">
        <w:rPr>
          <w:rFonts w:cs="Arial"/>
          <w:color w:val="auto"/>
        </w:rPr>
        <w:t xml:space="preserve"> items when compared to AMHCC V1.0, with 31 per cent of records showing a change in </w:t>
      </w:r>
      <w:proofErr w:type="spellStart"/>
      <w:r w:rsidRPr="0092415B">
        <w:rPr>
          <w:rFonts w:cs="Arial"/>
          <w:color w:val="auto"/>
        </w:rPr>
        <w:t>HoNOS</w:t>
      </w:r>
      <w:proofErr w:type="spellEnd"/>
      <w:r w:rsidRPr="0092415B">
        <w:rPr>
          <w:rFonts w:cs="Arial"/>
          <w:color w:val="auto"/>
        </w:rPr>
        <w:t xml:space="preserve"> complexity grouping.</w:t>
      </w:r>
      <w:r>
        <w:rPr>
          <w:rFonts w:cs="Arial"/>
          <w:color w:val="auto"/>
        </w:rPr>
        <w:t xml:space="preserve"> </w:t>
      </w:r>
      <w:r w:rsidR="007D24D3" w:rsidRPr="007D24D3">
        <w:rPr>
          <w:b/>
          <w:bCs/>
        </w:rPr>
        <w:t>Figure 5</w:t>
      </w:r>
      <w:r w:rsidR="007D24D3" w:rsidRPr="00DF4F2E">
        <w:t xml:space="preserve"> summarises the movement of records across </w:t>
      </w:r>
      <w:proofErr w:type="spellStart"/>
      <w:r w:rsidR="007D24D3" w:rsidRPr="00DF4F2E">
        <w:t>HoNOS</w:t>
      </w:r>
      <w:proofErr w:type="spellEnd"/>
      <w:r w:rsidR="007D24D3" w:rsidRPr="00DF4F2E">
        <w:t xml:space="preserve"> complexity groups between AMHCC </w:t>
      </w:r>
      <w:r w:rsidR="007D24D3">
        <w:t>V1</w:t>
      </w:r>
      <w:r w:rsidR="007D24D3" w:rsidRPr="00DF4F2E">
        <w:t xml:space="preserve">.0 and </w:t>
      </w:r>
      <w:r w:rsidR="007D24D3">
        <w:t>V1</w:t>
      </w:r>
      <w:r w:rsidR="007D24D3" w:rsidRPr="00DF4F2E">
        <w:t xml:space="preserve">.1. </w:t>
      </w:r>
    </w:p>
    <w:p w14:paraId="33DA41D7" w14:textId="66AC45F4" w:rsidR="007D24D3" w:rsidRPr="0092415B" w:rsidRDefault="007D24D3" w:rsidP="0092415B">
      <w:pPr>
        <w:autoSpaceDE w:val="0"/>
        <w:autoSpaceDN w:val="0"/>
        <w:adjustRightInd w:val="0"/>
        <w:spacing w:before="120" w:after="120" w:line="240" w:lineRule="auto"/>
        <w:rPr>
          <w:rFonts w:cs="Arial"/>
          <w:color w:val="auto"/>
        </w:rPr>
      </w:pPr>
      <w:r w:rsidRPr="0092415B">
        <w:rPr>
          <w:rFonts w:cs="Arial"/>
          <w:color w:val="auto"/>
        </w:rPr>
        <w:t xml:space="preserve">In the AMHCC V1.1 for records with no missing </w:t>
      </w:r>
      <w:proofErr w:type="spellStart"/>
      <w:r w:rsidRPr="0092415B">
        <w:rPr>
          <w:rFonts w:cs="Arial"/>
          <w:color w:val="auto"/>
        </w:rPr>
        <w:t>HoNOS</w:t>
      </w:r>
      <w:proofErr w:type="spellEnd"/>
      <w:r w:rsidRPr="0092415B">
        <w:rPr>
          <w:rFonts w:cs="Arial"/>
          <w:color w:val="auto"/>
        </w:rPr>
        <w:t xml:space="preserve"> items, 69 per cent of </w:t>
      </w:r>
      <w:r>
        <w:rPr>
          <w:rFonts w:cs="Arial"/>
          <w:color w:val="auto"/>
        </w:rPr>
        <w:t xml:space="preserve">overall </w:t>
      </w:r>
      <w:r w:rsidRPr="0092415B">
        <w:rPr>
          <w:rFonts w:cs="Arial"/>
          <w:color w:val="auto"/>
        </w:rPr>
        <w:t xml:space="preserve">phases remained in the same </w:t>
      </w:r>
      <w:proofErr w:type="spellStart"/>
      <w:r w:rsidRPr="0092415B">
        <w:rPr>
          <w:rFonts w:cs="Arial"/>
          <w:color w:val="auto"/>
        </w:rPr>
        <w:t>HoNOS</w:t>
      </w:r>
      <w:proofErr w:type="spellEnd"/>
      <w:r w:rsidRPr="0092415B">
        <w:rPr>
          <w:rFonts w:cs="Arial"/>
          <w:color w:val="auto"/>
        </w:rPr>
        <w:t xml:space="preserve"> complexity group, 24 per cent moved from Moderate to High complexity group, and 7 per cent moved from the High to Moderate complexity group between classification versions.</w:t>
      </w:r>
    </w:p>
    <w:p w14:paraId="09872352" w14:textId="67E378EE" w:rsidR="007D24D3" w:rsidRDefault="00DC0A9B" w:rsidP="0080100C">
      <w:pPr>
        <w:rPr>
          <w:rFonts w:cs="Arial"/>
          <w:color w:val="auto"/>
        </w:rPr>
      </w:pPr>
      <w:bookmarkStart w:id="131" w:name="_Hlk141260431"/>
      <w:r w:rsidRPr="0092415B">
        <w:rPr>
          <w:rFonts w:cs="Arial"/>
          <w:color w:val="auto"/>
        </w:rPr>
        <w:t xml:space="preserve">In the admitted setting, 76 per cent of records with no missing </w:t>
      </w:r>
      <w:proofErr w:type="spellStart"/>
      <w:r w:rsidRPr="0092415B">
        <w:rPr>
          <w:rFonts w:cs="Arial"/>
          <w:color w:val="auto"/>
        </w:rPr>
        <w:t>HoNOS</w:t>
      </w:r>
      <w:proofErr w:type="spellEnd"/>
      <w:r w:rsidRPr="0092415B">
        <w:rPr>
          <w:rFonts w:cs="Arial"/>
          <w:color w:val="auto"/>
        </w:rPr>
        <w:t xml:space="preserve"> items remained in the same </w:t>
      </w:r>
      <w:proofErr w:type="spellStart"/>
      <w:r w:rsidRPr="0092415B">
        <w:rPr>
          <w:rFonts w:cs="Arial"/>
          <w:color w:val="auto"/>
        </w:rPr>
        <w:t>HoNOS</w:t>
      </w:r>
      <w:proofErr w:type="spellEnd"/>
      <w:r w:rsidRPr="0092415B">
        <w:rPr>
          <w:rFonts w:cs="Arial"/>
          <w:color w:val="auto"/>
        </w:rPr>
        <w:t xml:space="preserve"> complexity group</w:t>
      </w:r>
      <w:r w:rsidR="00693AD0" w:rsidRPr="0092415B">
        <w:rPr>
          <w:rFonts w:cs="Arial"/>
          <w:color w:val="auto"/>
        </w:rPr>
        <w:t xml:space="preserve">, 9 per cent moved from Moderate to High complexity and 15 per cent moved from High to Moderate complexity. </w:t>
      </w:r>
    </w:p>
    <w:p w14:paraId="164BB47E" w14:textId="46035956" w:rsidR="00BE7827" w:rsidRPr="0092415B" w:rsidRDefault="00693AD0" w:rsidP="0080100C">
      <w:pPr>
        <w:rPr>
          <w:rFonts w:cs="Arial"/>
          <w:color w:val="auto"/>
        </w:rPr>
      </w:pPr>
      <w:r w:rsidRPr="0092415B">
        <w:rPr>
          <w:rFonts w:cs="Arial"/>
          <w:color w:val="auto"/>
        </w:rPr>
        <w:t xml:space="preserve">In the community setting, 65 per cent of records with no missing </w:t>
      </w:r>
      <w:proofErr w:type="spellStart"/>
      <w:r w:rsidRPr="0092415B">
        <w:rPr>
          <w:rFonts w:cs="Arial"/>
          <w:color w:val="auto"/>
        </w:rPr>
        <w:t>HoNOS</w:t>
      </w:r>
      <w:proofErr w:type="spellEnd"/>
      <w:r w:rsidRPr="0092415B">
        <w:rPr>
          <w:rFonts w:cs="Arial"/>
          <w:color w:val="auto"/>
        </w:rPr>
        <w:t xml:space="preserve"> items remained in the same </w:t>
      </w:r>
      <w:proofErr w:type="spellStart"/>
      <w:r w:rsidRPr="0092415B">
        <w:rPr>
          <w:rFonts w:cs="Arial"/>
          <w:color w:val="auto"/>
        </w:rPr>
        <w:t>HoNOS</w:t>
      </w:r>
      <w:proofErr w:type="spellEnd"/>
      <w:r w:rsidRPr="0092415B">
        <w:rPr>
          <w:rFonts w:cs="Arial"/>
          <w:color w:val="auto"/>
        </w:rPr>
        <w:t xml:space="preserve"> complexity group between both AMHCC versions, 34 per cent moved from Moderate to High complexity and 1 per cent moved from High to Moderate complexity.</w:t>
      </w:r>
    </w:p>
    <w:bookmarkEnd w:id="131"/>
    <w:p w14:paraId="43DF0501" w14:textId="5EF49A12" w:rsidR="0087361A" w:rsidRDefault="0087361A" w:rsidP="0087361A">
      <w:pPr>
        <w:pStyle w:val="TableFigureheading"/>
      </w:pPr>
      <w:r>
        <w:lastRenderedPageBreak/>
        <w:t xml:space="preserve">Figure </w:t>
      </w:r>
      <w:r w:rsidR="00C05201">
        <w:t>5</w:t>
      </w:r>
      <w:r>
        <w:t xml:space="preserve">. Changes in </w:t>
      </w:r>
      <w:proofErr w:type="spellStart"/>
      <w:r>
        <w:t>HoNOS</w:t>
      </w:r>
      <w:proofErr w:type="spellEnd"/>
      <w:r>
        <w:t xml:space="preserve"> complexity group between AMHCC </w:t>
      </w:r>
      <w:r w:rsidR="007624A3">
        <w:t>V1</w:t>
      </w:r>
      <w:r>
        <w:t xml:space="preserve">.0 and </w:t>
      </w:r>
      <w:r w:rsidR="007624A3">
        <w:t>V1</w:t>
      </w:r>
      <w:r>
        <w:t xml:space="preserve">.1 for records with no missing </w:t>
      </w:r>
      <w:proofErr w:type="spellStart"/>
      <w:r>
        <w:t>HoNOS</w:t>
      </w:r>
      <w:proofErr w:type="spellEnd"/>
      <w:r>
        <w:t xml:space="preserve"> item</w:t>
      </w:r>
      <w:r w:rsidR="005E194E">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30"/>
        <w:gridCol w:w="3230"/>
      </w:tblGrid>
      <w:tr w:rsidR="0087361A" w:rsidRPr="00592831" w14:paraId="26F849EC" w14:textId="77777777" w:rsidTr="1922062C">
        <w:trPr>
          <w:jc w:val="center"/>
        </w:trPr>
        <w:tc>
          <w:tcPr>
            <w:tcW w:w="3276" w:type="dxa"/>
            <w:vAlign w:val="center"/>
          </w:tcPr>
          <w:p w14:paraId="3F7DC6FE" w14:textId="6EC654B8" w:rsidR="0087361A" w:rsidRPr="00592831" w:rsidRDefault="0087361A" w:rsidP="003F0C0B">
            <w:pPr>
              <w:keepNext/>
              <w:keepLines/>
              <w:autoSpaceDE w:val="0"/>
              <w:autoSpaceDN w:val="0"/>
              <w:adjustRightInd w:val="0"/>
              <w:spacing w:before="120"/>
              <w:jc w:val="center"/>
              <w:rPr>
                <w:rFonts w:cs="Arial"/>
                <w:color w:val="auto"/>
              </w:rPr>
            </w:pPr>
            <w:r w:rsidRPr="00592831">
              <w:rPr>
                <w:noProof/>
                <w:color w:val="auto"/>
              </w:rPr>
              <w:drawing>
                <wp:inline distT="0" distB="0" distL="0" distR="0" wp14:anchorId="6D737286" wp14:editId="00FD6AF5">
                  <wp:extent cx="1931158" cy="1787856"/>
                  <wp:effectExtent l="0" t="0" r="0" b="0"/>
                  <wp:docPr id="14" name="Chart 1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230" w:type="dxa"/>
            <w:vAlign w:val="center"/>
          </w:tcPr>
          <w:p w14:paraId="5747CC46" w14:textId="6E8483FA" w:rsidR="0087361A" w:rsidRPr="00592831" w:rsidRDefault="0087361A" w:rsidP="003F0C0B">
            <w:pPr>
              <w:keepNext/>
              <w:keepLines/>
              <w:autoSpaceDE w:val="0"/>
              <w:autoSpaceDN w:val="0"/>
              <w:adjustRightInd w:val="0"/>
              <w:spacing w:before="120"/>
              <w:jc w:val="center"/>
              <w:rPr>
                <w:rFonts w:cs="Arial"/>
                <w:color w:val="auto"/>
              </w:rPr>
            </w:pPr>
            <w:r w:rsidRPr="00592831">
              <w:rPr>
                <w:noProof/>
                <w:color w:val="auto"/>
              </w:rPr>
              <w:drawing>
                <wp:inline distT="0" distB="0" distL="0" distR="0" wp14:anchorId="14FCD841" wp14:editId="4300DF46">
                  <wp:extent cx="1890215" cy="1801504"/>
                  <wp:effectExtent l="0" t="0" r="0" b="0"/>
                  <wp:docPr id="18" name="Chart 1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230" w:type="dxa"/>
            <w:vAlign w:val="center"/>
          </w:tcPr>
          <w:p w14:paraId="787476A3" w14:textId="59625177" w:rsidR="0087361A" w:rsidRPr="00592831" w:rsidRDefault="0087361A" w:rsidP="003F0C0B">
            <w:pPr>
              <w:keepNext/>
              <w:keepLines/>
              <w:autoSpaceDE w:val="0"/>
              <w:autoSpaceDN w:val="0"/>
              <w:adjustRightInd w:val="0"/>
              <w:spacing w:before="120"/>
              <w:jc w:val="center"/>
              <w:rPr>
                <w:rFonts w:cs="Arial"/>
                <w:color w:val="auto"/>
              </w:rPr>
            </w:pPr>
            <w:r w:rsidRPr="00592831">
              <w:rPr>
                <w:noProof/>
                <w:color w:val="auto"/>
              </w:rPr>
              <w:drawing>
                <wp:inline distT="0" distB="0" distL="0" distR="0" wp14:anchorId="13826579" wp14:editId="0C7B9772">
                  <wp:extent cx="1890215" cy="1842031"/>
                  <wp:effectExtent l="0" t="0" r="0" b="0"/>
                  <wp:docPr id="22" name="Chart 22">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7361A" w:rsidRPr="00592831" w14:paraId="7CCD5CF1" w14:textId="77777777" w:rsidTr="1922062C">
        <w:trPr>
          <w:jc w:val="center"/>
        </w:trPr>
        <w:tc>
          <w:tcPr>
            <w:tcW w:w="9736" w:type="dxa"/>
            <w:gridSpan w:val="3"/>
          </w:tcPr>
          <w:p w14:paraId="1E389C35" w14:textId="2471E726" w:rsidR="0087361A" w:rsidRPr="00F45F2F" w:rsidRDefault="00433434" w:rsidP="00F45F2F">
            <w:pPr>
              <w:keepNext/>
              <w:keepLines/>
              <w:autoSpaceDE w:val="0"/>
              <w:autoSpaceDN w:val="0"/>
              <w:adjustRightInd w:val="0"/>
              <w:spacing w:before="120"/>
              <w:jc w:val="center"/>
              <w:rPr>
                <w:color w:val="auto"/>
              </w:rPr>
            </w:pPr>
            <w:r w:rsidRPr="00F45F2F">
              <w:rPr>
                <w:rFonts w:cs="Arial"/>
                <w:color w:val="246164"/>
                <w:sz w:val="20"/>
                <w:szCs w:val="20"/>
              </w:rPr>
              <w:sym w:font="Wingdings" w:char="F06E"/>
            </w:r>
            <w:r w:rsidRPr="00F45F2F">
              <w:rPr>
                <w:rFonts w:cs="Arial"/>
                <w:sz w:val="18"/>
                <w:szCs w:val="18"/>
              </w:rPr>
              <w:t xml:space="preserve"> Complexity unchanged</w:t>
            </w:r>
            <w:r w:rsidR="005E4BEC">
              <w:rPr>
                <w:rFonts w:cs="Arial"/>
                <w:sz w:val="18"/>
                <w:szCs w:val="18"/>
              </w:rPr>
              <w:t xml:space="preserve"> </w:t>
            </w:r>
            <w:r w:rsidR="000659F7">
              <w:rPr>
                <w:rFonts w:cs="Arial"/>
                <w:sz w:val="18"/>
                <w:szCs w:val="18"/>
              </w:rPr>
              <w:t xml:space="preserve">  </w:t>
            </w:r>
            <w:r w:rsidR="005E4BEC">
              <w:rPr>
                <w:rFonts w:cs="Arial"/>
                <w:sz w:val="18"/>
                <w:szCs w:val="18"/>
              </w:rPr>
              <w:t xml:space="preserve"> </w:t>
            </w:r>
            <w:r w:rsidRPr="00F45F2F">
              <w:rPr>
                <w:rFonts w:cs="Arial"/>
                <w:sz w:val="18"/>
                <w:szCs w:val="18"/>
              </w:rPr>
              <w:t xml:space="preserve">  </w:t>
            </w:r>
            <w:r w:rsidRPr="00F45F2F">
              <w:rPr>
                <w:rFonts w:cs="Arial"/>
                <w:color w:val="5FB2BE"/>
                <w:sz w:val="20"/>
                <w:szCs w:val="20"/>
              </w:rPr>
              <w:sym w:font="Wingdings" w:char="F06E"/>
            </w:r>
            <w:r w:rsidRPr="00F45F2F">
              <w:rPr>
                <w:rFonts w:cs="Arial"/>
                <w:sz w:val="18"/>
                <w:szCs w:val="18"/>
              </w:rPr>
              <w:t xml:space="preserve"> Moderate </w:t>
            </w:r>
            <w:r w:rsidR="00A85993">
              <w:rPr>
                <w:rFonts w:cs="Arial"/>
                <w:sz w:val="18"/>
                <w:szCs w:val="18"/>
              </w:rPr>
              <w:sym w:font="Wingdings" w:char="F0E0"/>
            </w:r>
            <w:r w:rsidRPr="00F45F2F">
              <w:rPr>
                <w:rFonts w:cs="Arial"/>
                <w:sz w:val="18"/>
                <w:szCs w:val="18"/>
              </w:rPr>
              <w:t xml:space="preserve"> High </w:t>
            </w:r>
            <w:r w:rsidR="000659F7">
              <w:rPr>
                <w:rFonts w:cs="Arial"/>
                <w:sz w:val="18"/>
                <w:szCs w:val="18"/>
              </w:rPr>
              <w:t xml:space="preserve">    </w:t>
            </w:r>
            <w:r w:rsidRPr="00F45F2F">
              <w:rPr>
                <w:rFonts w:cs="Arial"/>
                <w:sz w:val="18"/>
                <w:szCs w:val="18"/>
              </w:rPr>
              <w:t xml:space="preserve"> </w:t>
            </w:r>
            <w:r w:rsidRPr="00F45F2F">
              <w:rPr>
                <w:rFonts w:cs="Arial"/>
                <w:color w:val="C1867C"/>
                <w:sz w:val="20"/>
                <w:szCs w:val="20"/>
              </w:rPr>
              <w:sym w:font="Wingdings" w:char="F06E"/>
            </w:r>
            <w:r w:rsidRPr="00F45F2F">
              <w:rPr>
                <w:rFonts w:cs="Arial"/>
                <w:sz w:val="18"/>
                <w:szCs w:val="18"/>
              </w:rPr>
              <w:t xml:space="preserve"> </w:t>
            </w:r>
            <w:proofErr w:type="spellStart"/>
            <w:r w:rsidRPr="00F45F2F">
              <w:rPr>
                <w:rFonts w:cs="Arial"/>
                <w:sz w:val="18"/>
                <w:szCs w:val="18"/>
              </w:rPr>
              <w:t>High</w:t>
            </w:r>
            <w:proofErr w:type="spellEnd"/>
            <w:r w:rsidRPr="00F45F2F">
              <w:rPr>
                <w:rFonts w:cs="Arial"/>
                <w:sz w:val="18"/>
                <w:szCs w:val="18"/>
              </w:rPr>
              <w:t xml:space="preserve"> </w:t>
            </w:r>
            <w:r w:rsidR="00A85993">
              <w:rPr>
                <w:rFonts w:cs="Arial"/>
                <w:sz w:val="18"/>
                <w:szCs w:val="18"/>
              </w:rPr>
              <w:sym w:font="Wingdings" w:char="F0E0"/>
            </w:r>
            <w:r w:rsidRPr="00F45F2F">
              <w:rPr>
                <w:rFonts w:cs="Arial"/>
                <w:sz w:val="18"/>
                <w:szCs w:val="18"/>
              </w:rPr>
              <w:t xml:space="preserve"> Moderate</w:t>
            </w:r>
          </w:p>
        </w:tc>
      </w:tr>
      <w:tr w:rsidR="0092415B" w:rsidRPr="00592831" w14:paraId="75EDB63E" w14:textId="77777777" w:rsidTr="1922062C">
        <w:trPr>
          <w:jc w:val="center"/>
        </w:trPr>
        <w:tc>
          <w:tcPr>
            <w:tcW w:w="9736" w:type="dxa"/>
            <w:gridSpan w:val="3"/>
          </w:tcPr>
          <w:p w14:paraId="59ADA708" w14:textId="77777777" w:rsidR="0092415B" w:rsidRDefault="0092415B" w:rsidP="009A07A6">
            <w:pPr>
              <w:rPr>
                <w:noProof/>
              </w:rPr>
            </w:pPr>
          </w:p>
        </w:tc>
      </w:tr>
    </w:tbl>
    <w:p w14:paraId="5EEF70A8" w14:textId="3B65580C" w:rsidR="005E194E" w:rsidRDefault="005E194E" w:rsidP="007624A3">
      <w:pPr>
        <w:pStyle w:val="Heading3"/>
        <w:numPr>
          <w:ilvl w:val="2"/>
          <w:numId w:val="5"/>
        </w:numPr>
      </w:pPr>
      <w:r>
        <w:t xml:space="preserve">Changes in LSP-16 complexity </w:t>
      </w:r>
      <w:proofErr w:type="gramStart"/>
      <w:r>
        <w:t>grouping</w:t>
      </w:r>
      <w:proofErr w:type="gramEnd"/>
    </w:p>
    <w:p w14:paraId="279E338B" w14:textId="4C0FE901" w:rsidR="005E194E" w:rsidRPr="00DF4F2E" w:rsidRDefault="009A07A6" w:rsidP="00951A94">
      <w:r w:rsidRPr="00DF4F2E">
        <w:t xml:space="preserve">The AMHCC </w:t>
      </w:r>
      <w:r>
        <w:t>V1</w:t>
      </w:r>
      <w:r w:rsidRPr="00DF4F2E">
        <w:t xml:space="preserve">.1 had a modest impact on the assignment of LSP-16 complexity grouping for records with no missing LSP-16 items when compared to AMHCC </w:t>
      </w:r>
      <w:r>
        <w:t>V1</w:t>
      </w:r>
      <w:r w:rsidRPr="00DF4F2E">
        <w:t>.0, with 22 per cent of records showing a change in LSP-16 complexity grouping.</w:t>
      </w:r>
      <w:r>
        <w:t xml:space="preserve"> </w:t>
      </w:r>
      <w:r w:rsidR="005E194E" w:rsidRPr="00DF4F2E">
        <w:rPr>
          <w:b/>
          <w:bCs/>
        </w:rPr>
        <w:t xml:space="preserve">Table </w:t>
      </w:r>
      <w:r w:rsidR="00DF4F2E" w:rsidRPr="00DF4F2E">
        <w:rPr>
          <w:b/>
          <w:bCs/>
        </w:rPr>
        <w:t>7</w:t>
      </w:r>
      <w:r w:rsidR="005E194E" w:rsidRPr="00DF4F2E">
        <w:t xml:space="preserve"> shows the movement of phases with no missing LSP-16 items across different LSP-16 complexity groups between AMHCC </w:t>
      </w:r>
      <w:r w:rsidR="007624A3">
        <w:t>V1</w:t>
      </w:r>
      <w:r w:rsidR="005E194E" w:rsidRPr="00DF4F2E">
        <w:t xml:space="preserve">.0 and AMHCC </w:t>
      </w:r>
      <w:r w:rsidR="007624A3">
        <w:t>V1</w:t>
      </w:r>
      <w:r w:rsidR="005E194E" w:rsidRPr="00DF4F2E">
        <w:t xml:space="preserve">.1. This analysis was limited to phases which remained in the Moderate </w:t>
      </w:r>
      <w:proofErr w:type="spellStart"/>
      <w:r w:rsidR="005E194E" w:rsidRPr="00DF4F2E">
        <w:t>HoNOS</w:t>
      </w:r>
      <w:proofErr w:type="spellEnd"/>
      <w:r w:rsidR="005E194E" w:rsidRPr="00DF4F2E">
        <w:t xml:space="preserve"> complexity group between both AMHCC versions.</w:t>
      </w:r>
    </w:p>
    <w:p w14:paraId="1266D4B0" w14:textId="4EBC15DA" w:rsidR="005E194E" w:rsidRDefault="005E194E" w:rsidP="00DF4F2E">
      <w:pPr>
        <w:pStyle w:val="TableFigureheading"/>
      </w:pPr>
      <w:r w:rsidRPr="00DF4F2E">
        <w:t>Table</w:t>
      </w:r>
      <w:r>
        <w:t xml:space="preserve"> </w:t>
      </w:r>
      <w:r w:rsidR="00DF4F2E">
        <w:t>7</w:t>
      </w:r>
      <w:r>
        <w:t xml:space="preserve">. Changes in LSP-16 complexity group for Community 18-64 years Moderate </w:t>
      </w:r>
      <w:proofErr w:type="spellStart"/>
      <w:r>
        <w:t>HoNOS</w:t>
      </w:r>
      <w:proofErr w:type="spellEnd"/>
      <w:r>
        <w:t xml:space="preserve"> complexity end classes between AMHCC </w:t>
      </w:r>
      <w:r w:rsidR="007624A3">
        <w:t>V1</w:t>
      </w:r>
      <w:r>
        <w:t xml:space="preserve">.0 and </w:t>
      </w:r>
      <w:r w:rsidR="007624A3">
        <w:t>V1</w:t>
      </w:r>
      <w:r>
        <w:t>.1</w:t>
      </w:r>
    </w:p>
    <w:tbl>
      <w:tblPr>
        <w:tblStyle w:val="TableGrid"/>
        <w:tblW w:w="5000" w:type="pct"/>
        <w:jc w:val="center"/>
        <w:tblLook w:val="04A0" w:firstRow="1" w:lastRow="0" w:firstColumn="1" w:lastColumn="0" w:noHBand="0" w:noVBand="1"/>
      </w:tblPr>
      <w:tblGrid>
        <w:gridCol w:w="4956"/>
        <w:gridCol w:w="2350"/>
        <w:gridCol w:w="2436"/>
      </w:tblGrid>
      <w:tr w:rsidR="005E194E" w:rsidRPr="00FA6911" w14:paraId="61696643" w14:textId="77777777" w:rsidTr="00F45F2F">
        <w:trPr>
          <w:jc w:val="center"/>
        </w:trPr>
        <w:tc>
          <w:tcPr>
            <w:tcW w:w="2544" w:type="pct"/>
            <w:shd w:val="clear" w:color="auto" w:fill="15272F" w:themeFill="accent1"/>
            <w:vAlign w:val="center"/>
          </w:tcPr>
          <w:p w14:paraId="31BD3788" w14:textId="77777777" w:rsidR="005E194E" w:rsidRPr="00FA6911" w:rsidRDefault="005E194E" w:rsidP="00A20D92">
            <w:pPr>
              <w:pStyle w:val="NoSpacing"/>
              <w:keepNext/>
              <w:keepLines/>
              <w:spacing w:before="60" w:after="60"/>
              <w:rPr>
                <w:rFonts w:cs="Arial"/>
                <w:b/>
                <w:bCs/>
                <w:color w:val="FFFFFF" w:themeColor="background2"/>
                <w:sz w:val="18"/>
                <w:szCs w:val="18"/>
              </w:rPr>
            </w:pPr>
            <w:r w:rsidRPr="1922062C">
              <w:rPr>
                <w:rFonts w:cs="Arial"/>
                <w:b/>
                <w:bCs/>
                <w:color w:val="FFFFFF" w:themeColor="accent6"/>
                <w:sz w:val="18"/>
                <w:szCs w:val="18"/>
              </w:rPr>
              <w:t>Segment</w:t>
            </w:r>
          </w:p>
        </w:tc>
        <w:tc>
          <w:tcPr>
            <w:tcW w:w="1206" w:type="pct"/>
            <w:shd w:val="clear" w:color="auto" w:fill="15272F" w:themeFill="accent1"/>
            <w:vAlign w:val="center"/>
          </w:tcPr>
          <w:p w14:paraId="43081B92" w14:textId="77777777" w:rsidR="005E194E" w:rsidRPr="00FA6911" w:rsidRDefault="005E194E" w:rsidP="00F45F2F">
            <w:pPr>
              <w:pStyle w:val="NoSpacing"/>
              <w:keepNext/>
              <w:keepLines/>
              <w:spacing w:before="60" w:after="60"/>
              <w:jc w:val="center"/>
              <w:rPr>
                <w:rFonts w:cs="Arial"/>
                <w:b/>
                <w:bCs/>
                <w:color w:val="FFFFFF" w:themeColor="background2"/>
                <w:sz w:val="18"/>
                <w:szCs w:val="18"/>
              </w:rPr>
            </w:pPr>
            <w:r w:rsidRPr="1922062C">
              <w:rPr>
                <w:rFonts w:cs="Arial"/>
                <w:b/>
                <w:bCs/>
                <w:color w:val="FFFFFF" w:themeColor="accent6"/>
                <w:sz w:val="18"/>
                <w:szCs w:val="18"/>
              </w:rPr>
              <w:t>Complexity unchanged</w:t>
            </w:r>
          </w:p>
        </w:tc>
        <w:tc>
          <w:tcPr>
            <w:tcW w:w="1250" w:type="pct"/>
            <w:shd w:val="clear" w:color="auto" w:fill="15272F" w:themeFill="accent1"/>
            <w:vAlign w:val="center"/>
          </w:tcPr>
          <w:p w14:paraId="29168E9A" w14:textId="3595A518" w:rsidR="005E194E" w:rsidRPr="00FA6911" w:rsidRDefault="005E194E" w:rsidP="00F45F2F">
            <w:pPr>
              <w:pStyle w:val="NoSpacing"/>
              <w:keepNext/>
              <w:keepLines/>
              <w:spacing w:before="60" w:after="60"/>
              <w:jc w:val="center"/>
              <w:rPr>
                <w:rFonts w:cs="Arial"/>
                <w:b/>
                <w:bCs/>
                <w:color w:val="FFFFFF" w:themeColor="background2"/>
                <w:sz w:val="18"/>
                <w:szCs w:val="18"/>
              </w:rPr>
            </w:pPr>
            <w:r w:rsidRPr="1922062C">
              <w:rPr>
                <w:rFonts w:cs="Arial"/>
                <w:b/>
                <w:bCs/>
                <w:color w:val="FFFFFF" w:themeColor="accent6"/>
                <w:sz w:val="18"/>
                <w:szCs w:val="18"/>
              </w:rPr>
              <w:t xml:space="preserve">Moderate </w:t>
            </w:r>
            <w:r w:rsidR="00251BF5" w:rsidRPr="00F45F2F">
              <w:rPr>
                <w:rFonts w:cs="Arial"/>
                <w:color w:val="FFFFFF" w:themeColor="background2"/>
                <w:sz w:val="18"/>
                <w:szCs w:val="18"/>
              </w:rPr>
              <w:sym w:font="Wingdings" w:char="F0E0"/>
            </w:r>
            <w:r w:rsidRPr="1922062C">
              <w:rPr>
                <w:rFonts w:cs="Arial"/>
                <w:b/>
                <w:bCs/>
                <w:color w:val="FFFFFF" w:themeColor="accent6"/>
                <w:sz w:val="18"/>
                <w:szCs w:val="18"/>
              </w:rPr>
              <w:t xml:space="preserve"> High</w:t>
            </w:r>
          </w:p>
        </w:tc>
      </w:tr>
      <w:tr w:rsidR="005E194E" w:rsidRPr="00FA6911" w14:paraId="1D934D6A" w14:textId="77777777" w:rsidTr="00F45F2F">
        <w:trPr>
          <w:jc w:val="center"/>
        </w:trPr>
        <w:tc>
          <w:tcPr>
            <w:tcW w:w="2544" w:type="pct"/>
          </w:tcPr>
          <w:p w14:paraId="2384FAA6" w14:textId="77777777" w:rsidR="005E194E" w:rsidRPr="00FA6911" w:rsidRDefault="005E194E" w:rsidP="00A20D92">
            <w:pPr>
              <w:pStyle w:val="NoSpacing"/>
              <w:keepNext/>
              <w:keepLines/>
              <w:spacing w:before="60" w:after="60"/>
              <w:rPr>
                <w:rFonts w:cs="Arial"/>
                <w:sz w:val="18"/>
                <w:szCs w:val="18"/>
              </w:rPr>
            </w:pPr>
            <w:r w:rsidRPr="1922062C">
              <w:rPr>
                <w:rFonts w:cs="Arial"/>
                <w:sz w:val="18"/>
                <w:szCs w:val="18"/>
              </w:rPr>
              <w:t>Community Acute 18-64 years</w:t>
            </w:r>
          </w:p>
        </w:tc>
        <w:tc>
          <w:tcPr>
            <w:tcW w:w="1206" w:type="pct"/>
            <w:vAlign w:val="center"/>
          </w:tcPr>
          <w:p w14:paraId="3F9071C5"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66%</w:t>
            </w:r>
          </w:p>
        </w:tc>
        <w:tc>
          <w:tcPr>
            <w:tcW w:w="1250" w:type="pct"/>
            <w:vAlign w:val="center"/>
          </w:tcPr>
          <w:p w14:paraId="236966A3"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34%</w:t>
            </w:r>
          </w:p>
        </w:tc>
      </w:tr>
      <w:tr w:rsidR="005E194E" w:rsidRPr="00FA6911" w14:paraId="617F917D" w14:textId="77777777" w:rsidTr="00F45F2F">
        <w:trPr>
          <w:jc w:val="center"/>
        </w:trPr>
        <w:tc>
          <w:tcPr>
            <w:tcW w:w="2544" w:type="pct"/>
          </w:tcPr>
          <w:p w14:paraId="370D98F3" w14:textId="77777777" w:rsidR="005E194E" w:rsidRPr="00FA6911" w:rsidRDefault="005E194E" w:rsidP="00A20D92">
            <w:pPr>
              <w:pStyle w:val="NoSpacing"/>
              <w:keepNext/>
              <w:keepLines/>
              <w:spacing w:before="60" w:after="60"/>
              <w:rPr>
                <w:rFonts w:cs="Arial"/>
                <w:sz w:val="18"/>
                <w:szCs w:val="18"/>
              </w:rPr>
            </w:pPr>
            <w:r w:rsidRPr="1922062C">
              <w:rPr>
                <w:rFonts w:cs="Arial"/>
                <w:sz w:val="18"/>
                <w:szCs w:val="18"/>
              </w:rPr>
              <w:t>Community Functional gain 18-64 years</w:t>
            </w:r>
          </w:p>
        </w:tc>
        <w:tc>
          <w:tcPr>
            <w:tcW w:w="1206" w:type="pct"/>
            <w:vAlign w:val="center"/>
          </w:tcPr>
          <w:p w14:paraId="1FB17A05"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83%</w:t>
            </w:r>
          </w:p>
        </w:tc>
        <w:tc>
          <w:tcPr>
            <w:tcW w:w="1250" w:type="pct"/>
            <w:vAlign w:val="center"/>
          </w:tcPr>
          <w:p w14:paraId="76A2E030"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17%</w:t>
            </w:r>
          </w:p>
        </w:tc>
      </w:tr>
      <w:tr w:rsidR="005E194E" w:rsidRPr="00FA6911" w14:paraId="699DD30D" w14:textId="77777777" w:rsidTr="00F45F2F">
        <w:trPr>
          <w:trHeight w:val="96"/>
          <w:jc w:val="center"/>
        </w:trPr>
        <w:tc>
          <w:tcPr>
            <w:tcW w:w="2544" w:type="pct"/>
          </w:tcPr>
          <w:p w14:paraId="75FD5295" w14:textId="77777777" w:rsidR="005E194E" w:rsidRPr="00FA6911" w:rsidRDefault="005E194E" w:rsidP="00A20D92">
            <w:pPr>
              <w:pStyle w:val="NoSpacing"/>
              <w:keepNext/>
              <w:keepLines/>
              <w:spacing w:before="60" w:after="60"/>
              <w:rPr>
                <w:rFonts w:cs="Arial"/>
                <w:sz w:val="18"/>
                <w:szCs w:val="18"/>
              </w:rPr>
            </w:pPr>
            <w:r w:rsidRPr="1922062C">
              <w:rPr>
                <w:rFonts w:cs="Arial"/>
                <w:sz w:val="18"/>
                <w:szCs w:val="18"/>
              </w:rPr>
              <w:t>Community Intensive extended 18-64 years</w:t>
            </w:r>
          </w:p>
        </w:tc>
        <w:tc>
          <w:tcPr>
            <w:tcW w:w="1206" w:type="pct"/>
            <w:vAlign w:val="center"/>
          </w:tcPr>
          <w:p w14:paraId="125606BB"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74%</w:t>
            </w:r>
          </w:p>
        </w:tc>
        <w:tc>
          <w:tcPr>
            <w:tcW w:w="1250" w:type="pct"/>
            <w:vAlign w:val="center"/>
          </w:tcPr>
          <w:p w14:paraId="094CFD4B"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26%</w:t>
            </w:r>
          </w:p>
        </w:tc>
      </w:tr>
      <w:tr w:rsidR="005E194E" w:rsidRPr="00FA6911" w14:paraId="7A819DE4" w14:textId="77777777" w:rsidTr="00F45F2F">
        <w:trPr>
          <w:jc w:val="center"/>
        </w:trPr>
        <w:tc>
          <w:tcPr>
            <w:tcW w:w="2544" w:type="pct"/>
          </w:tcPr>
          <w:p w14:paraId="66B68B63" w14:textId="77777777" w:rsidR="005E194E" w:rsidRPr="00FA6911" w:rsidRDefault="005E194E" w:rsidP="00A20D92">
            <w:pPr>
              <w:pStyle w:val="NoSpacing"/>
              <w:keepNext/>
              <w:keepLines/>
              <w:spacing w:before="60" w:after="60"/>
              <w:rPr>
                <w:rFonts w:cs="Arial"/>
                <w:sz w:val="18"/>
                <w:szCs w:val="18"/>
              </w:rPr>
            </w:pPr>
            <w:r w:rsidRPr="1922062C">
              <w:rPr>
                <w:rFonts w:cs="Arial"/>
                <w:sz w:val="18"/>
                <w:szCs w:val="18"/>
              </w:rPr>
              <w:t>Community Consolidating gain 18-64 years</w:t>
            </w:r>
          </w:p>
        </w:tc>
        <w:tc>
          <w:tcPr>
            <w:tcW w:w="1206" w:type="pct"/>
            <w:vAlign w:val="center"/>
          </w:tcPr>
          <w:p w14:paraId="040E43DD"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75%</w:t>
            </w:r>
          </w:p>
        </w:tc>
        <w:tc>
          <w:tcPr>
            <w:tcW w:w="1250" w:type="pct"/>
            <w:vAlign w:val="center"/>
          </w:tcPr>
          <w:p w14:paraId="324E222B" w14:textId="77777777" w:rsidR="005E194E" w:rsidRPr="00FA6911" w:rsidRDefault="005E194E" w:rsidP="00F45F2F">
            <w:pPr>
              <w:pStyle w:val="NoSpacing"/>
              <w:keepNext/>
              <w:keepLines/>
              <w:spacing w:before="60" w:after="60"/>
              <w:jc w:val="center"/>
              <w:rPr>
                <w:rFonts w:cs="Arial"/>
                <w:sz w:val="18"/>
                <w:szCs w:val="18"/>
              </w:rPr>
            </w:pPr>
            <w:r w:rsidRPr="1922062C">
              <w:rPr>
                <w:rFonts w:cs="Arial"/>
                <w:sz w:val="18"/>
                <w:szCs w:val="18"/>
              </w:rPr>
              <w:t>25%</w:t>
            </w:r>
          </w:p>
        </w:tc>
      </w:tr>
      <w:tr w:rsidR="005E194E" w:rsidRPr="00FA6911" w14:paraId="18504FA9" w14:textId="77777777" w:rsidTr="00F45F2F">
        <w:trPr>
          <w:jc w:val="center"/>
        </w:trPr>
        <w:tc>
          <w:tcPr>
            <w:tcW w:w="2544" w:type="pct"/>
          </w:tcPr>
          <w:p w14:paraId="59931E9A" w14:textId="77777777" w:rsidR="005E194E" w:rsidRPr="00FA6911" w:rsidRDefault="005E194E" w:rsidP="00A20D92">
            <w:pPr>
              <w:pStyle w:val="NoSpacing"/>
              <w:keepNext/>
              <w:keepLines/>
              <w:spacing w:before="60" w:after="60"/>
              <w:rPr>
                <w:rFonts w:cs="Arial"/>
                <w:b/>
                <w:bCs/>
                <w:sz w:val="18"/>
                <w:szCs w:val="18"/>
              </w:rPr>
            </w:pPr>
            <w:r w:rsidRPr="1922062C">
              <w:rPr>
                <w:rFonts w:cs="Arial"/>
                <w:b/>
                <w:bCs/>
                <w:sz w:val="18"/>
                <w:szCs w:val="18"/>
              </w:rPr>
              <w:t>Overall</w:t>
            </w:r>
          </w:p>
        </w:tc>
        <w:tc>
          <w:tcPr>
            <w:tcW w:w="1206" w:type="pct"/>
            <w:vAlign w:val="center"/>
          </w:tcPr>
          <w:p w14:paraId="7C09CDA3" w14:textId="77777777" w:rsidR="005E194E" w:rsidRPr="00FA6911" w:rsidRDefault="005E194E" w:rsidP="00F45F2F">
            <w:pPr>
              <w:pStyle w:val="NoSpacing"/>
              <w:keepNext/>
              <w:keepLines/>
              <w:spacing w:before="60" w:after="60"/>
              <w:jc w:val="center"/>
              <w:rPr>
                <w:rFonts w:cs="Arial"/>
                <w:b/>
                <w:bCs/>
                <w:sz w:val="18"/>
                <w:szCs w:val="18"/>
              </w:rPr>
            </w:pPr>
            <w:r w:rsidRPr="1922062C">
              <w:rPr>
                <w:rFonts w:cs="Arial"/>
                <w:b/>
                <w:bCs/>
                <w:sz w:val="18"/>
                <w:szCs w:val="18"/>
              </w:rPr>
              <w:t>78%</w:t>
            </w:r>
          </w:p>
        </w:tc>
        <w:tc>
          <w:tcPr>
            <w:tcW w:w="1250" w:type="pct"/>
            <w:vAlign w:val="center"/>
          </w:tcPr>
          <w:p w14:paraId="1F22E24C" w14:textId="77777777" w:rsidR="005E194E" w:rsidRPr="00FA6911" w:rsidRDefault="005E194E" w:rsidP="00F45F2F">
            <w:pPr>
              <w:pStyle w:val="NoSpacing"/>
              <w:keepNext/>
              <w:keepLines/>
              <w:spacing w:before="60" w:after="60"/>
              <w:jc w:val="center"/>
              <w:rPr>
                <w:rFonts w:cs="Arial"/>
                <w:b/>
                <w:bCs/>
                <w:sz w:val="18"/>
                <w:szCs w:val="18"/>
              </w:rPr>
            </w:pPr>
            <w:r w:rsidRPr="1922062C">
              <w:rPr>
                <w:rFonts w:cs="Arial"/>
                <w:b/>
                <w:bCs/>
                <w:sz w:val="18"/>
                <w:szCs w:val="18"/>
              </w:rPr>
              <w:t>22%</w:t>
            </w:r>
          </w:p>
        </w:tc>
      </w:tr>
    </w:tbl>
    <w:p w14:paraId="3B2DD61F" w14:textId="77777777" w:rsidR="00B36E00" w:rsidRDefault="00B36E00" w:rsidP="00B36E00"/>
    <w:p w14:paraId="20B97CAD" w14:textId="6CC26BE2" w:rsidR="0058302B" w:rsidRPr="00DF4F2E" w:rsidRDefault="009A07A6" w:rsidP="00951A94">
      <w:r>
        <w:t>In the AMHCC V1.1,</w:t>
      </w:r>
      <w:r w:rsidR="00B36E00" w:rsidRPr="00DF4F2E">
        <w:t xml:space="preserve"> </w:t>
      </w:r>
      <w:r w:rsidR="00682CD8" w:rsidRPr="00DF4F2E">
        <w:t>78 per cent of phases with no missing LSP-16 items remained in the same LSP-16 complexity group between</w:t>
      </w:r>
      <w:r w:rsidR="000B5EAA">
        <w:t xml:space="preserve"> AMHCC V1.0 and AMHCC V1.1</w:t>
      </w:r>
      <w:r w:rsidR="00682CD8" w:rsidRPr="00DF4F2E">
        <w:t xml:space="preserve">. The remaining 22 per cent of phases moved from the </w:t>
      </w:r>
      <w:r>
        <w:t>M</w:t>
      </w:r>
      <w:r w:rsidR="00682CD8" w:rsidRPr="00DF4F2E">
        <w:t xml:space="preserve">oderate to </w:t>
      </w:r>
      <w:r>
        <w:t>H</w:t>
      </w:r>
      <w:r w:rsidR="00682CD8" w:rsidRPr="00DF4F2E">
        <w:t>igh LSP-16 complexity group.</w:t>
      </w:r>
      <w:r w:rsidR="00D62636" w:rsidRPr="00DF4F2E">
        <w:t xml:space="preserve"> </w:t>
      </w:r>
      <w:r>
        <w:t>Therefore,</w:t>
      </w:r>
      <w:r w:rsidR="00D62636" w:rsidRPr="00DF4F2E">
        <w:t xml:space="preserve"> all phases with no missing LSP-16 items will </w:t>
      </w:r>
      <w:r w:rsidR="00262FB3" w:rsidRPr="00DF4F2E">
        <w:t xml:space="preserve">either remain in the same </w:t>
      </w:r>
      <w:r w:rsidR="00002B2F" w:rsidRPr="00DF4F2E">
        <w:t xml:space="preserve">LSP-16 </w:t>
      </w:r>
      <w:r w:rsidR="00262FB3" w:rsidRPr="00DF4F2E">
        <w:t xml:space="preserve">complexity grouping or move to the </w:t>
      </w:r>
      <w:r w:rsidR="00002B2F" w:rsidRPr="00DF4F2E">
        <w:t xml:space="preserve">High LSP-16 </w:t>
      </w:r>
      <w:r w:rsidR="00262FB3" w:rsidRPr="00DF4F2E">
        <w:t xml:space="preserve">complexity grouping under AMHCC </w:t>
      </w:r>
      <w:r w:rsidR="007624A3">
        <w:t>V1</w:t>
      </w:r>
      <w:r w:rsidR="00262FB3" w:rsidRPr="00DF4F2E">
        <w:t>.1.</w:t>
      </w:r>
      <w:r w:rsidR="00C85784" w:rsidRPr="00DF4F2E">
        <w:t xml:space="preserve"> </w:t>
      </w:r>
      <w:r w:rsidR="0058302B" w:rsidRPr="00DF4F2E">
        <w:t xml:space="preserve">Across all the </w:t>
      </w:r>
      <w:r w:rsidR="001C434C">
        <w:t>Mental Health Phase of Care (</w:t>
      </w:r>
      <w:proofErr w:type="spellStart"/>
      <w:r w:rsidR="0058302B" w:rsidRPr="00DF4F2E">
        <w:t>MHPoC</w:t>
      </w:r>
      <w:proofErr w:type="spellEnd"/>
      <w:r w:rsidR="001C434C">
        <w:t>)</w:t>
      </w:r>
      <w:r w:rsidR="0058302B" w:rsidRPr="00DF4F2E">
        <w:t xml:space="preserve"> types</w:t>
      </w:r>
      <w:r w:rsidR="008010E4" w:rsidRPr="00DF4F2E">
        <w:t xml:space="preserve"> in the Community 18-64 years branch</w:t>
      </w:r>
      <w:r w:rsidR="0058302B" w:rsidRPr="00DF4F2E">
        <w:t xml:space="preserve">, </w:t>
      </w:r>
      <w:r w:rsidR="0011042C" w:rsidRPr="00DF4F2E">
        <w:t>the</w:t>
      </w:r>
      <w:r w:rsidR="00BB79E9" w:rsidRPr="00DF4F2E">
        <w:t xml:space="preserve"> </w:t>
      </w:r>
      <w:r>
        <w:t>A</w:t>
      </w:r>
      <w:r w:rsidR="00BB79E9" w:rsidRPr="00DF4F2E">
        <w:t xml:space="preserve">cute </w:t>
      </w:r>
      <w:proofErr w:type="spellStart"/>
      <w:r w:rsidR="00BB79E9" w:rsidRPr="00DF4F2E">
        <w:t>MHPoC</w:t>
      </w:r>
      <w:proofErr w:type="spellEnd"/>
      <w:r w:rsidR="00BB79E9" w:rsidRPr="00DF4F2E">
        <w:t xml:space="preserve"> </w:t>
      </w:r>
      <w:r w:rsidR="00E90313" w:rsidRPr="00DF4F2E">
        <w:t>had</w:t>
      </w:r>
      <w:r w:rsidR="00BB79E9" w:rsidRPr="00DF4F2E">
        <w:t xml:space="preserve"> the greatest proportion </w:t>
      </w:r>
      <w:r w:rsidR="008010E4" w:rsidRPr="00DF4F2E">
        <w:t xml:space="preserve">of records </w:t>
      </w:r>
      <w:r w:rsidR="00BB79E9" w:rsidRPr="00DF4F2E">
        <w:t xml:space="preserve">moving from the Moderate to High complexity group between AMHCC </w:t>
      </w:r>
      <w:r w:rsidR="007624A3">
        <w:t>V1</w:t>
      </w:r>
      <w:r w:rsidR="00BB79E9" w:rsidRPr="00DF4F2E">
        <w:t xml:space="preserve">.0 and AMHCC </w:t>
      </w:r>
      <w:r w:rsidR="007624A3">
        <w:t>V1</w:t>
      </w:r>
      <w:r w:rsidR="00BB79E9" w:rsidRPr="00DF4F2E">
        <w:t>.1.</w:t>
      </w:r>
    </w:p>
    <w:p w14:paraId="3E468AB6" w14:textId="6A686D6D" w:rsidR="005B2D22" w:rsidRDefault="005B2D22" w:rsidP="00BD78D3">
      <w:pPr>
        <w:pStyle w:val="Heading2"/>
        <w:numPr>
          <w:ilvl w:val="1"/>
          <w:numId w:val="5"/>
        </w:numPr>
      </w:pPr>
      <w:bookmarkStart w:id="132" w:name="_Toc141450716"/>
      <w:bookmarkStart w:id="133" w:name="_Toc141450796"/>
      <w:bookmarkStart w:id="134" w:name="_Toc141450717"/>
      <w:bookmarkStart w:id="135" w:name="_Toc141450797"/>
      <w:bookmarkStart w:id="136" w:name="_Toc141450718"/>
      <w:bookmarkStart w:id="137" w:name="_Toc141450798"/>
      <w:bookmarkStart w:id="138" w:name="_Toc152277115"/>
      <w:bookmarkStart w:id="139" w:name="_Toc152312737"/>
      <w:bookmarkStart w:id="140" w:name="_Toc153371611"/>
      <w:bookmarkEnd w:id="132"/>
      <w:bookmarkEnd w:id="133"/>
      <w:bookmarkEnd w:id="134"/>
      <w:bookmarkEnd w:id="135"/>
      <w:bookmarkEnd w:id="136"/>
      <w:bookmarkEnd w:id="137"/>
      <w:r>
        <w:t xml:space="preserve">Complexity model </w:t>
      </w:r>
      <w:r w:rsidR="00BD78D3">
        <w:t xml:space="preserve">statistical </w:t>
      </w:r>
      <w:r>
        <w:t>performance</w:t>
      </w:r>
      <w:bookmarkEnd w:id="138"/>
      <w:bookmarkEnd w:id="139"/>
      <w:bookmarkEnd w:id="140"/>
    </w:p>
    <w:p w14:paraId="4623C033" w14:textId="77777777" w:rsidR="000C18DD" w:rsidRDefault="00951A94" w:rsidP="001F57B4">
      <w:bookmarkStart w:id="141" w:name="_Hlk141260606"/>
      <w:r w:rsidRPr="00DF4F2E">
        <w:t xml:space="preserve">The weights and thresholds from the AMHCC </w:t>
      </w:r>
      <w:r w:rsidR="007624A3">
        <w:t>V1</w:t>
      </w:r>
      <w:r w:rsidRPr="00DF4F2E">
        <w:t xml:space="preserve">.0 and AMHCC </w:t>
      </w:r>
      <w:r w:rsidR="007624A3">
        <w:t>V1</w:t>
      </w:r>
      <w:r w:rsidRPr="00DF4F2E">
        <w:t>.1 were applied to the three-year costed mental health data</w:t>
      </w:r>
      <w:r w:rsidR="0010643D" w:rsidRPr="00DF4F2E">
        <w:t xml:space="preserve"> </w:t>
      </w:r>
      <w:r w:rsidRPr="00DF4F2E">
        <w:t>set (2018</w:t>
      </w:r>
      <w:r w:rsidR="00A20D92" w:rsidRPr="1922062C">
        <w:rPr>
          <w:rFonts w:cs="Arial"/>
          <w:color w:val="auto"/>
        </w:rPr>
        <w:t>–</w:t>
      </w:r>
      <w:r w:rsidRPr="00DF4F2E">
        <w:t xml:space="preserve">19 </w:t>
      </w:r>
      <w:r w:rsidR="00A20D92">
        <w:t>to</w:t>
      </w:r>
      <w:r w:rsidR="00A20D92" w:rsidRPr="00DF4F2E">
        <w:t xml:space="preserve"> </w:t>
      </w:r>
      <w:r w:rsidRPr="00DF4F2E">
        <w:t>2020</w:t>
      </w:r>
      <w:r w:rsidR="00A20D92" w:rsidRPr="1922062C">
        <w:rPr>
          <w:rFonts w:cs="Arial"/>
          <w:color w:val="auto"/>
        </w:rPr>
        <w:t>–</w:t>
      </w:r>
      <w:r w:rsidRPr="00DF4F2E">
        <w:t xml:space="preserve">21) to </w:t>
      </w:r>
      <w:r w:rsidR="00F94F7A" w:rsidRPr="00DF4F2E">
        <w:t xml:space="preserve">compare the performance of the two </w:t>
      </w:r>
      <w:r w:rsidR="00F94F7A" w:rsidRPr="00DF4F2E">
        <w:lastRenderedPageBreak/>
        <w:t>AMHCC versions</w:t>
      </w:r>
      <w:r w:rsidRPr="00DF4F2E">
        <w:t>.</w:t>
      </w:r>
      <w:bookmarkEnd w:id="141"/>
      <w:r w:rsidRPr="00DF4F2E">
        <w:t xml:space="preserve"> </w:t>
      </w:r>
      <w:r w:rsidR="009A07A6">
        <w:t>Complexity m</w:t>
      </w:r>
      <w:r w:rsidR="00383C9C" w:rsidRPr="00DF4F2E">
        <w:t>odel</w:t>
      </w:r>
      <w:r w:rsidR="009A07A6">
        <w:t xml:space="preserve"> statistical</w:t>
      </w:r>
      <w:r w:rsidR="00383C9C" w:rsidRPr="00DF4F2E">
        <w:t xml:space="preserve"> performance was assessed at the complexity score level and the end class level. When applied at the complexity score level, the performance metrics evaluate the degree to which the complexity score in each AMHCC version predicts phase costs. When applied at the end class level, the performance metrics evaluate the predictive power of </w:t>
      </w:r>
      <w:r w:rsidR="00741FD7" w:rsidRPr="00DF4F2E">
        <w:t>performing</w:t>
      </w:r>
      <w:r w:rsidR="00383C9C" w:rsidRPr="00DF4F2E">
        <w:t xml:space="preserve"> the split of each segment into its constituent AMHCC</w:t>
      </w:r>
      <w:r w:rsidR="00741FD7" w:rsidRPr="00DF4F2E">
        <w:t xml:space="preserve"> end classes</w:t>
      </w:r>
      <w:r w:rsidR="00383C9C" w:rsidRPr="00DF4F2E">
        <w:t>.</w:t>
      </w:r>
    </w:p>
    <w:p w14:paraId="7D147409" w14:textId="77777777" w:rsidR="000C18DD" w:rsidRPr="00DF4F2E" w:rsidRDefault="000C18DD" w:rsidP="000C18DD">
      <w:r w:rsidRPr="00DF4F2E">
        <w:t xml:space="preserve">The statistical performance is calculated using Area Under Gains ratio (AUG), R-squared and Reduction in Deviance (RID). </w:t>
      </w:r>
      <w:r>
        <w:t>Results presented in this section have been conducted on the three-year data set, prepared according to Section 3.4.</w:t>
      </w:r>
    </w:p>
    <w:p w14:paraId="14B48950" w14:textId="77777777" w:rsidR="000C18DD" w:rsidRPr="00DF4F2E" w:rsidRDefault="000C18DD" w:rsidP="000C18DD">
      <w:r w:rsidRPr="00DF4F2E">
        <w:t xml:space="preserve">AUG tests how well a model ranks phases from lowest to highest cost. It does not measure the accuracy of the model’s exact cost predictions and is therefore not overly influenced by outliers. An AUG of 100 per cent represents a perfect prediction of the ranking of cost and an AUG of 0 per cent represents a random cost prediction. </w:t>
      </w:r>
    </w:p>
    <w:p w14:paraId="6D048845" w14:textId="77777777" w:rsidR="000C18DD" w:rsidRPr="007624A3" w:rsidRDefault="000C18DD" w:rsidP="000C18DD">
      <w:pPr>
        <w:rPr>
          <w:rFonts w:eastAsia="Times New Roman" w:cs="Arial"/>
          <w:sz w:val="18"/>
          <w:szCs w:val="18"/>
          <w:lang w:eastAsia="en-AU"/>
        </w:rPr>
      </w:pPr>
      <w:r w:rsidRPr="00DF4F2E">
        <w:t>R-squared provides an indication of the explanatory power of a model. A higher R-squared means that the model can better predict variation in phase costs. This measure is distinct from AUG in that it does evaluate the degree to which a model predicts the exact cost of a phase.</w:t>
      </w:r>
      <w:r w:rsidRPr="007624A3">
        <w:rPr>
          <w:rFonts w:eastAsia="Times New Roman" w:cs="Arial"/>
          <w:sz w:val="18"/>
          <w:szCs w:val="18"/>
          <w:lang w:eastAsia="en-AU"/>
        </w:rPr>
        <w:t xml:space="preserve"> </w:t>
      </w:r>
    </w:p>
    <w:p w14:paraId="73367FE5" w14:textId="48EB4C8E" w:rsidR="009A07A6" w:rsidRDefault="000C18DD" w:rsidP="001F57B4">
      <w:r w:rsidRPr="00DF4F2E">
        <w:t>RID provides an indication of the explanatory power of a model. A higher RID means that a higher percentage of the cost variation is explained by the classification. Like the AUG, it does not test the exact cost prediction of the complexity model, rather it tests the degree to which the end class splits create groups which are more homogen</w:t>
      </w:r>
      <w:r w:rsidR="006F7AA6">
        <w:t>e</w:t>
      </w:r>
      <w:r w:rsidRPr="00DF4F2E">
        <w:t xml:space="preserve">ous than the original cohort. </w:t>
      </w:r>
    </w:p>
    <w:p w14:paraId="4B13BCBF" w14:textId="05E4C9CB" w:rsidR="00383C9C" w:rsidRPr="00DF4F2E" w:rsidRDefault="00552A16" w:rsidP="001F57B4">
      <w:r w:rsidRPr="00DF4F2E">
        <w:rPr>
          <w:b/>
          <w:bCs/>
        </w:rPr>
        <w:t xml:space="preserve">Table </w:t>
      </w:r>
      <w:r w:rsidR="00DF4F2E">
        <w:rPr>
          <w:b/>
          <w:bCs/>
        </w:rPr>
        <w:t>8</w:t>
      </w:r>
      <w:r w:rsidRPr="00DF4F2E">
        <w:t xml:space="preserve"> summari</w:t>
      </w:r>
      <w:r w:rsidR="008D2AE8">
        <w:t>s</w:t>
      </w:r>
      <w:r w:rsidRPr="00DF4F2E">
        <w:t>es the model performance metrics for the full data</w:t>
      </w:r>
      <w:r w:rsidR="0010643D" w:rsidRPr="00DF4F2E">
        <w:t xml:space="preserve"> </w:t>
      </w:r>
      <w:r w:rsidRPr="00DF4F2E">
        <w:t>set and by setting level.</w:t>
      </w:r>
    </w:p>
    <w:p w14:paraId="457DE1F9" w14:textId="430CBBDA" w:rsidR="005B2D22" w:rsidRDefault="00383C9C" w:rsidP="00383C9C">
      <w:pPr>
        <w:pStyle w:val="TableFigureheading"/>
      </w:pPr>
      <w:r>
        <w:t>Table</w:t>
      </w:r>
      <w:r w:rsidR="00655D12">
        <w:t xml:space="preserve"> </w:t>
      </w:r>
      <w:r w:rsidR="00DF4F2E">
        <w:t>8</w:t>
      </w:r>
      <w:r>
        <w:t xml:space="preserve">. Model performance comparison between AMHCC </w:t>
      </w:r>
      <w:r w:rsidR="007624A3">
        <w:t>V1</w:t>
      </w:r>
      <w:r>
        <w:t xml:space="preserve">.0 and AMHCC </w:t>
      </w:r>
      <w:r w:rsidR="007624A3">
        <w:t>V1</w:t>
      </w:r>
      <w:r>
        <w:t>.1</w:t>
      </w:r>
    </w:p>
    <w:tbl>
      <w:tblPr>
        <w:tblStyle w:val="TableGrid"/>
        <w:tblW w:w="5000" w:type="pct"/>
        <w:jc w:val="center"/>
        <w:tblLook w:val="04A0" w:firstRow="1" w:lastRow="0" w:firstColumn="1" w:lastColumn="0" w:noHBand="0" w:noVBand="1"/>
      </w:tblPr>
      <w:tblGrid>
        <w:gridCol w:w="1805"/>
        <w:gridCol w:w="908"/>
        <w:gridCol w:w="982"/>
        <w:gridCol w:w="976"/>
        <w:gridCol w:w="976"/>
        <w:gridCol w:w="976"/>
        <w:gridCol w:w="976"/>
        <w:gridCol w:w="1044"/>
        <w:gridCol w:w="1099"/>
      </w:tblGrid>
      <w:tr w:rsidR="00383C9C" w:rsidRPr="00FA6911" w14:paraId="59BDCA8E" w14:textId="77777777" w:rsidTr="00564F35">
        <w:trPr>
          <w:jc w:val="center"/>
        </w:trPr>
        <w:tc>
          <w:tcPr>
            <w:tcW w:w="926" w:type="pct"/>
            <w:tcBorders>
              <w:bottom w:val="single" w:sz="4" w:space="0" w:color="auto"/>
              <w:right w:val="single" w:sz="4" w:space="0" w:color="D9D9D9" w:themeColor="background2" w:themeShade="D9"/>
            </w:tcBorders>
            <w:shd w:val="clear" w:color="auto" w:fill="15272F" w:themeFill="accent1"/>
            <w:vAlign w:val="center"/>
          </w:tcPr>
          <w:p w14:paraId="16068981" w14:textId="77777777" w:rsidR="00383C9C" w:rsidRPr="00FA6911" w:rsidRDefault="00383C9C" w:rsidP="00F45F2F">
            <w:pPr>
              <w:pStyle w:val="NoSpacing"/>
              <w:keepNext/>
              <w:keepLines/>
              <w:spacing w:before="40" w:after="40"/>
              <w:jc w:val="center"/>
              <w:rPr>
                <w:rFonts w:cs="Arial"/>
                <w:b/>
                <w:bCs/>
                <w:color w:val="FFFFFF" w:themeColor="background2"/>
                <w:sz w:val="18"/>
                <w:szCs w:val="18"/>
              </w:rPr>
            </w:pPr>
            <w:r w:rsidRPr="1922062C">
              <w:rPr>
                <w:rFonts w:cs="Arial"/>
                <w:b/>
                <w:bCs/>
                <w:color w:val="FFFFFF" w:themeColor="accent6"/>
                <w:sz w:val="18"/>
                <w:szCs w:val="18"/>
              </w:rPr>
              <w:t>Metric</w:t>
            </w:r>
          </w:p>
        </w:tc>
        <w:tc>
          <w:tcPr>
            <w:tcW w:w="1972" w:type="pct"/>
            <w:gridSpan w:val="4"/>
            <w:tcBorders>
              <w:left w:val="single" w:sz="4" w:space="0" w:color="D9D9D9" w:themeColor="background2" w:themeShade="D9"/>
              <w:bottom w:val="single" w:sz="4" w:space="0" w:color="auto"/>
              <w:right w:val="single" w:sz="4" w:space="0" w:color="BFBFBF" w:themeColor="background2" w:themeShade="BF"/>
            </w:tcBorders>
            <w:shd w:val="clear" w:color="auto" w:fill="15272F" w:themeFill="accent1"/>
            <w:vAlign w:val="center"/>
          </w:tcPr>
          <w:p w14:paraId="13D5CEEA" w14:textId="77777777" w:rsidR="00383C9C" w:rsidRPr="00FA6911" w:rsidRDefault="00383C9C" w:rsidP="00383C9C">
            <w:pPr>
              <w:pStyle w:val="NoSpacing"/>
              <w:keepNext/>
              <w:keepLines/>
              <w:spacing w:before="40" w:after="40"/>
              <w:jc w:val="center"/>
              <w:rPr>
                <w:rFonts w:cs="Arial"/>
                <w:b/>
                <w:bCs/>
                <w:color w:val="FFFFFF" w:themeColor="background2"/>
                <w:sz w:val="18"/>
                <w:szCs w:val="18"/>
              </w:rPr>
            </w:pPr>
            <w:r w:rsidRPr="1922062C">
              <w:rPr>
                <w:rFonts w:cs="Arial"/>
                <w:b/>
                <w:bCs/>
                <w:color w:val="FFFFFF" w:themeColor="accent6"/>
                <w:sz w:val="18"/>
                <w:szCs w:val="18"/>
              </w:rPr>
              <w:t>AUG</w:t>
            </w:r>
          </w:p>
        </w:tc>
        <w:tc>
          <w:tcPr>
            <w:tcW w:w="1002" w:type="pct"/>
            <w:gridSpan w:val="2"/>
            <w:tcBorders>
              <w:left w:val="single" w:sz="4" w:space="0" w:color="BFBFBF" w:themeColor="background2" w:themeShade="BF"/>
              <w:bottom w:val="single" w:sz="4" w:space="0" w:color="auto"/>
              <w:right w:val="single" w:sz="4" w:space="0" w:color="BFBFBF" w:themeColor="background2" w:themeShade="BF"/>
            </w:tcBorders>
            <w:shd w:val="clear" w:color="auto" w:fill="15272F" w:themeFill="accent1"/>
            <w:vAlign w:val="center"/>
          </w:tcPr>
          <w:p w14:paraId="0C6FB191" w14:textId="77777777" w:rsidR="00383C9C" w:rsidRPr="00FA6911" w:rsidRDefault="00383C9C" w:rsidP="00383C9C">
            <w:pPr>
              <w:pStyle w:val="NoSpacing"/>
              <w:keepNext/>
              <w:keepLines/>
              <w:spacing w:before="40" w:after="40"/>
              <w:jc w:val="center"/>
              <w:rPr>
                <w:rFonts w:cs="Arial"/>
                <w:b/>
                <w:bCs/>
                <w:color w:val="FFFFFF" w:themeColor="background2"/>
                <w:sz w:val="18"/>
                <w:szCs w:val="18"/>
              </w:rPr>
            </w:pPr>
            <w:r w:rsidRPr="1922062C">
              <w:rPr>
                <w:rFonts w:cs="Arial"/>
                <w:b/>
                <w:bCs/>
                <w:color w:val="FFFFFF" w:themeColor="accent6"/>
                <w:sz w:val="18"/>
                <w:szCs w:val="18"/>
              </w:rPr>
              <w:t>R-squared</w:t>
            </w:r>
          </w:p>
        </w:tc>
        <w:tc>
          <w:tcPr>
            <w:tcW w:w="1101" w:type="pct"/>
            <w:gridSpan w:val="2"/>
            <w:tcBorders>
              <w:left w:val="single" w:sz="4" w:space="0" w:color="BFBFBF" w:themeColor="background2" w:themeShade="BF"/>
              <w:bottom w:val="single" w:sz="4" w:space="0" w:color="auto"/>
            </w:tcBorders>
            <w:shd w:val="clear" w:color="auto" w:fill="15272F" w:themeFill="accent1"/>
            <w:vAlign w:val="center"/>
          </w:tcPr>
          <w:p w14:paraId="33FBB0E3" w14:textId="77777777" w:rsidR="00383C9C" w:rsidRPr="00FA6911" w:rsidRDefault="00383C9C" w:rsidP="00383C9C">
            <w:pPr>
              <w:pStyle w:val="NoSpacing"/>
              <w:keepNext/>
              <w:keepLines/>
              <w:spacing w:before="40" w:after="40"/>
              <w:jc w:val="center"/>
              <w:rPr>
                <w:rFonts w:cs="Arial"/>
                <w:b/>
                <w:bCs/>
                <w:color w:val="FFFFFF" w:themeColor="background2"/>
                <w:sz w:val="18"/>
                <w:szCs w:val="18"/>
              </w:rPr>
            </w:pPr>
            <w:r w:rsidRPr="1922062C">
              <w:rPr>
                <w:rFonts w:cs="Arial"/>
                <w:b/>
                <w:bCs/>
                <w:color w:val="FFFFFF" w:themeColor="accent6"/>
                <w:sz w:val="18"/>
                <w:szCs w:val="18"/>
              </w:rPr>
              <w:t>RID</w:t>
            </w:r>
          </w:p>
        </w:tc>
      </w:tr>
      <w:tr w:rsidR="00383C9C" w:rsidRPr="00FA6911" w14:paraId="7376E602" w14:textId="77777777" w:rsidTr="00564F35">
        <w:trPr>
          <w:jc w:val="center"/>
        </w:trPr>
        <w:tc>
          <w:tcPr>
            <w:tcW w:w="926" w:type="pct"/>
            <w:tcBorders>
              <w:top w:val="single" w:sz="4" w:space="0" w:color="auto"/>
              <w:bottom w:val="single" w:sz="4" w:space="0" w:color="auto"/>
              <w:right w:val="single" w:sz="4" w:space="0" w:color="auto"/>
            </w:tcBorders>
            <w:shd w:val="clear" w:color="auto" w:fill="DFEBF1" w:themeFill="accent1" w:themeFillTint="1A"/>
            <w:vAlign w:val="center"/>
          </w:tcPr>
          <w:p w14:paraId="61109E79"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Grouping</w:t>
            </w:r>
          </w:p>
        </w:tc>
        <w:tc>
          <w:tcPr>
            <w:tcW w:w="969"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tcPr>
          <w:p w14:paraId="559C6F95" w14:textId="77777777" w:rsidR="00383C9C" w:rsidRPr="00F45F2F" w:rsidRDefault="00383C9C" w:rsidP="00383C9C">
            <w:pPr>
              <w:pStyle w:val="NoSpacing"/>
              <w:keepNext/>
              <w:keepLines/>
              <w:spacing w:before="40" w:after="40"/>
              <w:jc w:val="center"/>
              <w:rPr>
                <w:b/>
                <w:color w:val="auto"/>
                <w:sz w:val="18"/>
              </w:rPr>
            </w:pPr>
            <w:r w:rsidRPr="00F45F2F">
              <w:rPr>
                <w:b/>
                <w:color w:val="auto"/>
                <w:sz w:val="18"/>
              </w:rPr>
              <w:t>Complexity score</w:t>
            </w:r>
          </w:p>
        </w:tc>
        <w:tc>
          <w:tcPr>
            <w:tcW w:w="1002"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tcPr>
          <w:p w14:paraId="6D7188FC" w14:textId="77777777" w:rsidR="00383C9C" w:rsidRPr="00F45F2F" w:rsidRDefault="00383C9C" w:rsidP="00383C9C">
            <w:pPr>
              <w:pStyle w:val="NoSpacing"/>
              <w:keepNext/>
              <w:keepLines/>
              <w:spacing w:before="40" w:after="40"/>
              <w:jc w:val="center"/>
              <w:rPr>
                <w:b/>
                <w:color w:val="auto"/>
                <w:sz w:val="18"/>
              </w:rPr>
            </w:pPr>
            <w:r w:rsidRPr="00F45F2F">
              <w:rPr>
                <w:b/>
                <w:color w:val="auto"/>
                <w:sz w:val="18"/>
              </w:rPr>
              <w:t>End class</w:t>
            </w:r>
          </w:p>
        </w:tc>
        <w:tc>
          <w:tcPr>
            <w:tcW w:w="1002"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tcPr>
          <w:p w14:paraId="37A10DEE" w14:textId="77777777" w:rsidR="00383C9C" w:rsidRPr="00F45F2F" w:rsidRDefault="00383C9C" w:rsidP="00383C9C">
            <w:pPr>
              <w:pStyle w:val="NoSpacing"/>
              <w:keepNext/>
              <w:keepLines/>
              <w:spacing w:before="40" w:after="40"/>
              <w:jc w:val="center"/>
              <w:rPr>
                <w:b/>
                <w:color w:val="auto"/>
                <w:sz w:val="18"/>
              </w:rPr>
            </w:pPr>
            <w:r w:rsidRPr="00F45F2F">
              <w:rPr>
                <w:b/>
                <w:color w:val="auto"/>
                <w:sz w:val="18"/>
              </w:rPr>
              <w:t>End class</w:t>
            </w:r>
          </w:p>
        </w:tc>
        <w:tc>
          <w:tcPr>
            <w:tcW w:w="1101" w:type="pct"/>
            <w:gridSpan w:val="2"/>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tcPr>
          <w:p w14:paraId="38A029F8" w14:textId="77777777" w:rsidR="00383C9C" w:rsidRPr="00F45F2F" w:rsidRDefault="00383C9C" w:rsidP="00383C9C">
            <w:pPr>
              <w:pStyle w:val="NoSpacing"/>
              <w:keepNext/>
              <w:keepLines/>
              <w:spacing w:before="40" w:after="40"/>
              <w:jc w:val="center"/>
              <w:rPr>
                <w:b/>
                <w:color w:val="auto"/>
                <w:sz w:val="18"/>
              </w:rPr>
            </w:pPr>
            <w:r w:rsidRPr="00F45F2F">
              <w:rPr>
                <w:b/>
                <w:color w:val="auto"/>
                <w:sz w:val="18"/>
              </w:rPr>
              <w:t>End class</w:t>
            </w:r>
          </w:p>
        </w:tc>
      </w:tr>
      <w:tr w:rsidR="00B02FA5" w:rsidRPr="00FA6911" w14:paraId="541F88BB" w14:textId="77777777" w:rsidTr="00564F35">
        <w:trPr>
          <w:jc w:val="center"/>
        </w:trPr>
        <w:tc>
          <w:tcPr>
            <w:tcW w:w="926" w:type="pct"/>
            <w:tcBorders>
              <w:top w:val="single" w:sz="4" w:space="0" w:color="auto"/>
              <w:right w:val="single" w:sz="4" w:space="0" w:color="auto"/>
            </w:tcBorders>
            <w:shd w:val="clear" w:color="auto" w:fill="DFEBF1" w:themeFill="accent1" w:themeFillTint="1A"/>
            <w:vAlign w:val="center"/>
          </w:tcPr>
          <w:p w14:paraId="3362CF8A"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AMHCC version</w:t>
            </w:r>
          </w:p>
        </w:tc>
        <w:tc>
          <w:tcPr>
            <w:tcW w:w="466" w:type="pct"/>
            <w:tcBorders>
              <w:top w:val="single" w:sz="4" w:space="0" w:color="auto"/>
              <w:left w:val="single" w:sz="4" w:space="0" w:color="auto"/>
              <w:right w:val="single" w:sz="4" w:space="0" w:color="auto"/>
            </w:tcBorders>
            <w:shd w:val="clear" w:color="auto" w:fill="DFEBF1" w:themeFill="accent1" w:themeFillTint="1A"/>
            <w:vAlign w:val="center"/>
          </w:tcPr>
          <w:p w14:paraId="70C0C1DD"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V1.0</w:t>
            </w:r>
          </w:p>
        </w:tc>
        <w:tc>
          <w:tcPr>
            <w:tcW w:w="504" w:type="pct"/>
            <w:tcBorders>
              <w:top w:val="single" w:sz="4" w:space="0" w:color="auto"/>
              <w:left w:val="single" w:sz="4" w:space="0" w:color="auto"/>
              <w:right w:val="single" w:sz="4" w:space="0" w:color="auto"/>
            </w:tcBorders>
            <w:shd w:val="clear" w:color="auto" w:fill="DFEBF1" w:themeFill="accent1" w:themeFillTint="1A"/>
            <w:vAlign w:val="center"/>
          </w:tcPr>
          <w:p w14:paraId="2DDA283B"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V1.1</w:t>
            </w:r>
          </w:p>
        </w:tc>
        <w:tc>
          <w:tcPr>
            <w:tcW w:w="501" w:type="pct"/>
            <w:tcBorders>
              <w:top w:val="single" w:sz="4" w:space="0" w:color="auto"/>
              <w:left w:val="single" w:sz="4" w:space="0" w:color="auto"/>
              <w:right w:val="single" w:sz="4" w:space="0" w:color="auto"/>
            </w:tcBorders>
            <w:shd w:val="clear" w:color="auto" w:fill="DFEBF1" w:themeFill="accent1" w:themeFillTint="1A"/>
            <w:vAlign w:val="center"/>
          </w:tcPr>
          <w:p w14:paraId="25463D78"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V1.0</w:t>
            </w:r>
          </w:p>
        </w:tc>
        <w:tc>
          <w:tcPr>
            <w:tcW w:w="501" w:type="pct"/>
            <w:tcBorders>
              <w:top w:val="single" w:sz="4" w:space="0" w:color="auto"/>
              <w:left w:val="single" w:sz="4" w:space="0" w:color="auto"/>
              <w:right w:val="single" w:sz="4" w:space="0" w:color="auto"/>
            </w:tcBorders>
            <w:shd w:val="clear" w:color="auto" w:fill="DFEBF1" w:themeFill="accent1" w:themeFillTint="1A"/>
            <w:vAlign w:val="center"/>
          </w:tcPr>
          <w:p w14:paraId="12B0FCDD"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V1.1</w:t>
            </w:r>
          </w:p>
        </w:tc>
        <w:tc>
          <w:tcPr>
            <w:tcW w:w="501" w:type="pct"/>
            <w:tcBorders>
              <w:top w:val="single" w:sz="4" w:space="0" w:color="auto"/>
              <w:left w:val="single" w:sz="4" w:space="0" w:color="auto"/>
              <w:right w:val="single" w:sz="4" w:space="0" w:color="auto"/>
            </w:tcBorders>
            <w:shd w:val="clear" w:color="auto" w:fill="DFEBF1" w:themeFill="accent1" w:themeFillTint="1A"/>
            <w:vAlign w:val="center"/>
          </w:tcPr>
          <w:p w14:paraId="2AE15CB7"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V1.0</w:t>
            </w:r>
          </w:p>
        </w:tc>
        <w:tc>
          <w:tcPr>
            <w:tcW w:w="501" w:type="pct"/>
            <w:tcBorders>
              <w:top w:val="single" w:sz="4" w:space="0" w:color="auto"/>
              <w:left w:val="single" w:sz="4" w:space="0" w:color="auto"/>
              <w:right w:val="single" w:sz="4" w:space="0" w:color="auto"/>
            </w:tcBorders>
            <w:shd w:val="clear" w:color="auto" w:fill="DFEBF1" w:themeFill="accent1" w:themeFillTint="1A"/>
            <w:vAlign w:val="center"/>
          </w:tcPr>
          <w:p w14:paraId="22AE9553"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V1.1</w:t>
            </w:r>
          </w:p>
        </w:tc>
        <w:tc>
          <w:tcPr>
            <w:tcW w:w="536" w:type="pct"/>
            <w:tcBorders>
              <w:top w:val="single" w:sz="4" w:space="0" w:color="auto"/>
              <w:left w:val="single" w:sz="4" w:space="0" w:color="auto"/>
              <w:right w:val="single" w:sz="4" w:space="0" w:color="auto"/>
            </w:tcBorders>
            <w:shd w:val="clear" w:color="auto" w:fill="DFEBF1" w:themeFill="accent1" w:themeFillTint="1A"/>
            <w:vAlign w:val="center"/>
          </w:tcPr>
          <w:p w14:paraId="1EA35783"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V1.0</w:t>
            </w:r>
          </w:p>
        </w:tc>
        <w:tc>
          <w:tcPr>
            <w:tcW w:w="565" w:type="pct"/>
            <w:tcBorders>
              <w:top w:val="single" w:sz="4" w:space="0" w:color="auto"/>
              <w:left w:val="single" w:sz="4" w:space="0" w:color="auto"/>
              <w:right w:val="single" w:sz="4" w:space="0" w:color="auto"/>
            </w:tcBorders>
            <w:shd w:val="clear" w:color="auto" w:fill="DFEBF1" w:themeFill="accent1" w:themeFillTint="1A"/>
            <w:vAlign w:val="center"/>
          </w:tcPr>
          <w:p w14:paraId="7B610591" w14:textId="77777777" w:rsidR="00383C9C" w:rsidRPr="00F45F2F" w:rsidRDefault="00383C9C" w:rsidP="00F45F2F">
            <w:pPr>
              <w:pStyle w:val="NoSpacing"/>
              <w:keepNext/>
              <w:keepLines/>
              <w:spacing w:before="40" w:after="40"/>
              <w:jc w:val="center"/>
              <w:rPr>
                <w:b/>
                <w:color w:val="auto"/>
                <w:sz w:val="18"/>
              </w:rPr>
            </w:pPr>
            <w:r w:rsidRPr="00F45F2F">
              <w:rPr>
                <w:b/>
                <w:color w:val="auto"/>
                <w:sz w:val="18"/>
              </w:rPr>
              <w:t>V1.1</w:t>
            </w:r>
          </w:p>
        </w:tc>
      </w:tr>
      <w:tr w:rsidR="00DF4F2E" w:rsidRPr="00DF4F2E" w14:paraId="700246B5" w14:textId="77777777" w:rsidTr="00564F35">
        <w:trPr>
          <w:jc w:val="center"/>
        </w:trPr>
        <w:tc>
          <w:tcPr>
            <w:tcW w:w="926" w:type="pct"/>
            <w:tcBorders>
              <w:bottom w:val="single" w:sz="4" w:space="0" w:color="auto"/>
            </w:tcBorders>
            <w:vAlign w:val="center"/>
          </w:tcPr>
          <w:p w14:paraId="58CD4DEA"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Admitted</w:t>
            </w:r>
          </w:p>
        </w:tc>
        <w:tc>
          <w:tcPr>
            <w:tcW w:w="466" w:type="pct"/>
            <w:tcBorders>
              <w:bottom w:val="single" w:sz="4" w:space="0" w:color="auto"/>
            </w:tcBorders>
            <w:vAlign w:val="center"/>
          </w:tcPr>
          <w:p w14:paraId="5732FDFF"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14%</w:t>
            </w:r>
          </w:p>
        </w:tc>
        <w:tc>
          <w:tcPr>
            <w:tcW w:w="504" w:type="pct"/>
            <w:tcBorders>
              <w:bottom w:val="single" w:sz="4" w:space="0" w:color="auto"/>
            </w:tcBorders>
            <w:vAlign w:val="center"/>
          </w:tcPr>
          <w:p w14:paraId="5A47005E"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25%</w:t>
            </w:r>
          </w:p>
        </w:tc>
        <w:tc>
          <w:tcPr>
            <w:tcW w:w="501" w:type="pct"/>
            <w:tcBorders>
              <w:bottom w:val="single" w:sz="4" w:space="0" w:color="auto"/>
            </w:tcBorders>
            <w:vAlign w:val="center"/>
          </w:tcPr>
          <w:p w14:paraId="70E60317"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32%</w:t>
            </w:r>
          </w:p>
        </w:tc>
        <w:tc>
          <w:tcPr>
            <w:tcW w:w="501" w:type="pct"/>
            <w:tcBorders>
              <w:bottom w:val="single" w:sz="4" w:space="0" w:color="auto"/>
            </w:tcBorders>
            <w:vAlign w:val="center"/>
          </w:tcPr>
          <w:p w14:paraId="43118D9B"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34%</w:t>
            </w:r>
          </w:p>
        </w:tc>
        <w:tc>
          <w:tcPr>
            <w:tcW w:w="501" w:type="pct"/>
            <w:tcBorders>
              <w:bottom w:val="single" w:sz="4" w:space="0" w:color="auto"/>
            </w:tcBorders>
            <w:vAlign w:val="center"/>
          </w:tcPr>
          <w:p w14:paraId="13723DB7"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12%</w:t>
            </w:r>
          </w:p>
        </w:tc>
        <w:tc>
          <w:tcPr>
            <w:tcW w:w="501" w:type="pct"/>
            <w:tcBorders>
              <w:bottom w:val="single" w:sz="4" w:space="0" w:color="auto"/>
            </w:tcBorders>
            <w:vAlign w:val="center"/>
          </w:tcPr>
          <w:p w14:paraId="20B6571F"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14%</w:t>
            </w:r>
          </w:p>
        </w:tc>
        <w:tc>
          <w:tcPr>
            <w:tcW w:w="536" w:type="pct"/>
            <w:tcBorders>
              <w:bottom w:val="single" w:sz="4" w:space="0" w:color="auto"/>
            </w:tcBorders>
            <w:vAlign w:val="center"/>
          </w:tcPr>
          <w:p w14:paraId="0E38F83D"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12%</w:t>
            </w:r>
          </w:p>
        </w:tc>
        <w:tc>
          <w:tcPr>
            <w:tcW w:w="565" w:type="pct"/>
            <w:tcBorders>
              <w:bottom w:val="single" w:sz="4" w:space="0" w:color="auto"/>
            </w:tcBorders>
            <w:vAlign w:val="center"/>
          </w:tcPr>
          <w:p w14:paraId="3A97E393"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14%</w:t>
            </w:r>
          </w:p>
        </w:tc>
      </w:tr>
      <w:tr w:rsidR="00DF4F2E" w:rsidRPr="00DF4F2E" w14:paraId="3844151B" w14:textId="77777777" w:rsidTr="00564F35">
        <w:trPr>
          <w:jc w:val="center"/>
        </w:trPr>
        <w:tc>
          <w:tcPr>
            <w:tcW w:w="926" w:type="pct"/>
            <w:tcBorders>
              <w:top w:val="single" w:sz="4" w:space="0" w:color="auto"/>
              <w:bottom w:val="single" w:sz="4" w:space="0" w:color="auto"/>
            </w:tcBorders>
            <w:vAlign w:val="center"/>
          </w:tcPr>
          <w:p w14:paraId="225F7276"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Community</w:t>
            </w:r>
          </w:p>
        </w:tc>
        <w:tc>
          <w:tcPr>
            <w:tcW w:w="466" w:type="pct"/>
            <w:tcBorders>
              <w:top w:val="single" w:sz="4" w:space="0" w:color="auto"/>
              <w:bottom w:val="single" w:sz="4" w:space="0" w:color="auto"/>
            </w:tcBorders>
            <w:vAlign w:val="center"/>
          </w:tcPr>
          <w:p w14:paraId="42B6D123"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3%</w:t>
            </w:r>
          </w:p>
        </w:tc>
        <w:tc>
          <w:tcPr>
            <w:tcW w:w="504" w:type="pct"/>
            <w:tcBorders>
              <w:top w:val="single" w:sz="4" w:space="0" w:color="auto"/>
              <w:bottom w:val="single" w:sz="4" w:space="0" w:color="auto"/>
            </w:tcBorders>
            <w:vAlign w:val="center"/>
          </w:tcPr>
          <w:p w14:paraId="7A82155C"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8%</w:t>
            </w:r>
          </w:p>
        </w:tc>
        <w:tc>
          <w:tcPr>
            <w:tcW w:w="501" w:type="pct"/>
            <w:tcBorders>
              <w:top w:val="single" w:sz="4" w:space="0" w:color="auto"/>
              <w:bottom w:val="single" w:sz="4" w:space="0" w:color="auto"/>
            </w:tcBorders>
            <w:vAlign w:val="center"/>
          </w:tcPr>
          <w:p w14:paraId="6B7A6EF8"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15%</w:t>
            </w:r>
          </w:p>
        </w:tc>
        <w:tc>
          <w:tcPr>
            <w:tcW w:w="501" w:type="pct"/>
            <w:tcBorders>
              <w:top w:val="single" w:sz="4" w:space="0" w:color="auto"/>
              <w:bottom w:val="single" w:sz="4" w:space="0" w:color="auto"/>
            </w:tcBorders>
            <w:vAlign w:val="center"/>
          </w:tcPr>
          <w:p w14:paraId="5300065F"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16%</w:t>
            </w:r>
          </w:p>
        </w:tc>
        <w:tc>
          <w:tcPr>
            <w:tcW w:w="501" w:type="pct"/>
            <w:tcBorders>
              <w:top w:val="single" w:sz="4" w:space="0" w:color="auto"/>
              <w:bottom w:val="single" w:sz="4" w:space="0" w:color="auto"/>
            </w:tcBorders>
            <w:vAlign w:val="center"/>
          </w:tcPr>
          <w:p w14:paraId="4301421A"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10%</w:t>
            </w:r>
          </w:p>
        </w:tc>
        <w:tc>
          <w:tcPr>
            <w:tcW w:w="501" w:type="pct"/>
            <w:tcBorders>
              <w:top w:val="single" w:sz="4" w:space="0" w:color="auto"/>
              <w:bottom w:val="single" w:sz="4" w:space="0" w:color="auto"/>
            </w:tcBorders>
            <w:vAlign w:val="center"/>
          </w:tcPr>
          <w:p w14:paraId="2251C640"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11%</w:t>
            </w:r>
          </w:p>
        </w:tc>
        <w:tc>
          <w:tcPr>
            <w:tcW w:w="536" w:type="pct"/>
            <w:tcBorders>
              <w:top w:val="single" w:sz="4" w:space="0" w:color="auto"/>
              <w:bottom w:val="single" w:sz="4" w:space="0" w:color="auto"/>
            </w:tcBorders>
            <w:vAlign w:val="center"/>
          </w:tcPr>
          <w:p w14:paraId="362F40D2"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11%</w:t>
            </w:r>
          </w:p>
        </w:tc>
        <w:tc>
          <w:tcPr>
            <w:tcW w:w="565" w:type="pct"/>
            <w:tcBorders>
              <w:top w:val="single" w:sz="4" w:space="0" w:color="auto"/>
              <w:bottom w:val="single" w:sz="4" w:space="0" w:color="auto"/>
            </w:tcBorders>
            <w:vAlign w:val="center"/>
          </w:tcPr>
          <w:p w14:paraId="4DD67B46" w14:textId="77777777" w:rsidR="00383C9C" w:rsidRPr="007624A3" w:rsidRDefault="00383C9C" w:rsidP="00F45F2F">
            <w:pPr>
              <w:pStyle w:val="NoSpacing"/>
              <w:keepNext/>
              <w:keepLines/>
              <w:spacing w:before="40" w:after="40"/>
              <w:jc w:val="center"/>
              <w:rPr>
                <w:rFonts w:cs="Arial"/>
                <w:color w:val="15272F" w:themeColor="accent1"/>
                <w:sz w:val="18"/>
                <w:szCs w:val="18"/>
              </w:rPr>
            </w:pPr>
            <w:r w:rsidRPr="007624A3">
              <w:rPr>
                <w:rFonts w:cs="Arial"/>
                <w:color w:val="15272F" w:themeColor="accent1"/>
                <w:sz w:val="18"/>
                <w:szCs w:val="18"/>
              </w:rPr>
              <w:t>12%</w:t>
            </w:r>
          </w:p>
        </w:tc>
      </w:tr>
      <w:tr w:rsidR="00383C9C" w:rsidRPr="00DF4F2E" w14:paraId="602C335A" w14:textId="77777777" w:rsidTr="00564F35">
        <w:trPr>
          <w:jc w:val="center"/>
        </w:trPr>
        <w:tc>
          <w:tcPr>
            <w:tcW w:w="926" w:type="pct"/>
            <w:tcBorders>
              <w:top w:val="single" w:sz="4" w:space="0" w:color="auto"/>
            </w:tcBorders>
            <w:vAlign w:val="center"/>
          </w:tcPr>
          <w:p w14:paraId="26EA7D22"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Overall</w:t>
            </w:r>
          </w:p>
        </w:tc>
        <w:tc>
          <w:tcPr>
            <w:tcW w:w="466" w:type="pct"/>
            <w:tcBorders>
              <w:top w:val="single" w:sz="4" w:space="0" w:color="auto"/>
            </w:tcBorders>
            <w:vAlign w:val="center"/>
          </w:tcPr>
          <w:p w14:paraId="0CCF5068"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12%</w:t>
            </w:r>
          </w:p>
        </w:tc>
        <w:tc>
          <w:tcPr>
            <w:tcW w:w="504" w:type="pct"/>
            <w:tcBorders>
              <w:top w:val="single" w:sz="4" w:space="0" w:color="auto"/>
            </w:tcBorders>
            <w:vAlign w:val="center"/>
          </w:tcPr>
          <w:p w14:paraId="084C4B19"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14%</w:t>
            </w:r>
          </w:p>
        </w:tc>
        <w:tc>
          <w:tcPr>
            <w:tcW w:w="501" w:type="pct"/>
            <w:tcBorders>
              <w:top w:val="single" w:sz="4" w:space="0" w:color="auto"/>
            </w:tcBorders>
            <w:vAlign w:val="center"/>
          </w:tcPr>
          <w:p w14:paraId="71E9C317"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35%</w:t>
            </w:r>
          </w:p>
        </w:tc>
        <w:tc>
          <w:tcPr>
            <w:tcW w:w="501" w:type="pct"/>
            <w:tcBorders>
              <w:top w:val="single" w:sz="4" w:space="0" w:color="auto"/>
            </w:tcBorders>
            <w:vAlign w:val="center"/>
          </w:tcPr>
          <w:p w14:paraId="2FEE2E5C"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36%</w:t>
            </w:r>
          </w:p>
        </w:tc>
        <w:tc>
          <w:tcPr>
            <w:tcW w:w="501" w:type="pct"/>
            <w:tcBorders>
              <w:top w:val="single" w:sz="4" w:space="0" w:color="auto"/>
            </w:tcBorders>
            <w:vAlign w:val="center"/>
          </w:tcPr>
          <w:p w14:paraId="5F755391"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36%</w:t>
            </w:r>
          </w:p>
        </w:tc>
        <w:tc>
          <w:tcPr>
            <w:tcW w:w="501" w:type="pct"/>
            <w:tcBorders>
              <w:top w:val="single" w:sz="4" w:space="0" w:color="auto"/>
            </w:tcBorders>
            <w:vAlign w:val="center"/>
          </w:tcPr>
          <w:p w14:paraId="3313BAD7"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37%</w:t>
            </w:r>
          </w:p>
        </w:tc>
        <w:tc>
          <w:tcPr>
            <w:tcW w:w="536" w:type="pct"/>
            <w:tcBorders>
              <w:top w:val="single" w:sz="4" w:space="0" w:color="auto"/>
            </w:tcBorders>
            <w:vAlign w:val="center"/>
          </w:tcPr>
          <w:p w14:paraId="16F3A9CB"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39%</w:t>
            </w:r>
          </w:p>
        </w:tc>
        <w:tc>
          <w:tcPr>
            <w:tcW w:w="565" w:type="pct"/>
            <w:tcBorders>
              <w:top w:val="single" w:sz="4" w:space="0" w:color="auto"/>
            </w:tcBorders>
            <w:vAlign w:val="center"/>
          </w:tcPr>
          <w:p w14:paraId="1CC58280" w14:textId="77777777" w:rsidR="00383C9C" w:rsidRPr="007624A3" w:rsidRDefault="00383C9C" w:rsidP="00F45F2F">
            <w:pPr>
              <w:pStyle w:val="NoSpacing"/>
              <w:keepNext/>
              <w:keepLines/>
              <w:spacing w:before="40" w:after="40"/>
              <w:jc w:val="center"/>
              <w:rPr>
                <w:rFonts w:cs="Arial"/>
                <w:b/>
                <w:bCs/>
                <w:color w:val="15272F" w:themeColor="accent1"/>
                <w:sz w:val="18"/>
                <w:szCs w:val="18"/>
              </w:rPr>
            </w:pPr>
            <w:r w:rsidRPr="007624A3">
              <w:rPr>
                <w:rFonts w:cs="Arial"/>
                <w:b/>
                <w:bCs/>
                <w:color w:val="15272F" w:themeColor="accent1"/>
                <w:sz w:val="18"/>
                <w:szCs w:val="18"/>
              </w:rPr>
              <w:t>40%</w:t>
            </w:r>
          </w:p>
        </w:tc>
      </w:tr>
    </w:tbl>
    <w:p w14:paraId="4BF9D181" w14:textId="77777777" w:rsidR="00D917B3" w:rsidRPr="00DF4F2E" w:rsidRDefault="00D917B3" w:rsidP="00D917B3"/>
    <w:p w14:paraId="721D7CC6" w14:textId="1359A11E" w:rsidR="00BF6EFC" w:rsidRPr="00DF4F2E" w:rsidRDefault="00D917B3" w:rsidP="00D917B3">
      <w:r w:rsidRPr="00DF4F2E">
        <w:t xml:space="preserve">The AMHCC </w:t>
      </w:r>
      <w:r w:rsidR="007624A3">
        <w:t>V1</w:t>
      </w:r>
      <w:r w:rsidRPr="00DF4F2E">
        <w:t xml:space="preserve">.1 performs better than the AMHCC </w:t>
      </w:r>
      <w:r w:rsidR="007624A3">
        <w:t>V1</w:t>
      </w:r>
      <w:r w:rsidRPr="00DF4F2E">
        <w:t xml:space="preserve">.0 across both admitted and community settings. This outcome is consistent across all three measures of model performance. </w:t>
      </w:r>
      <w:r w:rsidR="006414A1" w:rsidRPr="00DF4F2E">
        <w:t xml:space="preserve">The improvement in model performance indicates that AMHCC </w:t>
      </w:r>
      <w:r w:rsidR="007624A3">
        <w:t>V1</w:t>
      </w:r>
      <w:r w:rsidR="006414A1" w:rsidRPr="00DF4F2E">
        <w:t xml:space="preserve">.1 can more accurately assign </w:t>
      </w:r>
      <w:r w:rsidR="0045432A">
        <w:t>high-cost</w:t>
      </w:r>
      <w:r w:rsidR="009A07A6" w:rsidRPr="00DF4F2E">
        <w:t xml:space="preserve"> </w:t>
      </w:r>
      <w:r w:rsidR="006414A1" w:rsidRPr="00DF4F2E">
        <w:t>mental health care phases to High complexity end classes</w:t>
      </w:r>
      <w:r w:rsidR="00762BA4" w:rsidRPr="00DF4F2E">
        <w:t xml:space="preserve"> compared to AMHCC </w:t>
      </w:r>
      <w:r w:rsidR="007624A3">
        <w:t>V1</w:t>
      </w:r>
      <w:r w:rsidR="00762BA4" w:rsidRPr="00DF4F2E">
        <w:t>.0</w:t>
      </w:r>
      <w:r w:rsidR="006414A1" w:rsidRPr="00DF4F2E">
        <w:t xml:space="preserve">. </w:t>
      </w:r>
      <w:r w:rsidRPr="00DF4F2E">
        <w:t>The modest improvement in performance is likely to be a result of the classification structure and input variables remaining unchanged between the two versions.</w:t>
      </w:r>
    </w:p>
    <w:p w14:paraId="76AF2D04" w14:textId="310722AD" w:rsidR="00383C9C" w:rsidRDefault="00D917B3" w:rsidP="005B2D22">
      <w:r w:rsidRPr="00DF4F2E">
        <w:t xml:space="preserve">A breakdown of model performance metrics for both AMHCC versions </w:t>
      </w:r>
      <w:r w:rsidR="00B87BB7" w:rsidRPr="00DF4F2E">
        <w:t xml:space="preserve">for each unique combination of </w:t>
      </w:r>
      <w:r w:rsidRPr="00DF4F2E">
        <w:t>setting and phase group</w:t>
      </w:r>
      <w:r w:rsidR="00B87BB7" w:rsidRPr="00DF4F2E">
        <w:t>,</w:t>
      </w:r>
      <w:r w:rsidRPr="00DF4F2E">
        <w:t xml:space="preserve"> and </w:t>
      </w:r>
      <w:r w:rsidR="00B87BB7" w:rsidRPr="00DF4F2E">
        <w:t xml:space="preserve">by </w:t>
      </w:r>
      <w:r w:rsidRPr="00DF4F2E">
        <w:t xml:space="preserve">segment are provided in </w:t>
      </w:r>
      <w:r w:rsidRPr="00DF4F2E">
        <w:rPr>
          <w:b/>
          <w:bCs/>
        </w:rPr>
        <w:t xml:space="preserve">Appendix </w:t>
      </w:r>
      <w:r w:rsidR="0005669C">
        <w:rPr>
          <w:b/>
          <w:bCs/>
        </w:rPr>
        <w:t>F</w:t>
      </w:r>
      <w:r w:rsidRPr="00DF4F2E">
        <w:t>.</w:t>
      </w:r>
    </w:p>
    <w:p w14:paraId="1CC47728" w14:textId="1A66D968" w:rsidR="00383C9C" w:rsidRPr="005B2D22" w:rsidRDefault="00383C9C" w:rsidP="005B2D22">
      <w:pPr>
        <w:sectPr w:rsidR="00383C9C" w:rsidRPr="005B2D22" w:rsidSect="00383C9C">
          <w:headerReference w:type="default" r:id="rId29"/>
          <w:pgSz w:w="11906" w:h="16838" w:code="9"/>
          <w:pgMar w:top="1440" w:right="1077" w:bottom="1440" w:left="1077" w:header="709" w:footer="709" w:gutter="0"/>
          <w:cols w:space="720"/>
          <w:docGrid w:linePitch="360"/>
        </w:sectPr>
      </w:pPr>
    </w:p>
    <w:p w14:paraId="406A9AE6" w14:textId="0EFBC036" w:rsidR="00624AE8" w:rsidRDefault="00C06ED7" w:rsidP="007624A3">
      <w:pPr>
        <w:pStyle w:val="Heading1"/>
        <w:numPr>
          <w:ilvl w:val="0"/>
          <w:numId w:val="5"/>
        </w:numPr>
      </w:pPr>
      <w:bookmarkStart w:id="142" w:name="_Toc152277116"/>
      <w:bookmarkStart w:id="143" w:name="_Toc152312738"/>
      <w:bookmarkStart w:id="144" w:name="_Toc153371612"/>
      <w:r>
        <w:lastRenderedPageBreak/>
        <w:t>Conclusion</w:t>
      </w:r>
      <w:bookmarkEnd w:id="142"/>
      <w:bookmarkEnd w:id="143"/>
      <w:bookmarkEnd w:id="144"/>
      <w:r>
        <w:t xml:space="preserve"> </w:t>
      </w:r>
    </w:p>
    <w:p w14:paraId="22F3DB88" w14:textId="5EFC006A" w:rsidR="006245DA" w:rsidRPr="00DF4F2E" w:rsidRDefault="40E3857C" w:rsidP="00162FFA">
      <w:r w:rsidRPr="00DF4F2E">
        <w:t xml:space="preserve">The </w:t>
      </w:r>
      <w:r w:rsidR="006F7AA6">
        <w:t>Australian Mental Health Care Classification (</w:t>
      </w:r>
      <w:r w:rsidRPr="00DF4F2E">
        <w:t>AMHCC</w:t>
      </w:r>
      <w:r w:rsidR="006F7AA6">
        <w:t>) Version 1.1</w:t>
      </w:r>
      <w:r w:rsidRPr="00DF4F2E">
        <w:t xml:space="preserve"> </w:t>
      </w:r>
      <w:proofErr w:type="gramStart"/>
      <w:r w:rsidR="006F7AA6">
        <w:t>(</w:t>
      </w:r>
      <w:r w:rsidRPr="00DF4F2E">
        <w:t xml:space="preserve"> </w:t>
      </w:r>
      <w:r w:rsidR="00BD78D3" w:rsidRPr="00DF4F2E">
        <w:t>V</w:t>
      </w:r>
      <w:proofErr w:type="gramEnd"/>
      <w:r w:rsidR="00E85805" w:rsidRPr="00DF4F2E">
        <w:t xml:space="preserve"> </w:t>
      </w:r>
      <w:r w:rsidRPr="00DF4F2E">
        <w:t>1.1</w:t>
      </w:r>
      <w:r w:rsidR="006F7AA6">
        <w:t>)</w:t>
      </w:r>
      <w:r w:rsidRPr="00DF4F2E">
        <w:t xml:space="preserve"> </w:t>
      </w:r>
      <w:r w:rsidR="00AC2360" w:rsidRPr="00DF4F2E">
        <w:t xml:space="preserve">produces recalibrated weights and complexity split thresholds which better capture national mental health activity and cost data trends using the latest three years of </w:t>
      </w:r>
      <w:r w:rsidR="00375A98" w:rsidRPr="00DF4F2E">
        <w:t xml:space="preserve">mental health care data. It also incorporates changes to align with </w:t>
      </w:r>
      <w:r w:rsidR="006F7AA6" w:rsidRPr="006E1B47">
        <w:t xml:space="preserve">National Outcomes and </w:t>
      </w:r>
      <w:proofErr w:type="spellStart"/>
      <w:r w:rsidR="006F7AA6" w:rsidRPr="006E1B47">
        <w:t>Casemix</w:t>
      </w:r>
      <w:proofErr w:type="spellEnd"/>
      <w:r w:rsidR="006F7AA6" w:rsidRPr="006E1B47">
        <w:t xml:space="preserve"> Collection</w:t>
      </w:r>
      <w:r w:rsidR="00375A98" w:rsidRPr="00DF4F2E">
        <w:t xml:space="preserve"> protocols, allowing </w:t>
      </w:r>
      <w:r w:rsidRPr="00DF4F2E">
        <w:t xml:space="preserve">phases with up to two missing </w:t>
      </w:r>
      <w:r w:rsidR="006F7AA6" w:rsidRPr="00742372">
        <w:t>Health of the Nation Outcome Scales</w:t>
      </w:r>
      <w:r w:rsidR="006F7AA6">
        <w:t xml:space="preserve"> (</w:t>
      </w:r>
      <w:proofErr w:type="spellStart"/>
      <w:r w:rsidRPr="00DF4F2E">
        <w:t>HoNOS</w:t>
      </w:r>
      <w:proofErr w:type="spellEnd"/>
      <w:r w:rsidR="006F7AA6">
        <w:t>)</w:t>
      </w:r>
      <w:r w:rsidRPr="00DF4F2E">
        <w:t xml:space="preserve"> items to receive a valid complexity score</w:t>
      </w:r>
      <w:r w:rsidR="00A30A6A" w:rsidRPr="00DF4F2E">
        <w:t xml:space="preserve"> and a High or Moderate </w:t>
      </w:r>
      <w:proofErr w:type="spellStart"/>
      <w:r w:rsidR="00A30A6A" w:rsidRPr="00DF4F2E">
        <w:t>HoNOS</w:t>
      </w:r>
      <w:proofErr w:type="spellEnd"/>
      <w:r w:rsidR="00A30A6A" w:rsidRPr="00DF4F2E">
        <w:t xml:space="preserve"> complexity grouping</w:t>
      </w:r>
      <w:r w:rsidRPr="00DF4F2E">
        <w:t xml:space="preserve">. </w:t>
      </w:r>
      <w:r w:rsidR="00756646" w:rsidRPr="00DF4F2E">
        <w:t xml:space="preserve">AMHCC </w:t>
      </w:r>
      <w:r w:rsidR="007624A3">
        <w:t>V1</w:t>
      </w:r>
      <w:r w:rsidR="00756646" w:rsidRPr="00DF4F2E">
        <w:t xml:space="preserve">.1 performs better than AMHCC </w:t>
      </w:r>
      <w:r w:rsidR="007624A3">
        <w:t>V</w:t>
      </w:r>
      <w:r w:rsidR="006F7AA6">
        <w:t xml:space="preserve">ersion </w:t>
      </w:r>
      <w:r w:rsidR="007624A3">
        <w:t>1</w:t>
      </w:r>
      <w:r w:rsidR="00756646" w:rsidRPr="00DF4F2E">
        <w:t>.0</w:t>
      </w:r>
      <w:r w:rsidR="00C11656" w:rsidRPr="00DF4F2E">
        <w:t xml:space="preserve"> in being able to </w:t>
      </w:r>
      <w:r w:rsidR="0051264B" w:rsidRPr="00DF4F2E">
        <w:t xml:space="preserve">differentiate costs between High and Moderate </w:t>
      </w:r>
      <w:r w:rsidR="00B1586B" w:rsidRPr="00DF4F2E">
        <w:t>complexity groupings</w:t>
      </w:r>
      <w:r w:rsidR="00E232ED">
        <w:t>.</w:t>
      </w:r>
    </w:p>
    <w:p w14:paraId="658F52AA" w14:textId="5A149F92" w:rsidR="007C3AEF" w:rsidRPr="00DF4F2E" w:rsidRDefault="006245DA" w:rsidP="007624A3">
      <w:pPr>
        <w:rPr>
          <w:rFonts w:eastAsia="Arial" w:cs="Arial"/>
        </w:rPr>
      </w:pPr>
      <w:r w:rsidRPr="00DF4F2E">
        <w:t xml:space="preserve">At the time of writing, AMHCC </w:t>
      </w:r>
      <w:r w:rsidR="00BD78D3" w:rsidRPr="00DF4F2E">
        <w:t>V</w:t>
      </w:r>
      <w:r w:rsidRPr="00DF4F2E">
        <w:t>1.</w:t>
      </w:r>
      <w:r w:rsidR="00223EE9" w:rsidRPr="00DF4F2E">
        <w:t>1</w:t>
      </w:r>
      <w:r w:rsidRPr="00DF4F2E">
        <w:t xml:space="preserve"> has not been used to inform</w:t>
      </w:r>
      <w:r w:rsidR="00F2236F" w:rsidRPr="00DF4F2E">
        <w:t xml:space="preserve"> prices or price weights</w:t>
      </w:r>
      <w:r w:rsidR="00230F07" w:rsidRPr="00DF4F2E">
        <w:t xml:space="preserve"> which are </w:t>
      </w:r>
      <w:r w:rsidR="00223EE9" w:rsidRPr="00DF4F2E">
        <w:t>determined</w:t>
      </w:r>
      <w:r w:rsidR="00230F07" w:rsidRPr="00DF4F2E">
        <w:t xml:space="preserve"> by </w:t>
      </w:r>
      <w:r w:rsidR="006F7AA6">
        <w:t>the Independent Health and Aged Care Pricing Authority</w:t>
      </w:r>
      <w:r w:rsidR="0034245C">
        <w:t xml:space="preserve"> (IHACPA)</w:t>
      </w:r>
      <w:r w:rsidR="00230F07" w:rsidRPr="00DF4F2E">
        <w:t xml:space="preserve"> as required by the </w:t>
      </w:r>
      <w:r w:rsidR="0034245C" w:rsidRPr="00280562">
        <w:t>National Health Reform Agreement</w:t>
      </w:r>
      <w:r w:rsidR="00230F07" w:rsidRPr="00DF4F2E">
        <w:t xml:space="preserve">. </w:t>
      </w:r>
      <w:r w:rsidR="004664C8" w:rsidRPr="00DF4F2E">
        <w:t xml:space="preserve">IHACPA will undertake additional </w:t>
      </w:r>
      <w:r w:rsidR="00F077CE" w:rsidRPr="00DF4F2E">
        <w:t xml:space="preserve">analysis and consultation </w:t>
      </w:r>
      <w:r w:rsidR="004664C8" w:rsidRPr="00DF4F2E">
        <w:t xml:space="preserve">to determine the appropriate time at which to </w:t>
      </w:r>
      <w:r w:rsidR="00501F73" w:rsidRPr="00DF4F2E">
        <w:t>use AMHCC V1.1 to inform</w:t>
      </w:r>
      <w:r w:rsidR="00F077CE" w:rsidRPr="00DF4F2E">
        <w:t xml:space="preserve"> </w:t>
      </w:r>
      <w:r w:rsidR="00223EE9" w:rsidRPr="00DF4F2E">
        <w:t xml:space="preserve">these figures, and consequently </w:t>
      </w:r>
      <w:r w:rsidR="00F90B9D" w:rsidRPr="00DF4F2E">
        <w:t>to inform Commonwealth funding of public hospitals</w:t>
      </w:r>
      <w:r w:rsidR="00223EE9" w:rsidRPr="00DF4F2E">
        <w:t>.</w:t>
      </w:r>
      <w:r w:rsidR="00CB3869" w:rsidRPr="00DF4F2E">
        <w:t xml:space="preserve"> </w:t>
      </w:r>
      <w:r w:rsidR="007C3AEF" w:rsidRPr="00DF4F2E">
        <w:t>R</w:t>
      </w:r>
      <w:r w:rsidR="007C3AEF" w:rsidRPr="007624A3">
        <w:t xml:space="preserve">equirements for pricing new versions of classifications and shadow pricing considerations are outlined in the </w:t>
      </w:r>
      <w:hyperlink r:id="rId30" w:history="1">
        <w:r w:rsidR="007C3AEF" w:rsidRPr="007624A3">
          <w:rPr>
            <w:rStyle w:val="Hyperlink"/>
            <w:rFonts w:cs="Arial"/>
            <w:i/>
            <w:iCs/>
            <w:color w:val="15272F" w:themeColor="accent1"/>
          </w:rPr>
          <w:t>National Pricing Model Consultation Policy</w:t>
        </w:r>
      </w:hyperlink>
      <w:r w:rsidR="007C3AEF" w:rsidRPr="007624A3">
        <w:rPr>
          <w:i/>
          <w:iCs/>
        </w:rPr>
        <w:t xml:space="preserve"> </w:t>
      </w:r>
      <w:r w:rsidR="007C3AEF" w:rsidRPr="007624A3">
        <w:t xml:space="preserve">and the </w:t>
      </w:r>
      <w:hyperlink r:id="rId31" w:history="1">
        <w:r w:rsidR="007C3AEF" w:rsidRPr="007624A3">
          <w:rPr>
            <w:rStyle w:val="Hyperlink"/>
            <w:rFonts w:cs="Arial"/>
            <w:i/>
            <w:iCs/>
            <w:color w:val="15272F" w:themeColor="accent1"/>
          </w:rPr>
          <w:t>Shadow Pricing Guidelines</w:t>
        </w:r>
      </w:hyperlink>
      <w:r w:rsidR="007C3AEF" w:rsidRPr="007624A3">
        <w:t xml:space="preserve">. </w:t>
      </w:r>
    </w:p>
    <w:p w14:paraId="5BDB8E3E" w14:textId="77DCF268" w:rsidR="00624AE8" w:rsidRPr="00DF4F2E" w:rsidRDefault="00162FFA" w:rsidP="387A6296">
      <w:r w:rsidRPr="00DF4F2E">
        <w:t xml:space="preserve">Supporting materials, including updated technical specifications and groupers, will be </w:t>
      </w:r>
      <w:r w:rsidR="00F166C4" w:rsidRPr="00DF4F2E">
        <w:t>developed,</w:t>
      </w:r>
      <w:r w:rsidRPr="00DF4F2E">
        <w:t xml:space="preserve"> and released on the IHACPA website in late 2023. </w:t>
      </w:r>
      <w:r w:rsidR="63252296" w:rsidRPr="00DF4F2E">
        <w:t xml:space="preserve">IHACPA continues to consult with </w:t>
      </w:r>
      <w:r w:rsidR="00CC3108">
        <w:t>jurisdictions</w:t>
      </w:r>
      <w:r w:rsidR="63252296" w:rsidRPr="00DF4F2E">
        <w:t xml:space="preserve">, health services, peak bodies, mental health clinicians and consumers to develop and refine the AMHCC </w:t>
      </w:r>
      <w:r w:rsidR="0045432A" w:rsidRPr="00DF4F2E">
        <w:t>based on</w:t>
      </w:r>
      <w:r w:rsidR="63252296" w:rsidRPr="00DF4F2E">
        <w:t xml:space="preserve"> the most recent activity and cost data to better account for and fund mental health care services across Australia with increased transparency and greater efficiency.</w:t>
      </w:r>
    </w:p>
    <w:p w14:paraId="56711D0B" w14:textId="0496CA5D" w:rsidR="00BF16BF" w:rsidRDefault="00BF16BF">
      <w:r>
        <w:br w:type="page"/>
      </w:r>
    </w:p>
    <w:p w14:paraId="15F9EB40" w14:textId="3CAB76D7" w:rsidR="009D4000" w:rsidRDefault="00B13675" w:rsidP="009D4000">
      <w:pPr>
        <w:pStyle w:val="Heading1"/>
      </w:pPr>
      <w:bookmarkStart w:id="145" w:name="_Toc152277117"/>
      <w:bookmarkStart w:id="146" w:name="_Toc152312739"/>
      <w:bookmarkStart w:id="147" w:name="_Toc153371613"/>
      <w:r>
        <w:lastRenderedPageBreak/>
        <w:t>Appendix A</w:t>
      </w:r>
      <w:r w:rsidR="00951157">
        <w:t>:</w:t>
      </w:r>
      <w:r w:rsidR="009D4000">
        <w:t xml:space="preserve"> Mental Health Working Group</w:t>
      </w:r>
      <w:bookmarkEnd w:id="145"/>
      <w:bookmarkEnd w:id="146"/>
      <w:bookmarkEnd w:id="147"/>
    </w:p>
    <w:p w14:paraId="57E6BF85" w14:textId="79A3C8B4" w:rsidR="009D4000" w:rsidRDefault="009D4000" w:rsidP="009D4000">
      <w:pPr>
        <w:pStyle w:val="TableFigureheading"/>
      </w:pPr>
      <w:r w:rsidRPr="00F43B0F">
        <w:t xml:space="preserve">Table </w:t>
      </w:r>
      <w:r w:rsidR="00DF4F2E" w:rsidRPr="00F43B0F">
        <w:t>9</w:t>
      </w:r>
      <w:r w:rsidR="00655D12" w:rsidRPr="00F43B0F">
        <w:t>.</w:t>
      </w:r>
      <w:r>
        <w:t xml:space="preserve"> Independent Health and Aged Care Pricing Authority – Mental Health Working Group</w:t>
      </w:r>
    </w:p>
    <w:tbl>
      <w:tblPr>
        <w:tblStyle w:val="IHACPATable"/>
        <w:tblW w:w="9781" w:type="dxa"/>
        <w:tblLayout w:type="fixed"/>
        <w:tblLook w:val="0020" w:firstRow="1" w:lastRow="0" w:firstColumn="0" w:lastColumn="0" w:noHBand="0" w:noVBand="0"/>
      </w:tblPr>
      <w:tblGrid>
        <w:gridCol w:w="9781"/>
      </w:tblGrid>
      <w:tr w:rsidR="009D4000" w:rsidRPr="009D4000" w14:paraId="197EC3EF" w14:textId="2C9A8FCF" w:rsidTr="1922062C">
        <w:trPr>
          <w:cnfStyle w:val="100000000000" w:firstRow="1" w:lastRow="0" w:firstColumn="0" w:lastColumn="0" w:oddVBand="0" w:evenVBand="0" w:oddHBand="0" w:evenHBand="0" w:firstRowFirstColumn="0" w:firstRowLastColumn="0" w:lastRowFirstColumn="0" w:lastRowLastColumn="0"/>
          <w:trHeight w:val="20"/>
        </w:trPr>
        <w:tc>
          <w:tcPr>
            <w:tcW w:w="9781" w:type="dxa"/>
          </w:tcPr>
          <w:p w14:paraId="14479729" w14:textId="1BABE5C6" w:rsidR="009D4000" w:rsidRPr="009D4000" w:rsidRDefault="009D4000" w:rsidP="004D5904">
            <w:pPr>
              <w:spacing w:before="120" w:after="120"/>
              <w:rPr>
                <w:color w:val="1C1C1C"/>
                <w:sz w:val="20"/>
                <w:szCs w:val="20"/>
              </w:rPr>
            </w:pPr>
            <w:r w:rsidRPr="1922062C">
              <w:rPr>
                <w:b/>
                <w:bCs/>
                <w:color w:val="FFFFFF" w:themeColor="accent6"/>
                <w:sz w:val="20"/>
                <w:szCs w:val="20"/>
              </w:rPr>
              <w:t>Organisation / Jurisdiction</w:t>
            </w:r>
          </w:p>
        </w:tc>
      </w:tr>
      <w:tr w:rsidR="009D4000" w:rsidRPr="009D4000" w14:paraId="75F73144" w14:textId="4158CC02"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4666EF4D" w14:textId="4B316768" w:rsidR="009D4000" w:rsidRPr="006813EB" w:rsidRDefault="00D72F37" w:rsidP="009D4000">
            <w:pPr>
              <w:spacing w:before="120" w:after="120"/>
              <w:rPr>
                <w:szCs w:val="18"/>
              </w:rPr>
            </w:pPr>
            <w:r w:rsidRPr="006813EB">
              <w:rPr>
                <w:szCs w:val="18"/>
              </w:rPr>
              <w:t>A representative of each state and territory and the Commonwealth</w:t>
            </w:r>
          </w:p>
        </w:tc>
      </w:tr>
      <w:tr w:rsidR="00D72F37" w:rsidRPr="009D4000" w14:paraId="1E51E3BF" w14:textId="29A1A12B"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46E6C64A" w14:textId="75FDEE08" w:rsidR="00D72F37" w:rsidRPr="00655D12" w:rsidRDefault="00D72F37" w:rsidP="00D72F37">
            <w:pPr>
              <w:spacing w:before="120" w:after="120"/>
              <w:rPr>
                <w:sz w:val="20"/>
                <w:szCs w:val="20"/>
                <w:highlight w:val="yellow"/>
              </w:rPr>
            </w:pPr>
            <w:r w:rsidRPr="00DF4F2E">
              <w:t>The Deputy Chief Medical Officer for Mental Health (Commonwealth)</w:t>
            </w:r>
          </w:p>
        </w:tc>
      </w:tr>
      <w:tr w:rsidR="00D72F37" w:rsidRPr="009D4000" w14:paraId="7F3B1ACC" w14:textId="35349D8C"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3AFFB7CE" w14:textId="6E5B0751" w:rsidR="00D72F37" w:rsidRPr="00655D12" w:rsidRDefault="00D72F37" w:rsidP="00D72F37">
            <w:pPr>
              <w:spacing w:before="120" w:after="120"/>
              <w:rPr>
                <w:sz w:val="20"/>
                <w:szCs w:val="20"/>
                <w:highlight w:val="yellow"/>
              </w:rPr>
            </w:pPr>
            <w:r w:rsidRPr="00DF4F2E">
              <w:t>A representative of the National Mental Health Commission</w:t>
            </w:r>
          </w:p>
        </w:tc>
      </w:tr>
      <w:tr w:rsidR="00D72F37" w:rsidRPr="009D4000" w14:paraId="7F592266" w14:textId="1B462737"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5C388527" w14:textId="01A46869" w:rsidR="00D72F37" w:rsidRPr="00655D12" w:rsidRDefault="00D72F37" w:rsidP="00D72F37">
            <w:pPr>
              <w:spacing w:before="120" w:after="120"/>
              <w:rPr>
                <w:sz w:val="20"/>
                <w:szCs w:val="20"/>
                <w:highlight w:val="yellow"/>
              </w:rPr>
            </w:pPr>
            <w:r w:rsidRPr="00DF4F2E">
              <w:t>A representative of the Mental Health Australia</w:t>
            </w:r>
          </w:p>
        </w:tc>
      </w:tr>
      <w:tr w:rsidR="00D72F37" w:rsidRPr="009D4000" w14:paraId="55D3FF78" w14:textId="357E297D"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4FADB3B5" w14:textId="5B6B1129" w:rsidR="00D72F37" w:rsidRPr="00655D12" w:rsidRDefault="00D72F37" w:rsidP="00D72F37">
            <w:pPr>
              <w:spacing w:before="120" w:after="120"/>
              <w:rPr>
                <w:sz w:val="20"/>
                <w:szCs w:val="20"/>
                <w:highlight w:val="yellow"/>
              </w:rPr>
            </w:pPr>
            <w:r w:rsidRPr="00DF4F2E">
              <w:t>The Chair of the Mental Health Information Strategy Standing Committee</w:t>
            </w:r>
          </w:p>
        </w:tc>
      </w:tr>
      <w:tr w:rsidR="00D72F37" w:rsidRPr="009D4000" w14:paraId="0F974B88" w14:textId="3E956A1D"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310107DC" w14:textId="6CD19030" w:rsidR="00D72F37" w:rsidRPr="00655D12" w:rsidRDefault="00D72F37" w:rsidP="00D72F37">
            <w:pPr>
              <w:spacing w:before="120" w:after="120"/>
              <w:rPr>
                <w:sz w:val="20"/>
                <w:szCs w:val="20"/>
                <w:highlight w:val="yellow"/>
              </w:rPr>
            </w:pPr>
            <w:r w:rsidRPr="00DF4F2E">
              <w:t xml:space="preserve">Three representatives of the Royal Australian and New Zealand College of Psychiatrists to represent the specialties of child and adolescent, </w:t>
            </w:r>
            <w:proofErr w:type="gramStart"/>
            <w:r w:rsidRPr="00DF4F2E">
              <w:t>adult</w:t>
            </w:r>
            <w:proofErr w:type="gramEnd"/>
            <w:r w:rsidRPr="00DF4F2E">
              <w:t xml:space="preserve"> and older persons’ psychiatry</w:t>
            </w:r>
          </w:p>
        </w:tc>
      </w:tr>
      <w:tr w:rsidR="00D72F37" w:rsidRPr="009D4000" w14:paraId="08CC8663" w14:textId="4938EE06"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35D6B438" w14:textId="04EE68D9" w:rsidR="00D72F37" w:rsidRPr="00655D12" w:rsidRDefault="00D72F37" w:rsidP="00D72F37">
            <w:pPr>
              <w:spacing w:before="120" w:after="120"/>
              <w:rPr>
                <w:sz w:val="20"/>
                <w:szCs w:val="20"/>
                <w:highlight w:val="yellow"/>
              </w:rPr>
            </w:pPr>
            <w:r w:rsidRPr="00DF4F2E">
              <w:t>A representative of the Australian College of Mental Health Nurses</w:t>
            </w:r>
          </w:p>
        </w:tc>
      </w:tr>
      <w:tr w:rsidR="00D72F37" w:rsidRPr="009D4000" w14:paraId="294BBC6A" w14:textId="1CE883AC"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7347EC93" w14:textId="13A43095" w:rsidR="00D72F37" w:rsidRPr="00655D12" w:rsidRDefault="00D72F37" w:rsidP="00D72F37">
            <w:pPr>
              <w:spacing w:before="120" w:after="120"/>
              <w:rPr>
                <w:sz w:val="20"/>
                <w:szCs w:val="20"/>
                <w:highlight w:val="yellow"/>
              </w:rPr>
            </w:pPr>
            <w:r w:rsidRPr="00DF4F2E">
              <w:t>A representative of Allied Health Professions Australia</w:t>
            </w:r>
          </w:p>
        </w:tc>
      </w:tr>
      <w:tr w:rsidR="00D72F37" w:rsidRPr="009D4000" w14:paraId="375AACC4" w14:textId="6FE81A45"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424DA25D" w14:textId="46957CF8" w:rsidR="00D72F37" w:rsidRPr="00655D12" w:rsidRDefault="00D72F37" w:rsidP="00D72F37">
            <w:pPr>
              <w:spacing w:before="120" w:after="120"/>
              <w:rPr>
                <w:sz w:val="20"/>
                <w:szCs w:val="20"/>
                <w:highlight w:val="yellow"/>
              </w:rPr>
            </w:pPr>
            <w:r w:rsidRPr="00DF4F2E">
              <w:t>A representative of the Royal Australian College of General Practitioners (observer status)</w:t>
            </w:r>
          </w:p>
        </w:tc>
      </w:tr>
      <w:tr w:rsidR="00D72F37" w:rsidRPr="009D4000" w14:paraId="02949C60" w14:textId="4B4692BD"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78201A0F" w14:textId="6F487F3F" w:rsidR="00D72F37" w:rsidRPr="00655D12" w:rsidRDefault="00D72F37" w:rsidP="00D72F37">
            <w:pPr>
              <w:spacing w:before="120" w:after="120"/>
              <w:rPr>
                <w:sz w:val="20"/>
                <w:szCs w:val="20"/>
                <w:highlight w:val="yellow"/>
              </w:rPr>
            </w:pPr>
            <w:r w:rsidRPr="00DF4F2E">
              <w:t>A representative of the Australian Private Hospitals Association</w:t>
            </w:r>
          </w:p>
        </w:tc>
      </w:tr>
      <w:tr w:rsidR="00D72F37" w:rsidRPr="009D4000" w14:paraId="6EE84ABE" w14:textId="481DDE4A"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0946744C" w14:textId="3ACC3BC6" w:rsidR="00D72F37" w:rsidRPr="00655D12" w:rsidRDefault="00D72F37" w:rsidP="00D72F37">
            <w:pPr>
              <w:spacing w:before="120" w:after="120"/>
              <w:rPr>
                <w:sz w:val="20"/>
                <w:szCs w:val="20"/>
                <w:highlight w:val="yellow"/>
              </w:rPr>
            </w:pPr>
            <w:r w:rsidRPr="00DF4F2E">
              <w:t>A representative of the Private Healthcare Australia</w:t>
            </w:r>
          </w:p>
        </w:tc>
      </w:tr>
      <w:tr w:rsidR="00D72F37" w:rsidRPr="009D4000" w14:paraId="2BA4DA19" w14:textId="42EDEE9E"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05A1CF92" w14:textId="5086155A" w:rsidR="00D72F37" w:rsidRPr="00655D12" w:rsidRDefault="00D72F37" w:rsidP="00D72F37">
            <w:pPr>
              <w:spacing w:before="120" w:after="120"/>
              <w:rPr>
                <w:sz w:val="20"/>
                <w:szCs w:val="20"/>
                <w:highlight w:val="yellow"/>
              </w:rPr>
            </w:pPr>
            <w:r w:rsidRPr="00DF4F2E">
              <w:t>A representative of Community Mental Health Australia</w:t>
            </w:r>
          </w:p>
        </w:tc>
      </w:tr>
      <w:tr w:rsidR="00D72F37" w:rsidRPr="009D4000" w14:paraId="4A11CBB1" w14:textId="77A7D125" w:rsidTr="1922062C">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7C11986F" w14:textId="2BE7D374" w:rsidR="00D72F37" w:rsidRPr="00655D12" w:rsidRDefault="00D72F37" w:rsidP="00D72F37">
            <w:pPr>
              <w:spacing w:before="120" w:after="120"/>
              <w:rPr>
                <w:sz w:val="20"/>
                <w:szCs w:val="20"/>
                <w:highlight w:val="yellow"/>
              </w:rPr>
            </w:pPr>
            <w:r w:rsidRPr="00DF4F2E">
              <w:t>A representative of the National Disability Insurance Agency</w:t>
            </w:r>
          </w:p>
        </w:tc>
      </w:tr>
      <w:tr w:rsidR="00D72F37" w:rsidRPr="009D4000" w14:paraId="5DCE0CC9" w14:textId="181240BE"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29347DE2" w14:textId="1DB73252" w:rsidR="00D72F37" w:rsidRPr="00655D12" w:rsidRDefault="00D72F37" w:rsidP="00D72F37">
            <w:pPr>
              <w:spacing w:before="120" w:after="120"/>
              <w:rPr>
                <w:sz w:val="20"/>
                <w:szCs w:val="20"/>
                <w:highlight w:val="yellow"/>
              </w:rPr>
            </w:pPr>
            <w:r w:rsidRPr="00DF4F2E">
              <w:t>Three mental health clinicians with appropriate expertise in mental health services and systems</w:t>
            </w:r>
          </w:p>
        </w:tc>
      </w:tr>
      <w:tr w:rsidR="00D72F37" w:rsidRPr="009D4000" w14:paraId="5CB005E2" w14:textId="6B9BA4DE" w:rsidTr="00D72F37">
        <w:trPr>
          <w:cnfStyle w:val="000000100000" w:firstRow="0" w:lastRow="0" w:firstColumn="0" w:lastColumn="0" w:oddVBand="0" w:evenVBand="0" w:oddHBand="1" w:evenHBand="0" w:firstRowFirstColumn="0" w:firstRowLastColumn="0" w:lastRowFirstColumn="0" w:lastRowLastColumn="0"/>
          <w:trHeight w:val="231"/>
        </w:trPr>
        <w:tc>
          <w:tcPr>
            <w:tcW w:w="9781" w:type="dxa"/>
            <w:tcBorders>
              <w:top w:val="single" w:sz="4" w:space="0" w:color="DFEBF1" w:themeColor="accent1" w:themeTint="1A"/>
              <w:bottom w:val="single" w:sz="4" w:space="0" w:color="DFEBF1" w:themeColor="accent1" w:themeTint="1A"/>
            </w:tcBorders>
            <w:shd w:val="clear" w:color="auto" w:fill="auto"/>
          </w:tcPr>
          <w:p w14:paraId="1E9BDE68" w14:textId="38533817" w:rsidR="00D72F37" w:rsidRPr="00655D12" w:rsidRDefault="00D72F37" w:rsidP="00D72F37">
            <w:pPr>
              <w:spacing w:before="120" w:after="120"/>
              <w:rPr>
                <w:sz w:val="20"/>
                <w:szCs w:val="20"/>
                <w:highlight w:val="yellow"/>
              </w:rPr>
            </w:pPr>
            <w:r w:rsidRPr="00DF4F2E">
              <w:t>A mental health consumer representative and a mental health carer representative</w:t>
            </w:r>
          </w:p>
        </w:tc>
      </w:tr>
      <w:tr w:rsidR="00D72F37" w:rsidRPr="009D4000" w14:paraId="4B52DA6B" w14:textId="53663245" w:rsidTr="1922062C">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3E4DD78C" w14:textId="505000A6" w:rsidR="00D72F37" w:rsidRPr="00655D12" w:rsidRDefault="00D72F37" w:rsidP="00D72F37">
            <w:pPr>
              <w:spacing w:before="120" w:after="120"/>
              <w:rPr>
                <w:sz w:val="20"/>
                <w:szCs w:val="20"/>
                <w:highlight w:val="yellow"/>
              </w:rPr>
            </w:pPr>
            <w:r w:rsidRPr="00DF4F2E">
              <w:t>A representative of IHACPA’s Clinical Advisory Committee</w:t>
            </w:r>
          </w:p>
        </w:tc>
      </w:tr>
    </w:tbl>
    <w:p w14:paraId="644C0D7B" w14:textId="23E859A8" w:rsidR="00B13675" w:rsidRDefault="00B13675" w:rsidP="009D4000">
      <w:r>
        <w:br w:type="page"/>
      </w:r>
    </w:p>
    <w:p w14:paraId="19C79A76" w14:textId="647EFA9D" w:rsidR="009D2938" w:rsidRDefault="009D2938" w:rsidP="00DF5CC1">
      <w:pPr>
        <w:pStyle w:val="Heading1"/>
      </w:pPr>
      <w:bookmarkStart w:id="148" w:name="_Toc152277118"/>
      <w:bookmarkStart w:id="149" w:name="_Toc152312740"/>
      <w:bookmarkStart w:id="150" w:name="_Toc153371614"/>
      <w:r>
        <w:lastRenderedPageBreak/>
        <w:t xml:space="preserve">Appendix </w:t>
      </w:r>
      <w:r w:rsidR="001708C2">
        <w:t>B</w:t>
      </w:r>
      <w:r>
        <w:t xml:space="preserve">: Data </w:t>
      </w:r>
      <w:r w:rsidR="0034245C">
        <w:t>p</w:t>
      </w:r>
      <w:r>
        <w:t xml:space="preserve">reparation in </w:t>
      </w:r>
      <w:r w:rsidR="0034245C">
        <w:t>r</w:t>
      </w:r>
      <w:r>
        <w:t>esponse to COVID-19</w:t>
      </w:r>
      <w:bookmarkEnd w:id="148"/>
      <w:bookmarkEnd w:id="149"/>
      <w:bookmarkEnd w:id="150"/>
    </w:p>
    <w:p w14:paraId="503A67FC" w14:textId="061A1513" w:rsidR="005F1DFE" w:rsidRPr="0011228B" w:rsidRDefault="005F1DFE" w:rsidP="005F1DFE">
      <w:r>
        <w:t>Due to the</w:t>
      </w:r>
      <w:r w:rsidR="0045432A">
        <w:t xml:space="preserve"> potential</w:t>
      </w:r>
      <w:r>
        <w:t xml:space="preserve"> impact of COVID-19 on </w:t>
      </w:r>
      <w:r w:rsidR="0045432A">
        <w:t>cost and activity data</w:t>
      </w:r>
      <w:r>
        <w:t xml:space="preserve">, IHACPA undertook additional analysis to assess what combination of data </w:t>
      </w:r>
      <w:r w:rsidR="0045432A">
        <w:t xml:space="preserve">collection </w:t>
      </w:r>
      <w:r>
        <w:t xml:space="preserve">years could be used in the AMHCC </w:t>
      </w:r>
      <w:r w:rsidR="007624A3">
        <w:t>V1</w:t>
      </w:r>
      <w:r>
        <w:t xml:space="preserve">.1 refinement. </w:t>
      </w:r>
    </w:p>
    <w:p w14:paraId="784A6640" w14:textId="77777777" w:rsidR="005F1DFE" w:rsidRDefault="005F1DFE" w:rsidP="005F1DFE">
      <w:r>
        <w:t>The potential impact of COVID-19 was considered by analysing:</w:t>
      </w:r>
    </w:p>
    <w:p w14:paraId="594196C4" w14:textId="77777777" w:rsidR="005F1DFE" w:rsidRDefault="005F1DFE" w:rsidP="005F1DFE">
      <w:pPr>
        <w:pStyle w:val="ListParagraph"/>
        <w:numPr>
          <w:ilvl w:val="0"/>
          <w:numId w:val="22"/>
        </w:numPr>
      </w:pPr>
      <w:r>
        <w:t xml:space="preserve">the distribution of key classification variables to assess whether there was a shift in the nature and type of mental health activity being reported across the three data </w:t>
      </w:r>
      <w:proofErr w:type="gramStart"/>
      <w:r>
        <w:t>years</w:t>
      </w:r>
      <w:proofErr w:type="gramEnd"/>
    </w:p>
    <w:p w14:paraId="4441BE3C" w14:textId="77777777" w:rsidR="005F1DFE" w:rsidRDefault="005F1DFE" w:rsidP="005F1DFE">
      <w:pPr>
        <w:pStyle w:val="ListParagraph"/>
        <w:numPr>
          <w:ilvl w:val="0"/>
          <w:numId w:val="22"/>
        </w:numPr>
      </w:pPr>
      <w:r>
        <w:t>the average phase cost to assess if there was a change in cost per phase between the two-year and three-year periods.</w:t>
      </w:r>
    </w:p>
    <w:p w14:paraId="25CF15D5" w14:textId="79CA17C4" w:rsidR="00127F7E" w:rsidRPr="00DF5CC1" w:rsidRDefault="005F1DFE" w:rsidP="00DF5CC1">
      <w:pPr>
        <w:rPr>
          <w:u w:val="single"/>
        </w:rPr>
      </w:pPr>
      <w:r>
        <w:t>The following results were calculated using three years of data (2018</w:t>
      </w:r>
      <w:r w:rsidRPr="1922062C">
        <w:rPr>
          <w:rFonts w:cs="Arial"/>
          <w:color w:val="auto"/>
        </w:rPr>
        <w:t>–</w:t>
      </w:r>
      <w:r>
        <w:t>19, 2019</w:t>
      </w:r>
      <w:r w:rsidRPr="1922062C">
        <w:rPr>
          <w:rFonts w:cs="Arial"/>
          <w:color w:val="auto"/>
        </w:rPr>
        <w:t>–</w:t>
      </w:r>
      <w:r>
        <w:t>20 and 2020</w:t>
      </w:r>
      <w:r w:rsidRPr="1922062C">
        <w:rPr>
          <w:rFonts w:cs="Arial"/>
          <w:color w:val="auto"/>
        </w:rPr>
        <w:t>–</w:t>
      </w:r>
      <w:r>
        <w:t xml:space="preserve">21), prepared as outlined in </w:t>
      </w:r>
      <w:r w:rsidRPr="00F43B0F">
        <w:t>Section 3.</w:t>
      </w:r>
      <w:r w:rsidR="0045432A">
        <w:t>4.</w:t>
      </w:r>
      <w:r>
        <w:t xml:space="preserve"> </w:t>
      </w:r>
      <w:r w:rsidR="00A20D92">
        <w:t xml:space="preserve">The </w:t>
      </w:r>
      <w:r>
        <w:t>Northern Territory did not have any costed mental health phase records</w:t>
      </w:r>
      <w:r w:rsidR="0045432A">
        <w:t xml:space="preserve"> in the admitted and community setting</w:t>
      </w:r>
      <w:r>
        <w:t>. South Australia, Western Australia and the Australian Capital Territory did not have any costed mental health phase records in the community setting.</w:t>
      </w:r>
    </w:p>
    <w:p w14:paraId="42B4432F" w14:textId="7DAFAB45" w:rsidR="00127F7E" w:rsidRPr="00DF5CC1" w:rsidRDefault="005F1DFE" w:rsidP="00DF5CC1">
      <w:pPr>
        <w:rPr>
          <w:b/>
          <w:bCs/>
        </w:rPr>
      </w:pPr>
      <w:r w:rsidRPr="00DF5CC1">
        <w:rPr>
          <w:b/>
          <w:bCs/>
        </w:rPr>
        <w:t>Distribution of key classification variables across data years</w:t>
      </w:r>
    </w:p>
    <w:p w14:paraId="35D0EF1A" w14:textId="45CC13D4" w:rsidR="005F1DFE" w:rsidRDefault="005F1DFE" w:rsidP="00DF5CC1">
      <w:r w:rsidRPr="1922062C">
        <w:rPr>
          <w:b/>
          <w:bCs/>
        </w:rPr>
        <w:t xml:space="preserve">Figure </w:t>
      </w:r>
      <w:r w:rsidR="00655D12">
        <w:rPr>
          <w:b/>
          <w:bCs/>
        </w:rPr>
        <w:t>6</w:t>
      </w:r>
      <w:r>
        <w:t xml:space="preserve"> provides a breakdown of the key classification variables by data year at the national level. </w:t>
      </w:r>
      <w:r w:rsidR="0045432A">
        <w:t xml:space="preserve">The distribution of records by different episode setting, age group, </w:t>
      </w:r>
      <w:proofErr w:type="spellStart"/>
      <w:r w:rsidR="0045432A">
        <w:t>MHPoC</w:t>
      </w:r>
      <w:proofErr w:type="spellEnd"/>
      <w:r w:rsidR="0045432A">
        <w:t xml:space="preserve"> and admitted MHLS values were generally consistent across 2018</w:t>
      </w:r>
      <w:r w:rsidR="0045432A" w:rsidRPr="1922062C">
        <w:rPr>
          <w:rFonts w:cs="Arial"/>
          <w:color w:val="auto"/>
        </w:rPr>
        <w:t>–</w:t>
      </w:r>
      <w:r w:rsidR="0045432A">
        <w:t>19, 2019</w:t>
      </w:r>
      <w:r w:rsidR="0045432A" w:rsidRPr="1922062C">
        <w:rPr>
          <w:rFonts w:cs="Arial"/>
          <w:color w:val="auto"/>
        </w:rPr>
        <w:t>–</w:t>
      </w:r>
      <w:r w:rsidR="0045432A">
        <w:t>20 and 2020</w:t>
      </w:r>
      <w:r w:rsidR="0045432A" w:rsidRPr="1922062C">
        <w:rPr>
          <w:rFonts w:cs="Arial"/>
          <w:color w:val="auto"/>
        </w:rPr>
        <w:t>–</w:t>
      </w:r>
      <w:r w:rsidR="0045432A">
        <w:t>21 nationally. This suggests that there were no substantial shifts in mental health care activity reporting over the three years.</w:t>
      </w:r>
    </w:p>
    <w:p w14:paraId="2B719535" w14:textId="25FCC7E2" w:rsidR="005F1DFE" w:rsidRPr="007B7B34" w:rsidRDefault="005F1DFE" w:rsidP="005F1DFE">
      <w:pPr>
        <w:pStyle w:val="TableFigureheading"/>
      </w:pPr>
      <w:r>
        <w:lastRenderedPageBreak/>
        <w:t xml:space="preserve">Figure </w:t>
      </w:r>
      <w:r w:rsidR="00655D12">
        <w:t>6</w:t>
      </w:r>
      <w:r>
        <w:t xml:space="preserve">. Distribution of national records by setting, age group, phase and admitted </w:t>
      </w:r>
      <w:proofErr w:type="gramStart"/>
      <w:r>
        <w:t>MHLS</w:t>
      </w:r>
      <w:proofErr w:type="gramEnd"/>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846"/>
      </w:tblGrid>
      <w:tr w:rsidR="005F1DFE" w14:paraId="687956EF" w14:textId="77777777" w:rsidTr="001604CA">
        <w:tc>
          <w:tcPr>
            <w:tcW w:w="4906" w:type="dxa"/>
          </w:tcPr>
          <w:p w14:paraId="3F75E726" w14:textId="5994D5DA" w:rsidR="005F1DFE" w:rsidRPr="00F45F2F" w:rsidRDefault="005F1DFE" w:rsidP="001604CA">
            <w:pPr>
              <w:keepNext/>
              <w:keepLines/>
              <w:jc w:val="center"/>
              <w:rPr>
                <w:color w:val="246164"/>
              </w:rPr>
            </w:pPr>
            <w:r>
              <w:rPr>
                <w:noProof/>
              </w:rPr>
              <w:drawing>
                <wp:inline distT="0" distB="0" distL="0" distR="0" wp14:anchorId="22157F75" wp14:editId="2DC7601B">
                  <wp:extent cx="3009900" cy="2051050"/>
                  <wp:effectExtent l="0" t="0" r="0" b="0"/>
                  <wp:docPr id="2" name="Chart 2">
                    <a:extLst xmlns:a="http://schemas.openxmlformats.org/drawingml/2006/main">
                      <a:ext uri="{FF2B5EF4-FFF2-40B4-BE49-F238E27FC236}">
                        <a16:creationId xmlns:a16="http://schemas.microsoft.com/office/drawing/2014/main" id="{1F40C941-7449-4ABE-A12B-041B87B78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46" w:type="dxa"/>
          </w:tcPr>
          <w:p w14:paraId="29316EEE" w14:textId="24555612" w:rsidR="005F1DFE" w:rsidRDefault="005F1DFE" w:rsidP="001604CA">
            <w:pPr>
              <w:keepNext/>
              <w:keepLines/>
              <w:jc w:val="center"/>
            </w:pPr>
            <w:r>
              <w:rPr>
                <w:noProof/>
              </w:rPr>
              <w:drawing>
                <wp:inline distT="0" distB="0" distL="0" distR="0" wp14:anchorId="54BEB2EA" wp14:editId="32E2A34F">
                  <wp:extent cx="2971800" cy="2057400"/>
                  <wp:effectExtent l="0" t="0" r="0" b="0"/>
                  <wp:docPr id="3" name="Chart 3">
                    <a:extLst xmlns:a="http://schemas.openxmlformats.org/drawingml/2006/main">
                      <a:ext uri="{FF2B5EF4-FFF2-40B4-BE49-F238E27FC236}">
                        <a16:creationId xmlns:a16="http://schemas.microsoft.com/office/drawing/2014/main" id="{4C332460-FFC0-4B0E-8F13-9E1ECC207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F1DFE" w14:paraId="1CDBE767" w14:textId="77777777" w:rsidTr="001604CA">
        <w:tc>
          <w:tcPr>
            <w:tcW w:w="4906" w:type="dxa"/>
          </w:tcPr>
          <w:p w14:paraId="1208EAB0" w14:textId="37EEB425" w:rsidR="005F1DFE" w:rsidRDefault="005F1DFE" w:rsidP="001604CA">
            <w:pPr>
              <w:keepNext/>
              <w:keepLines/>
            </w:pPr>
            <w:r>
              <w:rPr>
                <w:noProof/>
              </w:rPr>
              <w:drawing>
                <wp:inline distT="0" distB="0" distL="0" distR="0" wp14:anchorId="3B9FE18B" wp14:editId="7F9C7526">
                  <wp:extent cx="3009900" cy="1962150"/>
                  <wp:effectExtent l="0" t="0" r="0" b="0"/>
                  <wp:docPr id="12" name="Chart 12">
                    <a:extLst xmlns:a="http://schemas.openxmlformats.org/drawingml/2006/main">
                      <a:ext uri="{FF2B5EF4-FFF2-40B4-BE49-F238E27FC236}">
                        <a16:creationId xmlns:a16="http://schemas.microsoft.com/office/drawing/2014/main" id="{771184DE-B9E3-485F-9340-C43DEC2B2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46" w:type="dxa"/>
          </w:tcPr>
          <w:p w14:paraId="7B202FEF" w14:textId="5B1CC82F" w:rsidR="005F1DFE" w:rsidRDefault="005F1DFE" w:rsidP="001604CA">
            <w:pPr>
              <w:keepNext/>
              <w:keepLines/>
            </w:pPr>
            <w:r>
              <w:rPr>
                <w:noProof/>
              </w:rPr>
              <w:drawing>
                <wp:inline distT="0" distB="0" distL="0" distR="0" wp14:anchorId="304722F9" wp14:editId="34158126">
                  <wp:extent cx="2971800" cy="1955800"/>
                  <wp:effectExtent l="0" t="0" r="0" b="0"/>
                  <wp:docPr id="21" name="Chart 21">
                    <a:extLst xmlns:a="http://schemas.openxmlformats.org/drawingml/2006/main">
                      <a:ext uri="{FF2B5EF4-FFF2-40B4-BE49-F238E27FC236}">
                        <a16:creationId xmlns:a16="http://schemas.microsoft.com/office/drawing/2014/main" id="{84EA5559-D54A-4EBC-802E-795E8D2CD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3B490C65" w14:textId="0345B939" w:rsidR="005F1DFE" w:rsidRDefault="005F1DFE" w:rsidP="005F1DFE"/>
    <w:p w14:paraId="7C6D5E72" w14:textId="77777777" w:rsidR="005F1DFE" w:rsidRPr="00DF5CC1" w:rsidRDefault="005F1DFE" w:rsidP="005F1DFE">
      <w:pPr>
        <w:rPr>
          <w:b/>
          <w:bCs/>
        </w:rPr>
      </w:pPr>
      <w:r w:rsidRPr="00DF5CC1">
        <w:rPr>
          <w:b/>
          <w:bCs/>
        </w:rPr>
        <w:t>Analysis of average phase cost across data years</w:t>
      </w:r>
    </w:p>
    <w:p w14:paraId="0ACD40DD" w14:textId="2BD296A0" w:rsidR="005F1DFE" w:rsidRDefault="005F1DFE" w:rsidP="005F1DFE">
      <w:r w:rsidRPr="1922062C">
        <w:rPr>
          <w:b/>
          <w:bCs/>
        </w:rPr>
        <w:t xml:space="preserve">Figure </w:t>
      </w:r>
      <w:r w:rsidR="00655D12">
        <w:rPr>
          <w:b/>
          <w:bCs/>
        </w:rPr>
        <w:t>7</w:t>
      </w:r>
      <w:r>
        <w:t xml:space="preserve"> shows the change in average phase cost between the two-year data set and three-year data set at the setting level. </w:t>
      </w:r>
      <w:r w:rsidRPr="1922062C">
        <w:rPr>
          <w:b/>
          <w:bCs/>
        </w:rPr>
        <w:t xml:space="preserve">Figure </w:t>
      </w:r>
      <w:r w:rsidR="00655D12">
        <w:rPr>
          <w:b/>
          <w:bCs/>
        </w:rPr>
        <w:t>8</w:t>
      </w:r>
      <w:r w:rsidRPr="1922062C">
        <w:rPr>
          <w:b/>
          <w:bCs/>
        </w:rPr>
        <w:t xml:space="preserve"> </w:t>
      </w:r>
      <w:r>
        <w:t>provides the same analysis for each unique combination of setting and age (the setting-age level). The percentage values in both figures show the percentage change in average phase cost between the two-year and three-year data sets.</w:t>
      </w:r>
    </w:p>
    <w:p w14:paraId="48E93318" w14:textId="4441F3B9" w:rsidR="0045432A" w:rsidRDefault="0045432A" w:rsidP="005F1DFE">
      <w:r>
        <w:t>Nationally, there were some differences in average phase cost at the setting level and setting-age level</w:t>
      </w:r>
      <w:r w:rsidR="00011181">
        <w:t xml:space="preserve"> for each data year</w:t>
      </w:r>
      <w:r>
        <w:t>. However, there was minimal change in the average phase cost when using two years of data (2018</w:t>
      </w:r>
      <w:r w:rsidRPr="1922062C">
        <w:rPr>
          <w:rFonts w:cs="Arial"/>
          <w:color w:val="auto"/>
        </w:rPr>
        <w:t>–</w:t>
      </w:r>
      <w:r>
        <w:t>19 and 2019</w:t>
      </w:r>
      <w:r w:rsidRPr="1922062C">
        <w:rPr>
          <w:rFonts w:cs="Arial"/>
          <w:color w:val="auto"/>
        </w:rPr>
        <w:t>–</w:t>
      </w:r>
      <w:r>
        <w:t>20) versus three years of data (2018</w:t>
      </w:r>
      <w:r w:rsidRPr="1922062C">
        <w:rPr>
          <w:rFonts w:cs="Arial"/>
          <w:color w:val="auto"/>
        </w:rPr>
        <w:t>–</w:t>
      </w:r>
      <w:r>
        <w:t>19 to 2020</w:t>
      </w:r>
      <w:r w:rsidRPr="1922062C">
        <w:rPr>
          <w:rFonts w:cs="Arial"/>
          <w:color w:val="auto"/>
        </w:rPr>
        <w:t>–</w:t>
      </w:r>
      <w:r>
        <w:t>21).</w:t>
      </w:r>
    </w:p>
    <w:p w14:paraId="7F3E2517" w14:textId="48C01AAC" w:rsidR="005F1DFE" w:rsidRDefault="005F1DFE" w:rsidP="005F1DFE">
      <w:pPr>
        <w:pStyle w:val="TableFigureheading"/>
      </w:pPr>
      <w:r>
        <w:lastRenderedPageBreak/>
        <w:t xml:space="preserve">Figure </w:t>
      </w:r>
      <w:r w:rsidR="00655D12">
        <w:t>7</w:t>
      </w:r>
      <w:r>
        <w:t>. Change in average phase cost using two-year and three-year data sets (setting level)</w:t>
      </w:r>
    </w:p>
    <w:p w14:paraId="0E21D626" w14:textId="46F67EEB" w:rsidR="005F1DFE" w:rsidRDefault="005F1DFE" w:rsidP="005F1DFE">
      <w:pPr>
        <w:keepNext/>
        <w:keepLines/>
        <w:jc w:val="center"/>
      </w:pPr>
      <w:r>
        <w:rPr>
          <w:noProof/>
        </w:rPr>
        <w:drawing>
          <wp:inline distT="0" distB="0" distL="0" distR="0" wp14:anchorId="38086EB7" wp14:editId="4874B23F">
            <wp:extent cx="3379305" cy="2170706"/>
            <wp:effectExtent l="0" t="0" r="0" b="0"/>
            <wp:docPr id="30" name="Chart 30">
              <a:extLst xmlns:a="http://schemas.openxmlformats.org/drawingml/2006/main">
                <a:ext uri="{FF2B5EF4-FFF2-40B4-BE49-F238E27FC236}">
                  <a16:creationId xmlns:a16="http://schemas.microsoft.com/office/drawing/2014/main" id="{725A3A40-7C07-41E1-BB2D-FFB966848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212DC5" w14:textId="0CCC0EF4" w:rsidR="005F1DFE" w:rsidRDefault="005F1DFE" w:rsidP="005F1DFE">
      <w:pPr>
        <w:pStyle w:val="TableFigureheading"/>
      </w:pPr>
      <w:r>
        <w:t xml:space="preserve">Figure </w:t>
      </w:r>
      <w:r w:rsidR="00655D12">
        <w:t>8</w:t>
      </w:r>
      <w:r>
        <w:t>. Change in average phase cost using two-year and three-year data sets (setting-age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809"/>
      </w:tblGrid>
      <w:tr w:rsidR="005F1DFE" w14:paraId="4B770878" w14:textId="77777777" w:rsidTr="001604CA">
        <w:trPr>
          <w:trHeight w:val="3509"/>
        </w:trPr>
        <w:tc>
          <w:tcPr>
            <w:tcW w:w="4943" w:type="dxa"/>
          </w:tcPr>
          <w:p w14:paraId="6AE5C0B8" w14:textId="65F7E6B2" w:rsidR="005F1DFE" w:rsidRPr="00383C9C" w:rsidRDefault="005F1DFE" w:rsidP="001604CA">
            <w:pPr>
              <w:keepNext/>
              <w:keepLines/>
              <w:rPr>
                <w:sz w:val="14"/>
                <w:szCs w:val="14"/>
              </w:rPr>
            </w:pPr>
            <w:r w:rsidRPr="00383C9C">
              <w:rPr>
                <w:noProof/>
                <w:sz w:val="14"/>
                <w:szCs w:val="14"/>
              </w:rPr>
              <w:drawing>
                <wp:inline distT="0" distB="0" distL="0" distR="0" wp14:anchorId="3A130892" wp14:editId="073C8F40">
                  <wp:extent cx="3003550" cy="2194560"/>
                  <wp:effectExtent l="0" t="0" r="0" b="0"/>
                  <wp:docPr id="24" name="Chart 24">
                    <a:extLst xmlns:a="http://schemas.openxmlformats.org/drawingml/2006/main">
                      <a:ext uri="{FF2B5EF4-FFF2-40B4-BE49-F238E27FC236}">
                        <a16:creationId xmlns:a16="http://schemas.microsoft.com/office/drawing/2014/main" id="{2F1418BC-06FB-4DE3-94C5-F68C165ED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809" w:type="dxa"/>
          </w:tcPr>
          <w:p w14:paraId="0B1F511A" w14:textId="0552DF0E" w:rsidR="005F1DFE" w:rsidRDefault="005F1DFE" w:rsidP="001604CA">
            <w:pPr>
              <w:keepNext/>
              <w:keepLines/>
            </w:pPr>
            <w:r>
              <w:rPr>
                <w:noProof/>
              </w:rPr>
              <w:drawing>
                <wp:inline distT="0" distB="0" distL="0" distR="0" wp14:anchorId="3950454B" wp14:editId="577F2D2E">
                  <wp:extent cx="2918129" cy="2194560"/>
                  <wp:effectExtent l="0" t="0" r="0" b="0"/>
                  <wp:docPr id="25" name="Chart 25">
                    <a:extLst xmlns:a="http://schemas.openxmlformats.org/drawingml/2006/main">
                      <a:ext uri="{FF2B5EF4-FFF2-40B4-BE49-F238E27FC236}">
                        <a16:creationId xmlns:a16="http://schemas.microsoft.com/office/drawing/2014/main" id="{25DBC514-8757-455C-AF59-5A61E6361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8192224" w14:textId="7B645704" w:rsidR="005F1DFE" w:rsidRDefault="005F1DFE" w:rsidP="00432715">
      <w:pPr>
        <w:sectPr w:rsidR="005F1DFE" w:rsidSect="00383C9C">
          <w:pgSz w:w="11906" w:h="16838" w:code="9"/>
          <w:pgMar w:top="1440" w:right="1077" w:bottom="1440" w:left="1077" w:header="708" w:footer="708" w:gutter="0"/>
          <w:cols w:space="720"/>
          <w:docGrid w:linePitch="360"/>
        </w:sectPr>
      </w:pPr>
    </w:p>
    <w:p w14:paraId="55D0E999" w14:textId="58FEC0FF" w:rsidR="00C03C63" w:rsidRDefault="00C03C63" w:rsidP="00C03C63">
      <w:pPr>
        <w:pStyle w:val="Heading1"/>
      </w:pPr>
      <w:bookmarkStart w:id="151" w:name="_Toc152277119"/>
      <w:bookmarkStart w:id="152" w:name="_Toc152312741"/>
      <w:bookmarkStart w:id="153" w:name="_Toc153371615"/>
      <w:r>
        <w:lastRenderedPageBreak/>
        <w:t xml:space="preserve">Appendix </w:t>
      </w:r>
      <w:r w:rsidR="00177AE4">
        <w:t>C</w:t>
      </w:r>
      <w:r>
        <w:t xml:space="preserve">: AMHCC V1.1 end </w:t>
      </w:r>
      <w:proofErr w:type="gramStart"/>
      <w:r>
        <w:t>classes</w:t>
      </w:r>
      <w:bookmarkEnd w:id="151"/>
      <w:bookmarkEnd w:id="152"/>
      <w:bookmarkEnd w:id="153"/>
      <w:proofErr w:type="gramEnd"/>
    </w:p>
    <w:p w14:paraId="4A9E7EA1" w14:textId="66D3C153" w:rsidR="00C03C63" w:rsidRPr="00C43EA3" w:rsidRDefault="00C03C63" w:rsidP="00C03C63">
      <w:pPr>
        <w:pStyle w:val="TableFigureheading"/>
      </w:pPr>
      <w:r>
        <w:t xml:space="preserve">Table </w:t>
      </w:r>
      <w:r w:rsidR="00037196">
        <w:t>10</w:t>
      </w:r>
      <w:r>
        <w:t xml:space="preserve">. AMHCC V1.1 admitted setting structure and end </w:t>
      </w:r>
      <w:proofErr w:type="gramStart"/>
      <w:r>
        <w:t>classes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1195"/>
        <w:gridCol w:w="1461"/>
        <w:gridCol w:w="1196"/>
        <w:gridCol w:w="928"/>
        <w:gridCol w:w="5179"/>
        <w:gridCol w:w="1337"/>
      </w:tblGrid>
      <w:tr w:rsidR="00B02FA5" w:rsidRPr="000F158E" w14:paraId="406CCD23" w14:textId="77777777" w:rsidTr="00D82B9C">
        <w:trPr>
          <w:trHeight w:val="600"/>
          <w:tblHeader/>
        </w:trPr>
        <w:tc>
          <w:tcPr>
            <w:tcW w:w="476"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D6CBD7B" w14:textId="77777777" w:rsidR="00C03C63" w:rsidRPr="000F158E" w:rsidRDefault="00C03C63" w:rsidP="00F45F2F">
            <w:pPr>
              <w:spacing w:before="16" w:after="16" w:line="240" w:lineRule="auto"/>
              <w:jc w:val="center"/>
              <w:rPr>
                <w:rFonts w:cs="Arial"/>
                <w:b/>
                <w:bCs/>
                <w:color w:val="FFFFFF" w:themeColor="background2"/>
                <w:sz w:val="16"/>
                <w:szCs w:val="16"/>
                <w:lang w:eastAsia="en-AU"/>
              </w:rPr>
            </w:pPr>
            <w:r w:rsidRPr="1922062C">
              <w:rPr>
                <w:rFonts w:cs="Arial"/>
                <w:b/>
                <w:bCs/>
                <w:color w:val="FFFFFF" w:themeColor="accent6"/>
                <w:sz w:val="16"/>
                <w:szCs w:val="16"/>
              </w:rPr>
              <w:t>Phase</w:t>
            </w:r>
          </w:p>
        </w:tc>
        <w:tc>
          <w:tcPr>
            <w:tcW w:w="476"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FADED1B" w14:textId="77777777" w:rsidR="00C03C63" w:rsidRPr="000F158E" w:rsidRDefault="00C03C63" w:rsidP="00F45F2F">
            <w:pPr>
              <w:spacing w:before="16" w:after="16" w:line="240" w:lineRule="auto"/>
              <w:jc w:val="center"/>
              <w:rPr>
                <w:rFonts w:cs="Arial"/>
                <w:b/>
                <w:bCs/>
                <w:color w:val="FFFFFF" w:themeColor="background2"/>
                <w:sz w:val="16"/>
                <w:szCs w:val="16"/>
              </w:rPr>
            </w:pPr>
            <w:r w:rsidRPr="1922062C">
              <w:rPr>
                <w:rFonts w:cs="Arial"/>
                <w:b/>
                <w:bCs/>
                <w:color w:val="FFFFFF" w:themeColor="accent6"/>
                <w:sz w:val="16"/>
                <w:szCs w:val="16"/>
              </w:rPr>
              <w:t>Age group</w:t>
            </w:r>
          </w:p>
        </w:tc>
        <w:tc>
          <w:tcPr>
            <w:tcW w:w="429" w:type="pct"/>
            <w:tcBorders>
              <w:top w:val="single" w:sz="4" w:space="0" w:color="auto"/>
              <w:left w:val="single" w:sz="4" w:space="0" w:color="auto"/>
              <w:bottom w:val="single" w:sz="4" w:space="0" w:color="auto"/>
              <w:right w:val="single" w:sz="4" w:space="0" w:color="auto"/>
            </w:tcBorders>
            <w:shd w:val="clear" w:color="auto" w:fill="15272F" w:themeFill="accent1"/>
          </w:tcPr>
          <w:p w14:paraId="1E6DDAFC" w14:textId="77777777" w:rsidR="00C03C63" w:rsidRPr="000F158E" w:rsidRDefault="00C03C63" w:rsidP="004C4D7B">
            <w:pPr>
              <w:spacing w:before="16" w:after="16" w:line="240" w:lineRule="auto"/>
              <w:jc w:val="center"/>
              <w:rPr>
                <w:rFonts w:cs="Arial"/>
                <w:b/>
                <w:bCs/>
                <w:color w:val="FFFFFF" w:themeColor="background2"/>
                <w:sz w:val="16"/>
                <w:szCs w:val="16"/>
              </w:rPr>
            </w:pPr>
            <w:r w:rsidRPr="1922062C">
              <w:rPr>
                <w:b/>
                <w:bCs/>
                <w:color w:val="FFFFFF" w:themeColor="accent6"/>
                <w:sz w:val="16"/>
                <w:szCs w:val="16"/>
              </w:rPr>
              <w:t>Mental health legal status</w:t>
            </w:r>
          </w:p>
        </w:tc>
        <w:tc>
          <w:tcPr>
            <w:tcW w:w="524" w:type="pct"/>
            <w:tcBorders>
              <w:top w:val="single" w:sz="4" w:space="0" w:color="auto"/>
              <w:left w:val="single" w:sz="4" w:space="0" w:color="auto"/>
              <w:bottom w:val="single" w:sz="4" w:space="0" w:color="auto"/>
              <w:right w:val="single" w:sz="4" w:space="0" w:color="auto"/>
            </w:tcBorders>
            <w:shd w:val="clear" w:color="auto" w:fill="15272F" w:themeFill="accent1"/>
            <w:vAlign w:val="center"/>
          </w:tcPr>
          <w:p w14:paraId="7776B588" w14:textId="77777777" w:rsidR="00C03C63" w:rsidRPr="000F158E" w:rsidRDefault="00C03C63" w:rsidP="004C4D7B">
            <w:pPr>
              <w:spacing w:before="16" w:after="16" w:line="240" w:lineRule="auto"/>
              <w:jc w:val="center"/>
              <w:rPr>
                <w:rFonts w:cs="Arial"/>
                <w:b/>
                <w:bCs/>
                <w:color w:val="FFFFFF" w:themeColor="background2"/>
                <w:sz w:val="16"/>
                <w:szCs w:val="16"/>
              </w:rPr>
            </w:pPr>
            <w:proofErr w:type="spellStart"/>
            <w:r w:rsidRPr="1922062C">
              <w:rPr>
                <w:b/>
                <w:bCs/>
                <w:color w:val="FFFFFF" w:themeColor="accent6"/>
                <w:sz w:val="16"/>
                <w:szCs w:val="16"/>
              </w:rPr>
              <w:t>HoNOS</w:t>
            </w:r>
            <w:proofErr w:type="spellEnd"/>
            <w:r w:rsidRPr="1922062C">
              <w:rPr>
                <w:b/>
                <w:bCs/>
                <w:color w:val="FFFFFF" w:themeColor="accent6"/>
                <w:sz w:val="16"/>
                <w:szCs w:val="16"/>
              </w:rPr>
              <w:t xml:space="preserve"> complexity</w:t>
            </w:r>
          </w:p>
        </w:tc>
        <w:tc>
          <w:tcPr>
            <w:tcW w:w="429" w:type="pct"/>
            <w:tcBorders>
              <w:top w:val="single" w:sz="4" w:space="0" w:color="auto"/>
              <w:left w:val="single" w:sz="4" w:space="0" w:color="auto"/>
              <w:bottom w:val="single" w:sz="4" w:space="0" w:color="auto"/>
              <w:right w:val="single" w:sz="4" w:space="0" w:color="auto"/>
            </w:tcBorders>
            <w:shd w:val="clear" w:color="auto" w:fill="15272F" w:themeFill="accent1"/>
            <w:vAlign w:val="center"/>
          </w:tcPr>
          <w:p w14:paraId="201F2742" w14:textId="77777777" w:rsidR="00C03C63" w:rsidRPr="000F158E" w:rsidRDefault="00C03C63" w:rsidP="004C4D7B">
            <w:pPr>
              <w:spacing w:before="16" w:after="16" w:line="240" w:lineRule="auto"/>
              <w:jc w:val="center"/>
              <w:rPr>
                <w:rFonts w:cs="Arial"/>
                <w:b/>
                <w:bCs/>
                <w:color w:val="FFFFFF" w:themeColor="background2"/>
                <w:sz w:val="16"/>
                <w:szCs w:val="16"/>
              </w:rPr>
            </w:pPr>
            <w:r w:rsidRPr="1922062C">
              <w:rPr>
                <w:b/>
                <w:bCs/>
                <w:color w:val="FFFFFF" w:themeColor="accent6"/>
                <w:sz w:val="16"/>
                <w:szCs w:val="16"/>
              </w:rPr>
              <w:t>LSP complexity</w:t>
            </w:r>
          </w:p>
        </w:tc>
        <w:tc>
          <w:tcPr>
            <w:tcW w:w="333"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6631C466" w14:textId="77777777" w:rsidR="00C03C63" w:rsidRPr="000F158E" w:rsidRDefault="00C03C63" w:rsidP="004C4D7B">
            <w:pPr>
              <w:spacing w:before="16" w:after="16" w:line="240" w:lineRule="auto"/>
              <w:jc w:val="center"/>
              <w:rPr>
                <w:rFonts w:cs="Arial"/>
                <w:b/>
                <w:bCs/>
                <w:color w:val="FFFFFF" w:themeColor="background2"/>
                <w:sz w:val="16"/>
                <w:szCs w:val="16"/>
              </w:rPr>
            </w:pPr>
            <w:r w:rsidRPr="1922062C">
              <w:rPr>
                <w:rFonts w:cs="Arial"/>
                <w:b/>
                <w:bCs/>
                <w:color w:val="FFFFFF" w:themeColor="accent6"/>
                <w:sz w:val="16"/>
                <w:szCs w:val="16"/>
              </w:rPr>
              <w:t>Class code</w:t>
            </w:r>
          </w:p>
        </w:tc>
        <w:tc>
          <w:tcPr>
            <w:tcW w:w="1857"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1E486A74" w14:textId="77777777" w:rsidR="00C03C63" w:rsidRPr="000F158E" w:rsidRDefault="00C03C63" w:rsidP="004C4D7B">
            <w:pPr>
              <w:spacing w:before="16" w:after="16" w:line="240" w:lineRule="auto"/>
              <w:jc w:val="center"/>
              <w:rPr>
                <w:rFonts w:cs="Arial"/>
                <w:b/>
                <w:bCs/>
                <w:color w:val="FFFFFF" w:themeColor="background2"/>
                <w:sz w:val="16"/>
                <w:szCs w:val="16"/>
              </w:rPr>
            </w:pPr>
            <w:r w:rsidRPr="1922062C">
              <w:rPr>
                <w:rFonts w:cs="Arial"/>
                <w:b/>
                <w:bCs/>
                <w:color w:val="FFFFFF" w:themeColor="accent6"/>
                <w:sz w:val="16"/>
                <w:szCs w:val="16"/>
              </w:rPr>
              <w:t>Class description</w:t>
            </w:r>
          </w:p>
        </w:tc>
        <w:tc>
          <w:tcPr>
            <w:tcW w:w="476" w:type="pct"/>
            <w:tcBorders>
              <w:top w:val="single" w:sz="4" w:space="0" w:color="auto"/>
              <w:left w:val="single" w:sz="4" w:space="0" w:color="auto"/>
              <w:bottom w:val="single" w:sz="4" w:space="0" w:color="auto"/>
              <w:right w:val="single" w:sz="4" w:space="0" w:color="auto"/>
            </w:tcBorders>
            <w:shd w:val="clear" w:color="auto" w:fill="15272F" w:themeFill="accent1"/>
          </w:tcPr>
          <w:p w14:paraId="5B289F1C" w14:textId="77777777" w:rsidR="00C03C63" w:rsidRPr="000F158E" w:rsidRDefault="00C03C63" w:rsidP="004C4D7B">
            <w:pPr>
              <w:spacing w:before="16" w:after="16" w:line="240" w:lineRule="auto"/>
              <w:jc w:val="center"/>
              <w:rPr>
                <w:rFonts w:cs="Arial"/>
                <w:b/>
                <w:bCs/>
                <w:color w:val="FFFFFF" w:themeColor="background2"/>
                <w:sz w:val="16"/>
                <w:szCs w:val="16"/>
              </w:rPr>
            </w:pPr>
            <w:r w:rsidRPr="1922062C">
              <w:rPr>
                <w:rFonts w:cs="Arial"/>
                <w:b/>
                <w:bCs/>
                <w:color w:val="FFFFFF" w:themeColor="accent6"/>
                <w:sz w:val="16"/>
                <w:szCs w:val="16"/>
              </w:rPr>
              <w:t>Active/Inactive for AMHCC Version 1.1</w:t>
            </w:r>
          </w:p>
        </w:tc>
      </w:tr>
      <w:tr w:rsidR="00C03C63" w:rsidRPr="000F158E" w14:paraId="58797C29"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29069AFF" w14:textId="77777777" w:rsidR="00C03C63" w:rsidRPr="000F158E" w:rsidRDefault="00C03C63" w:rsidP="00F45F2F">
            <w:pPr>
              <w:spacing w:before="16" w:after="16" w:line="240" w:lineRule="auto"/>
              <w:jc w:val="center"/>
              <w:rPr>
                <w:rFonts w:cs="Arial"/>
                <w:color w:val="auto"/>
                <w:sz w:val="16"/>
                <w:szCs w:val="16"/>
              </w:rPr>
            </w:pPr>
            <w:r w:rsidRPr="1922062C">
              <w:rPr>
                <w:rFonts w:cs="Arial"/>
                <w:sz w:val="16"/>
                <w:szCs w:val="16"/>
              </w:rPr>
              <w:t>Assessment only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D74F5F6"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B0CC99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49E7D00"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F2E25F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874559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101Z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20382C6"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Assessment only, 017 years</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BBCE3BC"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7FBB1790" w14:textId="77777777" w:rsidTr="00891A02">
        <w:trPr>
          <w:trHeight w:val="300"/>
        </w:trPr>
        <w:tc>
          <w:tcPr>
            <w:tcW w:w="476" w:type="pct"/>
            <w:vMerge/>
            <w:vAlign w:val="center"/>
            <w:hideMark/>
          </w:tcPr>
          <w:p w14:paraId="479D1B11" w14:textId="77777777" w:rsidR="00C03C63" w:rsidRPr="000F158E" w:rsidRDefault="00C03C63" w:rsidP="004C4D7B">
            <w:pPr>
              <w:spacing w:after="0" w:line="256" w:lineRule="auto"/>
              <w:rPr>
                <w:rFonts w:cs="Arial"/>
                <w:color w:val="auto"/>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12443C6"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748F2A7"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4919D8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155FC7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AC4588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102Z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985C67A"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Assessment only, 1864 years</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C1C2B7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5D28B35" w14:textId="77777777" w:rsidTr="00891A02">
        <w:trPr>
          <w:trHeight w:val="300"/>
        </w:trPr>
        <w:tc>
          <w:tcPr>
            <w:tcW w:w="476" w:type="pct"/>
            <w:vMerge/>
            <w:vAlign w:val="center"/>
            <w:hideMark/>
          </w:tcPr>
          <w:p w14:paraId="4783F223" w14:textId="77777777" w:rsidR="00C03C63" w:rsidRPr="000F158E" w:rsidRDefault="00C03C63" w:rsidP="004C4D7B">
            <w:pPr>
              <w:spacing w:after="0" w:line="256" w:lineRule="auto"/>
              <w:rPr>
                <w:rFonts w:cs="Arial"/>
                <w:color w:val="auto"/>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BED0840"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F62496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A7D40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97F07C9"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95A76AC"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103Z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E87775B"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Assessment only, 65+ years</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DFAB3D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AC343D7"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933685D"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Acute</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4379825"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3D48D8D"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C46FFFD"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AD7555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1F2C36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111A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94002FD"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7BF8E4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6779559" w14:textId="77777777" w:rsidTr="00891A02">
        <w:trPr>
          <w:trHeight w:val="300"/>
        </w:trPr>
        <w:tc>
          <w:tcPr>
            <w:tcW w:w="476" w:type="pct"/>
            <w:vMerge/>
            <w:vAlign w:val="center"/>
            <w:hideMark/>
          </w:tcPr>
          <w:p w14:paraId="600E7275"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2549ED2A"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01C250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2C42213"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95C3221"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0FC065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111B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F8AFB3D"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1D5144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31091A85" w14:textId="77777777" w:rsidTr="00891A02">
        <w:trPr>
          <w:trHeight w:val="300"/>
        </w:trPr>
        <w:tc>
          <w:tcPr>
            <w:tcW w:w="476" w:type="pct"/>
            <w:vMerge/>
            <w:vAlign w:val="center"/>
            <w:hideMark/>
          </w:tcPr>
          <w:p w14:paraId="14A961F6"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411FD0B1"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C95E43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D615B51"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AF8E899"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A001BE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13C7E4E"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0-17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C6787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405E43E3" w14:textId="77777777" w:rsidTr="00891A02">
        <w:trPr>
          <w:trHeight w:val="300"/>
        </w:trPr>
        <w:tc>
          <w:tcPr>
            <w:tcW w:w="476" w:type="pct"/>
            <w:vMerge/>
            <w:vAlign w:val="center"/>
            <w:hideMark/>
          </w:tcPr>
          <w:p w14:paraId="454B2241"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E6DEB75"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vMerge w:val="restart"/>
            <w:tcBorders>
              <w:top w:val="single" w:sz="4" w:space="0" w:color="auto"/>
              <w:left w:val="single" w:sz="4" w:space="0" w:color="auto"/>
              <w:right w:val="single" w:sz="4" w:space="0" w:color="auto"/>
            </w:tcBorders>
            <w:shd w:val="clear" w:color="auto" w:fill="FFFFFF" w:themeFill="accent6"/>
            <w:vAlign w:val="center"/>
          </w:tcPr>
          <w:p w14:paraId="09EECB2A" w14:textId="77777777" w:rsidR="00C03C63" w:rsidRPr="000F158E" w:rsidRDefault="00C03C63" w:rsidP="004C4D7B">
            <w:pPr>
              <w:spacing w:before="16" w:after="16" w:line="240" w:lineRule="auto"/>
              <w:jc w:val="center"/>
              <w:rPr>
                <w:rFonts w:cs="Arial"/>
                <w:sz w:val="16"/>
                <w:szCs w:val="16"/>
              </w:rPr>
            </w:pPr>
            <w:r w:rsidRPr="1922062C">
              <w:rPr>
                <w:sz w:val="16"/>
                <w:szCs w:val="16"/>
              </w:rPr>
              <w:t>Involuntary</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8F4ADDA"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DBE4263"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705A0A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1121A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DF16549"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Involuntary,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0C77EF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4CDE7DE" w14:textId="77777777" w:rsidTr="00891A02">
        <w:trPr>
          <w:trHeight w:val="300"/>
        </w:trPr>
        <w:tc>
          <w:tcPr>
            <w:tcW w:w="476" w:type="pct"/>
            <w:vMerge/>
            <w:vAlign w:val="center"/>
            <w:hideMark/>
          </w:tcPr>
          <w:p w14:paraId="7B5F2EDB"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0D958E22" w14:textId="77777777" w:rsidR="00C03C63" w:rsidRPr="000F158E" w:rsidRDefault="00C03C63" w:rsidP="00F45F2F">
            <w:pPr>
              <w:spacing w:after="0" w:line="256" w:lineRule="auto"/>
              <w:jc w:val="center"/>
              <w:rPr>
                <w:rFonts w:cs="Arial"/>
                <w:sz w:val="16"/>
                <w:szCs w:val="16"/>
              </w:rPr>
            </w:pPr>
          </w:p>
        </w:tc>
        <w:tc>
          <w:tcPr>
            <w:tcW w:w="429" w:type="pct"/>
            <w:vMerge/>
            <w:vAlign w:val="center"/>
          </w:tcPr>
          <w:p w14:paraId="3D7A6A85" w14:textId="77777777" w:rsidR="00C03C63" w:rsidRPr="000F158E" w:rsidRDefault="00C03C63" w:rsidP="004C4D7B">
            <w:pPr>
              <w:spacing w:before="16" w:after="16" w:line="240" w:lineRule="auto"/>
              <w:jc w:val="center"/>
              <w:rPr>
                <w:rFonts w:cs="Arial"/>
                <w:sz w:val="16"/>
                <w:szCs w:val="16"/>
              </w:rPr>
            </w:pP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C5544B0"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E38DBA6"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64F1C4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1121B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3FC0F95"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Involuntary,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7EE876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04292977" w14:textId="77777777" w:rsidTr="00891A02">
        <w:trPr>
          <w:trHeight w:val="300"/>
        </w:trPr>
        <w:tc>
          <w:tcPr>
            <w:tcW w:w="476" w:type="pct"/>
            <w:vMerge/>
            <w:vAlign w:val="center"/>
            <w:hideMark/>
          </w:tcPr>
          <w:p w14:paraId="0A44FAE1"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13594B4E" w14:textId="77777777" w:rsidR="00C03C63" w:rsidRPr="000F158E" w:rsidRDefault="00C03C63" w:rsidP="00F45F2F">
            <w:pPr>
              <w:spacing w:after="0" w:line="256" w:lineRule="auto"/>
              <w:jc w:val="center"/>
              <w:rPr>
                <w:rFonts w:cs="Arial"/>
                <w:sz w:val="16"/>
                <w:szCs w:val="16"/>
              </w:rPr>
            </w:pPr>
          </w:p>
        </w:tc>
        <w:tc>
          <w:tcPr>
            <w:tcW w:w="429" w:type="pct"/>
            <w:vMerge/>
            <w:vAlign w:val="center"/>
          </w:tcPr>
          <w:p w14:paraId="63AAA056" w14:textId="77777777" w:rsidR="00C03C63" w:rsidRPr="000F158E" w:rsidRDefault="00C03C63" w:rsidP="004C4D7B">
            <w:pPr>
              <w:spacing w:before="16" w:after="16" w:line="240" w:lineRule="auto"/>
              <w:jc w:val="center"/>
              <w:rPr>
                <w:rFonts w:cs="Arial"/>
                <w:sz w:val="16"/>
                <w:szCs w:val="16"/>
              </w:rPr>
            </w:pP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3D5FB81"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31E4BCB"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C4E92F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D692756"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Involuntary,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616CFA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11DB2EBC" w14:textId="77777777" w:rsidTr="00891A02">
        <w:trPr>
          <w:trHeight w:val="300"/>
        </w:trPr>
        <w:tc>
          <w:tcPr>
            <w:tcW w:w="476" w:type="pct"/>
            <w:vMerge/>
            <w:vAlign w:val="center"/>
            <w:hideMark/>
          </w:tcPr>
          <w:p w14:paraId="3A286E02"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C1109E9" w14:textId="77777777" w:rsidR="00C03C63" w:rsidRPr="000F158E" w:rsidRDefault="00C03C63" w:rsidP="00F45F2F">
            <w:pPr>
              <w:spacing w:after="0" w:line="256" w:lineRule="auto"/>
              <w:jc w:val="center"/>
              <w:rPr>
                <w:rFonts w:cs="Arial"/>
                <w:sz w:val="16"/>
                <w:szCs w:val="16"/>
              </w:rPr>
            </w:pPr>
          </w:p>
        </w:tc>
        <w:tc>
          <w:tcPr>
            <w:tcW w:w="429" w:type="pct"/>
            <w:vMerge w:val="restart"/>
            <w:tcBorders>
              <w:top w:val="single" w:sz="4" w:space="0" w:color="auto"/>
              <w:left w:val="single" w:sz="4" w:space="0" w:color="auto"/>
              <w:right w:val="single" w:sz="4" w:space="0" w:color="auto"/>
            </w:tcBorders>
            <w:shd w:val="clear" w:color="auto" w:fill="FFFFFF" w:themeFill="accent6"/>
            <w:vAlign w:val="center"/>
          </w:tcPr>
          <w:p w14:paraId="74B5F88C" w14:textId="77777777" w:rsidR="00C03C63" w:rsidRPr="000F158E" w:rsidRDefault="00C03C63" w:rsidP="004C4D7B">
            <w:pPr>
              <w:spacing w:before="16" w:after="16" w:line="240" w:lineRule="auto"/>
              <w:jc w:val="center"/>
              <w:rPr>
                <w:rFonts w:cs="Arial"/>
                <w:sz w:val="16"/>
                <w:szCs w:val="16"/>
              </w:rPr>
            </w:pPr>
            <w:r w:rsidRPr="1922062C">
              <w:rPr>
                <w:sz w:val="16"/>
                <w:szCs w:val="16"/>
              </w:rPr>
              <w:t>Voluntary</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40D08F3"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31D0FF3"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CF97D3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1122A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A44CF8A"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Voluntary,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CDAD2F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5282CBA1" w14:textId="77777777" w:rsidTr="00891A02">
        <w:trPr>
          <w:trHeight w:val="300"/>
        </w:trPr>
        <w:tc>
          <w:tcPr>
            <w:tcW w:w="476" w:type="pct"/>
            <w:vMerge/>
            <w:vAlign w:val="center"/>
            <w:hideMark/>
          </w:tcPr>
          <w:p w14:paraId="209CAB34"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560B99E" w14:textId="77777777" w:rsidR="00C03C63" w:rsidRPr="000F158E" w:rsidRDefault="00C03C63" w:rsidP="00F45F2F">
            <w:pPr>
              <w:spacing w:after="0" w:line="256" w:lineRule="auto"/>
              <w:jc w:val="center"/>
              <w:rPr>
                <w:rFonts w:cs="Arial"/>
                <w:sz w:val="16"/>
                <w:szCs w:val="16"/>
              </w:rPr>
            </w:pPr>
          </w:p>
        </w:tc>
        <w:tc>
          <w:tcPr>
            <w:tcW w:w="429" w:type="pct"/>
            <w:vMerge/>
            <w:vAlign w:val="center"/>
          </w:tcPr>
          <w:p w14:paraId="5ABDA010" w14:textId="77777777" w:rsidR="00C03C63" w:rsidRPr="000F158E" w:rsidRDefault="00C03C63" w:rsidP="004C4D7B">
            <w:pPr>
              <w:spacing w:before="16" w:after="16" w:line="240" w:lineRule="auto"/>
              <w:jc w:val="center"/>
              <w:rPr>
                <w:rFonts w:cs="Arial"/>
                <w:sz w:val="16"/>
                <w:szCs w:val="16"/>
              </w:rPr>
            </w:pP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7B27276"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3DDDAE1"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122C48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1122B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DDB34C2"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Voluntary,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D83C0A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42B42CE" w14:textId="77777777" w:rsidTr="00891A02">
        <w:trPr>
          <w:trHeight w:val="300"/>
        </w:trPr>
        <w:tc>
          <w:tcPr>
            <w:tcW w:w="476" w:type="pct"/>
            <w:vMerge/>
            <w:vAlign w:val="center"/>
            <w:hideMark/>
          </w:tcPr>
          <w:p w14:paraId="7ECAB281"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412F08F5" w14:textId="77777777" w:rsidR="00C03C63" w:rsidRPr="000F158E" w:rsidRDefault="00C03C63" w:rsidP="00F45F2F">
            <w:pPr>
              <w:spacing w:after="0" w:line="256" w:lineRule="auto"/>
              <w:jc w:val="center"/>
              <w:rPr>
                <w:rFonts w:cs="Arial"/>
                <w:sz w:val="16"/>
                <w:szCs w:val="16"/>
              </w:rPr>
            </w:pPr>
          </w:p>
        </w:tc>
        <w:tc>
          <w:tcPr>
            <w:tcW w:w="429" w:type="pct"/>
            <w:vMerge/>
            <w:vAlign w:val="center"/>
          </w:tcPr>
          <w:p w14:paraId="44776FDA" w14:textId="77777777" w:rsidR="00C03C63" w:rsidRPr="000F158E" w:rsidRDefault="00C03C63" w:rsidP="004C4D7B">
            <w:pPr>
              <w:spacing w:before="16" w:after="16" w:line="240" w:lineRule="auto"/>
              <w:jc w:val="center"/>
              <w:rPr>
                <w:rFonts w:cs="Arial"/>
                <w:sz w:val="16"/>
                <w:szCs w:val="16"/>
              </w:rPr>
            </w:pP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50AD7A9"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C004396"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12DBF7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1122Z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317EAC3"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18-64 years, Voluntary,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796183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4A90477E" w14:textId="77777777" w:rsidTr="00891A02">
        <w:trPr>
          <w:cantSplit/>
          <w:trHeight w:val="300"/>
        </w:trPr>
        <w:tc>
          <w:tcPr>
            <w:tcW w:w="476" w:type="pct"/>
            <w:vMerge/>
            <w:vAlign w:val="center"/>
            <w:hideMark/>
          </w:tcPr>
          <w:p w14:paraId="2AAEB05B"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AB04C88"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874BD19"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1872AB2"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97DB47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682511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113A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06CC65B"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0247F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8317050" w14:textId="77777777" w:rsidTr="00891A02">
        <w:trPr>
          <w:trHeight w:val="300"/>
        </w:trPr>
        <w:tc>
          <w:tcPr>
            <w:tcW w:w="476" w:type="pct"/>
            <w:vMerge/>
            <w:vAlign w:val="center"/>
            <w:hideMark/>
          </w:tcPr>
          <w:p w14:paraId="1C13886A"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465039B"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248148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2480988"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0A290BA"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797261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113B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C9DC148"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B0CE17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54EAAC91" w14:textId="77777777" w:rsidTr="00891A02">
        <w:trPr>
          <w:trHeight w:val="300"/>
        </w:trPr>
        <w:tc>
          <w:tcPr>
            <w:tcW w:w="476" w:type="pct"/>
            <w:vMerge/>
            <w:vAlign w:val="center"/>
            <w:hideMark/>
          </w:tcPr>
          <w:p w14:paraId="0BAE72C0"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E74E061"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vAlign w:val="center"/>
          </w:tcPr>
          <w:p w14:paraId="24D0BEA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772F0F91"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vAlign w:val="center"/>
          </w:tcPr>
          <w:p w14:paraId="63751407"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E2F2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113Z</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4BAFE"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Acute, 65+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A76A6D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0E148B14"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9EB0E31"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Functional gain</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98C4DA2"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68B25E7"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339F7E4"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1E7D219"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573F4F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121A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C8A0A3D"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6B7A3D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855100A" w14:textId="77777777" w:rsidTr="00891A02">
        <w:trPr>
          <w:trHeight w:val="300"/>
        </w:trPr>
        <w:tc>
          <w:tcPr>
            <w:tcW w:w="476" w:type="pct"/>
            <w:vMerge/>
            <w:vAlign w:val="center"/>
            <w:hideMark/>
          </w:tcPr>
          <w:p w14:paraId="4528454C"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4F755F1"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FA8D68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B3A693B"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AE3F01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57FC07C"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121B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1082C30"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19410C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4AE3D3BD" w14:textId="77777777" w:rsidTr="00891A02">
        <w:trPr>
          <w:trHeight w:val="300"/>
        </w:trPr>
        <w:tc>
          <w:tcPr>
            <w:tcW w:w="476" w:type="pct"/>
            <w:vMerge/>
            <w:vAlign w:val="center"/>
            <w:hideMark/>
          </w:tcPr>
          <w:p w14:paraId="225536BC"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A21A1BD"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746A88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CBC06DB"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45FC1C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89A787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90C4067"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0-17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60F7AB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4F9EB36" w14:textId="77777777" w:rsidTr="00891A02">
        <w:trPr>
          <w:trHeight w:val="300"/>
        </w:trPr>
        <w:tc>
          <w:tcPr>
            <w:tcW w:w="476" w:type="pct"/>
            <w:vMerge/>
            <w:vAlign w:val="center"/>
            <w:hideMark/>
          </w:tcPr>
          <w:p w14:paraId="213ECCE8"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147B28F"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699B5F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1E7CB42"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46D7D30"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7688EF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122A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140EB7F"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297649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DC7FE3F" w14:textId="77777777" w:rsidTr="00891A02">
        <w:trPr>
          <w:trHeight w:val="300"/>
        </w:trPr>
        <w:tc>
          <w:tcPr>
            <w:tcW w:w="476" w:type="pct"/>
            <w:vMerge/>
            <w:vAlign w:val="center"/>
            <w:hideMark/>
          </w:tcPr>
          <w:p w14:paraId="62C15CF8"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2F187494"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83D2D7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E0687BF"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B928FD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0A502B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122B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5654D77"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1864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A59B02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84EBCD3" w14:textId="77777777" w:rsidTr="00891A02">
        <w:trPr>
          <w:trHeight w:val="300"/>
        </w:trPr>
        <w:tc>
          <w:tcPr>
            <w:tcW w:w="476" w:type="pct"/>
            <w:vMerge/>
            <w:vAlign w:val="center"/>
            <w:hideMark/>
          </w:tcPr>
          <w:p w14:paraId="6C717932"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584369D9"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D409F3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329FF91"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D3E22B0"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3C5789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122Z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9AF99E8"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1864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0B058E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0681745" w14:textId="77777777" w:rsidTr="00891A02">
        <w:trPr>
          <w:trHeight w:val="300"/>
        </w:trPr>
        <w:tc>
          <w:tcPr>
            <w:tcW w:w="476" w:type="pct"/>
            <w:vMerge/>
            <w:vAlign w:val="center"/>
            <w:hideMark/>
          </w:tcPr>
          <w:p w14:paraId="2FAEEBFB"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49FC34A"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013D62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40C9CEB"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2ECC707"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09C217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123A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0BDE9B1"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0BAFC2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38760BA" w14:textId="77777777" w:rsidTr="00891A02">
        <w:trPr>
          <w:trHeight w:val="300"/>
        </w:trPr>
        <w:tc>
          <w:tcPr>
            <w:tcW w:w="476" w:type="pct"/>
            <w:vMerge/>
            <w:vAlign w:val="center"/>
            <w:hideMark/>
          </w:tcPr>
          <w:p w14:paraId="54518743"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56BEE879"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4E944E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405D8D8"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F5C987B"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E52817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123B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E3EC4AC"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90BC4B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896BBEA" w14:textId="77777777" w:rsidTr="00891A02">
        <w:trPr>
          <w:trHeight w:val="300"/>
        </w:trPr>
        <w:tc>
          <w:tcPr>
            <w:tcW w:w="476" w:type="pct"/>
            <w:vMerge/>
            <w:vAlign w:val="center"/>
            <w:hideMark/>
          </w:tcPr>
          <w:p w14:paraId="1B967FC9"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77B10F0B"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E9B0EB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D901D60"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CC3F419"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4781F4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123Z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F53AE9F"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Functional gain, 65+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5ED17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387FAF84"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9B3D940"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Intensive extended</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3A22C8A"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F937E21"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85A8338"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368BCE7"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423E7A6"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131A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07A9D34"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AED9BD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FE8DD83" w14:textId="77777777" w:rsidTr="00891A02">
        <w:trPr>
          <w:cantSplit/>
          <w:trHeight w:val="300"/>
        </w:trPr>
        <w:tc>
          <w:tcPr>
            <w:tcW w:w="476" w:type="pct"/>
            <w:vMerge/>
            <w:vAlign w:val="center"/>
            <w:hideMark/>
          </w:tcPr>
          <w:p w14:paraId="157D27E8"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7D70B7A9"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842BA1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2E8F8C3"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E9C41D6"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B965EE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131B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2C455B6"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118CFC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54E5440B" w14:textId="77777777" w:rsidTr="00891A02">
        <w:trPr>
          <w:trHeight w:val="300"/>
        </w:trPr>
        <w:tc>
          <w:tcPr>
            <w:tcW w:w="476" w:type="pct"/>
            <w:vMerge/>
            <w:vAlign w:val="center"/>
            <w:hideMark/>
          </w:tcPr>
          <w:p w14:paraId="5386ECF7"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7A3D9BAA"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889C41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8347F98"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10FD0D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6CCCF0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A2E4AF5"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0-17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CFE5A9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5D1549F5" w14:textId="77777777" w:rsidTr="00891A02">
        <w:trPr>
          <w:trHeight w:val="300"/>
        </w:trPr>
        <w:tc>
          <w:tcPr>
            <w:tcW w:w="476" w:type="pct"/>
            <w:vMerge/>
            <w:vAlign w:val="center"/>
            <w:hideMark/>
          </w:tcPr>
          <w:p w14:paraId="7A702BE4"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C50B820"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FB4657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6A63949"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1F08D71"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46F25C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132A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7093BB4"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8443E4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0F9ED514" w14:textId="77777777" w:rsidTr="00891A02">
        <w:trPr>
          <w:trHeight w:val="300"/>
        </w:trPr>
        <w:tc>
          <w:tcPr>
            <w:tcW w:w="476" w:type="pct"/>
            <w:vMerge/>
            <w:vAlign w:val="center"/>
            <w:hideMark/>
          </w:tcPr>
          <w:p w14:paraId="14C32FFF"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1F150402"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447875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71EBF96"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1A8A7D3"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E3B045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132B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921A03E"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18-64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A0D69C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6D9D1324" w14:textId="77777777" w:rsidTr="00891A02">
        <w:trPr>
          <w:trHeight w:val="300"/>
        </w:trPr>
        <w:tc>
          <w:tcPr>
            <w:tcW w:w="476" w:type="pct"/>
            <w:vMerge/>
            <w:vAlign w:val="center"/>
            <w:hideMark/>
          </w:tcPr>
          <w:p w14:paraId="5B610A13"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34CC6261"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FE6F72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AA4A427"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93A583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E570D1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132Z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C9F419E"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18-64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4A51ED8"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103C8AB6" w14:textId="77777777" w:rsidTr="00891A02">
        <w:trPr>
          <w:trHeight w:val="300"/>
        </w:trPr>
        <w:tc>
          <w:tcPr>
            <w:tcW w:w="476" w:type="pct"/>
            <w:vMerge/>
            <w:vAlign w:val="center"/>
            <w:hideMark/>
          </w:tcPr>
          <w:p w14:paraId="3DF441A4"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E870A44"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DA1BCC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0D4E61B"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28C675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F660E3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133A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93B1225"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A33CC96"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4B54DDE2" w14:textId="77777777" w:rsidTr="00891A02">
        <w:trPr>
          <w:trHeight w:val="300"/>
        </w:trPr>
        <w:tc>
          <w:tcPr>
            <w:tcW w:w="476" w:type="pct"/>
            <w:vMerge/>
            <w:vAlign w:val="center"/>
            <w:hideMark/>
          </w:tcPr>
          <w:p w14:paraId="7DA21106"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4D741A20"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A1B1CB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D2938D9"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176C8A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4FC973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133B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9411B8D"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1CAC78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7B4B8930" w14:textId="77777777" w:rsidTr="00891A02">
        <w:trPr>
          <w:trHeight w:val="300"/>
        </w:trPr>
        <w:tc>
          <w:tcPr>
            <w:tcW w:w="476" w:type="pct"/>
            <w:vMerge/>
            <w:vAlign w:val="center"/>
            <w:hideMark/>
          </w:tcPr>
          <w:p w14:paraId="11D0F328"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180D0705"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6D31B3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BC7E300"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E5C3E8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3D8B956"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133Z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C4AD35C"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Intensive extended, 65+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D9B565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E984FEB"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BDAEAF4" w14:textId="77777777" w:rsidR="00C03C63" w:rsidRPr="000F158E" w:rsidRDefault="00C03C63" w:rsidP="00F45F2F">
            <w:pPr>
              <w:spacing w:before="16" w:after="16" w:line="240" w:lineRule="auto"/>
              <w:ind w:left="-108" w:right="-108"/>
              <w:jc w:val="center"/>
              <w:rPr>
                <w:rFonts w:cs="Arial"/>
                <w:sz w:val="16"/>
                <w:szCs w:val="16"/>
              </w:rPr>
            </w:pPr>
            <w:r w:rsidRPr="1922062C">
              <w:rPr>
                <w:rFonts w:cs="Arial"/>
                <w:sz w:val="16"/>
                <w:szCs w:val="16"/>
              </w:rPr>
              <w:t>Consolidating gain</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8745780"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24DA091"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715B710"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71CB93A"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3FACCC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141A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78F8925"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88D44E2"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Inactive</w:t>
            </w:r>
          </w:p>
        </w:tc>
      </w:tr>
      <w:tr w:rsidR="00C03C63" w:rsidRPr="000F158E" w14:paraId="4CA0678C" w14:textId="77777777" w:rsidTr="00891A02">
        <w:trPr>
          <w:trHeight w:val="300"/>
        </w:trPr>
        <w:tc>
          <w:tcPr>
            <w:tcW w:w="476" w:type="pct"/>
            <w:vMerge/>
            <w:vAlign w:val="center"/>
            <w:hideMark/>
          </w:tcPr>
          <w:p w14:paraId="243EBE98"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162286FE"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5A1737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DD7C172"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925201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04DA90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141B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E59C5F0"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50B469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Inactive</w:t>
            </w:r>
          </w:p>
        </w:tc>
      </w:tr>
      <w:tr w:rsidR="00C03C63" w:rsidRPr="000F158E" w14:paraId="1E80275E" w14:textId="77777777" w:rsidTr="00891A02">
        <w:trPr>
          <w:trHeight w:val="300"/>
        </w:trPr>
        <w:tc>
          <w:tcPr>
            <w:tcW w:w="476" w:type="pct"/>
            <w:vMerge/>
            <w:vAlign w:val="center"/>
            <w:hideMark/>
          </w:tcPr>
          <w:p w14:paraId="40B14B63"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6CA5F386"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57C3E5C"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A7131CD"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390724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77C910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141Z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0D41906"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Consolidating gain, 0-17 years</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3D0DB7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00B64F6C" w14:textId="77777777" w:rsidTr="00891A02">
        <w:trPr>
          <w:trHeight w:val="300"/>
        </w:trPr>
        <w:tc>
          <w:tcPr>
            <w:tcW w:w="476" w:type="pct"/>
            <w:vMerge/>
            <w:vAlign w:val="center"/>
            <w:hideMark/>
          </w:tcPr>
          <w:p w14:paraId="35731166"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A6F3E23"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AF948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2E15096"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8DD730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292493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142A</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10F2730"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D5F010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220EFEA6" w14:textId="77777777" w:rsidTr="00891A02">
        <w:trPr>
          <w:trHeight w:val="300"/>
        </w:trPr>
        <w:tc>
          <w:tcPr>
            <w:tcW w:w="476" w:type="pct"/>
            <w:vMerge/>
            <w:vAlign w:val="center"/>
            <w:hideMark/>
          </w:tcPr>
          <w:p w14:paraId="6D1188D2"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54BACF09"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DA55D1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BF2215C"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2F6C1FB"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F7C81E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142B</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68FDB26"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18-64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7D71A0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0D850F77" w14:textId="77777777" w:rsidTr="00891A02">
        <w:trPr>
          <w:trHeight w:val="300"/>
        </w:trPr>
        <w:tc>
          <w:tcPr>
            <w:tcW w:w="476" w:type="pct"/>
            <w:vMerge/>
            <w:vAlign w:val="center"/>
            <w:hideMark/>
          </w:tcPr>
          <w:p w14:paraId="344BFA4D"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61CE2733"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CC2B77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504B483"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08DB11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6D0E08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142Z</w:t>
            </w:r>
          </w:p>
        </w:tc>
        <w:tc>
          <w:tcPr>
            <w:tcW w:w="18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6438FD0"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18-64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8F0EB71"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1A58A364" w14:textId="77777777" w:rsidTr="00891A02">
        <w:trPr>
          <w:trHeight w:val="300"/>
        </w:trPr>
        <w:tc>
          <w:tcPr>
            <w:tcW w:w="476" w:type="pct"/>
            <w:vMerge/>
            <w:vAlign w:val="center"/>
            <w:hideMark/>
          </w:tcPr>
          <w:p w14:paraId="44AF11A9" w14:textId="77777777" w:rsidR="00C03C63" w:rsidRPr="000F158E" w:rsidRDefault="00C03C63" w:rsidP="004C4D7B">
            <w:pPr>
              <w:spacing w:after="0" w:line="256" w:lineRule="auto"/>
              <w:rPr>
                <w:rFonts w:cs="Arial"/>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55A89"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vAlign w:val="center"/>
          </w:tcPr>
          <w:p w14:paraId="7EAF00F3"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1AC4598C" w14:textId="77777777" w:rsidR="00C03C63" w:rsidRPr="000F158E" w:rsidRDefault="00C03C63" w:rsidP="004C4D7B">
            <w:pPr>
              <w:spacing w:before="16" w:after="16" w:line="240" w:lineRule="auto"/>
              <w:jc w:val="center"/>
              <w:rPr>
                <w:rFonts w:cs="Arial"/>
                <w:sz w:val="16"/>
                <w:szCs w:val="16"/>
              </w:rPr>
            </w:pPr>
            <w:r w:rsidRPr="1922062C">
              <w:rPr>
                <w:sz w:val="16"/>
                <w:szCs w:val="16"/>
              </w:rPr>
              <w:t>High</w:t>
            </w:r>
          </w:p>
        </w:tc>
        <w:tc>
          <w:tcPr>
            <w:tcW w:w="429" w:type="pct"/>
            <w:tcBorders>
              <w:top w:val="single" w:sz="4" w:space="0" w:color="auto"/>
              <w:left w:val="single" w:sz="4" w:space="0" w:color="auto"/>
              <w:bottom w:val="single" w:sz="4" w:space="0" w:color="auto"/>
              <w:right w:val="single" w:sz="4" w:space="0" w:color="auto"/>
            </w:tcBorders>
            <w:vAlign w:val="center"/>
          </w:tcPr>
          <w:p w14:paraId="79AC1FA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75B07"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143A</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C0411"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FB4E8ED"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5E531C97" w14:textId="77777777" w:rsidTr="00891A02">
        <w:trPr>
          <w:trHeight w:val="300"/>
        </w:trPr>
        <w:tc>
          <w:tcPr>
            <w:tcW w:w="476" w:type="pct"/>
            <w:vMerge/>
            <w:vAlign w:val="center"/>
            <w:hideMark/>
          </w:tcPr>
          <w:p w14:paraId="5580FE41"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50A6F607"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vAlign w:val="center"/>
          </w:tcPr>
          <w:p w14:paraId="3039526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221ABD17" w14:textId="77777777" w:rsidR="00C03C63" w:rsidRPr="000F158E" w:rsidRDefault="00C03C63" w:rsidP="004C4D7B">
            <w:pPr>
              <w:spacing w:before="16" w:after="16" w:line="240" w:lineRule="auto"/>
              <w:jc w:val="center"/>
              <w:rPr>
                <w:rFonts w:cs="Arial"/>
                <w:sz w:val="16"/>
                <w:szCs w:val="16"/>
              </w:rPr>
            </w:pPr>
            <w:r w:rsidRPr="1922062C">
              <w:rPr>
                <w:sz w:val="16"/>
                <w:szCs w:val="16"/>
              </w:rPr>
              <w:t>Moderate</w:t>
            </w:r>
          </w:p>
        </w:tc>
        <w:tc>
          <w:tcPr>
            <w:tcW w:w="429" w:type="pct"/>
            <w:tcBorders>
              <w:top w:val="single" w:sz="4" w:space="0" w:color="auto"/>
              <w:left w:val="single" w:sz="4" w:space="0" w:color="auto"/>
              <w:bottom w:val="single" w:sz="4" w:space="0" w:color="auto"/>
              <w:right w:val="single" w:sz="4" w:space="0" w:color="auto"/>
            </w:tcBorders>
            <w:vAlign w:val="center"/>
          </w:tcPr>
          <w:p w14:paraId="76D4F15F"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CB76E"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143B</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5E2C8"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FE9FB1B"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3F96A420" w14:textId="77777777" w:rsidTr="00891A02">
        <w:trPr>
          <w:trHeight w:val="300"/>
        </w:trPr>
        <w:tc>
          <w:tcPr>
            <w:tcW w:w="476" w:type="pct"/>
            <w:vMerge/>
            <w:vAlign w:val="center"/>
            <w:hideMark/>
          </w:tcPr>
          <w:p w14:paraId="357CA845" w14:textId="77777777" w:rsidR="00C03C63" w:rsidRPr="000F158E" w:rsidRDefault="00C03C63" w:rsidP="004C4D7B">
            <w:pPr>
              <w:spacing w:after="0" w:line="256" w:lineRule="auto"/>
              <w:rPr>
                <w:rFonts w:cs="Arial"/>
                <w:sz w:val="16"/>
                <w:szCs w:val="16"/>
              </w:rPr>
            </w:pPr>
          </w:p>
        </w:tc>
        <w:tc>
          <w:tcPr>
            <w:tcW w:w="476" w:type="pct"/>
            <w:vMerge/>
            <w:vAlign w:val="center"/>
            <w:hideMark/>
          </w:tcPr>
          <w:p w14:paraId="0A5029A0" w14:textId="77777777" w:rsidR="00C03C63" w:rsidRPr="000F158E" w:rsidRDefault="00C03C63" w:rsidP="00F45F2F">
            <w:pPr>
              <w:spacing w:after="0" w:line="256" w:lineRule="auto"/>
              <w:jc w:val="center"/>
              <w:rPr>
                <w:rFonts w:cs="Arial"/>
                <w:sz w:val="16"/>
                <w:szCs w:val="16"/>
              </w:rPr>
            </w:pPr>
          </w:p>
        </w:tc>
        <w:tc>
          <w:tcPr>
            <w:tcW w:w="429" w:type="pct"/>
            <w:tcBorders>
              <w:top w:val="single" w:sz="4" w:space="0" w:color="auto"/>
              <w:left w:val="single" w:sz="4" w:space="0" w:color="auto"/>
              <w:bottom w:val="single" w:sz="4" w:space="0" w:color="auto"/>
              <w:right w:val="single" w:sz="4" w:space="0" w:color="auto"/>
            </w:tcBorders>
            <w:vAlign w:val="center"/>
          </w:tcPr>
          <w:p w14:paraId="40598856"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45D02156" w14:textId="77777777" w:rsidR="00C03C63" w:rsidRPr="000F158E" w:rsidRDefault="00C03C63" w:rsidP="004C4D7B">
            <w:pPr>
              <w:spacing w:before="16" w:after="16" w:line="240" w:lineRule="auto"/>
              <w:jc w:val="center"/>
              <w:rPr>
                <w:rFonts w:cs="Arial"/>
                <w:sz w:val="16"/>
                <w:szCs w:val="16"/>
              </w:rPr>
            </w:pPr>
            <w:r w:rsidRPr="1922062C">
              <w:rPr>
                <w:sz w:val="16"/>
                <w:szCs w:val="16"/>
              </w:rPr>
              <w:t>Unknown</w:t>
            </w:r>
          </w:p>
        </w:tc>
        <w:tc>
          <w:tcPr>
            <w:tcW w:w="429" w:type="pct"/>
            <w:tcBorders>
              <w:top w:val="single" w:sz="4" w:space="0" w:color="auto"/>
              <w:left w:val="single" w:sz="4" w:space="0" w:color="auto"/>
              <w:bottom w:val="single" w:sz="4" w:space="0" w:color="auto"/>
              <w:right w:val="single" w:sz="4" w:space="0" w:color="auto"/>
            </w:tcBorders>
            <w:vAlign w:val="center"/>
          </w:tcPr>
          <w:p w14:paraId="5C9BAEC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C7CD4"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143Z</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DB2DF" w14:textId="77777777" w:rsidR="00C03C63" w:rsidRPr="000F158E" w:rsidRDefault="00C03C63" w:rsidP="004C4D7B">
            <w:pPr>
              <w:spacing w:before="16" w:after="16" w:line="240" w:lineRule="auto"/>
              <w:rPr>
                <w:rFonts w:cs="Arial"/>
                <w:sz w:val="16"/>
                <w:szCs w:val="16"/>
              </w:rPr>
            </w:pPr>
            <w:r w:rsidRPr="1922062C">
              <w:rPr>
                <w:rFonts w:cs="Arial"/>
                <w:sz w:val="16"/>
                <w:szCs w:val="16"/>
              </w:rPr>
              <w:t xml:space="preserve">Admitted, Consolidating gain, 65+ years, Unknown </w:t>
            </w:r>
            <w:proofErr w:type="spellStart"/>
            <w:r w:rsidRPr="1922062C">
              <w:rPr>
                <w:rFonts w:cs="Arial"/>
                <w:sz w:val="16"/>
                <w:szCs w:val="16"/>
              </w:rPr>
              <w:t>HoNOS</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7E3F76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32B98D0C" w14:textId="77777777" w:rsidTr="00891A02">
        <w:trPr>
          <w:trHeight w:val="300"/>
        </w:trPr>
        <w:tc>
          <w:tcPr>
            <w:tcW w:w="47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1232F94"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Unknown</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4ECFA"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0-17 years</w:t>
            </w:r>
          </w:p>
        </w:tc>
        <w:tc>
          <w:tcPr>
            <w:tcW w:w="429" w:type="pct"/>
            <w:tcBorders>
              <w:top w:val="single" w:sz="4" w:space="0" w:color="auto"/>
              <w:left w:val="single" w:sz="4" w:space="0" w:color="auto"/>
              <w:bottom w:val="single" w:sz="4" w:space="0" w:color="auto"/>
              <w:right w:val="single" w:sz="4" w:space="0" w:color="auto"/>
            </w:tcBorders>
            <w:vAlign w:val="center"/>
          </w:tcPr>
          <w:p w14:paraId="2263ECB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6E7DF82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vAlign w:val="center"/>
          </w:tcPr>
          <w:p w14:paraId="71A60D2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30C9A"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191Z</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7206D"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Unknown phase, 017 years</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543BD15"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39B68158" w14:textId="77777777" w:rsidTr="00891A02">
        <w:trPr>
          <w:trHeight w:val="300"/>
        </w:trPr>
        <w:tc>
          <w:tcPr>
            <w:tcW w:w="476" w:type="pct"/>
            <w:vMerge/>
            <w:vAlign w:val="center"/>
            <w:hideMark/>
          </w:tcPr>
          <w:p w14:paraId="1364C49A" w14:textId="77777777" w:rsidR="00C03C63" w:rsidRPr="000F158E" w:rsidRDefault="00C03C63" w:rsidP="004C4D7B">
            <w:pPr>
              <w:spacing w:after="0" w:line="256" w:lineRule="auto"/>
              <w:rPr>
                <w:rFonts w:cs="Arial"/>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7071D"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18-64 years</w:t>
            </w:r>
          </w:p>
        </w:tc>
        <w:tc>
          <w:tcPr>
            <w:tcW w:w="429" w:type="pct"/>
            <w:tcBorders>
              <w:top w:val="single" w:sz="4" w:space="0" w:color="auto"/>
              <w:left w:val="single" w:sz="4" w:space="0" w:color="auto"/>
              <w:bottom w:val="single" w:sz="4" w:space="0" w:color="auto"/>
              <w:right w:val="single" w:sz="4" w:space="0" w:color="auto"/>
            </w:tcBorders>
            <w:vAlign w:val="center"/>
          </w:tcPr>
          <w:p w14:paraId="23389BBC"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4DBB379D"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vAlign w:val="center"/>
          </w:tcPr>
          <w:p w14:paraId="22516458"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3436F"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192Z</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ECD64"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Unknown phase, 1864 years</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FDA6DE3"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r w:rsidR="00C03C63" w:rsidRPr="000F158E" w14:paraId="102C6BB9" w14:textId="77777777" w:rsidTr="00891A02">
        <w:trPr>
          <w:trHeight w:val="300"/>
        </w:trPr>
        <w:tc>
          <w:tcPr>
            <w:tcW w:w="476" w:type="pct"/>
            <w:vMerge/>
            <w:vAlign w:val="center"/>
            <w:hideMark/>
          </w:tcPr>
          <w:p w14:paraId="298CEBAE" w14:textId="77777777" w:rsidR="00C03C63" w:rsidRPr="000F158E" w:rsidRDefault="00C03C63" w:rsidP="004C4D7B">
            <w:pPr>
              <w:spacing w:after="0" w:line="256" w:lineRule="auto"/>
              <w:rPr>
                <w:rFonts w:cs="Arial"/>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A3C78" w14:textId="77777777" w:rsidR="00C03C63" w:rsidRPr="000F158E" w:rsidRDefault="00C03C63" w:rsidP="00F45F2F">
            <w:pPr>
              <w:spacing w:before="16" w:after="16" w:line="240" w:lineRule="auto"/>
              <w:jc w:val="center"/>
              <w:rPr>
                <w:rFonts w:cs="Arial"/>
                <w:sz w:val="16"/>
                <w:szCs w:val="16"/>
              </w:rPr>
            </w:pPr>
            <w:r w:rsidRPr="1922062C">
              <w:rPr>
                <w:rFonts w:cs="Arial"/>
                <w:sz w:val="16"/>
                <w:szCs w:val="16"/>
              </w:rPr>
              <w:t>65+ years</w:t>
            </w:r>
          </w:p>
        </w:tc>
        <w:tc>
          <w:tcPr>
            <w:tcW w:w="429" w:type="pct"/>
            <w:tcBorders>
              <w:top w:val="single" w:sz="4" w:space="0" w:color="auto"/>
              <w:left w:val="single" w:sz="4" w:space="0" w:color="auto"/>
              <w:bottom w:val="single" w:sz="4" w:space="0" w:color="auto"/>
              <w:right w:val="single" w:sz="4" w:space="0" w:color="auto"/>
            </w:tcBorders>
            <w:vAlign w:val="center"/>
          </w:tcPr>
          <w:p w14:paraId="3B2E7B4B"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524" w:type="pct"/>
            <w:tcBorders>
              <w:top w:val="single" w:sz="4" w:space="0" w:color="auto"/>
              <w:left w:val="single" w:sz="4" w:space="0" w:color="auto"/>
              <w:bottom w:val="single" w:sz="4" w:space="0" w:color="auto"/>
              <w:right w:val="single" w:sz="4" w:space="0" w:color="auto"/>
            </w:tcBorders>
            <w:vAlign w:val="center"/>
          </w:tcPr>
          <w:p w14:paraId="013CD2D4"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429" w:type="pct"/>
            <w:tcBorders>
              <w:top w:val="single" w:sz="4" w:space="0" w:color="auto"/>
              <w:left w:val="single" w:sz="4" w:space="0" w:color="auto"/>
              <w:bottom w:val="single" w:sz="4" w:space="0" w:color="auto"/>
              <w:right w:val="single" w:sz="4" w:space="0" w:color="auto"/>
            </w:tcBorders>
            <w:vAlign w:val="center"/>
          </w:tcPr>
          <w:p w14:paraId="1570B5AE" w14:textId="77777777" w:rsidR="00C03C63" w:rsidRPr="000F158E" w:rsidRDefault="00C03C63" w:rsidP="004C4D7B">
            <w:pPr>
              <w:spacing w:before="16" w:after="16" w:line="240" w:lineRule="auto"/>
              <w:jc w:val="center"/>
              <w:rPr>
                <w:rFonts w:cs="Arial"/>
                <w:sz w:val="16"/>
                <w:szCs w:val="16"/>
              </w:rPr>
            </w:pPr>
            <w:r w:rsidRPr="1922062C">
              <w:rPr>
                <w:sz w:val="16"/>
                <w:szCs w:val="16"/>
              </w:rPr>
              <w:t>-</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6A390"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193Z</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D9800" w14:textId="77777777" w:rsidR="00C03C63" w:rsidRPr="000F158E" w:rsidRDefault="00C03C63" w:rsidP="004C4D7B">
            <w:pPr>
              <w:spacing w:before="16" w:after="16" w:line="240" w:lineRule="auto"/>
              <w:rPr>
                <w:rFonts w:cs="Arial"/>
                <w:sz w:val="16"/>
                <w:szCs w:val="16"/>
              </w:rPr>
            </w:pPr>
            <w:r w:rsidRPr="1922062C">
              <w:rPr>
                <w:rFonts w:cs="Arial"/>
                <w:sz w:val="16"/>
                <w:szCs w:val="16"/>
              </w:rPr>
              <w:t>Admitted, Unknown phase, 65+ years</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CED2189" w14:textId="77777777" w:rsidR="00C03C63" w:rsidRPr="000F158E" w:rsidRDefault="00C03C63" w:rsidP="004C4D7B">
            <w:pPr>
              <w:spacing w:before="16" w:after="16" w:line="240" w:lineRule="auto"/>
              <w:jc w:val="center"/>
              <w:rPr>
                <w:rFonts w:cs="Arial"/>
                <w:sz w:val="16"/>
                <w:szCs w:val="16"/>
              </w:rPr>
            </w:pPr>
            <w:r w:rsidRPr="1922062C">
              <w:rPr>
                <w:rFonts w:cs="Arial"/>
                <w:sz w:val="16"/>
                <w:szCs w:val="16"/>
              </w:rPr>
              <w:t>Active</w:t>
            </w:r>
          </w:p>
        </w:tc>
      </w:tr>
    </w:tbl>
    <w:p w14:paraId="132D61B7" w14:textId="77777777" w:rsidR="00C03C63" w:rsidRDefault="00C03C63" w:rsidP="00C03C63">
      <w:pPr>
        <w:sectPr w:rsidR="00C03C63" w:rsidSect="00D50FAD">
          <w:footerReference w:type="default" r:id="rId39"/>
          <w:pgSz w:w="16838" w:h="11906" w:orient="landscape" w:code="9"/>
          <w:pgMar w:top="1077" w:right="1440" w:bottom="1077" w:left="1440" w:header="709" w:footer="709" w:gutter="0"/>
          <w:cols w:space="720"/>
          <w:docGrid w:linePitch="360"/>
        </w:sectPr>
      </w:pPr>
    </w:p>
    <w:p w14:paraId="4F0A6439" w14:textId="64AC6AF6" w:rsidR="00C03C63" w:rsidRDefault="00C03C63" w:rsidP="00C03C63">
      <w:pPr>
        <w:pStyle w:val="TableFigureheading"/>
      </w:pPr>
      <w:r>
        <w:lastRenderedPageBreak/>
        <w:t xml:space="preserve">Table </w:t>
      </w:r>
      <w:r w:rsidR="00177AE4">
        <w:t>1</w:t>
      </w:r>
      <w:r w:rsidR="00037196">
        <w:t>1</w:t>
      </w:r>
      <w:r>
        <w:t xml:space="preserve">. AMHCC V1.1 community setting structure and end </w:t>
      </w:r>
      <w:proofErr w:type="gramStart"/>
      <w:r>
        <w:t>classes</w:t>
      </w:r>
      <w:proofErr w:type="gramEnd"/>
      <w:r>
        <w:t xml:space="preserve"> </w:t>
      </w:r>
    </w:p>
    <w:tbl>
      <w:tblPr>
        <w:tblW w:w="5000" w:type="pct"/>
        <w:tblLook w:val="04A0" w:firstRow="1" w:lastRow="0" w:firstColumn="1" w:lastColumn="0" w:noHBand="0" w:noVBand="1"/>
      </w:tblPr>
      <w:tblGrid>
        <w:gridCol w:w="1273"/>
        <w:gridCol w:w="1417"/>
        <w:gridCol w:w="1135"/>
        <w:gridCol w:w="1417"/>
        <w:gridCol w:w="1275"/>
        <w:gridCol w:w="979"/>
        <w:gridCol w:w="5077"/>
        <w:gridCol w:w="1375"/>
      </w:tblGrid>
      <w:tr w:rsidR="00B02FA5" w14:paraId="7D9B5737" w14:textId="77777777" w:rsidTr="006A690A">
        <w:trPr>
          <w:trHeight w:val="293"/>
          <w:tblHeader/>
        </w:trPr>
        <w:tc>
          <w:tcPr>
            <w:tcW w:w="456"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CB3C821" w14:textId="77777777" w:rsidR="00C03C63" w:rsidRPr="008F2775" w:rsidRDefault="00C03C63" w:rsidP="00F45F2F">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Phase</w:t>
            </w:r>
          </w:p>
        </w:tc>
        <w:tc>
          <w:tcPr>
            <w:tcW w:w="508" w:type="pc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81189A1" w14:textId="77777777" w:rsidR="00C03C63" w:rsidRPr="008F2775" w:rsidRDefault="00C03C63" w:rsidP="00F45F2F">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Age group</w:t>
            </w:r>
          </w:p>
        </w:tc>
        <w:tc>
          <w:tcPr>
            <w:tcW w:w="407" w:type="pct"/>
            <w:tcBorders>
              <w:top w:val="single" w:sz="4" w:space="0" w:color="auto"/>
              <w:left w:val="nil"/>
              <w:bottom w:val="single" w:sz="4" w:space="0" w:color="auto"/>
              <w:right w:val="single" w:sz="4" w:space="0" w:color="auto"/>
            </w:tcBorders>
            <w:shd w:val="clear" w:color="auto" w:fill="15272F" w:themeFill="accent1"/>
            <w:vAlign w:val="center"/>
            <w:hideMark/>
          </w:tcPr>
          <w:p w14:paraId="53D9D80E" w14:textId="77777777" w:rsidR="00C03C63" w:rsidRPr="008F2775" w:rsidRDefault="00C03C63" w:rsidP="004C4D7B">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Mental health legal status</w:t>
            </w:r>
          </w:p>
        </w:tc>
        <w:tc>
          <w:tcPr>
            <w:tcW w:w="508" w:type="pct"/>
            <w:tcBorders>
              <w:top w:val="single" w:sz="4" w:space="0" w:color="auto"/>
              <w:left w:val="nil"/>
              <w:bottom w:val="single" w:sz="4" w:space="0" w:color="auto"/>
              <w:right w:val="single" w:sz="4" w:space="0" w:color="auto"/>
            </w:tcBorders>
            <w:shd w:val="clear" w:color="auto" w:fill="15272F" w:themeFill="accent1"/>
            <w:vAlign w:val="center"/>
            <w:hideMark/>
          </w:tcPr>
          <w:p w14:paraId="67426095" w14:textId="77777777" w:rsidR="00C03C63" w:rsidRPr="008F2775" w:rsidRDefault="00C03C63" w:rsidP="004C4D7B">
            <w:pPr>
              <w:spacing w:before="10" w:after="10" w:line="240" w:lineRule="auto"/>
              <w:jc w:val="center"/>
              <w:rPr>
                <w:rFonts w:cs="Arial"/>
                <w:color w:val="FFFFFF" w:themeColor="background2"/>
                <w:sz w:val="16"/>
                <w:szCs w:val="16"/>
              </w:rPr>
            </w:pPr>
            <w:proofErr w:type="spellStart"/>
            <w:r w:rsidRPr="1922062C">
              <w:rPr>
                <w:rFonts w:cs="Arial"/>
                <w:b/>
                <w:bCs/>
                <w:color w:val="FFFFFF" w:themeColor="accent6"/>
                <w:sz w:val="16"/>
                <w:szCs w:val="16"/>
              </w:rPr>
              <w:t>HoNOS</w:t>
            </w:r>
            <w:proofErr w:type="spellEnd"/>
            <w:r w:rsidRPr="1922062C">
              <w:rPr>
                <w:rFonts w:cs="Arial"/>
                <w:b/>
                <w:bCs/>
                <w:color w:val="FFFFFF" w:themeColor="accent6"/>
                <w:sz w:val="16"/>
                <w:szCs w:val="16"/>
              </w:rPr>
              <w:t xml:space="preserve"> complexity</w:t>
            </w:r>
          </w:p>
        </w:tc>
        <w:tc>
          <w:tcPr>
            <w:tcW w:w="457" w:type="pct"/>
            <w:tcBorders>
              <w:top w:val="single" w:sz="4" w:space="0" w:color="auto"/>
              <w:left w:val="nil"/>
              <w:bottom w:val="single" w:sz="4" w:space="0" w:color="auto"/>
              <w:right w:val="single" w:sz="4" w:space="0" w:color="auto"/>
            </w:tcBorders>
            <w:shd w:val="clear" w:color="auto" w:fill="15272F" w:themeFill="accent1"/>
            <w:vAlign w:val="center"/>
            <w:hideMark/>
          </w:tcPr>
          <w:p w14:paraId="7880299D" w14:textId="77777777" w:rsidR="00C03C63" w:rsidRPr="008F2775" w:rsidRDefault="00C03C63" w:rsidP="004C4D7B">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LSP complexity</w:t>
            </w:r>
          </w:p>
        </w:tc>
        <w:tc>
          <w:tcPr>
            <w:tcW w:w="351" w:type="pct"/>
            <w:tcBorders>
              <w:top w:val="single" w:sz="4" w:space="0" w:color="auto"/>
              <w:left w:val="nil"/>
              <w:bottom w:val="nil"/>
              <w:right w:val="single" w:sz="4" w:space="0" w:color="auto"/>
            </w:tcBorders>
            <w:shd w:val="clear" w:color="auto" w:fill="15272F" w:themeFill="accent1"/>
            <w:vAlign w:val="center"/>
            <w:hideMark/>
          </w:tcPr>
          <w:p w14:paraId="67C9650B" w14:textId="77777777" w:rsidR="00C03C63" w:rsidRPr="008F2775" w:rsidRDefault="00C03C63" w:rsidP="004C4D7B">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Class code</w:t>
            </w:r>
          </w:p>
        </w:tc>
        <w:tc>
          <w:tcPr>
            <w:tcW w:w="1820" w:type="pct"/>
            <w:tcBorders>
              <w:top w:val="single" w:sz="4" w:space="0" w:color="auto"/>
              <w:left w:val="single" w:sz="4" w:space="0" w:color="auto"/>
              <w:bottom w:val="nil"/>
              <w:right w:val="single" w:sz="4" w:space="0" w:color="auto"/>
            </w:tcBorders>
            <w:shd w:val="clear" w:color="auto" w:fill="15272F" w:themeFill="accent1"/>
            <w:vAlign w:val="center"/>
            <w:hideMark/>
          </w:tcPr>
          <w:p w14:paraId="34363E53" w14:textId="77777777" w:rsidR="00C03C63" w:rsidRPr="008F2775" w:rsidRDefault="00C03C63" w:rsidP="004C4D7B">
            <w:pPr>
              <w:spacing w:before="10" w:after="10" w:line="240" w:lineRule="auto"/>
              <w:jc w:val="center"/>
              <w:rPr>
                <w:rFonts w:cs="Arial"/>
                <w:color w:val="FFFFFF" w:themeColor="background2"/>
                <w:sz w:val="16"/>
                <w:szCs w:val="16"/>
              </w:rPr>
            </w:pPr>
            <w:r w:rsidRPr="1922062C">
              <w:rPr>
                <w:rFonts w:cs="Arial"/>
                <w:b/>
                <w:bCs/>
                <w:color w:val="FFFFFF" w:themeColor="accent6"/>
                <w:sz w:val="16"/>
                <w:szCs w:val="16"/>
              </w:rPr>
              <w:t>Class description</w:t>
            </w:r>
          </w:p>
        </w:tc>
        <w:tc>
          <w:tcPr>
            <w:tcW w:w="493" w:type="pct"/>
            <w:tcBorders>
              <w:top w:val="single" w:sz="4" w:space="0" w:color="auto"/>
              <w:left w:val="single" w:sz="4" w:space="0" w:color="auto"/>
              <w:bottom w:val="nil"/>
              <w:right w:val="single" w:sz="4" w:space="0" w:color="auto"/>
            </w:tcBorders>
            <w:shd w:val="clear" w:color="auto" w:fill="15272F" w:themeFill="accent1"/>
          </w:tcPr>
          <w:p w14:paraId="2001BC23" w14:textId="77777777" w:rsidR="00C03C63" w:rsidRPr="008F2775" w:rsidRDefault="00C03C63" w:rsidP="004C4D7B">
            <w:pPr>
              <w:spacing w:before="10" w:after="10" w:line="240" w:lineRule="auto"/>
              <w:jc w:val="center"/>
              <w:rPr>
                <w:rFonts w:cs="Arial"/>
                <w:b/>
                <w:bCs/>
                <w:color w:val="FFFFFF" w:themeColor="background2"/>
                <w:sz w:val="16"/>
                <w:szCs w:val="16"/>
              </w:rPr>
            </w:pPr>
            <w:r w:rsidRPr="1922062C">
              <w:rPr>
                <w:rFonts w:cs="Arial"/>
                <w:b/>
                <w:bCs/>
                <w:color w:val="FFFFFF" w:themeColor="accent6"/>
                <w:sz w:val="16"/>
                <w:szCs w:val="16"/>
              </w:rPr>
              <w:t>Active/Inactive for AMHCC Version 1.1</w:t>
            </w:r>
          </w:p>
        </w:tc>
      </w:tr>
      <w:tr w:rsidR="00B02FA5" w14:paraId="39197FC3" w14:textId="77777777" w:rsidTr="006A690A">
        <w:trPr>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B6DC447"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Assessment only</w:t>
            </w: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D0FB5D4"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6EBF5E4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3E90C8F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5379CF3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030E7E7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201Z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E176CA2"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Assessment only, 0-17 years</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43AF59E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75E5ECF"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22472B31" w14:textId="77777777" w:rsidR="00C03C63" w:rsidRPr="008F2775" w:rsidRDefault="00C03C63" w:rsidP="00F45F2F">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F50B7FE"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76AF3FC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3C2F5B9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7FDA5C1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770BD83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202Z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1C7190C4"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Assessment only, 18-64 years</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4BCB754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74C827B9"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5A681260" w14:textId="77777777" w:rsidR="00C03C63" w:rsidRPr="008F2775" w:rsidRDefault="00C03C63" w:rsidP="00F45F2F">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595CB48"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3EA4844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4872E8E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7B5D318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41427C9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203Z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2EB341B8"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Assessment only, 65+ years</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2DECE98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492FA2DF" w14:textId="77777777" w:rsidTr="006A690A">
        <w:trPr>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DA8E72F"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Acute</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3B9BD09"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795B64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257E512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79FC281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599A31C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211A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0B736C4B"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60E2F0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8F704FB"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438811BD"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61D5980"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EFF552C"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473525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72BFB1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2D4CE03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211B</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7941D080"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CE8C5B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7D11BF83"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786EDDE"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E6051F1"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0343A6F"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EB26A6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DA9909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1D1DE00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211Z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1E2761B4"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0-17 years, Unknown </w:t>
            </w:r>
            <w:proofErr w:type="spellStart"/>
            <w:r w:rsidRPr="1922062C">
              <w:rPr>
                <w:rFonts w:cs="Arial"/>
                <w:sz w:val="16"/>
                <w:szCs w:val="16"/>
              </w:rPr>
              <w:t>HoNOS</w:t>
            </w:r>
            <w:proofErr w:type="spellEnd"/>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7DBF9F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5648895"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2CED00AC"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B3F9889"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1CB6F4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2478B06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514A03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4352F8F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212A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61259177"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794A607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D225997"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6CD888A1"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9FE73C9"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1ACC40E" w14:textId="77777777" w:rsidR="00C03C63" w:rsidRPr="008F2775" w:rsidRDefault="00C03C63" w:rsidP="004C4D7B">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BEA255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0A7C67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3F76664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212B1</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3C3D91F9"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18-64 years, Moderate </w:t>
            </w:r>
            <w:proofErr w:type="spellStart"/>
            <w:r w:rsidRPr="1922062C">
              <w:rPr>
                <w:rFonts w:cs="Arial"/>
                <w:sz w:val="16"/>
                <w:szCs w:val="16"/>
              </w:rPr>
              <w:t>HoNOS</w:t>
            </w:r>
            <w:proofErr w:type="spellEnd"/>
            <w:r w:rsidRPr="1922062C">
              <w:rPr>
                <w:rFonts w:cs="Arial"/>
                <w:sz w:val="16"/>
                <w:szCs w:val="16"/>
              </w:rPr>
              <w:t xml:space="preserve"> complexity with High LSP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2115D1E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4CA4B491"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09D3EB6C"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1FB417D"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F0C152D" w14:textId="77777777" w:rsidR="00C03C63" w:rsidRPr="008F2775" w:rsidRDefault="00C03C63" w:rsidP="004C4D7B">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D95451A" w14:textId="77777777" w:rsidR="00C03C63" w:rsidRPr="008F2775" w:rsidRDefault="00C03C63" w:rsidP="004C4D7B">
            <w:pPr>
              <w:spacing w:after="0" w:line="256" w:lineRule="auto"/>
              <w:jc w:val="center"/>
              <w:rPr>
                <w:rFonts w:cs="Arial"/>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288C38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03C2A82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212B2</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DBAA9C7"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18-64 years, Moderate </w:t>
            </w:r>
            <w:proofErr w:type="spellStart"/>
            <w:r w:rsidRPr="1922062C">
              <w:rPr>
                <w:rFonts w:cs="Arial"/>
                <w:sz w:val="16"/>
                <w:szCs w:val="16"/>
              </w:rPr>
              <w:t>HoNOS</w:t>
            </w:r>
            <w:proofErr w:type="spellEnd"/>
            <w:r w:rsidRPr="1922062C">
              <w:rPr>
                <w:rFonts w:cs="Arial"/>
                <w:sz w:val="16"/>
                <w:szCs w:val="16"/>
              </w:rPr>
              <w:t xml:space="preserve"> complexity with Moderate LSP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5D10128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4F69E6D8"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65AFF67D"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A90151E"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7486F577"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883C0B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184979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06B7C8A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212Z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tcPr>
          <w:p w14:paraId="539A92CD"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18-64 years, Unknown </w:t>
            </w:r>
            <w:proofErr w:type="spellStart"/>
            <w:r w:rsidRPr="1922062C">
              <w:rPr>
                <w:rFonts w:cs="Arial"/>
                <w:sz w:val="16"/>
                <w:szCs w:val="16"/>
              </w:rPr>
              <w:t>HoNOS</w:t>
            </w:r>
            <w:proofErr w:type="spellEnd"/>
          </w:p>
          <w:p w14:paraId="6BFEA946" w14:textId="77777777" w:rsidR="00C03C63" w:rsidRPr="008F2775" w:rsidRDefault="00C03C63" w:rsidP="004C4D7B">
            <w:pPr>
              <w:spacing w:before="10" w:after="10" w:line="240" w:lineRule="auto"/>
              <w:rPr>
                <w:rFonts w:cs="Arial"/>
                <w:sz w:val="16"/>
                <w:szCs w:val="16"/>
              </w:rPr>
            </w:pP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23B0C45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C535B48"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2CC9DC1D"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70E10BC"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1A4F21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3FE7FE2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20DCE9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26BA9DE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213A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604902E8"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C01638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89E0163" w14:textId="77777777" w:rsidTr="006A690A">
        <w:trPr>
          <w:cantSplit/>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4E17FBE"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9EE8AC5"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F4E6D07"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EB967A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9C96D4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4F71CB7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213B</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B97F83C"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701B0BB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B8394CB"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40A827EE"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E109DB2"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E7E6D0A"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329D50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6DE307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04F5B3D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213Z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61016046"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Acute, 65+ years, Unknown </w:t>
            </w:r>
            <w:proofErr w:type="spellStart"/>
            <w:r w:rsidRPr="1922062C">
              <w:rPr>
                <w:rFonts w:cs="Arial"/>
                <w:sz w:val="16"/>
                <w:szCs w:val="16"/>
              </w:rPr>
              <w:t>HoNOS</w:t>
            </w:r>
            <w:proofErr w:type="spellEnd"/>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0CD7527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79C0289" w14:textId="77777777" w:rsidTr="006A690A">
        <w:trPr>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1F0095C"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Functional gain</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0A3F18E"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C7693F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0C17AAE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0304F60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7060342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221A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35BD976F"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4567510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4406690"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271A13D1"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E770ECC"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87F61BB"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9D5108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DE91EA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334AE62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221B</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B6C6A6A"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93B553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1A236337"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5AB5E67"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A51892F"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5089BE8"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651BFD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93A5E0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1F36C74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221Z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1386DABD"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0-17 years, Unknown </w:t>
            </w:r>
            <w:proofErr w:type="spellStart"/>
            <w:r w:rsidRPr="1922062C">
              <w:rPr>
                <w:rFonts w:cs="Arial"/>
                <w:sz w:val="16"/>
                <w:szCs w:val="16"/>
              </w:rPr>
              <w:t>HoNOS</w:t>
            </w:r>
            <w:proofErr w:type="spellEnd"/>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37823B2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626524F"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5AA202FB"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4593466"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D3BDF0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3CE815A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2E93F9D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7DE49A3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222A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45FC8259"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032178D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D73BF81"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73077FD"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19782D35"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26B0D51" w14:textId="77777777" w:rsidR="00C03C63" w:rsidRPr="008F2775" w:rsidRDefault="00C03C63" w:rsidP="004C4D7B">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FEAA5B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7E3DCF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7BA0726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222B1</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552AE1E"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18-64 years, Moderate </w:t>
            </w:r>
            <w:proofErr w:type="spellStart"/>
            <w:r w:rsidRPr="1922062C">
              <w:rPr>
                <w:rFonts w:cs="Arial"/>
                <w:sz w:val="16"/>
                <w:szCs w:val="16"/>
              </w:rPr>
              <w:t>HoNOS</w:t>
            </w:r>
            <w:proofErr w:type="spellEnd"/>
            <w:r w:rsidRPr="1922062C">
              <w:rPr>
                <w:rFonts w:cs="Arial"/>
                <w:sz w:val="16"/>
                <w:szCs w:val="16"/>
              </w:rPr>
              <w:t xml:space="preserve"> complexity with High LSP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5FEE8BB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622B551C"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3C869CA4"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1334252F"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2833B3D" w14:textId="77777777" w:rsidR="00C03C63" w:rsidRPr="008F2775" w:rsidRDefault="00C03C63" w:rsidP="004C4D7B">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F8471B9" w14:textId="77777777" w:rsidR="00C03C63" w:rsidRPr="008F2775" w:rsidRDefault="00C03C63" w:rsidP="004C4D7B">
            <w:pPr>
              <w:spacing w:after="0" w:line="256" w:lineRule="auto"/>
              <w:jc w:val="center"/>
              <w:rPr>
                <w:rFonts w:cs="Arial"/>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70B828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3F9B30F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222B2</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3FB31960"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18-64 years, Moderate </w:t>
            </w:r>
            <w:proofErr w:type="spellStart"/>
            <w:r w:rsidRPr="1922062C">
              <w:rPr>
                <w:rFonts w:cs="Arial"/>
                <w:sz w:val="16"/>
                <w:szCs w:val="16"/>
              </w:rPr>
              <w:t>HoNOS</w:t>
            </w:r>
            <w:proofErr w:type="spellEnd"/>
            <w:r w:rsidRPr="1922062C">
              <w:rPr>
                <w:rFonts w:cs="Arial"/>
                <w:sz w:val="16"/>
                <w:szCs w:val="16"/>
              </w:rPr>
              <w:t xml:space="preserve"> complexity with Moderate LSP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54E14BF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9A1443D"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336CF6FA"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764BAC8F"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027DEB0"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496DFC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B13A6F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4BF92B1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222Z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30F8127D"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18-64 years, Unknown </w:t>
            </w:r>
            <w:proofErr w:type="spellStart"/>
            <w:r w:rsidRPr="1922062C">
              <w:rPr>
                <w:rFonts w:cs="Arial"/>
                <w:sz w:val="16"/>
                <w:szCs w:val="16"/>
              </w:rPr>
              <w:t>HoNOS</w:t>
            </w:r>
            <w:proofErr w:type="spellEnd"/>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37EA112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BA15ECE"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2AC392AE"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BDEF1BB"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2EC689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6274C0D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3416F87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7046801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223A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5BADA9AE"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30536DA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73FC7D2" w14:textId="77777777" w:rsidTr="006A690A">
        <w:trPr>
          <w:cantSplit/>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48BEC9D8"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A524879"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1B31E1B"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F96A49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135D45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09207F4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223B</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3EBE8C13"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2F10815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715C8768" w14:textId="77777777" w:rsidTr="006A690A">
        <w:trPr>
          <w:cantSplit/>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4E18081"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6A0BBE0F"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F87468D"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3AA67C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B5C7EA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4674D24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223Z</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0AB47578"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Functional gain, 65+ years, Unknown </w:t>
            </w:r>
            <w:proofErr w:type="spellStart"/>
            <w:r w:rsidRPr="1922062C">
              <w:rPr>
                <w:rFonts w:cs="Arial"/>
                <w:sz w:val="16"/>
                <w:szCs w:val="16"/>
              </w:rPr>
              <w:t>HoNOS</w:t>
            </w:r>
            <w:proofErr w:type="spellEnd"/>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480B377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196683E8" w14:textId="77777777" w:rsidTr="006A690A">
        <w:trPr>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5C38830"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Intensive extended</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94C4007"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D4114E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04CC8D6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3659A94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28C08C4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231A</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7DD20DBA"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7E65908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480B59A5"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0CDF0E50"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6434BAEC"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5F3E1D9"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82C342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2DA5CD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nil"/>
              <w:left w:val="nil"/>
              <w:bottom w:val="single" w:sz="4" w:space="0" w:color="auto"/>
              <w:right w:val="single" w:sz="4" w:space="0" w:color="auto"/>
            </w:tcBorders>
            <w:shd w:val="clear" w:color="auto" w:fill="FFFFFF" w:themeFill="accent6"/>
            <w:vAlign w:val="center"/>
            <w:hideMark/>
          </w:tcPr>
          <w:p w14:paraId="2E29852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231B</w:t>
            </w:r>
          </w:p>
        </w:tc>
        <w:tc>
          <w:tcPr>
            <w:tcW w:w="1820" w:type="pct"/>
            <w:tcBorders>
              <w:top w:val="nil"/>
              <w:left w:val="single" w:sz="4" w:space="0" w:color="auto"/>
              <w:bottom w:val="single" w:sz="4" w:space="0" w:color="auto"/>
              <w:right w:val="single" w:sz="4" w:space="0" w:color="auto"/>
            </w:tcBorders>
            <w:shd w:val="clear" w:color="auto" w:fill="FFFFFF" w:themeFill="accent6"/>
            <w:vAlign w:val="center"/>
            <w:hideMark/>
          </w:tcPr>
          <w:p w14:paraId="09E69845"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nil"/>
              <w:left w:val="single" w:sz="4" w:space="0" w:color="auto"/>
              <w:bottom w:val="single" w:sz="4" w:space="0" w:color="auto"/>
              <w:right w:val="single" w:sz="4" w:space="0" w:color="auto"/>
            </w:tcBorders>
            <w:shd w:val="clear" w:color="auto" w:fill="FFFFFF" w:themeFill="accent6"/>
            <w:vAlign w:val="center"/>
          </w:tcPr>
          <w:p w14:paraId="6E6C33C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795EE96"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67AEE9F"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6521483D"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8DD3D60"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A88775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105670C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F30B8D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231Z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B30CFD2"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0-17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AA1ADD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611B7306"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0DEECB29"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CF48F21"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D23B76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0E40097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9B8F23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731718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232A</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EDD8623"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336FBFB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2D06DE4"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518A450"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D6489EC"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tcBorders>
            <w:vAlign w:val="center"/>
            <w:hideMark/>
          </w:tcPr>
          <w:p w14:paraId="250BFC20" w14:textId="77777777" w:rsidR="00C03C63" w:rsidRPr="008F2775" w:rsidRDefault="00C03C63" w:rsidP="004C4D7B">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7D425D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00BCE7F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6A1B214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232B1</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DD79B80"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18-64 years, Moderate </w:t>
            </w:r>
            <w:proofErr w:type="spellStart"/>
            <w:r w:rsidRPr="1922062C">
              <w:rPr>
                <w:rFonts w:cs="Arial"/>
                <w:sz w:val="16"/>
                <w:szCs w:val="16"/>
              </w:rPr>
              <w:t>HoNOS</w:t>
            </w:r>
            <w:proofErr w:type="spellEnd"/>
            <w:r w:rsidRPr="1922062C">
              <w:rPr>
                <w:rFonts w:cs="Arial"/>
                <w:sz w:val="16"/>
                <w:szCs w:val="16"/>
              </w:rPr>
              <w:t xml:space="preserve"> complexity with High LSP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375371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7F6A14C"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11147E33"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A3A311C"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057AF410" w14:textId="77777777" w:rsidR="00C03C63" w:rsidRPr="008F2775" w:rsidRDefault="00C03C63" w:rsidP="004C4D7B">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8F1CB13" w14:textId="77777777" w:rsidR="00C03C63" w:rsidRPr="008F2775" w:rsidRDefault="00C03C63" w:rsidP="004C4D7B">
            <w:pPr>
              <w:spacing w:after="0" w:line="256" w:lineRule="auto"/>
              <w:jc w:val="center"/>
              <w:rPr>
                <w:rFonts w:cs="Arial"/>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F0879C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351"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333E9D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232B2</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99F635B"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18-64 years, Moderate </w:t>
            </w:r>
            <w:proofErr w:type="spellStart"/>
            <w:r w:rsidRPr="1922062C">
              <w:rPr>
                <w:rFonts w:cs="Arial"/>
                <w:sz w:val="16"/>
                <w:szCs w:val="16"/>
              </w:rPr>
              <w:t>HoNOS</w:t>
            </w:r>
            <w:proofErr w:type="spellEnd"/>
            <w:r w:rsidRPr="1922062C">
              <w:rPr>
                <w:rFonts w:cs="Arial"/>
                <w:sz w:val="16"/>
                <w:szCs w:val="16"/>
              </w:rPr>
              <w:t xml:space="preserve"> complexity with Moderate LSP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2B36A0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7296092"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0B96C0E6"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3172EB55"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0BAE310"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CA5A5B8"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39D3539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7B39C5B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232Z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2627709"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18-64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67D7CC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638DE12B"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696A9F4C"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A6E13C8"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BF9AC1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244B85F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005EEA2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449FEC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233A</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5C04155"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B9739B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410AF9CC" w14:textId="77777777" w:rsidTr="006A690A">
        <w:trPr>
          <w:cantSplit/>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5041798"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190A0E6B"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1D7DD70"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156DED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3CB0A19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F333D5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233B</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BC55AF8"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D3FBB8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60B4EBC"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D1DDE66"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DE9E058"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70508262"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BA6D17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29BE1FB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7DD286E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233Z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08DBE82"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Intensive extended, 65+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8D2477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18963CDF" w14:textId="77777777" w:rsidTr="006A690A">
        <w:trPr>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AD83ADF"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Consolidating gain</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45735CE"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50B813E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40E0465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76F6F44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7B0754D6"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241A</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34E835C"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0-17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61256B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246AE7CD"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6A9F0EE"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508CC3F6"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346849E"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35A697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3E8D637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12E50A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241B</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8DA0BBC"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0-17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001140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758685E"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344B7C57"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EEDD96A"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5BAA01C"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39D1B8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2D35DD3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0674524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241Z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785830D"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0-17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8015CF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1DDC8890"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65A8A28E"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1711B93"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B3B7EC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747BE18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F88B3B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4A63570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242A</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600FC3A6"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18-64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57D1920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42F1A86"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306FCA9D"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BBCBBC1"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tcBorders>
            <w:vAlign w:val="center"/>
            <w:hideMark/>
          </w:tcPr>
          <w:p w14:paraId="227BC956" w14:textId="77777777" w:rsidR="00C03C63" w:rsidRPr="008F2775" w:rsidRDefault="00C03C63" w:rsidP="004C4D7B">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1E7A324"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2E6A46B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3E279B8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242B1</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0862146"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18-64 years, Moderate </w:t>
            </w:r>
            <w:proofErr w:type="spellStart"/>
            <w:r w:rsidRPr="1922062C">
              <w:rPr>
                <w:rFonts w:cs="Arial"/>
                <w:sz w:val="16"/>
                <w:szCs w:val="16"/>
              </w:rPr>
              <w:t>HoNOS</w:t>
            </w:r>
            <w:proofErr w:type="spellEnd"/>
            <w:r w:rsidRPr="1922062C">
              <w:rPr>
                <w:rFonts w:cs="Arial"/>
                <w:sz w:val="16"/>
                <w:szCs w:val="16"/>
              </w:rPr>
              <w:t xml:space="preserve"> complexity with High LSP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4B739B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77C945F6"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1E193AC2"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8EFE12B"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59E0D68" w14:textId="77777777" w:rsidR="00C03C63" w:rsidRPr="008F2775" w:rsidRDefault="00C03C63" w:rsidP="004C4D7B">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B752002" w14:textId="77777777" w:rsidR="00C03C63" w:rsidRPr="008F2775" w:rsidRDefault="00C03C63" w:rsidP="004C4D7B">
            <w:pPr>
              <w:spacing w:after="0" w:line="256" w:lineRule="auto"/>
              <w:jc w:val="center"/>
              <w:rPr>
                <w:rFonts w:cs="Arial"/>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7599C4F"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351"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3CE434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242B2</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AF83764"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18-64 years, Moderate </w:t>
            </w:r>
            <w:proofErr w:type="spellStart"/>
            <w:r w:rsidRPr="1922062C">
              <w:rPr>
                <w:rFonts w:cs="Arial"/>
                <w:sz w:val="16"/>
                <w:szCs w:val="16"/>
              </w:rPr>
              <w:t>HoNOS</w:t>
            </w:r>
            <w:proofErr w:type="spellEnd"/>
            <w:r w:rsidRPr="1922062C">
              <w:rPr>
                <w:rFonts w:cs="Arial"/>
                <w:sz w:val="16"/>
                <w:szCs w:val="16"/>
              </w:rPr>
              <w:t xml:space="preserve"> complexity with Moderate LSP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6F71B21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2CAA741"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7F8DDE15"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08DC53E"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9D48781"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495F519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68CA824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3BF47E8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242Z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DA73612"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18-64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02D2246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F5FF512"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437F58C9" w14:textId="77777777" w:rsidR="00C03C63" w:rsidRPr="008F2775" w:rsidRDefault="00C03C63" w:rsidP="00F45F2F">
            <w:pPr>
              <w:spacing w:after="0" w:line="256" w:lineRule="auto"/>
              <w:jc w:val="center"/>
              <w:rPr>
                <w:rFonts w:cs="Arial"/>
                <w:sz w:val="16"/>
                <w:szCs w:val="16"/>
              </w:rPr>
            </w:pP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77DDE48"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2C519A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5E7680B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High</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03351D9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27BDE9C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243A</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BBF282E"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65+ years, High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2F753AD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7122D4DC"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5F4983A3"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24BE4BA"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5492653F"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0F430C2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Moderate</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1A3563E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0D4719F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243B</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BBC12A3"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65+ years, Moderate </w:t>
            </w:r>
            <w:proofErr w:type="spellStart"/>
            <w:r w:rsidRPr="1922062C">
              <w:rPr>
                <w:rFonts w:cs="Arial"/>
                <w:sz w:val="16"/>
                <w:szCs w:val="16"/>
              </w:rPr>
              <w:t>HoNOS</w:t>
            </w:r>
            <w:proofErr w:type="spellEnd"/>
            <w:r w:rsidRPr="1922062C">
              <w:rPr>
                <w:rFonts w:cs="Arial"/>
                <w:sz w:val="16"/>
                <w:szCs w:val="16"/>
              </w:rPr>
              <w:t xml:space="preserve"> complexity</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923E55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0EECD513" w14:textId="77777777" w:rsidTr="006A690A">
        <w:trPr>
          <w:trHeight w:val="293"/>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604CDF0D" w14:textId="77777777" w:rsidR="00C03C63" w:rsidRPr="008F2775" w:rsidRDefault="00C03C63" w:rsidP="00F45F2F">
            <w:pPr>
              <w:spacing w:after="0" w:line="256" w:lineRule="auto"/>
              <w:jc w:val="center"/>
              <w:rPr>
                <w:rFonts w:cs="Arial"/>
                <w:sz w:val="16"/>
                <w:szCs w:val="16"/>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0015DB8E" w14:textId="77777777" w:rsidR="00C03C63" w:rsidRPr="008F2775" w:rsidRDefault="00C03C63" w:rsidP="00F45F2F">
            <w:pPr>
              <w:spacing w:after="0" w:line="256" w:lineRule="auto"/>
              <w:jc w:val="center"/>
              <w:rPr>
                <w:rFonts w:cs="Arial"/>
                <w:sz w:val="16"/>
                <w:szCs w:val="16"/>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6194844A" w14:textId="77777777" w:rsidR="00C03C63" w:rsidRPr="008F2775" w:rsidRDefault="00C03C63" w:rsidP="004C4D7B">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9A4037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Unknown</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424F77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593776C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243Z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FD3F673" w14:textId="77777777" w:rsidR="00C03C63" w:rsidRPr="008F2775" w:rsidRDefault="00C03C63" w:rsidP="004C4D7B">
            <w:pPr>
              <w:spacing w:before="10" w:after="10" w:line="240" w:lineRule="auto"/>
              <w:rPr>
                <w:rFonts w:cs="Arial"/>
                <w:sz w:val="16"/>
                <w:szCs w:val="16"/>
              </w:rPr>
            </w:pPr>
            <w:r w:rsidRPr="1922062C">
              <w:rPr>
                <w:rFonts w:cs="Arial"/>
                <w:sz w:val="16"/>
                <w:szCs w:val="16"/>
              </w:rPr>
              <w:t xml:space="preserve">Community, Consolidating gain, 65+ years, Unknown </w:t>
            </w:r>
            <w:proofErr w:type="spellStart"/>
            <w:r w:rsidRPr="1922062C">
              <w:rPr>
                <w:rFonts w:cs="Arial"/>
                <w:sz w:val="16"/>
                <w:szCs w:val="16"/>
              </w:rPr>
              <w:t>HoNOS</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1A26AED"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50923BCC" w14:textId="77777777" w:rsidTr="006A690A">
        <w:trPr>
          <w:cantSplit/>
          <w:trHeight w:val="293"/>
        </w:trPr>
        <w:tc>
          <w:tcPr>
            <w:tcW w:w="456" w:type="pct"/>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2EB6FE9D"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Unknown</w:t>
            </w: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D52962A"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0-17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2457ADE3"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52B6B52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464FA0C2"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77D71049"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291Z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098AA3F"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Unknown phase, 0-17 years</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4BC7F1C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D4C371E"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150CF447" w14:textId="77777777" w:rsidR="00C03C63" w:rsidRPr="008F2775" w:rsidRDefault="00C03C63" w:rsidP="00F45F2F">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2D04023D"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18-64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0DD6ABB7"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7F863EE1"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5C272ECE"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663B726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292Z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11A16E0E"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Unknown phase, 18-64 years</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7907DA3C"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r w:rsidR="00B02FA5" w14:paraId="3082B458" w14:textId="77777777" w:rsidTr="006A690A">
        <w:trPr>
          <w:trHeight w:val="293"/>
        </w:trPr>
        <w:tc>
          <w:tcPr>
            <w:tcW w:w="456" w:type="pct"/>
            <w:vMerge/>
            <w:tcBorders>
              <w:top w:val="single" w:sz="4" w:space="0" w:color="auto"/>
              <w:left w:val="single" w:sz="4" w:space="0" w:color="auto"/>
              <w:bottom w:val="single" w:sz="4" w:space="0" w:color="auto"/>
            </w:tcBorders>
            <w:vAlign w:val="center"/>
            <w:hideMark/>
          </w:tcPr>
          <w:p w14:paraId="2FEB5589" w14:textId="77777777" w:rsidR="00C03C63" w:rsidRPr="008F2775" w:rsidRDefault="00C03C63" w:rsidP="00F45F2F">
            <w:pPr>
              <w:spacing w:after="0" w:line="256" w:lineRule="auto"/>
              <w:jc w:val="center"/>
              <w:rPr>
                <w:rFonts w:cs="Arial"/>
                <w:sz w:val="16"/>
                <w:szCs w:val="16"/>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723D483A" w14:textId="77777777" w:rsidR="00C03C63" w:rsidRPr="008F2775" w:rsidRDefault="00C03C63" w:rsidP="00F45F2F">
            <w:pPr>
              <w:spacing w:before="10" w:after="10" w:line="240" w:lineRule="auto"/>
              <w:jc w:val="center"/>
              <w:rPr>
                <w:rFonts w:cs="Arial"/>
                <w:sz w:val="16"/>
                <w:szCs w:val="16"/>
              </w:rPr>
            </w:pPr>
            <w:r w:rsidRPr="1922062C">
              <w:rPr>
                <w:rFonts w:cs="Arial"/>
                <w:sz w:val="16"/>
                <w:szCs w:val="16"/>
              </w:rPr>
              <w:t>65+ years</w:t>
            </w:r>
          </w:p>
        </w:tc>
        <w:tc>
          <w:tcPr>
            <w:tcW w:w="407" w:type="pct"/>
            <w:tcBorders>
              <w:top w:val="single" w:sz="4" w:space="0" w:color="auto"/>
              <w:left w:val="nil"/>
              <w:bottom w:val="single" w:sz="4" w:space="0" w:color="auto"/>
              <w:right w:val="single" w:sz="4" w:space="0" w:color="auto"/>
            </w:tcBorders>
            <w:shd w:val="clear" w:color="auto" w:fill="FFFFFF" w:themeFill="accent6"/>
            <w:vAlign w:val="center"/>
            <w:hideMark/>
          </w:tcPr>
          <w:p w14:paraId="3408C2A5"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508" w:type="pct"/>
            <w:tcBorders>
              <w:top w:val="single" w:sz="4" w:space="0" w:color="auto"/>
              <w:left w:val="nil"/>
              <w:bottom w:val="single" w:sz="4" w:space="0" w:color="auto"/>
              <w:right w:val="single" w:sz="4" w:space="0" w:color="auto"/>
            </w:tcBorders>
            <w:shd w:val="clear" w:color="auto" w:fill="FFFFFF" w:themeFill="accent6"/>
            <w:vAlign w:val="center"/>
            <w:hideMark/>
          </w:tcPr>
          <w:p w14:paraId="4F200B3B"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457" w:type="pct"/>
            <w:tcBorders>
              <w:top w:val="single" w:sz="4" w:space="0" w:color="auto"/>
              <w:left w:val="nil"/>
              <w:bottom w:val="single" w:sz="4" w:space="0" w:color="auto"/>
              <w:right w:val="single" w:sz="4" w:space="0" w:color="auto"/>
            </w:tcBorders>
            <w:shd w:val="clear" w:color="auto" w:fill="FFFFFF" w:themeFill="accent6"/>
            <w:vAlign w:val="center"/>
            <w:hideMark/>
          </w:tcPr>
          <w:p w14:paraId="1B5BC7BA"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w:t>
            </w:r>
          </w:p>
        </w:tc>
        <w:tc>
          <w:tcPr>
            <w:tcW w:w="351" w:type="pct"/>
            <w:tcBorders>
              <w:top w:val="single" w:sz="4" w:space="0" w:color="auto"/>
              <w:left w:val="nil"/>
              <w:bottom w:val="single" w:sz="4" w:space="0" w:color="auto"/>
              <w:right w:val="single" w:sz="4" w:space="0" w:color="auto"/>
            </w:tcBorders>
            <w:shd w:val="clear" w:color="auto" w:fill="FFFFFF" w:themeFill="accent6"/>
            <w:vAlign w:val="center"/>
            <w:hideMark/>
          </w:tcPr>
          <w:p w14:paraId="2B09F6A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293Z</w:t>
            </w:r>
          </w:p>
        </w:tc>
        <w:tc>
          <w:tcPr>
            <w:tcW w:w="1820" w:type="pct"/>
            <w:tcBorders>
              <w:top w:val="single" w:sz="4" w:space="0" w:color="auto"/>
              <w:left w:val="single" w:sz="4" w:space="0" w:color="auto"/>
              <w:bottom w:val="single" w:sz="4" w:space="0" w:color="auto"/>
              <w:right w:val="single" w:sz="4" w:space="0" w:color="auto"/>
            </w:tcBorders>
            <w:shd w:val="clear" w:color="auto" w:fill="FFFFFF" w:themeFill="accent6"/>
            <w:vAlign w:val="center"/>
            <w:hideMark/>
          </w:tcPr>
          <w:p w14:paraId="3847199D" w14:textId="77777777" w:rsidR="00C03C63" w:rsidRPr="008F2775" w:rsidRDefault="00C03C63" w:rsidP="004C4D7B">
            <w:pPr>
              <w:spacing w:before="10" w:after="10" w:line="240" w:lineRule="auto"/>
              <w:rPr>
                <w:rFonts w:cs="Arial"/>
                <w:sz w:val="16"/>
                <w:szCs w:val="16"/>
              </w:rPr>
            </w:pPr>
            <w:r w:rsidRPr="1922062C">
              <w:rPr>
                <w:rFonts w:cs="Arial"/>
                <w:sz w:val="16"/>
                <w:szCs w:val="16"/>
              </w:rPr>
              <w:t>Community, Unknown phase, 65+ years</w:t>
            </w:r>
          </w:p>
        </w:tc>
        <w:tc>
          <w:tcPr>
            <w:tcW w:w="493" w:type="pct"/>
            <w:tcBorders>
              <w:top w:val="single" w:sz="4" w:space="0" w:color="auto"/>
              <w:left w:val="single" w:sz="4" w:space="0" w:color="auto"/>
              <w:bottom w:val="single" w:sz="4" w:space="0" w:color="auto"/>
              <w:right w:val="single" w:sz="4" w:space="0" w:color="auto"/>
            </w:tcBorders>
            <w:shd w:val="clear" w:color="auto" w:fill="FFFFFF" w:themeFill="accent6"/>
            <w:vAlign w:val="center"/>
          </w:tcPr>
          <w:p w14:paraId="1AAE6C70" w14:textId="77777777" w:rsidR="00C03C63" w:rsidRPr="008F2775" w:rsidRDefault="00C03C63" w:rsidP="004C4D7B">
            <w:pPr>
              <w:spacing w:before="10" w:after="10" w:line="240" w:lineRule="auto"/>
              <w:jc w:val="center"/>
              <w:rPr>
                <w:rFonts w:cs="Arial"/>
                <w:sz w:val="16"/>
                <w:szCs w:val="16"/>
              </w:rPr>
            </w:pPr>
            <w:r w:rsidRPr="1922062C">
              <w:rPr>
                <w:rFonts w:cs="Arial"/>
                <w:sz w:val="16"/>
                <w:szCs w:val="16"/>
              </w:rPr>
              <w:t>Active</w:t>
            </w:r>
          </w:p>
        </w:tc>
      </w:tr>
    </w:tbl>
    <w:p w14:paraId="2CB79139" w14:textId="45904917" w:rsidR="00D82B81" w:rsidRDefault="00D82B81" w:rsidP="00655D12">
      <w:pPr>
        <w:pStyle w:val="Heading1"/>
      </w:pPr>
      <w:bookmarkStart w:id="154" w:name="_Toc152277120"/>
      <w:bookmarkStart w:id="155" w:name="_Toc152312742"/>
      <w:bookmarkStart w:id="156" w:name="_Toc153371616"/>
      <w:r>
        <w:lastRenderedPageBreak/>
        <w:t xml:space="preserve">Appendix </w:t>
      </w:r>
      <w:r w:rsidR="00177AE4">
        <w:t>D</w:t>
      </w:r>
      <w:r>
        <w:t>: AMHCC V1.1 weights and complexity split thresholds</w:t>
      </w:r>
      <w:bookmarkEnd w:id="154"/>
      <w:bookmarkEnd w:id="155"/>
      <w:bookmarkEnd w:id="156"/>
    </w:p>
    <w:p w14:paraId="6F298253" w14:textId="50E76D87" w:rsidR="00D82B81" w:rsidRPr="004141E4" w:rsidRDefault="00D82B81" w:rsidP="00D82B81">
      <w:pPr>
        <w:pStyle w:val="TableFigureheading"/>
      </w:pPr>
      <w:r>
        <w:t xml:space="preserve">Table </w:t>
      </w:r>
      <w:r w:rsidR="00DF4F2E">
        <w:t>1</w:t>
      </w:r>
      <w:r w:rsidR="00037196">
        <w:t>2</w:t>
      </w:r>
      <w:r>
        <w:t>. AMHCC V1.1 weights and complexity split thresholds</w:t>
      </w:r>
    </w:p>
    <w:tbl>
      <w:tblPr>
        <w:tblW w:w="1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7"/>
        <w:gridCol w:w="891"/>
        <w:gridCol w:w="583"/>
        <w:gridCol w:w="583"/>
        <w:gridCol w:w="583"/>
        <w:gridCol w:w="583"/>
        <w:gridCol w:w="583"/>
        <w:gridCol w:w="583"/>
        <w:gridCol w:w="584"/>
        <w:gridCol w:w="583"/>
        <w:gridCol w:w="583"/>
        <w:gridCol w:w="583"/>
        <w:gridCol w:w="583"/>
        <w:gridCol w:w="583"/>
        <w:gridCol w:w="584"/>
        <w:gridCol w:w="1559"/>
        <w:gridCol w:w="1384"/>
        <w:gridCol w:w="945"/>
      </w:tblGrid>
      <w:tr w:rsidR="00B02FA5" w:rsidRPr="005B639E" w14:paraId="24E775DD" w14:textId="77777777" w:rsidTr="00023508">
        <w:trPr>
          <w:trHeight w:val="245"/>
          <w:jc w:val="center"/>
        </w:trPr>
        <w:tc>
          <w:tcPr>
            <w:tcW w:w="1129" w:type="dxa"/>
            <w:vMerge w:val="restart"/>
            <w:shd w:val="clear" w:color="auto" w:fill="15272F" w:themeFill="accent1"/>
            <w:vAlign w:val="center"/>
            <w:hideMark/>
          </w:tcPr>
          <w:p w14:paraId="26798F3C"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Setting</w:t>
            </w:r>
          </w:p>
        </w:tc>
        <w:tc>
          <w:tcPr>
            <w:tcW w:w="1457" w:type="dxa"/>
            <w:vMerge w:val="restart"/>
            <w:shd w:val="clear" w:color="auto" w:fill="15272F" w:themeFill="accent1"/>
            <w:vAlign w:val="center"/>
            <w:hideMark/>
          </w:tcPr>
          <w:p w14:paraId="2078A5A0" w14:textId="77777777" w:rsidR="00D82B81" w:rsidRPr="005B639E" w:rsidRDefault="00D82B81" w:rsidP="00F45F2F">
            <w:pPr>
              <w:spacing w:after="0" w:line="240" w:lineRule="auto"/>
              <w:jc w:val="center"/>
              <w:rPr>
                <w:rFonts w:eastAsia="Times New Roman" w:cs="Arial"/>
                <w:b/>
                <w:bCs/>
                <w:color w:val="FFFFFF"/>
                <w:sz w:val="16"/>
                <w:szCs w:val="16"/>
                <w:lang w:eastAsia="en-AU"/>
              </w:rPr>
            </w:pPr>
            <w:proofErr w:type="spellStart"/>
            <w:r w:rsidRPr="1922062C">
              <w:rPr>
                <w:rFonts w:eastAsia="Times New Roman" w:cs="Arial"/>
                <w:b/>
                <w:bCs/>
                <w:color w:val="FFFFFF" w:themeColor="accent6"/>
                <w:sz w:val="16"/>
                <w:szCs w:val="16"/>
              </w:rPr>
              <w:t>MHPoC</w:t>
            </w:r>
            <w:proofErr w:type="spellEnd"/>
          </w:p>
        </w:tc>
        <w:tc>
          <w:tcPr>
            <w:tcW w:w="891" w:type="dxa"/>
            <w:vMerge w:val="restart"/>
            <w:shd w:val="clear" w:color="auto" w:fill="15272F" w:themeFill="accent1"/>
            <w:vAlign w:val="center"/>
            <w:hideMark/>
          </w:tcPr>
          <w:p w14:paraId="4F76A0C6" w14:textId="77777777" w:rsidR="00D82B81" w:rsidRPr="005B639E" w:rsidRDefault="00D82B81" w:rsidP="00891A02">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Age group</w:t>
            </w:r>
          </w:p>
        </w:tc>
        <w:tc>
          <w:tcPr>
            <w:tcW w:w="7581" w:type="dxa"/>
            <w:gridSpan w:val="13"/>
            <w:shd w:val="clear" w:color="auto" w:fill="15272F" w:themeFill="accent1"/>
            <w:vAlign w:val="center"/>
            <w:hideMark/>
          </w:tcPr>
          <w:p w14:paraId="1502A7DF" w14:textId="77777777" w:rsidR="00D82B81" w:rsidRPr="005B639E" w:rsidRDefault="00D82B81" w:rsidP="00891A02">
            <w:pPr>
              <w:spacing w:after="0" w:line="240" w:lineRule="auto"/>
              <w:jc w:val="center"/>
              <w:rPr>
                <w:rFonts w:eastAsia="Times New Roman" w:cs="Arial"/>
                <w:b/>
                <w:bCs/>
                <w:color w:val="FFFFFF"/>
                <w:sz w:val="16"/>
                <w:szCs w:val="16"/>
                <w:lang w:eastAsia="en-AU"/>
              </w:rPr>
            </w:pPr>
            <w:proofErr w:type="spellStart"/>
            <w:r w:rsidRPr="1922062C">
              <w:rPr>
                <w:rFonts w:eastAsia="Times New Roman" w:cs="Arial"/>
                <w:b/>
                <w:bCs/>
                <w:color w:val="FFFFFF" w:themeColor="accent6"/>
                <w:sz w:val="16"/>
                <w:szCs w:val="16"/>
              </w:rPr>
              <w:t>HoNOS</w:t>
            </w:r>
            <w:proofErr w:type="spellEnd"/>
            <w:r w:rsidRPr="1922062C">
              <w:rPr>
                <w:rFonts w:eastAsia="Times New Roman" w:cs="Arial"/>
                <w:b/>
                <w:bCs/>
                <w:color w:val="FFFFFF" w:themeColor="accent6"/>
                <w:sz w:val="16"/>
                <w:szCs w:val="16"/>
              </w:rPr>
              <w:t xml:space="preserve"> weights</w:t>
            </w:r>
          </w:p>
        </w:tc>
        <w:tc>
          <w:tcPr>
            <w:tcW w:w="1559" w:type="dxa"/>
            <w:vMerge w:val="restart"/>
            <w:shd w:val="clear" w:color="auto" w:fill="15272F" w:themeFill="accent1"/>
            <w:vAlign w:val="center"/>
            <w:hideMark/>
          </w:tcPr>
          <w:p w14:paraId="21EEC49F"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 xml:space="preserve">Weighted </w:t>
            </w:r>
            <w:proofErr w:type="spellStart"/>
            <w:r w:rsidRPr="1922062C">
              <w:rPr>
                <w:rFonts w:eastAsia="Times New Roman" w:cs="Arial"/>
                <w:b/>
                <w:bCs/>
                <w:color w:val="FFFFFF" w:themeColor="accent6"/>
                <w:sz w:val="16"/>
                <w:szCs w:val="16"/>
              </w:rPr>
              <w:t>HoNOS</w:t>
            </w:r>
            <w:proofErr w:type="spellEnd"/>
            <w:r w:rsidRPr="1922062C">
              <w:rPr>
                <w:rFonts w:eastAsia="Times New Roman" w:cs="Arial"/>
                <w:b/>
                <w:bCs/>
                <w:color w:val="FFFFFF" w:themeColor="accent6"/>
                <w:sz w:val="16"/>
                <w:szCs w:val="16"/>
              </w:rPr>
              <w:t xml:space="preserve"> rescaling factor</w:t>
            </w:r>
          </w:p>
        </w:tc>
        <w:tc>
          <w:tcPr>
            <w:tcW w:w="1384" w:type="dxa"/>
            <w:vMerge w:val="restart"/>
            <w:shd w:val="clear" w:color="auto" w:fill="15272F" w:themeFill="accent1"/>
            <w:vAlign w:val="center"/>
            <w:hideMark/>
          </w:tcPr>
          <w:p w14:paraId="5FF9BA7D"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 xml:space="preserve">Weighted </w:t>
            </w:r>
            <w:proofErr w:type="spellStart"/>
            <w:r w:rsidRPr="1922062C">
              <w:rPr>
                <w:rFonts w:eastAsia="Times New Roman" w:cs="Arial"/>
                <w:b/>
                <w:bCs/>
                <w:color w:val="FFFFFF" w:themeColor="accent6"/>
                <w:sz w:val="16"/>
                <w:szCs w:val="16"/>
              </w:rPr>
              <w:t>HoNOS</w:t>
            </w:r>
            <w:proofErr w:type="spellEnd"/>
            <w:r w:rsidRPr="1922062C">
              <w:rPr>
                <w:rFonts w:eastAsia="Times New Roman" w:cs="Arial"/>
                <w:b/>
                <w:bCs/>
                <w:color w:val="FFFFFF" w:themeColor="accent6"/>
                <w:sz w:val="16"/>
                <w:szCs w:val="16"/>
              </w:rPr>
              <w:t xml:space="preserve"> threshold</w:t>
            </w:r>
          </w:p>
        </w:tc>
        <w:tc>
          <w:tcPr>
            <w:tcW w:w="945" w:type="dxa"/>
            <w:vMerge w:val="restart"/>
            <w:shd w:val="clear" w:color="auto" w:fill="15272F" w:themeFill="accent1"/>
            <w:vAlign w:val="center"/>
            <w:hideMark/>
          </w:tcPr>
          <w:p w14:paraId="0A742621"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LSP threshold</w:t>
            </w:r>
          </w:p>
        </w:tc>
      </w:tr>
      <w:tr w:rsidR="00B02FA5" w:rsidRPr="005B639E" w14:paraId="074358D5" w14:textId="77777777" w:rsidTr="00023508">
        <w:trPr>
          <w:trHeight w:val="315"/>
          <w:jc w:val="center"/>
        </w:trPr>
        <w:tc>
          <w:tcPr>
            <w:tcW w:w="1129" w:type="dxa"/>
            <w:vMerge/>
            <w:vAlign w:val="center"/>
            <w:hideMark/>
          </w:tcPr>
          <w:p w14:paraId="5EA169C3" w14:textId="77777777" w:rsidR="00D82B81" w:rsidRPr="005B639E" w:rsidRDefault="00D82B81" w:rsidP="00F45F2F">
            <w:pPr>
              <w:spacing w:after="0" w:line="240" w:lineRule="auto"/>
              <w:jc w:val="center"/>
              <w:rPr>
                <w:rFonts w:eastAsia="Times New Roman" w:cs="Arial"/>
                <w:b/>
                <w:bCs/>
                <w:color w:val="FFFFFF"/>
                <w:sz w:val="16"/>
                <w:szCs w:val="16"/>
                <w:lang w:eastAsia="en-AU"/>
              </w:rPr>
            </w:pPr>
          </w:p>
        </w:tc>
        <w:tc>
          <w:tcPr>
            <w:tcW w:w="1457" w:type="dxa"/>
            <w:vMerge/>
            <w:vAlign w:val="center"/>
            <w:hideMark/>
          </w:tcPr>
          <w:p w14:paraId="71634CCE" w14:textId="77777777" w:rsidR="00D82B81" w:rsidRPr="005B639E" w:rsidRDefault="00D82B81" w:rsidP="00F45F2F">
            <w:pPr>
              <w:spacing w:after="0" w:line="240" w:lineRule="auto"/>
              <w:jc w:val="center"/>
              <w:rPr>
                <w:rFonts w:eastAsia="Times New Roman" w:cs="Arial"/>
                <w:b/>
                <w:bCs/>
                <w:color w:val="FFFFFF"/>
                <w:sz w:val="16"/>
                <w:szCs w:val="16"/>
                <w:lang w:eastAsia="en-AU"/>
              </w:rPr>
            </w:pPr>
          </w:p>
        </w:tc>
        <w:tc>
          <w:tcPr>
            <w:tcW w:w="891" w:type="dxa"/>
            <w:vMerge/>
            <w:vAlign w:val="center"/>
            <w:hideMark/>
          </w:tcPr>
          <w:p w14:paraId="09867B6B" w14:textId="77777777" w:rsidR="00D82B81" w:rsidRPr="005B639E" w:rsidRDefault="00D82B81" w:rsidP="00891A02">
            <w:pPr>
              <w:spacing w:after="0" w:line="240" w:lineRule="auto"/>
              <w:jc w:val="center"/>
              <w:rPr>
                <w:rFonts w:eastAsia="Times New Roman" w:cs="Arial"/>
                <w:b/>
                <w:bCs/>
                <w:color w:val="FFFFFF"/>
                <w:sz w:val="16"/>
                <w:szCs w:val="16"/>
                <w:lang w:eastAsia="en-AU"/>
              </w:rPr>
            </w:pPr>
          </w:p>
        </w:tc>
        <w:tc>
          <w:tcPr>
            <w:tcW w:w="583" w:type="dxa"/>
            <w:shd w:val="clear" w:color="auto" w:fill="15272F" w:themeFill="accent1"/>
            <w:vAlign w:val="center"/>
            <w:hideMark/>
          </w:tcPr>
          <w:p w14:paraId="07395FA9"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W1</w:t>
            </w:r>
          </w:p>
        </w:tc>
        <w:tc>
          <w:tcPr>
            <w:tcW w:w="583" w:type="dxa"/>
            <w:shd w:val="clear" w:color="auto" w:fill="15272F" w:themeFill="accent1"/>
            <w:vAlign w:val="center"/>
            <w:hideMark/>
          </w:tcPr>
          <w:p w14:paraId="3F179B2E"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W2</w:t>
            </w:r>
          </w:p>
        </w:tc>
        <w:tc>
          <w:tcPr>
            <w:tcW w:w="583" w:type="dxa"/>
            <w:shd w:val="clear" w:color="auto" w:fill="15272F" w:themeFill="accent1"/>
            <w:vAlign w:val="center"/>
            <w:hideMark/>
          </w:tcPr>
          <w:p w14:paraId="07A903D0"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W3</w:t>
            </w:r>
          </w:p>
        </w:tc>
        <w:tc>
          <w:tcPr>
            <w:tcW w:w="583" w:type="dxa"/>
            <w:shd w:val="clear" w:color="auto" w:fill="15272F" w:themeFill="accent1"/>
            <w:vAlign w:val="center"/>
            <w:hideMark/>
          </w:tcPr>
          <w:p w14:paraId="7A03FCB4"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W4</w:t>
            </w:r>
          </w:p>
        </w:tc>
        <w:tc>
          <w:tcPr>
            <w:tcW w:w="583" w:type="dxa"/>
            <w:shd w:val="clear" w:color="auto" w:fill="15272F" w:themeFill="accent1"/>
            <w:vAlign w:val="center"/>
            <w:hideMark/>
          </w:tcPr>
          <w:p w14:paraId="060283CC"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W5</w:t>
            </w:r>
          </w:p>
        </w:tc>
        <w:tc>
          <w:tcPr>
            <w:tcW w:w="583" w:type="dxa"/>
            <w:shd w:val="clear" w:color="auto" w:fill="15272F" w:themeFill="accent1"/>
            <w:vAlign w:val="center"/>
            <w:hideMark/>
          </w:tcPr>
          <w:p w14:paraId="2986ED12"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W6</w:t>
            </w:r>
          </w:p>
        </w:tc>
        <w:tc>
          <w:tcPr>
            <w:tcW w:w="584" w:type="dxa"/>
            <w:shd w:val="clear" w:color="auto" w:fill="15272F" w:themeFill="accent1"/>
            <w:vAlign w:val="center"/>
            <w:hideMark/>
          </w:tcPr>
          <w:p w14:paraId="38419BB7"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W7</w:t>
            </w:r>
          </w:p>
        </w:tc>
        <w:tc>
          <w:tcPr>
            <w:tcW w:w="583" w:type="dxa"/>
            <w:shd w:val="clear" w:color="auto" w:fill="15272F" w:themeFill="accent1"/>
            <w:vAlign w:val="center"/>
            <w:hideMark/>
          </w:tcPr>
          <w:p w14:paraId="47FF7C98"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W8</w:t>
            </w:r>
          </w:p>
        </w:tc>
        <w:tc>
          <w:tcPr>
            <w:tcW w:w="583" w:type="dxa"/>
            <w:shd w:val="clear" w:color="auto" w:fill="15272F" w:themeFill="accent1"/>
            <w:vAlign w:val="center"/>
            <w:hideMark/>
          </w:tcPr>
          <w:p w14:paraId="2F5BA724"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W9</w:t>
            </w:r>
          </w:p>
        </w:tc>
        <w:tc>
          <w:tcPr>
            <w:tcW w:w="583" w:type="dxa"/>
            <w:shd w:val="clear" w:color="auto" w:fill="15272F" w:themeFill="accent1"/>
            <w:vAlign w:val="center"/>
            <w:hideMark/>
          </w:tcPr>
          <w:p w14:paraId="6A27D456"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W10</w:t>
            </w:r>
          </w:p>
        </w:tc>
        <w:tc>
          <w:tcPr>
            <w:tcW w:w="583" w:type="dxa"/>
            <w:shd w:val="clear" w:color="auto" w:fill="15272F" w:themeFill="accent1"/>
            <w:vAlign w:val="center"/>
            <w:hideMark/>
          </w:tcPr>
          <w:p w14:paraId="1509D34B"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W11</w:t>
            </w:r>
          </w:p>
        </w:tc>
        <w:tc>
          <w:tcPr>
            <w:tcW w:w="583" w:type="dxa"/>
            <w:shd w:val="clear" w:color="auto" w:fill="15272F" w:themeFill="accent1"/>
            <w:vAlign w:val="center"/>
            <w:hideMark/>
          </w:tcPr>
          <w:p w14:paraId="34FB94E0"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W12</w:t>
            </w:r>
          </w:p>
        </w:tc>
        <w:tc>
          <w:tcPr>
            <w:tcW w:w="584" w:type="dxa"/>
            <w:shd w:val="clear" w:color="auto" w:fill="15272F" w:themeFill="accent1"/>
            <w:vAlign w:val="center"/>
            <w:hideMark/>
          </w:tcPr>
          <w:p w14:paraId="328B2ACB" w14:textId="77777777" w:rsidR="00D82B81" w:rsidRPr="005B639E" w:rsidRDefault="00D82B81" w:rsidP="00F45F2F">
            <w:pPr>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W13</w:t>
            </w:r>
          </w:p>
        </w:tc>
        <w:tc>
          <w:tcPr>
            <w:tcW w:w="1559" w:type="dxa"/>
            <w:vMerge/>
            <w:vAlign w:val="center"/>
            <w:hideMark/>
          </w:tcPr>
          <w:p w14:paraId="1FF58A49" w14:textId="77777777" w:rsidR="00D82B81" w:rsidRPr="005B639E" w:rsidRDefault="00D82B81" w:rsidP="00F45F2F">
            <w:pPr>
              <w:spacing w:after="0" w:line="240" w:lineRule="auto"/>
              <w:jc w:val="center"/>
              <w:rPr>
                <w:rFonts w:eastAsia="Times New Roman" w:cs="Arial"/>
                <w:b/>
                <w:bCs/>
                <w:color w:val="FFFFFF"/>
                <w:sz w:val="16"/>
                <w:szCs w:val="16"/>
                <w:lang w:eastAsia="en-AU"/>
              </w:rPr>
            </w:pPr>
          </w:p>
        </w:tc>
        <w:tc>
          <w:tcPr>
            <w:tcW w:w="1384" w:type="dxa"/>
            <w:vMerge/>
            <w:vAlign w:val="center"/>
            <w:hideMark/>
          </w:tcPr>
          <w:p w14:paraId="29C6D283" w14:textId="77777777" w:rsidR="00D82B81" w:rsidRPr="005B639E" w:rsidRDefault="00D82B81" w:rsidP="00F45F2F">
            <w:pPr>
              <w:spacing w:after="0" w:line="240" w:lineRule="auto"/>
              <w:jc w:val="center"/>
              <w:rPr>
                <w:rFonts w:eastAsia="Times New Roman" w:cs="Arial"/>
                <w:b/>
                <w:bCs/>
                <w:color w:val="FFFFFF"/>
                <w:sz w:val="16"/>
                <w:szCs w:val="16"/>
                <w:lang w:eastAsia="en-AU"/>
              </w:rPr>
            </w:pPr>
          </w:p>
        </w:tc>
        <w:tc>
          <w:tcPr>
            <w:tcW w:w="945" w:type="dxa"/>
            <w:vMerge/>
            <w:vAlign w:val="center"/>
            <w:hideMark/>
          </w:tcPr>
          <w:p w14:paraId="4B86A3B6" w14:textId="77777777" w:rsidR="00D82B81" w:rsidRPr="005B639E" w:rsidRDefault="00D82B81" w:rsidP="00F45F2F">
            <w:pPr>
              <w:spacing w:after="0" w:line="240" w:lineRule="auto"/>
              <w:jc w:val="center"/>
              <w:rPr>
                <w:rFonts w:eastAsia="Times New Roman" w:cs="Arial"/>
                <w:b/>
                <w:bCs/>
                <w:color w:val="FFFFFF"/>
                <w:sz w:val="16"/>
                <w:szCs w:val="16"/>
                <w:lang w:eastAsia="en-AU"/>
              </w:rPr>
            </w:pPr>
          </w:p>
        </w:tc>
      </w:tr>
      <w:tr w:rsidR="00D82B81" w:rsidRPr="005B639E" w14:paraId="59DA6CFC" w14:textId="77777777" w:rsidTr="00F45F2F">
        <w:trPr>
          <w:trHeight w:val="245"/>
          <w:jc w:val="center"/>
        </w:trPr>
        <w:tc>
          <w:tcPr>
            <w:tcW w:w="1129" w:type="dxa"/>
            <w:vMerge w:val="restart"/>
            <w:shd w:val="clear" w:color="auto" w:fill="auto"/>
            <w:noWrap/>
            <w:vAlign w:val="center"/>
            <w:hideMark/>
          </w:tcPr>
          <w:p w14:paraId="3DB3A37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Admitted</w:t>
            </w:r>
          </w:p>
        </w:tc>
        <w:tc>
          <w:tcPr>
            <w:tcW w:w="1457" w:type="dxa"/>
            <w:vMerge w:val="restart"/>
            <w:shd w:val="clear" w:color="auto" w:fill="auto"/>
            <w:noWrap/>
            <w:vAlign w:val="center"/>
            <w:hideMark/>
          </w:tcPr>
          <w:p w14:paraId="2F920B8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Acute</w:t>
            </w:r>
          </w:p>
        </w:tc>
        <w:tc>
          <w:tcPr>
            <w:tcW w:w="891" w:type="dxa"/>
            <w:shd w:val="clear" w:color="auto" w:fill="auto"/>
            <w:noWrap/>
            <w:vAlign w:val="center"/>
            <w:hideMark/>
          </w:tcPr>
          <w:p w14:paraId="10D02B75"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auto"/>
            <w:noWrap/>
            <w:vAlign w:val="center"/>
            <w:hideMark/>
          </w:tcPr>
          <w:p w14:paraId="1D1FE7F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C11EA7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65D5A0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653CDB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8085D3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3EC0DF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3.1</w:t>
            </w:r>
          </w:p>
        </w:tc>
        <w:tc>
          <w:tcPr>
            <w:tcW w:w="584" w:type="dxa"/>
            <w:shd w:val="clear" w:color="auto" w:fill="auto"/>
            <w:noWrap/>
            <w:vAlign w:val="center"/>
            <w:hideMark/>
          </w:tcPr>
          <w:p w14:paraId="61E0D5E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5.9</w:t>
            </w:r>
          </w:p>
        </w:tc>
        <w:tc>
          <w:tcPr>
            <w:tcW w:w="583" w:type="dxa"/>
            <w:shd w:val="clear" w:color="auto" w:fill="auto"/>
            <w:noWrap/>
            <w:vAlign w:val="center"/>
            <w:hideMark/>
          </w:tcPr>
          <w:p w14:paraId="097A236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3.4</w:t>
            </w:r>
          </w:p>
        </w:tc>
        <w:tc>
          <w:tcPr>
            <w:tcW w:w="583" w:type="dxa"/>
            <w:shd w:val="clear" w:color="auto" w:fill="auto"/>
            <w:noWrap/>
            <w:vAlign w:val="center"/>
            <w:hideMark/>
          </w:tcPr>
          <w:p w14:paraId="2DAE151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A6CF7C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16ADCB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BA16A1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0A709F0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1559" w:type="dxa"/>
            <w:shd w:val="clear" w:color="auto" w:fill="auto"/>
            <w:noWrap/>
            <w:vAlign w:val="center"/>
            <w:hideMark/>
          </w:tcPr>
          <w:p w14:paraId="1D915D6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0.9701</w:t>
            </w:r>
          </w:p>
        </w:tc>
        <w:tc>
          <w:tcPr>
            <w:tcW w:w="1384" w:type="dxa"/>
            <w:shd w:val="clear" w:color="auto" w:fill="auto"/>
            <w:noWrap/>
            <w:vAlign w:val="center"/>
            <w:hideMark/>
          </w:tcPr>
          <w:p w14:paraId="6CB9296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20</w:t>
            </w:r>
          </w:p>
        </w:tc>
        <w:tc>
          <w:tcPr>
            <w:tcW w:w="945" w:type="dxa"/>
            <w:shd w:val="clear" w:color="auto" w:fill="auto"/>
            <w:noWrap/>
            <w:vAlign w:val="center"/>
            <w:hideMark/>
          </w:tcPr>
          <w:p w14:paraId="167677B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09E284E6" w14:textId="77777777" w:rsidTr="00023508">
        <w:trPr>
          <w:trHeight w:val="245"/>
          <w:jc w:val="center"/>
        </w:trPr>
        <w:tc>
          <w:tcPr>
            <w:tcW w:w="1129" w:type="dxa"/>
            <w:vMerge/>
            <w:vAlign w:val="center"/>
            <w:hideMark/>
          </w:tcPr>
          <w:p w14:paraId="2B93D56B"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616F237D"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vMerge w:val="restart"/>
            <w:shd w:val="clear" w:color="auto" w:fill="D9D9D9" w:themeFill="accent6" w:themeFillShade="D9"/>
            <w:noWrap/>
            <w:vAlign w:val="center"/>
            <w:hideMark/>
          </w:tcPr>
          <w:p w14:paraId="7FB16665"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vMerge w:val="restart"/>
            <w:shd w:val="clear" w:color="auto" w:fill="D9D9D9" w:themeFill="accent6" w:themeFillShade="D9"/>
            <w:noWrap/>
            <w:vAlign w:val="center"/>
            <w:hideMark/>
          </w:tcPr>
          <w:p w14:paraId="53B237C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7713070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3001EF7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554D54C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2.5</w:t>
            </w:r>
          </w:p>
        </w:tc>
        <w:tc>
          <w:tcPr>
            <w:tcW w:w="583" w:type="dxa"/>
            <w:vMerge w:val="restart"/>
            <w:shd w:val="clear" w:color="auto" w:fill="D9D9D9" w:themeFill="accent6" w:themeFillShade="D9"/>
            <w:noWrap/>
            <w:vAlign w:val="center"/>
            <w:hideMark/>
          </w:tcPr>
          <w:p w14:paraId="12B9D28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w:t>
            </w:r>
          </w:p>
        </w:tc>
        <w:tc>
          <w:tcPr>
            <w:tcW w:w="583" w:type="dxa"/>
            <w:vMerge w:val="restart"/>
            <w:shd w:val="clear" w:color="auto" w:fill="D9D9D9" w:themeFill="accent6" w:themeFillShade="D9"/>
            <w:noWrap/>
            <w:vAlign w:val="center"/>
            <w:hideMark/>
          </w:tcPr>
          <w:p w14:paraId="7DCF1B8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9.4</w:t>
            </w:r>
          </w:p>
        </w:tc>
        <w:tc>
          <w:tcPr>
            <w:tcW w:w="584" w:type="dxa"/>
            <w:vMerge w:val="restart"/>
            <w:shd w:val="clear" w:color="auto" w:fill="D9D9D9" w:themeFill="accent6" w:themeFillShade="D9"/>
            <w:noWrap/>
            <w:vAlign w:val="center"/>
            <w:hideMark/>
          </w:tcPr>
          <w:p w14:paraId="0D60D02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561D6F0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4238849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vMerge w:val="restart"/>
            <w:shd w:val="clear" w:color="auto" w:fill="D9D9D9" w:themeFill="accent6" w:themeFillShade="D9"/>
            <w:noWrap/>
            <w:vAlign w:val="center"/>
            <w:hideMark/>
          </w:tcPr>
          <w:p w14:paraId="0D430E5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3" w:type="dxa"/>
            <w:vMerge w:val="restart"/>
            <w:shd w:val="clear" w:color="auto" w:fill="D9D9D9" w:themeFill="accent6" w:themeFillShade="D9"/>
            <w:noWrap/>
            <w:vAlign w:val="center"/>
            <w:hideMark/>
          </w:tcPr>
          <w:p w14:paraId="6089DAA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0.2</w:t>
            </w:r>
          </w:p>
        </w:tc>
        <w:tc>
          <w:tcPr>
            <w:tcW w:w="583" w:type="dxa"/>
            <w:vMerge w:val="restart"/>
            <w:shd w:val="clear" w:color="auto" w:fill="D9D9D9" w:themeFill="accent6" w:themeFillShade="D9"/>
            <w:noWrap/>
            <w:vAlign w:val="center"/>
            <w:hideMark/>
          </w:tcPr>
          <w:p w14:paraId="2395F13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4" w:type="dxa"/>
            <w:vMerge w:val="restart"/>
            <w:shd w:val="clear" w:color="auto" w:fill="D9D9D9" w:themeFill="accent6" w:themeFillShade="D9"/>
            <w:noWrap/>
            <w:vAlign w:val="center"/>
            <w:hideMark/>
          </w:tcPr>
          <w:p w14:paraId="4A549052"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vMerge w:val="restart"/>
            <w:shd w:val="clear" w:color="auto" w:fill="D9D9D9" w:themeFill="accent6" w:themeFillShade="D9"/>
            <w:noWrap/>
            <w:vAlign w:val="center"/>
            <w:hideMark/>
          </w:tcPr>
          <w:p w14:paraId="2931677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0.7947</w:t>
            </w:r>
          </w:p>
        </w:tc>
        <w:tc>
          <w:tcPr>
            <w:tcW w:w="1384" w:type="dxa"/>
            <w:shd w:val="clear" w:color="auto" w:fill="D9D9D9" w:themeFill="accent6" w:themeFillShade="D9"/>
            <w:vAlign w:val="center"/>
            <w:hideMark/>
          </w:tcPr>
          <w:p w14:paraId="675C0E1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Involuntary = 20</w:t>
            </w:r>
          </w:p>
        </w:tc>
        <w:tc>
          <w:tcPr>
            <w:tcW w:w="945" w:type="dxa"/>
            <w:shd w:val="clear" w:color="auto" w:fill="D9D9D9" w:themeFill="accent6" w:themeFillShade="D9"/>
            <w:noWrap/>
            <w:vAlign w:val="center"/>
            <w:hideMark/>
          </w:tcPr>
          <w:p w14:paraId="519630F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588F84B8" w14:textId="77777777" w:rsidTr="00023508">
        <w:trPr>
          <w:trHeight w:val="245"/>
          <w:jc w:val="center"/>
        </w:trPr>
        <w:tc>
          <w:tcPr>
            <w:tcW w:w="1129" w:type="dxa"/>
            <w:vMerge/>
            <w:vAlign w:val="center"/>
            <w:hideMark/>
          </w:tcPr>
          <w:p w14:paraId="5211325C"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78C5E635"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vMerge/>
            <w:vAlign w:val="center"/>
            <w:hideMark/>
          </w:tcPr>
          <w:p w14:paraId="5B1D89F2" w14:textId="77777777" w:rsidR="00D82B81" w:rsidRPr="005B639E" w:rsidRDefault="00D82B81" w:rsidP="00891A02">
            <w:pPr>
              <w:spacing w:after="0" w:line="240" w:lineRule="auto"/>
              <w:jc w:val="center"/>
              <w:rPr>
                <w:rFonts w:eastAsia="Times New Roman" w:cs="Arial"/>
                <w:color w:val="000000"/>
                <w:sz w:val="16"/>
                <w:szCs w:val="16"/>
                <w:lang w:eastAsia="en-AU"/>
              </w:rPr>
            </w:pPr>
          </w:p>
        </w:tc>
        <w:tc>
          <w:tcPr>
            <w:tcW w:w="583" w:type="dxa"/>
            <w:vMerge/>
            <w:vAlign w:val="center"/>
            <w:hideMark/>
          </w:tcPr>
          <w:p w14:paraId="1741EB26"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56E6C94D"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6EC56729"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26138815"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56584E97"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14CBE334"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4" w:type="dxa"/>
            <w:vMerge/>
            <w:vAlign w:val="center"/>
            <w:hideMark/>
          </w:tcPr>
          <w:p w14:paraId="6CD80E64"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37ACFDA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028AC12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20211A2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30F56FB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3" w:type="dxa"/>
            <w:vMerge/>
            <w:vAlign w:val="center"/>
            <w:hideMark/>
          </w:tcPr>
          <w:p w14:paraId="52CA86C8"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584" w:type="dxa"/>
            <w:vMerge/>
            <w:vAlign w:val="center"/>
            <w:hideMark/>
          </w:tcPr>
          <w:p w14:paraId="3EA18A5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vMerge/>
            <w:vAlign w:val="center"/>
            <w:hideMark/>
          </w:tcPr>
          <w:p w14:paraId="5643E8DE"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384" w:type="dxa"/>
            <w:shd w:val="clear" w:color="auto" w:fill="D9D9D9" w:themeFill="accent6" w:themeFillShade="D9"/>
            <w:vAlign w:val="center"/>
            <w:hideMark/>
          </w:tcPr>
          <w:p w14:paraId="0649634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Voluntary = 9</w:t>
            </w:r>
          </w:p>
        </w:tc>
        <w:tc>
          <w:tcPr>
            <w:tcW w:w="945" w:type="dxa"/>
            <w:shd w:val="clear" w:color="auto" w:fill="D9D9D9" w:themeFill="accent6" w:themeFillShade="D9"/>
            <w:noWrap/>
            <w:vAlign w:val="center"/>
            <w:hideMark/>
          </w:tcPr>
          <w:p w14:paraId="487200A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5575CC87" w14:textId="77777777" w:rsidTr="00F45F2F">
        <w:trPr>
          <w:trHeight w:val="245"/>
          <w:jc w:val="center"/>
        </w:trPr>
        <w:tc>
          <w:tcPr>
            <w:tcW w:w="1129" w:type="dxa"/>
            <w:vMerge/>
            <w:vAlign w:val="center"/>
            <w:hideMark/>
          </w:tcPr>
          <w:p w14:paraId="14E36B5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739918E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535C65C0"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auto"/>
            <w:noWrap/>
            <w:vAlign w:val="center"/>
            <w:hideMark/>
          </w:tcPr>
          <w:p w14:paraId="1AB853E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auto"/>
            <w:noWrap/>
            <w:vAlign w:val="center"/>
            <w:hideMark/>
          </w:tcPr>
          <w:p w14:paraId="2C76FCD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BCE819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C4F8F7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2.7</w:t>
            </w:r>
          </w:p>
        </w:tc>
        <w:tc>
          <w:tcPr>
            <w:tcW w:w="583" w:type="dxa"/>
            <w:shd w:val="clear" w:color="auto" w:fill="auto"/>
            <w:noWrap/>
            <w:vAlign w:val="center"/>
            <w:hideMark/>
          </w:tcPr>
          <w:p w14:paraId="433FDF3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462F4C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5.2</w:t>
            </w:r>
          </w:p>
        </w:tc>
        <w:tc>
          <w:tcPr>
            <w:tcW w:w="584" w:type="dxa"/>
            <w:shd w:val="clear" w:color="auto" w:fill="auto"/>
            <w:noWrap/>
            <w:vAlign w:val="center"/>
            <w:hideMark/>
          </w:tcPr>
          <w:p w14:paraId="63547DA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B65854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0B7AAB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11C52B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4.3</w:t>
            </w:r>
          </w:p>
        </w:tc>
        <w:tc>
          <w:tcPr>
            <w:tcW w:w="583" w:type="dxa"/>
            <w:shd w:val="clear" w:color="auto" w:fill="auto"/>
            <w:noWrap/>
            <w:vAlign w:val="center"/>
            <w:hideMark/>
          </w:tcPr>
          <w:p w14:paraId="169D3CF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937F84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4" w:type="dxa"/>
            <w:shd w:val="clear" w:color="auto" w:fill="auto"/>
            <w:noWrap/>
            <w:vAlign w:val="center"/>
            <w:hideMark/>
          </w:tcPr>
          <w:p w14:paraId="633D09B2"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37A9D13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0.8696</w:t>
            </w:r>
          </w:p>
        </w:tc>
        <w:tc>
          <w:tcPr>
            <w:tcW w:w="1384" w:type="dxa"/>
            <w:shd w:val="clear" w:color="auto" w:fill="auto"/>
            <w:noWrap/>
            <w:vAlign w:val="center"/>
            <w:hideMark/>
          </w:tcPr>
          <w:p w14:paraId="08CB5BB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16</w:t>
            </w:r>
          </w:p>
        </w:tc>
        <w:tc>
          <w:tcPr>
            <w:tcW w:w="945" w:type="dxa"/>
            <w:shd w:val="clear" w:color="auto" w:fill="auto"/>
            <w:noWrap/>
            <w:vAlign w:val="center"/>
            <w:hideMark/>
          </w:tcPr>
          <w:p w14:paraId="7C8A01D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0A507739" w14:textId="77777777" w:rsidTr="00023508">
        <w:trPr>
          <w:trHeight w:val="245"/>
          <w:jc w:val="center"/>
        </w:trPr>
        <w:tc>
          <w:tcPr>
            <w:tcW w:w="1129" w:type="dxa"/>
            <w:vMerge/>
            <w:vAlign w:val="center"/>
            <w:hideMark/>
          </w:tcPr>
          <w:p w14:paraId="23344A0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noWrap/>
            <w:vAlign w:val="center"/>
            <w:hideMark/>
          </w:tcPr>
          <w:p w14:paraId="2809F45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Functional gain</w:t>
            </w:r>
          </w:p>
        </w:tc>
        <w:tc>
          <w:tcPr>
            <w:tcW w:w="891" w:type="dxa"/>
            <w:shd w:val="clear" w:color="auto" w:fill="D9D9D9" w:themeFill="accent6" w:themeFillShade="D9"/>
            <w:noWrap/>
            <w:vAlign w:val="center"/>
            <w:hideMark/>
          </w:tcPr>
          <w:p w14:paraId="20EEC396"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D9D9D9" w:themeFill="accent6" w:themeFillShade="D9"/>
            <w:noWrap/>
            <w:vAlign w:val="center"/>
            <w:hideMark/>
          </w:tcPr>
          <w:p w14:paraId="02D2042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4DF5D13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A66FEC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C49B93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3535C6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D9D9D9" w:themeFill="accent6" w:themeFillShade="D9"/>
            <w:noWrap/>
            <w:vAlign w:val="center"/>
            <w:hideMark/>
          </w:tcPr>
          <w:p w14:paraId="300CCB1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w:t>
            </w:r>
          </w:p>
        </w:tc>
        <w:tc>
          <w:tcPr>
            <w:tcW w:w="584" w:type="dxa"/>
            <w:shd w:val="clear" w:color="auto" w:fill="D9D9D9" w:themeFill="accent6" w:themeFillShade="D9"/>
            <w:noWrap/>
            <w:vAlign w:val="center"/>
            <w:hideMark/>
          </w:tcPr>
          <w:p w14:paraId="75D6F10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w:t>
            </w:r>
          </w:p>
        </w:tc>
        <w:tc>
          <w:tcPr>
            <w:tcW w:w="583" w:type="dxa"/>
            <w:shd w:val="clear" w:color="auto" w:fill="D9D9D9" w:themeFill="accent6" w:themeFillShade="D9"/>
            <w:noWrap/>
            <w:vAlign w:val="center"/>
            <w:hideMark/>
          </w:tcPr>
          <w:p w14:paraId="51E90CE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3.5</w:t>
            </w:r>
          </w:p>
        </w:tc>
        <w:tc>
          <w:tcPr>
            <w:tcW w:w="583" w:type="dxa"/>
            <w:shd w:val="clear" w:color="auto" w:fill="D9D9D9" w:themeFill="accent6" w:themeFillShade="D9"/>
            <w:noWrap/>
            <w:vAlign w:val="center"/>
            <w:hideMark/>
          </w:tcPr>
          <w:p w14:paraId="749FF94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382A844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w:t>
            </w:r>
          </w:p>
        </w:tc>
        <w:tc>
          <w:tcPr>
            <w:tcW w:w="583" w:type="dxa"/>
            <w:shd w:val="clear" w:color="auto" w:fill="D9D9D9" w:themeFill="accent6" w:themeFillShade="D9"/>
            <w:noWrap/>
            <w:vAlign w:val="center"/>
            <w:hideMark/>
          </w:tcPr>
          <w:p w14:paraId="5220E12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26B1ED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w:t>
            </w:r>
          </w:p>
        </w:tc>
        <w:tc>
          <w:tcPr>
            <w:tcW w:w="584" w:type="dxa"/>
            <w:shd w:val="clear" w:color="auto" w:fill="D9D9D9" w:themeFill="accent6" w:themeFillShade="D9"/>
            <w:noWrap/>
            <w:vAlign w:val="center"/>
            <w:hideMark/>
          </w:tcPr>
          <w:p w14:paraId="728BE1D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1559" w:type="dxa"/>
            <w:shd w:val="clear" w:color="auto" w:fill="D9D9D9" w:themeFill="accent6" w:themeFillShade="D9"/>
            <w:noWrap/>
            <w:vAlign w:val="center"/>
            <w:hideMark/>
          </w:tcPr>
          <w:p w14:paraId="7B64FCD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0.6436</w:t>
            </w:r>
          </w:p>
        </w:tc>
        <w:tc>
          <w:tcPr>
            <w:tcW w:w="1384" w:type="dxa"/>
            <w:shd w:val="clear" w:color="auto" w:fill="D9D9D9" w:themeFill="accent6" w:themeFillShade="D9"/>
            <w:noWrap/>
            <w:vAlign w:val="center"/>
            <w:hideMark/>
          </w:tcPr>
          <w:p w14:paraId="6C44428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945" w:type="dxa"/>
            <w:shd w:val="clear" w:color="auto" w:fill="D9D9D9" w:themeFill="accent6" w:themeFillShade="D9"/>
            <w:noWrap/>
            <w:vAlign w:val="center"/>
            <w:hideMark/>
          </w:tcPr>
          <w:p w14:paraId="11B93C7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450AA776" w14:textId="77777777" w:rsidTr="00F45F2F">
        <w:trPr>
          <w:trHeight w:val="245"/>
          <w:jc w:val="center"/>
        </w:trPr>
        <w:tc>
          <w:tcPr>
            <w:tcW w:w="1129" w:type="dxa"/>
            <w:vMerge/>
            <w:vAlign w:val="center"/>
            <w:hideMark/>
          </w:tcPr>
          <w:p w14:paraId="4BFA73B6"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6235FB2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4BF233C2"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auto"/>
            <w:noWrap/>
            <w:vAlign w:val="center"/>
            <w:hideMark/>
          </w:tcPr>
          <w:p w14:paraId="25B872B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015BD2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D05955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A3F428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4.4</w:t>
            </w:r>
          </w:p>
        </w:tc>
        <w:tc>
          <w:tcPr>
            <w:tcW w:w="583" w:type="dxa"/>
            <w:shd w:val="clear" w:color="auto" w:fill="auto"/>
            <w:noWrap/>
            <w:vAlign w:val="center"/>
            <w:hideMark/>
          </w:tcPr>
          <w:p w14:paraId="17E94FE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auto"/>
            <w:noWrap/>
            <w:vAlign w:val="center"/>
            <w:hideMark/>
          </w:tcPr>
          <w:p w14:paraId="6CAA1BB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8.2</w:t>
            </w:r>
          </w:p>
        </w:tc>
        <w:tc>
          <w:tcPr>
            <w:tcW w:w="584" w:type="dxa"/>
            <w:shd w:val="clear" w:color="auto" w:fill="auto"/>
            <w:noWrap/>
            <w:vAlign w:val="center"/>
            <w:hideMark/>
          </w:tcPr>
          <w:p w14:paraId="54F719E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6AA3AB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B9C53D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749C15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w:t>
            </w:r>
          </w:p>
        </w:tc>
        <w:tc>
          <w:tcPr>
            <w:tcW w:w="583" w:type="dxa"/>
            <w:shd w:val="clear" w:color="auto" w:fill="auto"/>
            <w:noWrap/>
            <w:vAlign w:val="center"/>
            <w:hideMark/>
          </w:tcPr>
          <w:p w14:paraId="138A024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3.3</w:t>
            </w:r>
          </w:p>
        </w:tc>
        <w:tc>
          <w:tcPr>
            <w:tcW w:w="583" w:type="dxa"/>
            <w:shd w:val="clear" w:color="auto" w:fill="auto"/>
            <w:noWrap/>
            <w:vAlign w:val="center"/>
            <w:hideMark/>
          </w:tcPr>
          <w:p w14:paraId="30869DC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375F034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530C9E0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0.6218</w:t>
            </w:r>
          </w:p>
        </w:tc>
        <w:tc>
          <w:tcPr>
            <w:tcW w:w="1384" w:type="dxa"/>
            <w:shd w:val="clear" w:color="auto" w:fill="auto"/>
            <w:noWrap/>
            <w:vAlign w:val="center"/>
            <w:hideMark/>
          </w:tcPr>
          <w:p w14:paraId="2617E62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945" w:type="dxa"/>
            <w:shd w:val="clear" w:color="auto" w:fill="auto"/>
            <w:noWrap/>
            <w:vAlign w:val="center"/>
            <w:hideMark/>
          </w:tcPr>
          <w:p w14:paraId="7DE493E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305DBC08" w14:textId="77777777" w:rsidTr="00023508">
        <w:trPr>
          <w:trHeight w:val="245"/>
          <w:jc w:val="center"/>
        </w:trPr>
        <w:tc>
          <w:tcPr>
            <w:tcW w:w="1129" w:type="dxa"/>
            <w:vMerge/>
            <w:vAlign w:val="center"/>
            <w:hideMark/>
          </w:tcPr>
          <w:p w14:paraId="44C729A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279649C2"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4B9859A3"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D9D9D9" w:themeFill="accent6" w:themeFillShade="D9"/>
            <w:noWrap/>
            <w:vAlign w:val="center"/>
            <w:hideMark/>
          </w:tcPr>
          <w:p w14:paraId="2EB3AAF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3" w:type="dxa"/>
            <w:shd w:val="clear" w:color="auto" w:fill="D9D9D9" w:themeFill="accent6" w:themeFillShade="D9"/>
            <w:noWrap/>
            <w:vAlign w:val="center"/>
            <w:hideMark/>
          </w:tcPr>
          <w:p w14:paraId="3DB29D0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83EBA1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976903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2.5</w:t>
            </w:r>
          </w:p>
        </w:tc>
        <w:tc>
          <w:tcPr>
            <w:tcW w:w="583" w:type="dxa"/>
            <w:shd w:val="clear" w:color="auto" w:fill="D9D9D9" w:themeFill="accent6" w:themeFillShade="D9"/>
            <w:noWrap/>
            <w:vAlign w:val="center"/>
            <w:hideMark/>
          </w:tcPr>
          <w:p w14:paraId="0487C29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73FB85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8.9</w:t>
            </w:r>
          </w:p>
        </w:tc>
        <w:tc>
          <w:tcPr>
            <w:tcW w:w="584" w:type="dxa"/>
            <w:shd w:val="clear" w:color="auto" w:fill="D9D9D9" w:themeFill="accent6" w:themeFillShade="D9"/>
            <w:noWrap/>
            <w:vAlign w:val="center"/>
            <w:hideMark/>
          </w:tcPr>
          <w:p w14:paraId="1290045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3.6</w:t>
            </w:r>
          </w:p>
        </w:tc>
        <w:tc>
          <w:tcPr>
            <w:tcW w:w="583" w:type="dxa"/>
            <w:shd w:val="clear" w:color="auto" w:fill="D9D9D9" w:themeFill="accent6" w:themeFillShade="D9"/>
            <w:noWrap/>
            <w:vAlign w:val="center"/>
            <w:hideMark/>
          </w:tcPr>
          <w:p w14:paraId="3A03B84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4.6</w:t>
            </w:r>
          </w:p>
        </w:tc>
        <w:tc>
          <w:tcPr>
            <w:tcW w:w="583" w:type="dxa"/>
            <w:shd w:val="clear" w:color="auto" w:fill="D9D9D9" w:themeFill="accent6" w:themeFillShade="D9"/>
            <w:noWrap/>
            <w:vAlign w:val="center"/>
            <w:hideMark/>
          </w:tcPr>
          <w:p w14:paraId="3BC05AF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D6FCA1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4A9C6C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0.2</w:t>
            </w:r>
          </w:p>
        </w:tc>
        <w:tc>
          <w:tcPr>
            <w:tcW w:w="583" w:type="dxa"/>
            <w:shd w:val="clear" w:color="auto" w:fill="D9D9D9" w:themeFill="accent6" w:themeFillShade="D9"/>
            <w:noWrap/>
            <w:vAlign w:val="center"/>
            <w:hideMark/>
          </w:tcPr>
          <w:p w14:paraId="203C818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D9D9D9" w:themeFill="accent6" w:themeFillShade="D9"/>
            <w:noWrap/>
            <w:vAlign w:val="center"/>
            <w:hideMark/>
          </w:tcPr>
          <w:p w14:paraId="4C414CA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0026F9F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0.5556</w:t>
            </w:r>
          </w:p>
        </w:tc>
        <w:tc>
          <w:tcPr>
            <w:tcW w:w="1384" w:type="dxa"/>
            <w:shd w:val="clear" w:color="auto" w:fill="D9D9D9" w:themeFill="accent6" w:themeFillShade="D9"/>
            <w:noWrap/>
            <w:vAlign w:val="center"/>
            <w:hideMark/>
          </w:tcPr>
          <w:p w14:paraId="724F406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945" w:type="dxa"/>
            <w:shd w:val="clear" w:color="auto" w:fill="D9D9D9" w:themeFill="accent6" w:themeFillShade="D9"/>
            <w:noWrap/>
            <w:vAlign w:val="center"/>
            <w:hideMark/>
          </w:tcPr>
          <w:p w14:paraId="6566B5E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00C8E1D0" w14:textId="77777777" w:rsidTr="00F45F2F">
        <w:trPr>
          <w:trHeight w:val="245"/>
          <w:jc w:val="center"/>
        </w:trPr>
        <w:tc>
          <w:tcPr>
            <w:tcW w:w="1129" w:type="dxa"/>
            <w:vMerge/>
            <w:vAlign w:val="center"/>
            <w:hideMark/>
          </w:tcPr>
          <w:p w14:paraId="1703599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noWrap/>
            <w:vAlign w:val="center"/>
            <w:hideMark/>
          </w:tcPr>
          <w:p w14:paraId="769007A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Intensive extended</w:t>
            </w:r>
          </w:p>
        </w:tc>
        <w:tc>
          <w:tcPr>
            <w:tcW w:w="891" w:type="dxa"/>
            <w:shd w:val="clear" w:color="auto" w:fill="auto"/>
            <w:noWrap/>
            <w:vAlign w:val="center"/>
            <w:hideMark/>
          </w:tcPr>
          <w:p w14:paraId="0E81CAA4"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auto"/>
            <w:noWrap/>
            <w:vAlign w:val="center"/>
            <w:hideMark/>
          </w:tcPr>
          <w:p w14:paraId="2447A19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B0DDCB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DD841C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w:t>
            </w:r>
          </w:p>
        </w:tc>
        <w:tc>
          <w:tcPr>
            <w:tcW w:w="583" w:type="dxa"/>
            <w:shd w:val="clear" w:color="auto" w:fill="auto"/>
            <w:noWrap/>
            <w:vAlign w:val="center"/>
            <w:hideMark/>
          </w:tcPr>
          <w:p w14:paraId="3C6124A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5C8B41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FB2063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w:t>
            </w:r>
          </w:p>
        </w:tc>
        <w:tc>
          <w:tcPr>
            <w:tcW w:w="584" w:type="dxa"/>
            <w:shd w:val="clear" w:color="auto" w:fill="auto"/>
            <w:noWrap/>
            <w:vAlign w:val="center"/>
            <w:hideMark/>
          </w:tcPr>
          <w:p w14:paraId="5BA52B7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6.8</w:t>
            </w:r>
          </w:p>
        </w:tc>
        <w:tc>
          <w:tcPr>
            <w:tcW w:w="583" w:type="dxa"/>
            <w:shd w:val="clear" w:color="auto" w:fill="auto"/>
            <w:noWrap/>
            <w:vAlign w:val="center"/>
            <w:hideMark/>
          </w:tcPr>
          <w:p w14:paraId="6A80887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3.4</w:t>
            </w:r>
          </w:p>
        </w:tc>
        <w:tc>
          <w:tcPr>
            <w:tcW w:w="583" w:type="dxa"/>
            <w:shd w:val="clear" w:color="auto" w:fill="auto"/>
            <w:noWrap/>
            <w:vAlign w:val="center"/>
            <w:hideMark/>
          </w:tcPr>
          <w:p w14:paraId="6000CF3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w:t>
            </w:r>
          </w:p>
        </w:tc>
        <w:tc>
          <w:tcPr>
            <w:tcW w:w="583" w:type="dxa"/>
            <w:shd w:val="clear" w:color="auto" w:fill="auto"/>
            <w:noWrap/>
            <w:vAlign w:val="center"/>
            <w:hideMark/>
          </w:tcPr>
          <w:p w14:paraId="1A1B615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auto"/>
            <w:noWrap/>
            <w:vAlign w:val="center"/>
            <w:hideMark/>
          </w:tcPr>
          <w:p w14:paraId="2771AB4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3" w:type="dxa"/>
            <w:shd w:val="clear" w:color="auto" w:fill="auto"/>
            <w:noWrap/>
            <w:vAlign w:val="center"/>
            <w:hideMark/>
          </w:tcPr>
          <w:p w14:paraId="4EC3D15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4943436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1559" w:type="dxa"/>
            <w:shd w:val="clear" w:color="auto" w:fill="auto"/>
            <w:noWrap/>
            <w:vAlign w:val="center"/>
            <w:hideMark/>
          </w:tcPr>
          <w:p w14:paraId="347CF0B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0.7879</w:t>
            </w:r>
          </w:p>
        </w:tc>
        <w:tc>
          <w:tcPr>
            <w:tcW w:w="1384" w:type="dxa"/>
            <w:shd w:val="clear" w:color="auto" w:fill="auto"/>
            <w:noWrap/>
            <w:vAlign w:val="center"/>
            <w:hideMark/>
          </w:tcPr>
          <w:p w14:paraId="382AE4A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17</w:t>
            </w:r>
          </w:p>
        </w:tc>
        <w:tc>
          <w:tcPr>
            <w:tcW w:w="945" w:type="dxa"/>
            <w:shd w:val="clear" w:color="auto" w:fill="auto"/>
            <w:noWrap/>
            <w:vAlign w:val="center"/>
            <w:hideMark/>
          </w:tcPr>
          <w:p w14:paraId="6092F4D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0091FB6E" w14:textId="77777777" w:rsidTr="00023508">
        <w:trPr>
          <w:trHeight w:val="245"/>
          <w:jc w:val="center"/>
        </w:trPr>
        <w:tc>
          <w:tcPr>
            <w:tcW w:w="1129" w:type="dxa"/>
            <w:vMerge/>
            <w:vAlign w:val="center"/>
            <w:hideMark/>
          </w:tcPr>
          <w:p w14:paraId="358B9106"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4647705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3DACB043"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D9D9D9" w:themeFill="accent6" w:themeFillShade="D9"/>
            <w:noWrap/>
            <w:vAlign w:val="center"/>
            <w:hideMark/>
          </w:tcPr>
          <w:p w14:paraId="24F2D63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31056E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4E2460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7A5C5F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DA8C14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E0C19E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w:t>
            </w:r>
          </w:p>
        </w:tc>
        <w:tc>
          <w:tcPr>
            <w:tcW w:w="584" w:type="dxa"/>
            <w:shd w:val="clear" w:color="auto" w:fill="D9D9D9" w:themeFill="accent6" w:themeFillShade="D9"/>
            <w:noWrap/>
            <w:vAlign w:val="center"/>
            <w:hideMark/>
          </w:tcPr>
          <w:p w14:paraId="614BCEC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3449546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C36F92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4007CC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1BF6F4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8.4</w:t>
            </w:r>
          </w:p>
        </w:tc>
        <w:tc>
          <w:tcPr>
            <w:tcW w:w="583" w:type="dxa"/>
            <w:shd w:val="clear" w:color="auto" w:fill="D9D9D9" w:themeFill="accent6" w:themeFillShade="D9"/>
            <w:noWrap/>
            <w:vAlign w:val="center"/>
            <w:hideMark/>
          </w:tcPr>
          <w:p w14:paraId="281DBFB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3.9</w:t>
            </w:r>
          </w:p>
        </w:tc>
        <w:tc>
          <w:tcPr>
            <w:tcW w:w="584" w:type="dxa"/>
            <w:shd w:val="clear" w:color="auto" w:fill="D9D9D9" w:themeFill="accent6" w:themeFillShade="D9"/>
            <w:noWrap/>
            <w:vAlign w:val="center"/>
            <w:hideMark/>
          </w:tcPr>
          <w:p w14:paraId="18512BD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7D0BF62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0.6593</w:t>
            </w:r>
          </w:p>
        </w:tc>
        <w:tc>
          <w:tcPr>
            <w:tcW w:w="1384" w:type="dxa"/>
            <w:shd w:val="clear" w:color="auto" w:fill="D9D9D9" w:themeFill="accent6" w:themeFillShade="D9"/>
            <w:noWrap/>
            <w:vAlign w:val="center"/>
            <w:hideMark/>
          </w:tcPr>
          <w:p w14:paraId="4EF00E1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26</w:t>
            </w:r>
          </w:p>
        </w:tc>
        <w:tc>
          <w:tcPr>
            <w:tcW w:w="945" w:type="dxa"/>
            <w:shd w:val="clear" w:color="auto" w:fill="D9D9D9" w:themeFill="accent6" w:themeFillShade="D9"/>
            <w:noWrap/>
            <w:vAlign w:val="center"/>
            <w:hideMark/>
          </w:tcPr>
          <w:p w14:paraId="6A59580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6CFDD1FD" w14:textId="77777777" w:rsidTr="00F45F2F">
        <w:trPr>
          <w:trHeight w:val="245"/>
          <w:jc w:val="center"/>
        </w:trPr>
        <w:tc>
          <w:tcPr>
            <w:tcW w:w="1129" w:type="dxa"/>
            <w:vMerge/>
            <w:vAlign w:val="center"/>
            <w:hideMark/>
          </w:tcPr>
          <w:p w14:paraId="7B674F0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454E9B0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739D38DF"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auto"/>
            <w:noWrap/>
            <w:vAlign w:val="center"/>
            <w:hideMark/>
          </w:tcPr>
          <w:p w14:paraId="719BB61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DA5DD4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F270B4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7E8102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w:t>
            </w:r>
          </w:p>
        </w:tc>
        <w:tc>
          <w:tcPr>
            <w:tcW w:w="583" w:type="dxa"/>
            <w:shd w:val="clear" w:color="auto" w:fill="auto"/>
            <w:noWrap/>
            <w:vAlign w:val="center"/>
            <w:hideMark/>
          </w:tcPr>
          <w:p w14:paraId="1CBFDFC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7F9108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4.9</w:t>
            </w:r>
          </w:p>
        </w:tc>
        <w:tc>
          <w:tcPr>
            <w:tcW w:w="584" w:type="dxa"/>
            <w:shd w:val="clear" w:color="auto" w:fill="auto"/>
            <w:noWrap/>
            <w:vAlign w:val="center"/>
            <w:hideMark/>
          </w:tcPr>
          <w:p w14:paraId="78FC54E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351E26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7687EE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EDA830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4.1</w:t>
            </w:r>
          </w:p>
        </w:tc>
        <w:tc>
          <w:tcPr>
            <w:tcW w:w="583" w:type="dxa"/>
            <w:shd w:val="clear" w:color="auto" w:fill="auto"/>
            <w:noWrap/>
            <w:vAlign w:val="center"/>
            <w:hideMark/>
          </w:tcPr>
          <w:p w14:paraId="1FE152D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0.2</w:t>
            </w:r>
          </w:p>
        </w:tc>
        <w:tc>
          <w:tcPr>
            <w:tcW w:w="583" w:type="dxa"/>
            <w:shd w:val="clear" w:color="auto" w:fill="auto"/>
            <w:noWrap/>
            <w:vAlign w:val="center"/>
            <w:hideMark/>
          </w:tcPr>
          <w:p w14:paraId="223333C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0.3</w:t>
            </w:r>
          </w:p>
        </w:tc>
        <w:tc>
          <w:tcPr>
            <w:tcW w:w="584" w:type="dxa"/>
            <w:shd w:val="clear" w:color="auto" w:fill="auto"/>
            <w:noWrap/>
            <w:vAlign w:val="center"/>
            <w:hideMark/>
          </w:tcPr>
          <w:p w14:paraId="215746CC"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2C43B53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0.9600</w:t>
            </w:r>
          </w:p>
        </w:tc>
        <w:tc>
          <w:tcPr>
            <w:tcW w:w="1384" w:type="dxa"/>
            <w:shd w:val="clear" w:color="auto" w:fill="auto"/>
            <w:noWrap/>
            <w:vAlign w:val="center"/>
            <w:hideMark/>
          </w:tcPr>
          <w:p w14:paraId="3C8C905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19</w:t>
            </w:r>
          </w:p>
        </w:tc>
        <w:tc>
          <w:tcPr>
            <w:tcW w:w="945" w:type="dxa"/>
            <w:shd w:val="clear" w:color="auto" w:fill="auto"/>
            <w:noWrap/>
            <w:vAlign w:val="center"/>
            <w:hideMark/>
          </w:tcPr>
          <w:p w14:paraId="7789653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13E13F10" w14:textId="77777777" w:rsidTr="00023508">
        <w:trPr>
          <w:trHeight w:val="245"/>
          <w:jc w:val="center"/>
        </w:trPr>
        <w:tc>
          <w:tcPr>
            <w:tcW w:w="1129" w:type="dxa"/>
            <w:vMerge/>
            <w:vAlign w:val="center"/>
            <w:hideMark/>
          </w:tcPr>
          <w:p w14:paraId="606DC86D"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vAlign w:val="center"/>
            <w:hideMark/>
          </w:tcPr>
          <w:p w14:paraId="6EAEDEA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Consolidating gain</w:t>
            </w:r>
          </w:p>
        </w:tc>
        <w:tc>
          <w:tcPr>
            <w:tcW w:w="891" w:type="dxa"/>
            <w:shd w:val="clear" w:color="auto" w:fill="D9D9D9" w:themeFill="accent6" w:themeFillShade="D9"/>
            <w:noWrap/>
            <w:vAlign w:val="center"/>
            <w:hideMark/>
          </w:tcPr>
          <w:p w14:paraId="459FA8F2"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D9D9D9" w:themeFill="accent6" w:themeFillShade="D9"/>
            <w:noWrap/>
            <w:vAlign w:val="center"/>
            <w:hideMark/>
          </w:tcPr>
          <w:p w14:paraId="1921197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5DAC3F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49DD85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46815F1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C2ACFB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4170C80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3.1</w:t>
            </w:r>
          </w:p>
        </w:tc>
        <w:tc>
          <w:tcPr>
            <w:tcW w:w="584" w:type="dxa"/>
            <w:shd w:val="clear" w:color="auto" w:fill="D9D9D9" w:themeFill="accent6" w:themeFillShade="D9"/>
            <w:noWrap/>
            <w:vAlign w:val="center"/>
            <w:hideMark/>
          </w:tcPr>
          <w:p w14:paraId="1EB66EE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5.9</w:t>
            </w:r>
          </w:p>
        </w:tc>
        <w:tc>
          <w:tcPr>
            <w:tcW w:w="583" w:type="dxa"/>
            <w:shd w:val="clear" w:color="auto" w:fill="D9D9D9" w:themeFill="accent6" w:themeFillShade="D9"/>
            <w:noWrap/>
            <w:vAlign w:val="center"/>
            <w:hideMark/>
          </w:tcPr>
          <w:p w14:paraId="57C9CD9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3.4</w:t>
            </w:r>
          </w:p>
        </w:tc>
        <w:tc>
          <w:tcPr>
            <w:tcW w:w="583" w:type="dxa"/>
            <w:shd w:val="clear" w:color="auto" w:fill="D9D9D9" w:themeFill="accent6" w:themeFillShade="D9"/>
            <w:noWrap/>
            <w:vAlign w:val="center"/>
            <w:hideMark/>
          </w:tcPr>
          <w:p w14:paraId="73E0F7B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88CFE5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406A3B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3DC3F90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D9D9D9" w:themeFill="accent6" w:themeFillShade="D9"/>
            <w:noWrap/>
            <w:vAlign w:val="center"/>
            <w:hideMark/>
          </w:tcPr>
          <w:p w14:paraId="22354F1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1559" w:type="dxa"/>
            <w:shd w:val="clear" w:color="auto" w:fill="D9D9D9" w:themeFill="accent6" w:themeFillShade="D9"/>
            <w:noWrap/>
            <w:vAlign w:val="center"/>
            <w:hideMark/>
          </w:tcPr>
          <w:p w14:paraId="7228257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0.9701</w:t>
            </w:r>
          </w:p>
        </w:tc>
        <w:tc>
          <w:tcPr>
            <w:tcW w:w="1384" w:type="dxa"/>
            <w:shd w:val="clear" w:color="auto" w:fill="D9D9D9" w:themeFill="accent6" w:themeFillShade="D9"/>
            <w:noWrap/>
            <w:vAlign w:val="center"/>
            <w:hideMark/>
          </w:tcPr>
          <w:p w14:paraId="0932D0C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c>
          <w:tcPr>
            <w:tcW w:w="945" w:type="dxa"/>
            <w:shd w:val="clear" w:color="auto" w:fill="D9D9D9" w:themeFill="accent6" w:themeFillShade="D9"/>
            <w:noWrap/>
            <w:vAlign w:val="center"/>
            <w:hideMark/>
          </w:tcPr>
          <w:p w14:paraId="7D7F335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6F280931" w14:textId="77777777" w:rsidTr="00F45F2F">
        <w:trPr>
          <w:trHeight w:val="245"/>
          <w:jc w:val="center"/>
        </w:trPr>
        <w:tc>
          <w:tcPr>
            <w:tcW w:w="1129" w:type="dxa"/>
            <w:vMerge/>
            <w:vAlign w:val="center"/>
            <w:hideMark/>
          </w:tcPr>
          <w:p w14:paraId="433D13F7"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1933CBB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7319FA6C"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auto"/>
            <w:noWrap/>
            <w:vAlign w:val="center"/>
            <w:hideMark/>
          </w:tcPr>
          <w:p w14:paraId="46A8F91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B69E5B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89E73F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1D2FC4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3" w:type="dxa"/>
            <w:shd w:val="clear" w:color="auto" w:fill="auto"/>
            <w:noWrap/>
            <w:vAlign w:val="center"/>
            <w:hideMark/>
          </w:tcPr>
          <w:p w14:paraId="5625292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AA9871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3.1</w:t>
            </w:r>
          </w:p>
        </w:tc>
        <w:tc>
          <w:tcPr>
            <w:tcW w:w="584" w:type="dxa"/>
            <w:shd w:val="clear" w:color="auto" w:fill="auto"/>
            <w:noWrap/>
            <w:vAlign w:val="center"/>
            <w:hideMark/>
          </w:tcPr>
          <w:p w14:paraId="04AFDB0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972E1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733884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F00DF9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w:t>
            </w:r>
          </w:p>
        </w:tc>
        <w:tc>
          <w:tcPr>
            <w:tcW w:w="583" w:type="dxa"/>
            <w:shd w:val="clear" w:color="auto" w:fill="auto"/>
            <w:noWrap/>
            <w:vAlign w:val="center"/>
            <w:hideMark/>
          </w:tcPr>
          <w:p w14:paraId="2F8E9A2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CBD363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51D4D615"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6D25CD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1.8182</w:t>
            </w:r>
          </w:p>
        </w:tc>
        <w:tc>
          <w:tcPr>
            <w:tcW w:w="1384" w:type="dxa"/>
            <w:shd w:val="clear" w:color="auto" w:fill="auto"/>
            <w:noWrap/>
            <w:vAlign w:val="center"/>
            <w:hideMark/>
          </w:tcPr>
          <w:p w14:paraId="5E3B3B3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17</w:t>
            </w:r>
          </w:p>
        </w:tc>
        <w:tc>
          <w:tcPr>
            <w:tcW w:w="945" w:type="dxa"/>
            <w:shd w:val="clear" w:color="auto" w:fill="auto"/>
            <w:noWrap/>
            <w:vAlign w:val="center"/>
            <w:hideMark/>
          </w:tcPr>
          <w:p w14:paraId="215C5B5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22111959" w14:textId="77777777" w:rsidTr="00023508">
        <w:trPr>
          <w:trHeight w:val="245"/>
          <w:jc w:val="center"/>
        </w:trPr>
        <w:tc>
          <w:tcPr>
            <w:tcW w:w="1129" w:type="dxa"/>
            <w:vMerge/>
            <w:vAlign w:val="center"/>
            <w:hideMark/>
          </w:tcPr>
          <w:p w14:paraId="6DF583AD"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7EC96CD2"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1060A090"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D9D9D9" w:themeFill="accent6" w:themeFillShade="D9"/>
            <w:noWrap/>
            <w:vAlign w:val="center"/>
            <w:hideMark/>
          </w:tcPr>
          <w:p w14:paraId="65FC79E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1DE22C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1E8460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6D2E39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1.7</w:t>
            </w:r>
          </w:p>
        </w:tc>
        <w:tc>
          <w:tcPr>
            <w:tcW w:w="583" w:type="dxa"/>
            <w:shd w:val="clear" w:color="auto" w:fill="D9D9D9" w:themeFill="accent6" w:themeFillShade="D9"/>
            <w:noWrap/>
            <w:vAlign w:val="center"/>
            <w:hideMark/>
          </w:tcPr>
          <w:p w14:paraId="0372E7E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A37A25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4.6</w:t>
            </w:r>
          </w:p>
        </w:tc>
        <w:tc>
          <w:tcPr>
            <w:tcW w:w="584" w:type="dxa"/>
            <w:shd w:val="clear" w:color="auto" w:fill="D9D9D9" w:themeFill="accent6" w:themeFillShade="D9"/>
            <w:noWrap/>
            <w:vAlign w:val="center"/>
            <w:hideMark/>
          </w:tcPr>
          <w:p w14:paraId="735CF05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583" w:type="dxa"/>
            <w:shd w:val="clear" w:color="auto" w:fill="D9D9D9" w:themeFill="accent6" w:themeFillShade="D9"/>
            <w:noWrap/>
            <w:vAlign w:val="center"/>
            <w:hideMark/>
          </w:tcPr>
          <w:p w14:paraId="4F7D7E5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3" w:type="dxa"/>
            <w:shd w:val="clear" w:color="auto" w:fill="D9D9D9" w:themeFill="accent6" w:themeFillShade="D9"/>
            <w:noWrap/>
            <w:vAlign w:val="center"/>
            <w:hideMark/>
          </w:tcPr>
          <w:p w14:paraId="1C65B5B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4F7FD1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3.1</w:t>
            </w:r>
          </w:p>
        </w:tc>
        <w:tc>
          <w:tcPr>
            <w:tcW w:w="583" w:type="dxa"/>
            <w:shd w:val="clear" w:color="auto" w:fill="D9D9D9" w:themeFill="accent6" w:themeFillShade="D9"/>
            <w:noWrap/>
            <w:vAlign w:val="center"/>
            <w:hideMark/>
          </w:tcPr>
          <w:p w14:paraId="38B591F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8AD30B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4" w:type="dxa"/>
            <w:shd w:val="clear" w:color="auto" w:fill="D9D9D9" w:themeFill="accent6" w:themeFillShade="D9"/>
            <w:noWrap/>
            <w:vAlign w:val="center"/>
            <w:hideMark/>
          </w:tcPr>
          <w:p w14:paraId="17334FC7"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2688309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0.9600</w:t>
            </w:r>
          </w:p>
        </w:tc>
        <w:tc>
          <w:tcPr>
            <w:tcW w:w="1384" w:type="dxa"/>
            <w:shd w:val="clear" w:color="auto" w:fill="D9D9D9" w:themeFill="accent6" w:themeFillShade="D9"/>
            <w:noWrap/>
            <w:vAlign w:val="center"/>
            <w:hideMark/>
          </w:tcPr>
          <w:p w14:paraId="51BD5D5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20</w:t>
            </w:r>
          </w:p>
        </w:tc>
        <w:tc>
          <w:tcPr>
            <w:tcW w:w="945" w:type="dxa"/>
            <w:shd w:val="clear" w:color="auto" w:fill="D9D9D9" w:themeFill="accent6" w:themeFillShade="D9"/>
            <w:noWrap/>
            <w:vAlign w:val="center"/>
            <w:hideMark/>
          </w:tcPr>
          <w:p w14:paraId="68B27A7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2CC77E37" w14:textId="77777777" w:rsidTr="00F45F2F">
        <w:trPr>
          <w:trHeight w:val="245"/>
          <w:jc w:val="center"/>
        </w:trPr>
        <w:tc>
          <w:tcPr>
            <w:tcW w:w="1129" w:type="dxa"/>
            <w:vMerge w:val="restart"/>
            <w:shd w:val="clear" w:color="auto" w:fill="auto"/>
            <w:noWrap/>
            <w:vAlign w:val="center"/>
            <w:hideMark/>
          </w:tcPr>
          <w:p w14:paraId="0506375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Community</w:t>
            </w:r>
          </w:p>
        </w:tc>
        <w:tc>
          <w:tcPr>
            <w:tcW w:w="1457" w:type="dxa"/>
            <w:vMerge w:val="restart"/>
            <w:shd w:val="clear" w:color="auto" w:fill="auto"/>
            <w:vAlign w:val="center"/>
            <w:hideMark/>
          </w:tcPr>
          <w:p w14:paraId="5A84B29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Acute</w:t>
            </w:r>
          </w:p>
        </w:tc>
        <w:tc>
          <w:tcPr>
            <w:tcW w:w="891" w:type="dxa"/>
            <w:shd w:val="clear" w:color="auto" w:fill="auto"/>
            <w:noWrap/>
            <w:vAlign w:val="center"/>
            <w:hideMark/>
          </w:tcPr>
          <w:p w14:paraId="2FC3D2A6"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auto"/>
            <w:noWrap/>
            <w:vAlign w:val="center"/>
            <w:hideMark/>
          </w:tcPr>
          <w:p w14:paraId="0674FFF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18BD85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w:t>
            </w:r>
          </w:p>
        </w:tc>
        <w:tc>
          <w:tcPr>
            <w:tcW w:w="583" w:type="dxa"/>
            <w:shd w:val="clear" w:color="auto" w:fill="auto"/>
            <w:noWrap/>
            <w:vAlign w:val="center"/>
            <w:hideMark/>
          </w:tcPr>
          <w:p w14:paraId="7CF7F50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F80ACF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678773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1.6</w:t>
            </w:r>
          </w:p>
        </w:tc>
        <w:tc>
          <w:tcPr>
            <w:tcW w:w="583" w:type="dxa"/>
            <w:shd w:val="clear" w:color="auto" w:fill="auto"/>
            <w:noWrap/>
            <w:vAlign w:val="center"/>
            <w:hideMark/>
          </w:tcPr>
          <w:p w14:paraId="2683548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4" w:type="dxa"/>
            <w:shd w:val="clear" w:color="auto" w:fill="auto"/>
            <w:noWrap/>
            <w:vAlign w:val="center"/>
            <w:hideMark/>
          </w:tcPr>
          <w:p w14:paraId="174D773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1E31BC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4.3</w:t>
            </w:r>
          </w:p>
        </w:tc>
        <w:tc>
          <w:tcPr>
            <w:tcW w:w="583" w:type="dxa"/>
            <w:shd w:val="clear" w:color="auto" w:fill="auto"/>
            <w:noWrap/>
            <w:vAlign w:val="center"/>
            <w:hideMark/>
          </w:tcPr>
          <w:p w14:paraId="50AC530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5.1</w:t>
            </w:r>
          </w:p>
        </w:tc>
        <w:tc>
          <w:tcPr>
            <w:tcW w:w="583" w:type="dxa"/>
            <w:shd w:val="clear" w:color="auto" w:fill="auto"/>
            <w:noWrap/>
            <w:vAlign w:val="center"/>
            <w:hideMark/>
          </w:tcPr>
          <w:p w14:paraId="7DF9981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1.6</w:t>
            </w:r>
          </w:p>
        </w:tc>
        <w:tc>
          <w:tcPr>
            <w:tcW w:w="583" w:type="dxa"/>
            <w:shd w:val="clear" w:color="auto" w:fill="auto"/>
            <w:noWrap/>
            <w:vAlign w:val="center"/>
            <w:hideMark/>
          </w:tcPr>
          <w:p w14:paraId="6B4DA4A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CB3120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1.6</w:t>
            </w:r>
          </w:p>
        </w:tc>
        <w:tc>
          <w:tcPr>
            <w:tcW w:w="584" w:type="dxa"/>
            <w:shd w:val="clear" w:color="auto" w:fill="auto"/>
            <w:noWrap/>
            <w:vAlign w:val="center"/>
            <w:hideMark/>
          </w:tcPr>
          <w:p w14:paraId="1CC6A12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1559" w:type="dxa"/>
            <w:shd w:val="clear" w:color="auto" w:fill="auto"/>
            <w:noWrap/>
            <w:vAlign w:val="center"/>
            <w:hideMark/>
          </w:tcPr>
          <w:p w14:paraId="0B2056F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0.7143</w:t>
            </w:r>
          </w:p>
        </w:tc>
        <w:tc>
          <w:tcPr>
            <w:tcW w:w="1384" w:type="dxa"/>
            <w:shd w:val="clear" w:color="auto" w:fill="auto"/>
            <w:noWrap/>
            <w:vAlign w:val="center"/>
            <w:hideMark/>
          </w:tcPr>
          <w:p w14:paraId="72B6063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w:t>
            </w:r>
          </w:p>
        </w:tc>
        <w:tc>
          <w:tcPr>
            <w:tcW w:w="945" w:type="dxa"/>
            <w:shd w:val="clear" w:color="auto" w:fill="auto"/>
            <w:noWrap/>
            <w:vAlign w:val="center"/>
            <w:hideMark/>
          </w:tcPr>
          <w:p w14:paraId="4C1A6CA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543A57E7" w14:textId="77777777" w:rsidTr="00023508">
        <w:trPr>
          <w:trHeight w:val="245"/>
          <w:jc w:val="center"/>
        </w:trPr>
        <w:tc>
          <w:tcPr>
            <w:tcW w:w="1129" w:type="dxa"/>
            <w:vMerge/>
            <w:vAlign w:val="center"/>
            <w:hideMark/>
          </w:tcPr>
          <w:p w14:paraId="7C41D04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03DF4A5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2834E2A0"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D9D9D9" w:themeFill="accent6" w:themeFillShade="D9"/>
            <w:noWrap/>
            <w:vAlign w:val="center"/>
            <w:hideMark/>
          </w:tcPr>
          <w:p w14:paraId="0FE6CBE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428093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EF78A8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98B4D2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D9D9D9" w:themeFill="accent6" w:themeFillShade="D9"/>
            <w:noWrap/>
            <w:vAlign w:val="center"/>
            <w:hideMark/>
          </w:tcPr>
          <w:p w14:paraId="201C2D7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D9D9D9" w:themeFill="accent6" w:themeFillShade="D9"/>
            <w:noWrap/>
            <w:vAlign w:val="center"/>
            <w:hideMark/>
          </w:tcPr>
          <w:p w14:paraId="7408BC3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4.7</w:t>
            </w:r>
          </w:p>
        </w:tc>
        <w:tc>
          <w:tcPr>
            <w:tcW w:w="584" w:type="dxa"/>
            <w:shd w:val="clear" w:color="auto" w:fill="D9D9D9" w:themeFill="accent6" w:themeFillShade="D9"/>
            <w:noWrap/>
            <w:vAlign w:val="center"/>
            <w:hideMark/>
          </w:tcPr>
          <w:p w14:paraId="0E2A6F1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0.3</w:t>
            </w:r>
          </w:p>
        </w:tc>
        <w:tc>
          <w:tcPr>
            <w:tcW w:w="583" w:type="dxa"/>
            <w:shd w:val="clear" w:color="auto" w:fill="D9D9D9" w:themeFill="accent6" w:themeFillShade="D9"/>
            <w:noWrap/>
            <w:vAlign w:val="center"/>
            <w:hideMark/>
          </w:tcPr>
          <w:p w14:paraId="0CF493C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D9D9D9" w:themeFill="accent6" w:themeFillShade="D9"/>
            <w:noWrap/>
            <w:vAlign w:val="center"/>
            <w:hideMark/>
          </w:tcPr>
          <w:p w14:paraId="1DD7267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3" w:type="dxa"/>
            <w:shd w:val="clear" w:color="auto" w:fill="D9D9D9" w:themeFill="accent6" w:themeFillShade="D9"/>
            <w:noWrap/>
            <w:vAlign w:val="center"/>
            <w:hideMark/>
          </w:tcPr>
          <w:p w14:paraId="61EC95C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w:t>
            </w:r>
          </w:p>
        </w:tc>
        <w:tc>
          <w:tcPr>
            <w:tcW w:w="583" w:type="dxa"/>
            <w:shd w:val="clear" w:color="auto" w:fill="D9D9D9" w:themeFill="accent6" w:themeFillShade="D9"/>
            <w:noWrap/>
            <w:vAlign w:val="center"/>
            <w:hideMark/>
          </w:tcPr>
          <w:p w14:paraId="4C39C8C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FD7846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D9D9D9" w:themeFill="accent6" w:themeFillShade="D9"/>
            <w:noWrap/>
            <w:vAlign w:val="center"/>
            <w:hideMark/>
          </w:tcPr>
          <w:p w14:paraId="6A00548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29B71CA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1.1009</w:t>
            </w:r>
          </w:p>
        </w:tc>
        <w:tc>
          <w:tcPr>
            <w:tcW w:w="1384" w:type="dxa"/>
            <w:shd w:val="clear" w:color="auto" w:fill="D9D9D9" w:themeFill="accent6" w:themeFillShade="D9"/>
            <w:noWrap/>
            <w:vAlign w:val="center"/>
            <w:hideMark/>
          </w:tcPr>
          <w:p w14:paraId="70D2FE3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w:t>
            </w:r>
          </w:p>
        </w:tc>
        <w:tc>
          <w:tcPr>
            <w:tcW w:w="945" w:type="dxa"/>
            <w:shd w:val="clear" w:color="auto" w:fill="D9D9D9" w:themeFill="accent6" w:themeFillShade="D9"/>
            <w:noWrap/>
            <w:vAlign w:val="center"/>
            <w:hideMark/>
          </w:tcPr>
          <w:p w14:paraId="696EA19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w:t>
            </w:r>
          </w:p>
        </w:tc>
      </w:tr>
      <w:tr w:rsidR="00D82B81" w:rsidRPr="005B639E" w14:paraId="0470F38A" w14:textId="77777777" w:rsidTr="00F45F2F">
        <w:trPr>
          <w:trHeight w:val="245"/>
          <w:jc w:val="center"/>
        </w:trPr>
        <w:tc>
          <w:tcPr>
            <w:tcW w:w="1129" w:type="dxa"/>
            <w:vMerge/>
            <w:vAlign w:val="center"/>
            <w:hideMark/>
          </w:tcPr>
          <w:p w14:paraId="5D4B1348"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242F8D3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4F4A666E"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auto"/>
            <w:noWrap/>
            <w:vAlign w:val="center"/>
            <w:hideMark/>
          </w:tcPr>
          <w:p w14:paraId="74485AC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6D090A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A4A9F1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BC67E0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8DD239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6AA298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w:t>
            </w:r>
          </w:p>
        </w:tc>
        <w:tc>
          <w:tcPr>
            <w:tcW w:w="584" w:type="dxa"/>
            <w:shd w:val="clear" w:color="auto" w:fill="auto"/>
            <w:noWrap/>
            <w:vAlign w:val="center"/>
            <w:hideMark/>
          </w:tcPr>
          <w:p w14:paraId="6906D35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0.3</w:t>
            </w:r>
          </w:p>
        </w:tc>
        <w:tc>
          <w:tcPr>
            <w:tcW w:w="583" w:type="dxa"/>
            <w:shd w:val="clear" w:color="auto" w:fill="auto"/>
            <w:noWrap/>
            <w:vAlign w:val="center"/>
            <w:hideMark/>
          </w:tcPr>
          <w:p w14:paraId="45E6812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3" w:type="dxa"/>
            <w:shd w:val="clear" w:color="auto" w:fill="auto"/>
            <w:noWrap/>
            <w:vAlign w:val="center"/>
            <w:hideMark/>
          </w:tcPr>
          <w:p w14:paraId="36F599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7001FF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AD626A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496E20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5B697025"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77001A5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4.1379</w:t>
            </w:r>
          </w:p>
        </w:tc>
        <w:tc>
          <w:tcPr>
            <w:tcW w:w="1384" w:type="dxa"/>
            <w:shd w:val="clear" w:color="auto" w:fill="auto"/>
            <w:noWrap/>
            <w:vAlign w:val="center"/>
            <w:hideMark/>
          </w:tcPr>
          <w:p w14:paraId="5A00B40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945" w:type="dxa"/>
            <w:shd w:val="clear" w:color="auto" w:fill="auto"/>
            <w:noWrap/>
            <w:vAlign w:val="center"/>
            <w:hideMark/>
          </w:tcPr>
          <w:p w14:paraId="68078B1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543F41E2" w14:textId="77777777" w:rsidTr="00023508">
        <w:trPr>
          <w:trHeight w:val="245"/>
          <w:jc w:val="center"/>
        </w:trPr>
        <w:tc>
          <w:tcPr>
            <w:tcW w:w="1129" w:type="dxa"/>
            <w:vMerge/>
            <w:vAlign w:val="center"/>
            <w:hideMark/>
          </w:tcPr>
          <w:p w14:paraId="7C3BAF59"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noWrap/>
            <w:vAlign w:val="center"/>
            <w:hideMark/>
          </w:tcPr>
          <w:p w14:paraId="18C2EEB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Functional gain</w:t>
            </w:r>
          </w:p>
        </w:tc>
        <w:tc>
          <w:tcPr>
            <w:tcW w:w="891" w:type="dxa"/>
            <w:shd w:val="clear" w:color="auto" w:fill="D9D9D9" w:themeFill="accent6" w:themeFillShade="D9"/>
            <w:noWrap/>
            <w:vAlign w:val="center"/>
            <w:hideMark/>
          </w:tcPr>
          <w:p w14:paraId="094C5586"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D9D9D9" w:themeFill="accent6" w:themeFillShade="D9"/>
            <w:noWrap/>
            <w:vAlign w:val="center"/>
            <w:hideMark/>
          </w:tcPr>
          <w:p w14:paraId="507998E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3" w:type="dxa"/>
            <w:shd w:val="clear" w:color="auto" w:fill="D9D9D9" w:themeFill="accent6" w:themeFillShade="D9"/>
            <w:noWrap/>
            <w:vAlign w:val="center"/>
            <w:hideMark/>
          </w:tcPr>
          <w:p w14:paraId="63EB714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w:t>
            </w:r>
          </w:p>
        </w:tc>
        <w:tc>
          <w:tcPr>
            <w:tcW w:w="583" w:type="dxa"/>
            <w:shd w:val="clear" w:color="auto" w:fill="D9D9D9" w:themeFill="accent6" w:themeFillShade="D9"/>
            <w:noWrap/>
            <w:vAlign w:val="center"/>
            <w:hideMark/>
          </w:tcPr>
          <w:p w14:paraId="5A65230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4FCCD6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15FF14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w:t>
            </w:r>
          </w:p>
        </w:tc>
        <w:tc>
          <w:tcPr>
            <w:tcW w:w="583" w:type="dxa"/>
            <w:shd w:val="clear" w:color="auto" w:fill="D9D9D9" w:themeFill="accent6" w:themeFillShade="D9"/>
            <w:noWrap/>
            <w:vAlign w:val="center"/>
            <w:hideMark/>
          </w:tcPr>
          <w:p w14:paraId="78B8387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4" w:type="dxa"/>
            <w:shd w:val="clear" w:color="auto" w:fill="D9D9D9" w:themeFill="accent6" w:themeFillShade="D9"/>
            <w:noWrap/>
            <w:vAlign w:val="center"/>
            <w:hideMark/>
          </w:tcPr>
          <w:p w14:paraId="4E5BEB6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3.1</w:t>
            </w:r>
          </w:p>
        </w:tc>
        <w:tc>
          <w:tcPr>
            <w:tcW w:w="583" w:type="dxa"/>
            <w:shd w:val="clear" w:color="auto" w:fill="D9D9D9" w:themeFill="accent6" w:themeFillShade="D9"/>
            <w:noWrap/>
            <w:vAlign w:val="center"/>
            <w:hideMark/>
          </w:tcPr>
          <w:p w14:paraId="3761A54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583" w:type="dxa"/>
            <w:shd w:val="clear" w:color="auto" w:fill="D9D9D9" w:themeFill="accent6" w:themeFillShade="D9"/>
            <w:noWrap/>
            <w:vAlign w:val="center"/>
            <w:hideMark/>
          </w:tcPr>
          <w:p w14:paraId="380F7C9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3.9</w:t>
            </w:r>
          </w:p>
        </w:tc>
        <w:tc>
          <w:tcPr>
            <w:tcW w:w="583" w:type="dxa"/>
            <w:shd w:val="clear" w:color="auto" w:fill="D9D9D9" w:themeFill="accent6" w:themeFillShade="D9"/>
            <w:noWrap/>
            <w:vAlign w:val="center"/>
            <w:hideMark/>
          </w:tcPr>
          <w:p w14:paraId="452BDC9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3.5</w:t>
            </w:r>
          </w:p>
        </w:tc>
        <w:tc>
          <w:tcPr>
            <w:tcW w:w="583" w:type="dxa"/>
            <w:shd w:val="clear" w:color="auto" w:fill="D9D9D9" w:themeFill="accent6" w:themeFillShade="D9"/>
            <w:noWrap/>
            <w:vAlign w:val="center"/>
            <w:hideMark/>
          </w:tcPr>
          <w:p w14:paraId="3EB9582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776BF5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2.6</w:t>
            </w:r>
          </w:p>
        </w:tc>
        <w:tc>
          <w:tcPr>
            <w:tcW w:w="584" w:type="dxa"/>
            <w:shd w:val="clear" w:color="auto" w:fill="D9D9D9" w:themeFill="accent6" w:themeFillShade="D9"/>
            <w:noWrap/>
            <w:vAlign w:val="center"/>
            <w:hideMark/>
          </w:tcPr>
          <w:p w14:paraId="5196F57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1559" w:type="dxa"/>
            <w:shd w:val="clear" w:color="auto" w:fill="D9D9D9" w:themeFill="accent6" w:themeFillShade="D9"/>
            <w:noWrap/>
            <w:vAlign w:val="center"/>
            <w:hideMark/>
          </w:tcPr>
          <w:p w14:paraId="275300E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0.6190</w:t>
            </w:r>
          </w:p>
        </w:tc>
        <w:tc>
          <w:tcPr>
            <w:tcW w:w="1384" w:type="dxa"/>
            <w:shd w:val="clear" w:color="auto" w:fill="D9D9D9" w:themeFill="accent6" w:themeFillShade="D9"/>
            <w:noWrap/>
            <w:vAlign w:val="center"/>
            <w:hideMark/>
          </w:tcPr>
          <w:p w14:paraId="3655E29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19</w:t>
            </w:r>
          </w:p>
        </w:tc>
        <w:tc>
          <w:tcPr>
            <w:tcW w:w="945" w:type="dxa"/>
            <w:shd w:val="clear" w:color="auto" w:fill="D9D9D9" w:themeFill="accent6" w:themeFillShade="D9"/>
            <w:noWrap/>
            <w:vAlign w:val="center"/>
            <w:hideMark/>
          </w:tcPr>
          <w:p w14:paraId="17E200A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11CB8730" w14:textId="77777777" w:rsidTr="00F45F2F">
        <w:trPr>
          <w:trHeight w:val="245"/>
          <w:jc w:val="center"/>
        </w:trPr>
        <w:tc>
          <w:tcPr>
            <w:tcW w:w="1129" w:type="dxa"/>
            <w:vMerge/>
            <w:vAlign w:val="center"/>
            <w:hideMark/>
          </w:tcPr>
          <w:p w14:paraId="19CF5EA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43702269"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3FE4F0E2"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auto"/>
            <w:noWrap/>
            <w:vAlign w:val="center"/>
            <w:hideMark/>
          </w:tcPr>
          <w:p w14:paraId="4CF9E6A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A12FC6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56A8DF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3D4B7D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3.9</w:t>
            </w:r>
          </w:p>
        </w:tc>
        <w:tc>
          <w:tcPr>
            <w:tcW w:w="583" w:type="dxa"/>
            <w:shd w:val="clear" w:color="auto" w:fill="auto"/>
            <w:noWrap/>
            <w:vAlign w:val="center"/>
            <w:hideMark/>
          </w:tcPr>
          <w:p w14:paraId="229E542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auto"/>
            <w:noWrap/>
            <w:vAlign w:val="center"/>
            <w:hideMark/>
          </w:tcPr>
          <w:p w14:paraId="2F1039B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5.3</w:t>
            </w:r>
          </w:p>
        </w:tc>
        <w:tc>
          <w:tcPr>
            <w:tcW w:w="584" w:type="dxa"/>
            <w:shd w:val="clear" w:color="auto" w:fill="auto"/>
            <w:noWrap/>
            <w:vAlign w:val="center"/>
            <w:hideMark/>
          </w:tcPr>
          <w:p w14:paraId="1C82BC2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E79177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686B86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0.2</w:t>
            </w:r>
          </w:p>
        </w:tc>
        <w:tc>
          <w:tcPr>
            <w:tcW w:w="583" w:type="dxa"/>
            <w:shd w:val="clear" w:color="auto" w:fill="auto"/>
            <w:noWrap/>
            <w:vAlign w:val="center"/>
            <w:hideMark/>
          </w:tcPr>
          <w:p w14:paraId="595E194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2.7</w:t>
            </w:r>
          </w:p>
        </w:tc>
        <w:tc>
          <w:tcPr>
            <w:tcW w:w="583" w:type="dxa"/>
            <w:shd w:val="clear" w:color="auto" w:fill="auto"/>
            <w:noWrap/>
            <w:vAlign w:val="center"/>
            <w:hideMark/>
          </w:tcPr>
          <w:p w14:paraId="09FC469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2E2C85C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7D15710B"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3A9EAAF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0.8759</w:t>
            </w:r>
          </w:p>
        </w:tc>
        <w:tc>
          <w:tcPr>
            <w:tcW w:w="1384" w:type="dxa"/>
            <w:shd w:val="clear" w:color="auto" w:fill="auto"/>
            <w:noWrap/>
            <w:vAlign w:val="center"/>
            <w:hideMark/>
          </w:tcPr>
          <w:p w14:paraId="74114B7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9</w:t>
            </w:r>
          </w:p>
        </w:tc>
        <w:tc>
          <w:tcPr>
            <w:tcW w:w="945" w:type="dxa"/>
            <w:shd w:val="clear" w:color="auto" w:fill="auto"/>
            <w:noWrap/>
            <w:vAlign w:val="center"/>
            <w:hideMark/>
          </w:tcPr>
          <w:p w14:paraId="568A46D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w:t>
            </w:r>
          </w:p>
        </w:tc>
      </w:tr>
      <w:tr w:rsidR="00B02FA5" w:rsidRPr="005B639E" w14:paraId="3D15E38B" w14:textId="77777777" w:rsidTr="00023508">
        <w:trPr>
          <w:trHeight w:val="245"/>
          <w:jc w:val="center"/>
        </w:trPr>
        <w:tc>
          <w:tcPr>
            <w:tcW w:w="1129" w:type="dxa"/>
            <w:vMerge/>
            <w:vAlign w:val="center"/>
            <w:hideMark/>
          </w:tcPr>
          <w:p w14:paraId="480DE5F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583B66E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79E6AA24"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D9D9D9" w:themeFill="accent6" w:themeFillShade="D9"/>
            <w:noWrap/>
            <w:vAlign w:val="center"/>
            <w:hideMark/>
          </w:tcPr>
          <w:p w14:paraId="211A103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FEC6EB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C6105F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w:t>
            </w:r>
          </w:p>
        </w:tc>
        <w:tc>
          <w:tcPr>
            <w:tcW w:w="583" w:type="dxa"/>
            <w:shd w:val="clear" w:color="auto" w:fill="D9D9D9" w:themeFill="accent6" w:themeFillShade="D9"/>
            <w:noWrap/>
            <w:vAlign w:val="center"/>
            <w:hideMark/>
          </w:tcPr>
          <w:p w14:paraId="212E2B9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34B4AC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A805EA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5.1</w:t>
            </w:r>
          </w:p>
        </w:tc>
        <w:tc>
          <w:tcPr>
            <w:tcW w:w="584" w:type="dxa"/>
            <w:shd w:val="clear" w:color="auto" w:fill="D9D9D9" w:themeFill="accent6" w:themeFillShade="D9"/>
            <w:noWrap/>
            <w:vAlign w:val="center"/>
            <w:hideMark/>
          </w:tcPr>
          <w:p w14:paraId="29BB120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0.3</w:t>
            </w:r>
          </w:p>
        </w:tc>
        <w:tc>
          <w:tcPr>
            <w:tcW w:w="583" w:type="dxa"/>
            <w:shd w:val="clear" w:color="auto" w:fill="D9D9D9" w:themeFill="accent6" w:themeFillShade="D9"/>
            <w:noWrap/>
            <w:vAlign w:val="center"/>
            <w:hideMark/>
          </w:tcPr>
          <w:p w14:paraId="08AF17F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w:t>
            </w:r>
          </w:p>
        </w:tc>
        <w:tc>
          <w:tcPr>
            <w:tcW w:w="583" w:type="dxa"/>
            <w:shd w:val="clear" w:color="auto" w:fill="D9D9D9" w:themeFill="accent6" w:themeFillShade="D9"/>
            <w:noWrap/>
            <w:vAlign w:val="center"/>
            <w:hideMark/>
          </w:tcPr>
          <w:p w14:paraId="403749E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41A0CD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66B4E4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D9D9D9" w:themeFill="accent6" w:themeFillShade="D9"/>
            <w:noWrap/>
            <w:vAlign w:val="center"/>
            <w:hideMark/>
          </w:tcPr>
          <w:p w14:paraId="2DA5C54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w:t>
            </w:r>
          </w:p>
        </w:tc>
        <w:tc>
          <w:tcPr>
            <w:tcW w:w="584" w:type="dxa"/>
            <w:shd w:val="clear" w:color="auto" w:fill="D9D9D9" w:themeFill="accent6" w:themeFillShade="D9"/>
            <w:noWrap/>
            <w:vAlign w:val="center"/>
            <w:hideMark/>
          </w:tcPr>
          <w:p w14:paraId="4B8E9221"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3788EB8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1.1215</w:t>
            </w:r>
          </w:p>
        </w:tc>
        <w:tc>
          <w:tcPr>
            <w:tcW w:w="1384" w:type="dxa"/>
            <w:shd w:val="clear" w:color="auto" w:fill="D9D9D9" w:themeFill="accent6" w:themeFillShade="D9"/>
            <w:noWrap/>
            <w:vAlign w:val="center"/>
            <w:hideMark/>
          </w:tcPr>
          <w:p w14:paraId="1AC1923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7</w:t>
            </w:r>
          </w:p>
        </w:tc>
        <w:tc>
          <w:tcPr>
            <w:tcW w:w="945" w:type="dxa"/>
            <w:shd w:val="clear" w:color="auto" w:fill="D9D9D9" w:themeFill="accent6" w:themeFillShade="D9"/>
            <w:noWrap/>
            <w:vAlign w:val="center"/>
            <w:hideMark/>
          </w:tcPr>
          <w:p w14:paraId="0F11E89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2E0347EF" w14:textId="77777777" w:rsidTr="00F45F2F">
        <w:trPr>
          <w:trHeight w:val="245"/>
          <w:jc w:val="center"/>
        </w:trPr>
        <w:tc>
          <w:tcPr>
            <w:tcW w:w="1129" w:type="dxa"/>
            <w:vMerge/>
            <w:vAlign w:val="center"/>
            <w:hideMark/>
          </w:tcPr>
          <w:p w14:paraId="0BC725CA"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noWrap/>
            <w:vAlign w:val="center"/>
            <w:hideMark/>
          </w:tcPr>
          <w:p w14:paraId="7201652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Intensive extended</w:t>
            </w:r>
          </w:p>
        </w:tc>
        <w:tc>
          <w:tcPr>
            <w:tcW w:w="891" w:type="dxa"/>
            <w:shd w:val="clear" w:color="auto" w:fill="auto"/>
            <w:noWrap/>
            <w:vAlign w:val="center"/>
            <w:hideMark/>
          </w:tcPr>
          <w:p w14:paraId="3A91D6BE"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auto"/>
            <w:noWrap/>
            <w:vAlign w:val="center"/>
            <w:hideMark/>
          </w:tcPr>
          <w:p w14:paraId="07E8079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0.3</w:t>
            </w:r>
          </w:p>
        </w:tc>
        <w:tc>
          <w:tcPr>
            <w:tcW w:w="583" w:type="dxa"/>
            <w:shd w:val="clear" w:color="auto" w:fill="auto"/>
            <w:noWrap/>
            <w:vAlign w:val="center"/>
            <w:hideMark/>
          </w:tcPr>
          <w:p w14:paraId="6B774FF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w:t>
            </w:r>
          </w:p>
        </w:tc>
        <w:tc>
          <w:tcPr>
            <w:tcW w:w="583" w:type="dxa"/>
            <w:shd w:val="clear" w:color="auto" w:fill="auto"/>
            <w:noWrap/>
            <w:vAlign w:val="center"/>
            <w:hideMark/>
          </w:tcPr>
          <w:p w14:paraId="5B44A8F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4125ED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3" w:type="dxa"/>
            <w:shd w:val="clear" w:color="auto" w:fill="auto"/>
            <w:noWrap/>
            <w:vAlign w:val="center"/>
            <w:hideMark/>
          </w:tcPr>
          <w:p w14:paraId="7FCD8C3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3" w:type="dxa"/>
            <w:shd w:val="clear" w:color="auto" w:fill="auto"/>
            <w:noWrap/>
            <w:vAlign w:val="center"/>
            <w:hideMark/>
          </w:tcPr>
          <w:p w14:paraId="0B89DF1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w:t>
            </w:r>
          </w:p>
        </w:tc>
        <w:tc>
          <w:tcPr>
            <w:tcW w:w="584" w:type="dxa"/>
            <w:shd w:val="clear" w:color="auto" w:fill="auto"/>
            <w:noWrap/>
            <w:vAlign w:val="center"/>
            <w:hideMark/>
          </w:tcPr>
          <w:p w14:paraId="43407AF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w:t>
            </w:r>
          </w:p>
        </w:tc>
        <w:tc>
          <w:tcPr>
            <w:tcW w:w="583" w:type="dxa"/>
            <w:shd w:val="clear" w:color="auto" w:fill="auto"/>
            <w:noWrap/>
            <w:vAlign w:val="center"/>
            <w:hideMark/>
          </w:tcPr>
          <w:p w14:paraId="1BB9B75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EBA354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w:t>
            </w:r>
          </w:p>
        </w:tc>
        <w:tc>
          <w:tcPr>
            <w:tcW w:w="583" w:type="dxa"/>
            <w:shd w:val="clear" w:color="auto" w:fill="auto"/>
            <w:noWrap/>
            <w:vAlign w:val="center"/>
            <w:hideMark/>
          </w:tcPr>
          <w:p w14:paraId="089ACDF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2.8</w:t>
            </w:r>
          </w:p>
        </w:tc>
        <w:tc>
          <w:tcPr>
            <w:tcW w:w="583" w:type="dxa"/>
            <w:shd w:val="clear" w:color="auto" w:fill="auto"/>
            <w:noWrap/>
            <w:vAlign w:val="center"/>
            <w:hideMark/>
          </w:tcPr>
          <w:p w14:paraId="35DD640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9529FA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2.5</w:t>
            </w:r>
          </w:p>
        </w:tc>
        <w:tc>
          <w:tcPr>
            <w:tcW w:w="584" w:type="dxa"/>
            <w:shd w:val="clear" w:color="auto" w:fill="auto"/>
            <w:noWrap/>
            <w:vAlign w:val="center"/>
            <w:hideMark/>
          </w:tcPr>
          <w:p w14:paraId="41C3BE5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1559" w:type="dxa"/>
            <w:shd w:val="clear" w:color="auto" w:fill="auto"/>
            <w:noWrap/>
            <w:vAlign w:val="center"/>
            <w:hideMark/>
          </w:tcPr>
          <w:p w14:paraId="0D69959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0.7692</w:t>
            </w:r>
          </w:p>
        </w:tc>
        <w:tc>
          <w:tcPr>
            <w:tcW w:w="1384" w:type="dxa"/>
            <w:shd w:val="clear" w:color="auto" w:fill="auto"/>
            <w:noWrap/>
            <w:vAlign w:val="center"/>
            <w:hideMark/>
          </w:tcPr>
          <w:p w14:paraId="269CFCC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w:t>
            </w:r>
          </w:p>
        </w:tc>
        <w:tc>
          <w:tcPr>
            <w:tcW w:w="945" w:type="dxa"/>
            <w:shd w:val="clear" w:color="auto" w:fill="auto"/>
            <w:noWrap/>
            <w:vAlign w:val="center"/>
            <w:hideMark/>
          </w:tcPr>
          <w:p w14:paraId="6F9B25B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30D2A5A4" w14:textId="77777777" w:rsidTr="00023508">
        <w:trPr>
          <w:trHeight w:val="245"/>
          <w:jc w:val="center"/>
        </w:trPr>
        <w:tc>
          <w:tcPr>
            <w:tcW w:w="1129" w:type="dxa"/>
            <w:vMerge/>
            <w:vAlign w:val="center"/>
            <w:hideMark/>
          </w:tcPr>
          <w:p w14:paraId="4EEB5CF0"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3659371C"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17A3F16F"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D9D9D9" w:themeFill="accent6" w:themeFillShade="D9"/>
            <w:noWrap/>
            <w:vAlign w:val="center"/>
            <w:hideMark/>
          </w:tcPr>
          <w:p w14:paraId="0771F50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39D124B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77A7C4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0.5</w:t>
            </w:r>
          </w:p>
        </w:tc>
        <w:tc>
          <w:tcPr>
            <w:tcW w:w="583" w:type="dxa"/>
            <w:shd w:val="clear" w:color="auto" w:fill="D9D9D9" w:themeFill="accent6" w:themeFillShade="D9"/>
            <w:noWrap/>
            <w:vAlign w:val="center"/>
            <w:hideMark/>
          </w:tcPr>
          <w:p w14:paraId="20FDF2E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3.7</w:t>
            </w:r>
          </w:p>
        </w:tc>
        <w:tc>
          <w:tcPr>
            <w:tcW w:w="583" w:type="dxa"/>
            <w:shd w:val="clear" w:color="auto" w:fill="D9D9D9" w:themeFill="accent6" w:themeFillShade="D9"/>
            <w:noWrap/>
            <w:vAlign w:val="center"/>
            <w:hideMark/>
          </w:tcPr>
          <w:p w14:paraId="495B61B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583" w:type="dxa"/>
            <w:shd w:val="clear" w:color="auto" w:fill="D9D9D9" w:themeFill="accent6" w:themeFillShade="D9"/>
            <w:noWrap/>
            <w:vAlign w:val="center"/>
            <w:hideMark/>
          </w:tcPr>
          <w:p w14:paraId="51C0FB0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4.3</w:t>
            </w:r>
          </w:p>
        </w:tc>
        <w:tc>
          <w:tcPr>
            <w:tcW w:w="584" w:type="dxa"/>
            <w:shd w:val="clear" w:color="auto" w:fill="D9D9D9" w:themeFill="accent6" w:themeFillShade="D9"/>
            <w:noWrap/>
            <w:vAlign w:val="center"/>
            <w:hideMark/>
          </w:tcPr>
          <w:p w14:paraId="736C23C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6A62F8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07A804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D9D9D9" w:themeFill="accent6" w:themeFillShade="D9"/>
            <w:noWrap/>
            <w:vAlign w:val="center"/>
            <w:hideMark/>
          </w:tcPr>
          <w:p w14:paraId="7698C22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3.9</w:t>
            </w:r>
          </w:p>
        </w:tc>
        <w:tc>
          <w:tcPr>
            <w:tcW w:w="583" w:type="dxa"/>
            <w:shd w:val="clear" w:color="auto" w:fill="D9D9D9" w:themeFill="accent6" w:themeFillShade="D9"/>
            <w:noWrap/>
            <w:vAlign w:val="center"/>
            <w:hideMark/>
          </w:tcPr>
          <w:p w14:paraId="5D5DCE4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2C04DE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D9D9D9" w:themeFill="accent6" w:themeFillShade="D9"/>
            <w:noWrap/>
            <w:vAlign w:val="center"/>
            <w:hideMark/>
          </w:tcPr>
          <w:p w14:paraId="56790F9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7D575C0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0.7947</w:t>
            </w:r>
          </w:p>
        </w:tc>
        <w:tc>
          <w:tcPr>
            <w:tcW w:w="1384" w:type="dxa"/>
            <w:shd w:val="clear" w:color="auto" w:fill="D9D9D9" w:themeFill="accent6" w:themeFillShade="D9"/>
            <w:noWrap/>
            <w:vAlign w:val="center"/>
            <w:hideMark/>
          </w:tcPr>
          <w:p w14:paraId="1B7292B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w:t>
            </w:r>
          </w:p>
        </w:tc>
        <w:tc>
          <w:tcPr>
            <w:tcW w:w="945" w:type="dxa"/>
            <w:shd w:val="clear" w:color="auto" w:fill="D9D9D9" w:themeFill="accent6" w:themeFillShade="D9"/>
            <w:noWrap/>
            <w:vAlign w:val="center"/>
            <w:hideMark/>
          </w:tcPr>
          <w:p w14:paraId="15747C5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9</w:t>
            </w:r>
          </w:p>
        </w:tc>
      </w:tr>
      <w:tr w:rsidR="00D82B81" w:rsidRPr="005B639E" w14:paraId="55E7A00F" w14:textId="77777777" w:rsidTr="00F45F2F">
        <w:trPr>
          <w:trHeight w:val="245"/>
          <w:jc w:val="center"/>
        </w:trPr>
        <w:tc>
          <w:tcPr>
            <w:tcW w:w="1129" w:type="dxa"/>
            <w:vMerge/>
            <w:vAlign w:val="center"/>
            <w:hideMark/>
          </w:tcPr>
          <w:p w14:paraId="1C295979"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795A491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17B2611B"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auto"/>
            <w:noWrap/>
            <w:vAlign w:val="center"/>
            <w:hideMark/>
          </w:tcPr>
          <w:p w14:paraId="3143FE6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882CA9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CA21C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w:t>
            </w:r>
          </w:p>
        </w:tc>
        <w:tc>
          <w:tcPr>
            <w:tcW w:w="583" w:type="dxa"/>
            <w:shd w:val="clear" w:color="auto" w:fill="auto"/>
            <w:noWrap/>
            <w:vAlign w:val="center"/>
            <w:hideMark/>
          </w:tcPr>
          <w:p w14:paraId="221DF6B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728E33A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545F71F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5.8</w:t>
            </w:r>
          </w:p>
        </w:tc>
        <w:tc>
          <w:tcPr>
            <w:tcW w:w="584" w:type="dxa"/>
            <w:shd w:val="clear" w:color="auto" w:fill="auto"/>
            <w:noWrap/>
            <w:vAlign w:val="center"/>
            <w:hideMark/>
          </w:tcPr>
          <w:p w14:paraId="6CA3FFD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3" w:type="dxa"/>
            <w:shd w:val="clear" w:color="auto" w:fill="auto"/>
            <w:noWrap/>
            <w:vAlign w:val="center"/>
            <w:hideMark/>
          </w:tcPr>
          <w:p w14:paraId="6A9B0FF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1.7</w:t>
            </w:r>
          </w:p>
        </w:tc>
        <w:tc>
          <w:tcPr>
            <w:tcW w:w="583" w:type="dxa"/>
            <w:shd w:val="clear" w:color="auto" w:fill="auto"/>
            <w:noWrap/>
            <w:vAlign w:val="center"/>
            <w:hideMark/>
          </w:tcPr>
          <w:p w14:paraId="59C0FC9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w:t>
            </w:r>
          </w:p>
        </w:tc>
        <w:tc>
          <w:tcPr>
            <w:tcW w:w="583" w:type="dxa"/>
            <w:shd w:val="clear" w:color="auto" w:fill="auto"/>
            <w:noWrap/>
            <w:vAlign w:val="center"/>
            <w:hideMark/>
          </w:tcPr>
          <w:p w14:paraId="5BA799C7"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7C34E7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w:t>
            </w:r>
          </w:p>
        </w:tc>
        <w:tc>
          <w:tcPr>
            <w:tcW w:w="583" w:type="dxa"/>
            <w:shd w:val="clear" w:color="auto" w:fill="auto"/>
            <w:noWrap/>
            <w:vAlign w:val="center"/>
            <w:hideMark/>
          </w:tcPr>
          <w:p w14:paraId="2AA6300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448C6B1B"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59F5D55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0.8333</w:t>
            </w:r>
          </w:p>
        </w:tc>
        <w:tc>
          <w:tcPr>
            <w:tcW w:w="1384" w:type="dxa"/>
            <w:shd w:val="clear" w:color="auto" w:fill="auto"/>
            <w:noWrap/>
            <w:vAlign w:val="center"/>
            <w:hideMark/>
          </w:tcPr>
          <w:p w14:paraId="4706E92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945" w:type="dxa"/>
            <w:shd w:val="clear" w:color="auto" w:fill="auto"/>
            <w:noWrap/>
            <w:vAlign w:val="center"/>
            <w:hideMark/>
          </w:tcPr>
          <w:p w14:paraId="6F2ABED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B02FA5" w:rsidRPr="005B639E" w14:paraId="64128FA1" w14:textId="77777777" w:rsidTr="00023508">
        <w:trPr>
          <w:trHeight w:val="245"/>
          <w:jc w:val="center"/>
        </w:trPr>
        <w:tc>
          <w:tcPr>
            <w:tcW w:w="1129" w:type="dxa"/>
            <w:vMerge/>
            <w:vAlign w:val="center"/>
            <w:hideMark/>
          </w:tcPr>
          <w:p w14:paraId="31F43F95"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restart"/>
            <w:shd w:val="clear" w:color="auto" w:fill="auto"/>
            <w:vAlign w:val="center"/>
            <w:hideMark/>
          </w:tcPr>
          <w:p w14:paraId="023812B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Consolidating gain</w:t>
            </w:r>
          </w:p>
        </w:tc>
        <w:tc>
          <w:tcPr>
            <w:tcW w:w="891" w:type="dxa"/>
            <w:shd w:val="clear" w:color="auto" w:fill="D9D9D9" w:themeFill="accent6" w:themeFillShade="D9"/>
            <w:noWrap/>
            <w:vAlign w:val="center"/>
            <w:hideMark/>
          </w:tcPr>
          <w:p w14:paraId="3C31E8CB"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0-17</w:t>
            </w:r>
          </w:p>
        </w:tc>
        <w:tc>
          <w:tcPr>
            <w:tcW w:w="583" w:type="dxa"/>
            <w:shd w:val="clear" w:color="auto" w:fill="D9D9D9" w:themeFill="accent6" w:themeFillShade="D9"/>
            <w:noWrap/>
            <w:vAlign w:val="center"/>
            <w:hideMark/>
          </w:tcPr>
          <w:p w14:paraId="61BC7B1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6CA9C1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5D3C2F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7EAC9E1"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0.9</w:t>
            </w:r>
          </w:p>
        </w:tc>
        <w:tc>
          <w:tcPr>
            <w:tcW w:w="583" w:type="dxa"/>
            <w:shd w:val="clear" w:color="auto" w:fill="D9D9D9" w:themeFill="accent6" w:themeFillShade="D9"/>
            <w:noWrap/>
            <w:vAlign w:val="center"/>
            <w:hideMark/>
          </w:tcPr>
          <w:p w14:paraId="654FA24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3" w:type="dxa"/>
            <w:shd w:val="clear" w:color="auto" w:fill="D9D9D9" w:themeFill="accent6" w:themeFillShade="D9"/>
            <w:noWrap/>
            <w:vAlign w:val="center"/>
            <w:hideMark/>
          </w:tcPr>
          <w:p w14:paraId="3B10E94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w:t>
            </w:r>
          </w:p>
        </w:tc>
        <w:tc>
          <w:tcPr>
            <w:tcW w:w="584" w:type="dxa"/>
            <w:shd w:val="clear" w:color="auto" w:fill="D9D9D9" w:themeFill="accent6" w:themeFillShade="D9"/>
            <w:noWrap/>
            <w:vAlign w:val="center"/>
            <w:hideMark/>
          </w:tcPr>
          <w:p w14:paraId="12D1920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583" w:type="dxa"/>
            <w:shd w:val="clear" w:color="auto" w:fill="D9D9D9" w:themeFill="accent6" w:themeFillShade="D9"/>
            <w:noWrap/>
            <w:vAlign w:val="center"/>
            <w:hideMark/>
          </w:tcPr>
          <w:p w14:paraId="0CDBAC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267071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2587D16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1.7</w:t>
            </w:r>
          </w:p>
        </w:tc>
        <w:tc>
          <w:tcPr>
            <w:tcW w:w="583" w:type="dxa"/>
            <w:shd w:val="clear" w:color="auto" w:fill="D9D9D9" w:themeFill="accent6" w:themeFillShade="D9"/>
            <w:noWrap/>
            <w:vAlign w:val="center"/>
            <w:hideMark/>
          </w:tcPr>
          <w:p w14:paraId="667A14C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47C938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4" w:type="dxa"/>
            <w:shd w:val="clear" w:color="auto" w:fill="D9D9D9" w:themeFill="accent6" w:themeFillShade="D9"/>
            <w:noWrap/>
            <w:vAlign w:val="center"/>
            <w:hideMark/>
          </w:tcPr>
          <w:p w14:paraId="6A355FF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0.4</w:t>
            </w:r>
          </w:p>
        </w:tc>
        <w:tc>
          <w:tcPr>
            <w:tcW w:w="1559" w:type="dxa"/>
            <w:shd w:val="clear" w:color="auto" w:fill="D9D9D9" w:themeFill="accent6" w:themeFillShade="D9"/>
            <w:noWrap/>
            <w:vAlign w:val="center"/>
            <w:hideMark/>
          </w:tcPr>
          <w:p w14:paraId="1CAF552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2.1311</w:t>
            </w:r>
          </w:p>
        </w:tc>
        <w:tc>
          <w:tcPr>
            <w:tcW w:w="1384" w:type="dxa"/>
            <w:shd w:val="clear" w:color="auto" w:fill="D9D9D9" w:themeFill="accent6" w:themeFillShade="D9"/>
            <w:noWrap/>
            <w:vAlign w:val="center"/>
            <w:hideMark/>
          </w:tcPr>
          <w:p w14:paraId="0D63A65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15</w:t>
            </w:r>
          </w:p>
        </w:tc>
        <w:tc>
          <w:tcPr>
            <w:tcW w:w="945" w:type="dxa"/>
            <w:shd w:val="clear" w:color="auto" w:fill="D9D9D9" w:themeFill="accent6" w:themeFillShade="D9"/>
            <w:noWrap/>
            <w:vAlign w:val="center"/>
            <w:hideMark/>
          </w:tcPr>
          <w:p w14:paraId="42F24A2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r w:rsidR="00D82B81" w:rsidRPr="005B639E" w14:paraId="20EAF973" w14:textId="77777777" w:rsidTr="00F45F2F">
        <w:trPr>
          <w:trHeight w:val="245"/>
          <w:jc w:val="center"/>
        </w:trPr>
        <w:tc>
          <w:tcPr>
            <w:tcW w:w="1129" w:type="dxa"/>
            <w:vMerge/>
            <w:vAlign w:val="center"/>
            <w:hideMark/>
          </w:tcPr>
          <w:p w14:paraId="371D03CF"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6F27DA6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auto"/>
            <w:noWrap/>
            <w:vAlign w:val="center"/>
            <w:hideMark/>
          </w:tcPr>
          <w:p w14:paraId="66F1FF06"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18-64</w:t>
            </w:r>
          </w:p>
        </w:tc>
        <w:tc>
          <w:tcPr>
            <w:tcW w:w="583" w:type="dxa"/>
            <w:shd w:val="clear" w:color="auto" w:fill="auto"/>
            <w:noWrap/>
            <w:vAlign w:val="center"/>
            <w:hideMark/>
          </w:tcPr>
          <w:p w14:paraId="6CD17B2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B6E1ED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AA22D9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0ABBF3F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3.4</w:t>
            </w:r>
          </w:p>
        </w:tc>
        <w:tc>
          <w:tcPr>
            <w:tcW w:w="583" w:type="dxa"/>
            <w:shd w:val="clear" w:color="auto" w:fill="auto"/>
            <w:noWrap/>
            <w:vAlign w:val="center"/>
            <w:hideMark/>
          </w:tcPr>
          <w:p w14:paraId="678C0D9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0.7</w:t>
            </w:r>
          </w:p>
        </w:tc>
        <w:tc>
          <w:tcPr>
            <w:tcW w:w="583" w:type="dxa"/>
            <w:shd w:val="clear" w:color="auto" w:fill="auto"/>
            <w:noWrap/>
            <w:vAlign w:val="center"/>
            <w:hideMark/>
          </w:tcPr>
          <w:p w14:paraId="02F2748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3.3</w:t>
            </w:r>
          </w:p>
        </w:tc>
        <w:tc>
          <w:tcPr>
            <w:tcW w:w="584" w:type="dxa"/>
            <w:shd w:val="clear" w:color="auto" w:fill="auto"/>
            <w:noWrap/>
            <w:vAlign w:val="center"/>
            <w:hideMark/>
          </w:tcPr>
          <w:p w14:paraId="2A6C7578"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1DE3590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35DC647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63074F7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0.6</w:t>
            </w:r>
          </w:p>
        </w:tc>
        <w:tc>
          <w:tcPr>
            <w:tcW w:w="583" w:type="dxa"/>
            <w:shd w:val="clear" w:color="auto" w:fill="auto"/>
            <w:noWrap/>
            <w:vAlign w:val="center"/>
            <w:hideMark/>
          </w:tcPr>
          <w:p w14:paraId="2A81974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auto"/>
            <w:noWrap/>
            <w:vAlign w:val="center"/>
            <w:hideMark/>
          </w:tcPr>
          <w:p w14:paraId="4896287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auto"/>
            <w:noWrap/>
            <w:vAlign w:val="center"/>
            <w:hideMark/>
          </w:tcPr>
          <w:p w14:paraId="439BE9C6"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auto"/>
            <w:noWrap/>
            <w:vAlign w:val="center"/>
            <w:hideMark/>
          </w:tcPr>
          <w:p w14:paraId="4F642AC5"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1.3636</w:t>
            </w:r>
          </w:p>
        </w:tc>
        <w:tc>
          <w:tcPr>
            <w:tcW w:w="1384" w:type="dxa"/>
            <w:shd w:val="clear" w:color="auto" w:fill="auto"/>
            <w:noWrap/>
            <w:vAlign w:val="center"/>
            <w:hideMark/>
          </w:tcPr>
          <w:p w14:paraId="50C9993D"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w:t>
            </w:r>
          </w:p>
        </w:tc>
        <w:tc>
          <w:tcPr>
            <w:tcW w:w="945" w:type="dxa"/>
            <w:shd w:val="clear" w:color="auto" w:fill="auto"/>
            <w:noWrap/>
            <w:vAlign w:val="center"/>
            <w:hideMark/>
          </w:tcPr>
          <w:p w14:paraId="6108928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7</w:t>
            </w:r>
          </w:p>
        </w:tc>
      </w:tr>
      <w:tr w:rsidR="00B02FA5" w:rsidRPr="005B639E" w14:paraId="55A4EAA4" w14:textId="77777777" w:rsidTr="00023508">
        <w:trPr>
          <w:trHeight w:val="245"/>
          <w:jc w:val="center"/>
        </w:trPr>
        <w:tc>
          <w:tcPr>
            <w:tcW w:w="1129" w:type="dxa"/>
            <w:vMerge/>
            <w:vAlign w:val="center"/>
            <w:hideMark/>
          </w:tcPr>
          <w:p w14:paraId="71707C87"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457" w:type="dxa"/>
            <w:vMerge/>
            <w:vAlign w:val="center"/>
            <w:hideMark/>
          </w:tcPr>
          <w:p w14:paraId="03663963"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891" w:type="dxa"/>
            <w:shd w:val="clear" w:color="auto" w:fill="D9D9D9" w:themeFill="accent6" w:themeFillShade="D9"/>
            <w:noWrap/>
            <w:vAlign w:val="center"/>
            <w:hideMark/>
          </w:tcPr>
          <w:p w14:paraId="03B445A3" w14:textId="77777777" w:rsidR="00D82B81" w:rsidRPr="005B639E" w:rsidRDefault="00D82B81" w:rsidP="00891A02">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65+</w:t>
            </w:r>
          </w:p>
        </w:tc>
        <w:tc>
          <w:tcPr>
            <w:tcW w:w="583" w:type="dxa"/>
            <w:shd w:val="clear" w:color="auto" w:fill="D9D9D9" w:themeFill="accent6" w:themeFillShade="D9"/>
            <w:noWrap/>
            <w:vAlign w:val="center"/>
            <w:hideMark/>
          </w:tcPr>
          <w:p w14:paraId="35E03A4F"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629B619"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393BCF46"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468B8360"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713BD6A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1FA6001C"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4.9</w:t>
            </w:r>
          </w:p>
        </w:tc>
        <w:tc>
          <w:tcPr>
            <w:tcW w:w="584" w:type="dxa"/>
            <w:shd w:val="clear" w:color="auto" w:fill="D9D9D9" w:themeFill="accent6" w:themeFillShade="D9"/>
            <w:noWrap/>
            <w:vAlign w:val="center"/>
            <w:hideMark/>
          </w:tcPr>
          <w:p w14:paraId="3E5F045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5E376DF4"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F820163"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097BDAFB"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3" w:type="dxa"/>
            <w:shd w:val="clear" w:color="auto" w:fill="D9D9D9" w:themeFill="accent6" w:themeFillShade="D9"/>
            <w:noWrap/>
            <w:vAlign w:val="center"/>
            <w:hideMark/>
          </w:tcPr>
          <w:p w14:paraId="6F8C828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w:t>
            </w:r>
          </w:p>
        </w:tc>
        <w:tc>
          <w:tcPr>
            <w:tcW w:w="583" w:type="dxa"/>
            <w:shd w:val="clear" w:color="auto" w:fill="D9D9D9" w:themeFill="accent6" w:themeFillShade="D9"/>
            <w:noWrap/>
            <w:vAlign w:val="center"/>
            <w:hideMark/>
          </w:tcPr>
          <w:p w14:paraId="7C779F5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0.1</w:t>
            </w:r>
          </w:p>
        </w:tc>
        <w:tc>
          <w:tcPr>
            <w:tcW w:w="584" w:type="dxa"/>
            <w:shd w:val="clear" w:color="auto" w:fill="D9D9D9" w:themeFill="accent6" w:themeFillShade="D9"/>
            <w:noWrap/>
            <w:vAlign w:val="center"/>
            <w:hideMark/>
          </w:tcPr>
          <w:p w14:paraId="142814C9" w14:textId="77777777" w:rsidR="00D82B81" w:rsidRPr="005B639E" w:rsidRDefault="00D82B81" w:rsidP="00F45F2F">
            <w:pPr>
              <w:spacing w:after="0" w:line="240" w:lineRule="auto"/>
              <w:jc w:val="center"/>
              <w:rPr>
                <w:rFonts w:eastAsia="Times New Roman" w:cs="Arial"/>
                <w:color w:val="000000"/>
                <w:sz w:val="16"/>
                <w:szCs w:val="16"/>
                <w:lang w:eastAsia="en-AU"/>
              </w:rPr>
            </w:pPr>
          </w:p>
        </w:tc>
        <w:tc>
          <w:tcPr>
            <w:tcW w:w="1559" w:type="dxa"/>
            <w:shd w:val="clear" w:color="auto" w:fill="D9D9D9" w:themeFill="accent6" w:themeFillShade="D9"/>
            <w:noWrap/>
            <w:vAlign w:val="center"/>
            <w:hideMark/>
          </w:tcPr>
          <w:p w14:paraId="60B23092"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1.6438</w:t>
            </w:r>
          </w:p>
        </w:tc>
        <w:tc>
          <w:tcPr>
            <w:tcW w:w="1384" w:type="dxa"/>
            <w:shd w:val="clear" w:color="auto" w:fill="D9D9D9" w:themeFill="accent6" w:themeFillShade="D9"/>
            <w:noWrap/>
            <w:vAlign w:val="center"/>
            <w:hideMark/>
          </w:tcPr>
          <w:p w14:paraId="2EFE2ACE"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8</w:t>
            </w:r>
          </w:p>
        </w:tc>
        <w:tc>
          <w:tcPr>
            <w:tcW w:w="945" w:type="dxa"/>
            <w:shd w:val="clear" w:color="auto" w:fill="D9D9D9" w:themeFill="accent6" w:themeFillShade="D9"/>
            <w:noWrap/>
            <w:vAlign w:val="center"/>
            <w:hideMark/>
          </w:tcPr>
          <w:p w14:paraId="67BCEB8A" w14:textId="77777777" w:rsidR="00D82B81" w:rsidRPr="005B639E" w:rsidRDefault="00D82B81" w:rsidP="00F45F2F">
            <w:pPr>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w:t>
            </w:r>
          </w:p>
        </w:tc>
      </w:tr>
    </w:tbl>
    <w:p w14:paraId="5B2125EC" w14:textId="5961A3C4" w:rsidR="00F43B0F" w:rsidRDefault="00F43B0F" w:rsidP="00F43B0F">
      <w:pPr>
        <w:pStyle w:val="Heading1"/>
      </w:pPr>
      <w:bookmarkStart w:id="157" w:name="_Toc152277121"/>
      <w:bookmarkStart w:id="158" w:name="_Toc152312743"/>
      <w:bookmarkStart w:id="159" w:name="_Toc153371617"/>
      <w:r>
        <w:lastRenderedPageBreak/>
        <w:t xml:space="preserve">Appendix </w:t>
      </w:r>
      <w:r w:rsidR="00177AE4">
        <w:t>E</w:t>
      </w:r>
      <w:r>
        <w:t>: Record breakdown by end class for AMHCC V1.0 and AMHCC V1.1</w:t>
      </w:r>
      <w:bookmarkEnd w:id="157"/>
      <w:bookmarkEnd w:id="158"/>
      <w:bookmarkEnd w:id="159"/>
    </w:p>
    <w:p w14:paraId="21B8C473" w14:textId="6157FE53" w:rsidR="00F43B0F" w:rsidRDefault="00F43B0F" w:rsidP="00F43B0F">
      <w:r w:rsidRPr="00FC0BEC">
        <w:rPr>
          <w:b/>
          <w:bCs/>
        </w:rPr>
        <w:t>T</w:t>
      </w:r>
      <w:r w:rsidR="0045432A" w:rsidRPr="00FC0BEC">
        <w:rPr>
          <w:b/>
          <w:bCs/>
        </w:rPr>
        <w:t>able 1</w:t>
      </w:r>
      <w:r w:rsidR="00037196" w:rsidRPr="00FC0BEC">
        <w:rPr>
          <w:b/>
          <w:bCs/>
        </w:rPr>
        <w:t>3</w:t>
      </w:r>
      <w:r w:rsidR="0045432A">
        <w:t xml:space="preserve"> </w:t>
      </w:r>
      <w:r>
        <w:t>provides a breakdown of the three-year data set</w:t>
      </w:r>
      <w:r w:rsidR="0045432A">
        <w:t xml:space="preserve"> (2018</w:t>
      </w:r>
      <w:r w:rsidR="0045432A" w:rsidRPr="1922062C">
        <w:rPr>
          <w:rFonts w:cs="Arial"/>
          <w:color w:val="auto"/>
        </w:rPr>
        <w:t>–</w:t>
      </w:r>
      <w:r w:rsidR="0045432A">
        <w:t>19 to 2020</w:t>
      </w:r>
      <w:r w:rsidR="0045432A" w:rsidRPr="1922062C">
        <w:rPr>
          <w:rFonts w:cs="Arial"/>
          <w:color w:val="auto"/>
        </w:rPr>
        <w:t>–</w:t>
      </w:r>
      <w:r w:rsidR="0045432A">
        <w:t>21)</w:t>
      </w:r>
      <w:r>
        <w:t>, showing the movement of records across end classes between AMHCC V1.0 and AMHCC V1.1. It a</w:t>
      </w:r>
      <w:r w:rsidR="0045432A">
        <w:t>dditionally</w:t>
      </w:r>
      <w:r>
        <w:t xml:space="preserve"> provides the average phase cost by end class for the two AMHCC versions.</w:t>
      </w:r>
    </w:p>
    <w:p w14:paraId="485530F7" w14:textId="77777777" w:rsidR="00F43B0F" w:rsidRDefault="00F43B0F" w:rsidP="00F43B0F">
      <w:r>
        <w:t>Positive values for “Raw Change” and “% Change” indicate that more records have moved into than out of that end class in the transition from AMHCC V1.0 to AMHCC V1.1. Negative values for “Raw Change” and “% Change” indicate that more records have moved out of than into that end class in the transition from AMHCC V1.0 to AMHCC V1.1.</w:t>
      </w:r>
    </w:p>
    <w:p w14:paraId="07444E9F" w14:textId="07C4A0DB" w:rsidR="00F43B0F" w:rsidRDefault="0045432A" w:rsidP="00F43B0F">
      <w:r w:rsidRPr="00FC0BEC">
        <w:rPr>
          <w:b/>
          <w:bCs/>
        </w:rPr>
        <w:t>Table 1</w:t>
      </w:r>
      <w:r w:rsidR="00037196" w:rsidRPr="00FC0BEC">
        <w:rPr>
          <w:b/>
          <w:bCs/>
        </w:rPr>
        <w:t>3</w:t>
      </w:r>
      <w:r w:rsidR="00F43B0F">
        <w:t xml:space="preserve"> excludes the end classes for Unknown </w:t>
      </w:r>
      <w:proofErr w:type="spellStart"/>
      <w:r w:rsidR="00F43B0F">
        <w:t>MHPoC</w:t>
      </w:r>
      <w:proofErr w:type="spellEnd"/>
      <w:r w:rsidR="00F43B0F">
        <w:t xml:space="preserve"> and Assessment Only as no phases will move into or out of these end classes in the transition between AMHCC V1.0 and AMHCC V1.1.</w:t>
      </w:r>
    </w:p>
    <w:p w14:paraId="5A2990DD" w14:textId="3D7B1618" w:rsidR="00F43B0F" w:rsidRDefault="00F43B0F" w:rsidP="00F43B0F">
      <w:r>
        <w:t xml:space="preserve">Under AMHCC V1.1, the 141Z </w:t>
      </w:r>
      <w:r w:rsidR="0045432A">
        <w:t xml:space="preserve">end </w:t>
      </w:r>
      <w:r>
        <w:t xml:space="preserve">class captures all records in the Admitted, Consolidating gain phase, age 0-17 years. In practice, most of these records would have Unknown </w:t>
      </w:r>
      <w:proofErr w:type="spellStart"/>
      <w:r>
        <w:t>HoNOS</w:t>
      </w:r>
      <w:proofErr w:type="spellEnd"/>
      <w:r>
        <w:t xml:space="preserve"> and therefore, the impact of the proposed classification update has been displayed against the 'Unknown </w:t>
      </w:r>
      <w:proofErr w:type="spellStart"/>
      <w:r>
        <w:t>HoNOS</w:t>
      </w:r>
      <w:proofErr w:type="spellEnd"/>
      <w:r>
        <w:t>' class.</w:t>
      </w:r>
    </w:p>
    <w:p w14:paraId="398208FA" w14:textId="1D5B97D9" w:rsidR="00F43B0F" w:rsidRDefault="00F43B0F" w:rsidP="00F43B0F">
      <w:pPr>
        <w:pStyle w:val="TableFigureheading"/>
      </w:pPr>
      <w:r w:rsidRPr="1922062C">
        <w:rPr>
          <w:rFonts w:eastAsia="Times New Roman"/>
        </w:rPr>
        <w:t xml:space="preserve">Table </w:t>
      </w:r>
      <w:r>
        <w:rPr>
          <w:rFonts w:eastAsia="Times New Roman"/>
        </w:rPr>
        <w:t>1</w:t>
      </w:r>
      <w:r w:rsidR="00037196">
        <w:rPr>
          <w:rFonts w:eastAsia="Times New Roman"/>
        </w:rPr>
        <w:t>3</w:t>
      </w:r>
      <w:r w:rsidRPr="1922062C">
        <w:rPr>
          <w:rFonts w:eastAsia="Times New Roman"/>
        </w:rPr>
        <w:t xml:space="preserve">. Record breakdown by end class for AMHCC </w:t>
      </w:r>
      <w:r>
        <w:rPr>
          <w:rFonts w:eastAsia="Times New Roman"/>
        </w:rPr>
        <w:t>V1</w:t>
      </w:r>
      <w:r w:rsidRPr="1922062C">
        <w:rPr>
          <w:rFonts w:eastAsia="Times New Roman"/>
        </w:rPr>
        <w:t xml:space="preserve">.0 and AMHCC </w:t>
      </w:r>
      <w:r>
        <w:rPr>
          <w:rFonts w:eastAsia="Times New Roman"/>
        </w:rPr>
        <w:t>V1</w:t>
      </w:r>
      <w:r w:rsidRPr="1922062C">
        <w:rPr>
          <w:rFonts w:eastAsia="Times New Roman"/>
        </w:rPr>
        <w:t>.1</w:t>
      </w:r>
    </w:p>
    <w:p w14:paraId="55D15CD6" w14:textId="5BE36E95" w:rsidR="00065E09" w:rsidRDefault="00065E09" w:rsidP="00514394">
      <w:pPr>
        <w:spacing w:after="0"/>
      </w:pPr>
    </w:p>
    <w:tbl>
      <w:tblPr>
        <w:tblW w:w="0" w:type="auto"/>
        <w:tblInd w:w="-5" w:type="dxa"/>
        <w:tblLayout w:type="fixed"/>
        <w:tblLook w:val="04A0" w:firstRow="1" w:lastRow="0" w:firstColumn="1" w:lastColumn="0" w:noHBand="0" w:noVBand="1"/>
      </w:tblPr>
      <w:tblGrid>
        <w:gridCol w:w="685"/>
        <w:gridCol w:w="7957"/>
        <w:gridCol w:w="851"/>
        <w:gridCol w:w="850"/>
        <w:gridCol w:w="851"/>
        <w:gridCol w:w="850"/>
        <w:gridCol w:w="992"/>
        <w:gridCol w:w="917"/>
      </w:tblGrid>
      <w:tr w:rsidR="00065E09" w:rsidRPr="007015B1" w14:paraId="36BF4EAA" w14:textId="77777777" w:rsidTr="1922062C">
        <w:trPr>
          <w:trHeight w:val="280"/>
          <w:tblHeader/>
        </w:trPr>
        <w:tc>
          <w:tcPr>
            <w:tcW w:w="685"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D021E5B" w14:textId="3EBA631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lastRenderedPageBreak/>
              <w:t>Class</w:t>
            </w:r>
          </w:p>
        </w:tc>
        <w:tc>
          <w:tcPr>
            <w:tcW w:w="7957"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25534707"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Description</w:t>
            </w:r>
          </w:p>
        </w:tc>
        <w:tc>
          <w:tcPr>
            <w:tcW w:w="3402" w:type="dxa"/>
            <w:gridSpan w:val="4"/>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06D89357"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Number of records</w:t>
            </w:r>
          </w:p>
        </w:tc>
        <w:tc>
          <w:tcPr>
            <w:tcW w:w="1909" w:type="dxa"/>
            <w:gridSpan w:val="2"/>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3D992222"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Average cost</w:t>
            </w:r>
          </w:p>
        </w:tc>
      </w:tr>
      <w:tr w:rsidR="00065E09" w:rsidRPr="007015B1" w14:paraId="71F6DC3C" w14:textId="77777777" w:rsidTr="00BD78D3">
        <w:trPr>
          <w:trHeight w:val="433"/>
        </w:trPr>
        <w:tc>
          <w:tcPr>
            <w:tcW w:w="685" w:type="dxa"/>
            <w:vMerge/>
            <w:tcBorders>
              <w:top w:val="single" w:sz="4" w:space="0" w:color="auto"/>
              <w:left w:val="single" w:sz="4" w:space="0" w:color="auto"/>
              <w:bottom w:val="single" w:sz="4" w:space="0" w:color="auto"/>
              <w:right w:val="single" w:sz="4" w:space="0" w:color="auto"/>
            </w:tcBorders>
            <w:vAlign w:val="center"/>
            <w:hideMark/>
          </w:tcPr>
          <w:p w14:paraId="6439A134"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p>
        </w:tc>
        <w:tc>
          <w:tcPr>
            <w:tcW w:w="7957" w:type="dxa"/>
            <w:vMerge/>
            <w:tcBorders>
              <w:top w:val="single" w:sz="4" w:space="0" w:color="auto"/>
              <w:left w:val="single" w:sz="4" w:space="0" w:color="auto"/>
              <w:bottom w:val="single" w:sz="4" w:space="0" w:color="auto"/>
            </w:tcBorders>
            <w:vAlign w:val="center"/>
            <w:hideMark/>
          </w:tcPr>
          <w:p w14:paraId="11EA32BE"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60A9573F"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AMHCC V1.0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B84FCE1"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AMHCC V1.1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17E61A49"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Raw Change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718B0E20"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 Change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7EA9D6E2"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AMHCC V1.0</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4A5A6A5"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r w:rsidRPr="1922062C">
              <w:rPr>
                <w:rFonts w:eastAsia="Times New Roman" w:cs="Arial"/>
                <w:b/>
                <w:bCs/>
                <w:color w:val="FFFFFF" w:themeColor="accent6"/>
                <w:sz w:val="16"/>
                <w:szCs w:val="16"/>
              </w:rPr>
              <w:t>AMHCC V1.1</w:t>
            </w:r>
          </w:p>
        </w:tc>
      </w:tr>
      <w:tr w:rsidR="00065E09" w:rsidRPr="007015B1" w14:paraId="15FEA97D" w14:textId="77777777" w:rsidTr="00BD78D3">
        <w:trPr>
          <w:trHeight w:val="433"/>
        </w:trPr>
        <w:tc>
          <w:tcPr>
            <w:tcW w:w="685" w:type="dxa"/>
            <w:vMerge/>
            <w:tcBorders>
              <w:top w:val="single" w:sz="4" w:space="0" w:color="auto"/>
              <w:left w:val="single" w:sz="4" w:space="0" w:color="auto"/>
              <w:bottom w:val="single" w:sz="4" w:space="0" w:color="auto"/>
              <w:right w:val="single" w:sz="4" w:space="0" w:color="auto"/>
            </w:tcBorders>
            <w:vAlign w:val="center"/>
            <w:hideMark/>
          </w:tcPr>
          <w:p w14:paraId="266BD0E6"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p>
        </w:tc>
        <w:tc>
          <w:tcPr>
            <w:tcW w:w="7957" w:type="dxa"/>
            <w:vMerge/>
            <w:tcBorders>
              <w:top w:val="single" w:sz="4" w:space="0" w:color="auto"/>
              <w:left w:val="single" w:sz="4" w:space="0" w:color="auto"/>
              <w:bottom w:val="single" w:sz="4" w:space="0" w:color="auto"/>
              <w:right w:val="single" w:sz="4" w:space="0" w:color="auto"/>
            </w:tcBorders>
            <w:vAlign w:val="center"/>
            <w:hideMark/>
          </w:tcPr>
          <w:p w14:paraId="1139DF00" w14:textId="77777777" w:rsidR="00065E09" w:rsidRPr="007015B1" w:rsidRDefault="00065E09" w:rsidP="00B53673">
            <w:pPr>
              <w:keepNext/>
              <w:keepLines/>
              <w:spacing w:after="0" w:line="240" w:lineRule="auto"/>
              <w:jc w:val="center"/>
              <w:rPr>
                <w:rFonts w:eastAsia="Times New Roman" w:cs="Arial"/>
                <w:b/>
                <w:bCs/>
                <w:color w:val="FFFFFF"/>
                <w:sz w:val="16"/>
                <w:szCs w:val="16"/>
                <w:lang w:eastAsia="en-A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2CB580"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3BD9AC"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1A8428"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4CE94A"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9EB858"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0612B036" w14:textId="77777777" w:rsidR="00065E09" w:rsidRPr="007015B1" w:rsidRDefault="00065E09" w:rsidP="00F45F2F">
            <w:pPr>
              <w:keepNext/>
              <w:keepLines/>
              <w:spacing w:after="0" w:line="240" w:lineRule="auto"/>
              <w:jc w:val="center"/>
              <w:rPr>
                <w:rFonts w:eastAsia="Times New Roman" w:cs="Arial"/>
                <w:b/>
                <w:bCs/>
                <w:color w:val="FFFFFF"/>
                <w:sz w:val="16"/>
                <w:szCs w:val="16"/>
                <w:lang w:eastAsia="en-AU"/>
              </w:rPr>
            </w:pPr>
          </w:p>
        </w:tc>
      </w:tr>
      <w:tr w:rsidR="00065E09" w:rsidRPr="007015B1" w14:paraId="3C3F7E95" w14:textId="77777777" w:rsidTr="00BD78D3">
        <w:trPr>
          <w:trHeight w:val="28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8D7C8"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111A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F669"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40C036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5,255</w:t>
            </w:r>
          </w:p>
        </w:tc>
        <w:tc>
          <w:tcPr>
            <w:tcW w:w="850" w:type="dxa"/>
            <w:tcBorders>
              <w:top w:val="single" w:sz="4" w:space="0" w:color="auto"/>
              <w:left w:val="nil"/>
              <w:bottom w:val="single" w:sz="4" w:space="0" w:color="auto"/>
              <w:right w:val="nil"/>
            </w:tcBorders>
            <w:shd w:val="clear" w:color="auto" w:fill="auto"/>
            <w:noWrap/>
            <w:vAlign w:val="center"/>
            <w:hideMark/>
          </w:tcPr>
          <w:p w14:paraId="2BEC01A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1,675</w:t>
            </w:r>
          </w:p>
        </w:tc>
        <w:tc>
          <w:tcPr>
            <w:tcW w:w="851" w:type="dxa"/>
            <w:tcBorders>
              <w:top w:val="single" w:sz="4" w:space="0" w:color="auto"/>
              <w:left w:val="nil"/>
              <w:bottom w:val="single" w:sz="4" w:space="0" w:color="auto"/>
              <w:right w:val="nil"/>
            </w:tcBorders>
            <w:shd w:val="clear" w:color="auto" w:fill="auto"/>
            <w:noWrap/>
            <w:vAlign w:val="center"/>
            <w:hideMark/>
          </w:tcPr>
          <w:p w14:paraId="18083F1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-3,580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68D33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-68%</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37A81A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$20,328</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4DCC936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$32,391</w:t>
            </w:r>
          </w:p>
        </w:tc>
      </w:tr>
      <w:tr w:rsidR="00065E09" w:rsidRPr="007015B1" w14:paraId="781F8603" w14:textId="77777777" w:rsidTr="1922062C">
        <w:trPr>
          <w:trHeight w:val="280"/>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DB6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111B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86D2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8E1869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4,616</w:t>
            </w:r>
          </w:p>
        </w:tc>
        <w:tc>
          <w:tcPr>
            <w:tcW w:w="850" w:type="dxa"/>
            <w:tcBorders>
              <w:top w:val="single" w:sz="4" w:space="0" w:color="auto"/>
              <w:left w:val="nil"/>
              <w:bottom w:val="single" w:sz="4" w:space="0" w:color="auto"/>
              <w:right w:val="nil"/>
            </w:tcBorders>
            <w:shd w:val="clear" w:color="auto" w:fill="auto"/>
            <w:noWrap/>
            <w:vAlign w:val="center"/>
            <w:hideMark/>
          </w:tcPr>
          <w:p w14:paraId="1EF5BCA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9,109</w:t>
            </w:r>
          </w:p>
        </w:tc>
        <w:tc>
          <w:tcPr>
            <w:tcW w:w="851" w:type="dxa"/>
            <w:tcBorders>
              <w:top w:val="single" w:sz="4" w:space="0" w:color="auto"/>
              <w:left w:val="nil"/>
              <w:bottom w:val="single" w:sz="4" w:space="0" w:color="auto"/>
              <w:right w:val="nil"/>
            </w:tcBorders>
            <w:shd w:val="clear" w:color="auto" w:fill="auto"/>
            <w:noWrap/>
            <w:vAlign w:val="center"/>
            <w:hideMark/>
          </w:tcPr>
          <w:p w14:paraId="545426E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4,493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65D8B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97%</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D36D78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$18,291</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4BF7AFC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$16,791</w:t>
            </w:r>
          </w:p>
        </w:tc>
      </w:tr>
      <w:tr w:rsidR="00065E09" w:rsidRPr="007015B1" w14:paraId="4A86F514"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6C6512AE"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111Z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A8522"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922672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4,324</w:t>
            </w:r>
          </w:p>
        </w:tc>
        <w:tc>
          <w:tcPr>
            <w:tcW w:w="850" w:type="dxa"/>
            <w:tcBorders>
              <w:top w:val="single" w:sz="4" w:space="0" w:color="auto"/>
              <w:left w:val="nil"/>
              <w:bottom w:val="single" w:sz="4" w:space="0" w:color="auto"/>
              <w:right w:val="nil"/>
            </w:tcBorders>
            <w:shd w:val="clear" w:color="auto" w:fill="auto"/>
            <w:noWrap/>
            <w:vAlign w:val="center"/>
            <w:hideMark/>
          </w:tcPr>
          <w:p w14:paraId="67DC427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3,411</w:t>
            </w:r>
          </w:p>
        </w:tc>
        <w:tc>
          <w:tcPr>
            <w:tcW w:w="851" w:type="dxa"/>
            <w:tcBorders>
              <w:top w:val="single" w:sz="4" w:space="0" w:color="auto"/>
              <w:left w:val="nil"/>
              <w:bottom w:val="single" w:sz="4" w:space="0" w:color="auto"/>
              <w:right w:val="nil"/>
            </w:tcBorders>
            <w:shd w:val="clear" w:color="auto" w:fill="auto"/>
            <w:noWrap/>
            <w:vAlign w:val="center"/>
            <w:hideMark/>
          </w:tcPr>
          <w:p w14:paraId="07EEE6B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-913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169EC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w:t>
            </w:r>
          </w:p>
        </w:tc>
        <w:tc>
          <w:tcPr>
            <w:tcW w:w="992" w:type="dxa"/>
            <w:tcBorders>
              <w:top w:val="nil"/>
              <w:left w:val="single" w:sz="4" w:space="0" w:color="auto"/>
              <w:bottom w:val="single" w:sz="4" w:space="0" w:color="auto"/>
              <w:right w:val="nil"/>
            </w:tcBorders>
            <w:shd w:val="clear" w:color="auto" w:fill="auto"/>
            <w:noWrap/>
            <w:vAlign w:val="center"/>
            <w:hideMark/>
          </w:tcPr>
          <w:p w14:paraId="45D6020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$17,408</w:t>
            </w:r>
          </w:p>
        </w:tc>
        <w:tc>
          <w:tcPr>
            <w:tcW w:w="917" w:type="dxa"/>
            <w:tcBorders>
              <w:top w:val="nil"/>
              <w:left w:val="nil"/>
              <w:bottom w:val="single" w:sz="4" w:space="0" w:color="auto"/>
              <w:right w:val="single" w:sz="4" w:space="0" w:color="auto"/>
            </w:tcBorders>
            <w:shd w:val="clear" w:color="auto" w:fill="auto"/>
            <w:noWrap/>
            <w:vAlign w:val="center"/>
            <w:hideMark/>
          </w:tcPr>
          <w:p w14:paraId="3E186FD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$17,390</w:t>
            </w:r>
          </w:p>
        </w:tc>
      </w:tr>
      <w:tr w:rsidR="00065E09" w:rsidRPr="007015B1" w14:paraId="4333ACE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674CAA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1121A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398FEA1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Involuntary,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115859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41,460</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11B30C5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40,094</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CEDEDB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-1,366</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6EC5DD4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7C6A51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$27,963</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AB7408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$29,545</w:t>
            </w:r>
          </w:p>
        </w:tc>
      </w:tr>
      <w:tr w:rsidR="00065E09" w:rsidRPr="007015B1" w14:paraId="3CE42860"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07DBBD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1121B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29B11D9"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Involuntary,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7208924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28,948</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4DE00BC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40,141</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2730997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11,193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E7BA78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39%</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8D7666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$23,041</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3A7F336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$22,388</w:t>
            </w:r>
          </w:p>
        </w:tc>
      </w:tr>
      <w:tr w:rsidR="00065E09" w:rsidRPr="007015B1" w14:paraId="2B51EDE1"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17EDAD9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1121Z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14283A1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Involuntary,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64A4B5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18,147</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4B393C8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8,320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DD394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-9,827</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68E4B45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8E6FE7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$26,066</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40BCF00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$25,975</w:t>
            </w:r>
          </w:p>
        </w:tc>
      </w:tr>
      <w:tr w:rsidR="00065E09" w:rsidRPr="007015B1" w14:paraId="693B63A0"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11F8B56"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1122A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175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Voluntary,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05A42A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28,131</w:t>
            </w:r>
          </w:p>
        </w:tc>
        <w:tc>
          <w:tcPr>
            <w:tcW w:w="850" w:type="dxa"/>
            <w:tcBorders>
              <w:top w:val="single" w:sz="4" w:space="0" w:color="auto"/>
              <w:left w:val="nil"/>
              <w:bottom w:val="single" w:sz="4" w:space="0" w:color="auto"/>
              <w:right w:val="nil"/>
            </w:tcBorders>
            <w:shd w:val="clear" w:color="auto" w:fill="auto"/>
            <w:noWrap/>
            <w:vAlign w:val="center"/>
            <w:hideMark/>
          </w:tcPr>
          <w:p w14:paraId="41BC977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33,160</w:t>
            </w:r>
          </w:p>
        </w:tc>
        <w:tc>
          <w:tcPr>
            <w:tcW w:w="851" w:type="dxa"/>
            <w:tcBorders>
              <w:top w:val="single" w:sz="4" w:space="0" w:color="auto"/>
              <w:left w:val="nil"/>
              <w:bottom w:val="single" w:sz="4" w:space="0" w:color="auto"/>
              <w:right w:val="nil"/>
            </w:tcBorders>
            <w:shd w:val="clear" w:color="auto" w:fill="auto"/>
            <w:noWrap/>
            <w:vAlign w:val="center"/>
            <w:hideMark/>
          </w:tcPr>
          <w:p w14:paraId="7B0A88C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2F123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w:t>
            </w:r>
          </w:p>
        </w:tc>
        <w:tc>
          <w:tcPr>
            <w:tcW w:w="992" w:type="dxa"/>
            <w:tcBorders>
              <w:top w:val="nil"/>
              <w:left w:val="single" w:sz="4" w:space="0" w:color="auto"/>
              <w:bottom w:val="single" w:sz="4" w:space="0" w:color="auto"/>
              <w:right w:val="nil"/>
            </w:tcBorders>
            <w:shd w:val="clear" w:color="auto" w:fill="auto"/>
            <w:noWrap/>
            <w:vAlign w:val="center"/>
            <w:hideMark/>
          </w:tcPr>
          <w:p w14:paraId="4EDA97A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$14,271</w:t>
            </w:r>
          </w:p>
        </w:tc>
        <w:tc>
          <w:tcPr>
            <w:tcW w:w="917" w:type="dxa"/>
            <w:tcBorders>
              <w:top w:val="nil"/>
              <w:left w:val="nil"/>
              <w:bottom w:val="single" w:sz="4" w:space="0" w:color="auto"/>
              <w:right w:val="single" w:sz="4" w:space="0" w:color="auto"/>
            </w:tcBorders>
            <w:shd w:val="clear" w:color="auto" w:fill="auto"/>
            <w:noWrap/>
            <w:vAlign w:val="center"/>
            <w:hideMark/>
          </w:tcPr>
          <w:p w14:paraId="32F7D88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$15,530</w:t>
            </w:r>
          </w:p>
        </w:tc>
      </w:tr>
      <w:tr w:rsidR="00065E09" w:rsidRPr="007015B1" w14:paraId="3D8EE372"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669D92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1122B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B7EF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Voluntary,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502712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43,067</w:t>
            </w:r>
          </w:p>
        </w:tc>
        <w:tc>
          <w:tcPr>
            <w:tcW w:w="850" w:type="dxa"/>
            <w:tcBorders>
              <w:top w:val="single" w:sz="4" w:space="0" w:color="auto"/>
              <w:left w:val="nil"/>
              <w:bottom w:val="single" w:sz="4" w:space="0" w:color="auto"/>
              <w:right w:val="nil"/>
            </w:tcBorders>
            <w:shd w:val="clear" w:color="auto" w:fill="auto"/>
            <w:noWrap/>
            <w:vAlign w:val="center"/>
            <w:hideMark/>
          </w:tcPr>
          <w:p w14:paraId="09BB60C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44,893</w:t>
            </w:r>
          </w:p>
        </w:tc>
        <w:tc>
          <w:tcPr>
            <w:tcW w:w="851" w:type="dxa"/>
            <w:tcBorders>
              <w:top w:val="single" w:sz="4" w:space="0" w:color="auto"/>
              <w:left w:val="nil"/>
              <w:bottom w:val="single" w:sz="4" w:space="0" w:color="auto"/>
              <w:right w:val="nil"/>
            </w:tcBorders>
            <w:shd w:val="clear" w:color="auto" w:fill="auto"/>
            <w:noWrap/>
            <w:vAlign w:val="center"/>
            <w:hideMark/>
          </w:tcPr>
          <w:p w14:paraId="747B641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BBA4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w:t>
            </w:r>
          </w:p>
        </w:tc>
        <w:tc>
          <w:tcPr>
            <w:tcW w:w="992" w:type="dxa"/>
            <w:tcBorders>
              <w:top w:val="nil"/>
              <w:left w:val="single" w:sz="4" w:space="0" w:color="auto"/>
              <w:bottom w:val="single" w:sz="4" w:space="0" w:color="auto"/>
              <w:right w:val="nil"/>
            </w:tcBorders>
            <w:shd w:val="clear" w:color="auto" w:fill="auto"/>
            <w:noWrap/>
            <w:vAlign w:val="center"/>
            <w:hideMark/>
          </w:tcPr>
          <w:p w14:paraId="05B567A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$12,313</w:t>
            </w:r>
          </w:p>
        </w:tc>
        <w:tc>
          <w:tcPr>
            <w:tcW w:w="917" w:type="dxa"/>
            <w:tcBorders>
              <w:top w:val="nil"/>
              <w:left w:val="nil"/>
              <w:bottom w:val="single" w:sz="4" w:space="0" w:color="auto"/>
              <w:right w:val="single" w:sz="4" w:space="0" w:color="auto"/>
            </w:tcBorders>
            <w:shd w:val="clear" w:color="auto" w:fill="auto"/>
            <w:noWrap/>
            <w:vAlign w:val="center"/>
            <w:hideMark/>
          </w:tcPr>
          <w:p w14:paraId="1B55970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$11,231</w:t>
            </w:r>
          </w:p>
        </w:tc>
      </w:tr>
      <w:tr w:rsidR="00065E09" w:rsidRPr="007015B1" w14:paraId="5DB9D91A"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DB85D57"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1122Z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8CA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18-64 years, Voluntary,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BDE99E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13,663</w:t>
            </w:r>
          </w:p>
        </w:tc>
        <w:tc>
          <w:tcPr>
            <w:tcW w:w="850" w:type="dxa"/>
            <w:tcBorders>
              <w:top w:val="single" w:sz="4" w:space="0" w:color="auto"/>
              <w:left w:val="nil"/>
              <w:bottom w:val="single" w:sz="4" w:space="0" w:color="auto"/>
              <w:right w:val="nil"/>
            </w:tcBorders>
            <w:shd w:val="clear" w:color="auto" w:fill="auto"/>
            <w:noWrap/>
            <w:vAlign w:val="center"/>
            <w:hideMark/>
          </w:tcPr>
          <w:p w14:paraId="15C3BAB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6,808</w:t>
            </w:r>
          </w:p>
        </w:tc>
        <w:tc>
          <w:tcPr>
            <w:tcW w:w="851" w:type="dxa"/>
            <w:tcBorders>
              <w:top w:val="single" w:sz="4" w:space="0" w:color="auto"/>
              <w:left w:val="nil"/>
              <w:bottom w:val="single" w:sz="4" w:space="0" w:color="auto"/>
              <w:right w:val="nil"/>
            </w:tcBorders>
            <w:shd w:val="clear" w:color="auto" w:fill="auto"/>
            <w:noWrap/>
            <w:vAlign w:val="center"/>
            <w:hideMark/>
          </w:tcPr>
          <w:p w14:paraId="10DFD3D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-6,855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CF415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w:t>
            </w:r>
          </w:p>
        </w:tc>
        <w:tc>
          <w:tcPr>
            <w:tcW w:w="992" w:type="dxa"/>
            <w:tcBorders>
              <w:top w:val="nil"/>
              <w:left w:val="single" w:sz="4" w:space="0" w:color="auto"/>
              <w:bottom w:val="single" w:sz="4" w:space="0" w:color="auto"/>
              <w:right w:val="nil"/>
            </w:tcBorders>
            <w:shd w:val="clear" w:color="auto" w:fill="auto"/>
            <w:noWrap/>
            <w:vAlign w:val="center"/>
            <w:hideMark/>
          </w:tcPr>
          <w:p w14:paraId="2B09823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$13,512</w:t>
            </w:r>
          </w:p>
        </w:tc>
        <w:tc>
          <w:tcPr>
            <w:tcW w:w="917" w:type="dxa"/>
            <w:tcBorders>
              <w:top w:val="nil"/>
              <w:left w:val="nil"/>
              <w:bottom w:val="single" w:sz="4" w:space="0" w:color="auto"/>
              <w:right w:val="single" w:sz="4" w:space="0" w:color="auto"/>
            </w:tcBorders>
            <w:shd w:val="clear" w:color="auto" w:fill="auto"/>
            <w:noWrap/>
            <w:vAlign w:val="center"/>
            <w:hideMark/>
          </w:tcPr>
          <w:p w14:paraId="26D53E0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$14,275</w:t>
            </w:r>
          </w:p>
        </w:tc>
      </w:tr>
      <w:tr w:rsidR="00065E09" w:rsidRPr="007015B1" w14:paraId="0C8871DA"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DCAA19F"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113A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1A72F2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5C97FB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5,405</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E35ED1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6,023</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35D67CF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618</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0855DF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17716ED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$46,254</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5B71AB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$49,373</w:t>
            </w:r>
          </w:p>
        </w:tc>
      </w:tr>
      <w:tr w:rsidR="00065E09" w:rsidRPr="007015B1" w14:paraId="1A23570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69847D3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113B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1AC418E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FFBDD5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5,620</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C67056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6,495</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0747469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875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546CDB1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6F1DC3F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$37,794</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63F3C6E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$35,561</w:t>
            </w:r>
          </w:p>
        </w:tc>
      </w:tr>
      <w:tr w:rsidR="00065E09" w:rsidRPr="007015B1" w14:paraId="4F6BBFA1"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8CE74B8"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113Z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3609422"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Acute,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B1F954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4,632</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5AF603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3,139</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40C305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-1,493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42A789B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05A307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$35,091</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0F01B43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$30,774</w:t>
            </w:r>
          </w:p>
        </w:tc>
      </w:tr>
      <w:tr w:rsidR="00065E09" w:rsidRPr="007015B1" w14:paraId="0015838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3A363E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121A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D25C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AE03E5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143</w:t>
            </w:r>
          </w:p>
        </w:tc>
        <w:tc>
          <w:tcPr>
            <w:tcW w:w="850" w:type="dxa"/>
            <w:tcBorders>
              <w:top w:val="single" w:sz="4" w:space="0" w:color="auto"/>
              <w:left w:val="nil"/>
              <w:bottom w:val="single" w:sz="4" w:space="0" w:color="auto"/>
              <w:right w:val="nil"/>
            </w:tcBorders>
            <w:shd w:val="clear" w:color="auto" w:fill="auto"/>
            <w:noWrap/>
            <w:vAlign w:val="center"/>
            <w:hideMark/>
          </w:tcPr>
          <w:p w14:paraId="37C4FFD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68</w:t>
            </w:r>
          </w:p>
        </w:tc>
        <w:tc>
          <w:tcPr>
            <w:tcW w:w="851" w:type="dxa"/>
            <w:tcBorders>
              <w:top w:val="single" w:sz="4" w:space="0" w:color="auto"/>
              <w:left w:val="nil"/>
              <w:bottom w:val="single" w:sz="4" w:space="0" w:color="auto"/>
              <w:right w:val="nil"/>
            </w:tcBorders>
            <w:shd w:val="clear" w:color="auto" w:fill="auto"/>
            <w:noWrap/>
            <w:vAlign w:val="center"/>
            <w:hideMark/>
          </w:tcPr>
          <w:p w14:paraId="1B9728A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006BB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-52%</w:t>
            </w:r>
          </w:p>
        </w:tc>
        <w:tc>
          <w:tcPr>
            <w:tcW w:w="992" w:type="dxa"/>
            <w:tcBorders>
              <w:top w:val="nil"/>
              <w:left w:val="single" w:sz="4" w:space="0" w:color="auto"/>
              <w:bottom w:val="single" w:sz="4" w:space="0" w:color="auto"/>
              <w:right w:val="nil"/>
            </w:tcBorders>
            <w:shd w:val="clear" w:color="auto" w:fill="auto"/>
            <w:noWrap/>
            <w:vAlign w:val="center"/>
            <w:hideMark/>
          </w:tcPr>
          <w:p w14:paraId="582FF58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$31,401</w:t>
            </w:r>
          </w:p>
        </w:tc>
        <w:tc>
          <w:tcPr>
            <w:tcW w:w="917" w:type="dxa"/>
            <w:tcBorders>
              <w:top w:val="nil"/>
              <w:left w:val="nil"/>
              <w:bottom w:val="single" w:sz="4" w:space="0" w:color="auto"/>
              <w:right w:val="single" w:sz="4" w:space="0" w:color="auto"/>
            </w:tcBorders>
            <w:shd w:val="clear" w:color="auto" w:fill="auto"/>
            <w:noWrap/>
            <w:vAlign w:val="center"/>
            <w:hideMark/>
          </w:tcPr>
          <w:p w14:paraId="42EC58C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$38,002</w:t>
            </w:r>
          </w:p>
        </w:tc>
      </w:tr>
      <w:tr w:rsidR="00065E09" w:rsidRPr="007015B1" w14:paraId="65DB13EB"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5462F03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121B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532B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69840D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70</w:t>
            </w:r>
          </w:p>
        </w:tc>
        <w:tc>
          <w:tcPr>
            <w:tcW w:w="850" w:type="dxa"/>
            <w:tcBorders>
              <w:top w:val="single" w:sz="4" w:space="0" w:color="auto"/>
              <w:left w:val="nil"/>
              <w:bottom w:val="single" w:sz="4" w:space="0" w:color="auto"/>
              <w:right w:val="nil"/>
            </w:tcBorders>
            <w:shd w:val="clear" w:color="auto" w:fill="auto"/>
            <w:noWrap/>
            <w:vAlign w:val="center"/>
            <w:hideMark/>
          </w:tcPr>
          <w:p w14:paraId="59FC83B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175</w:t>
            </w:r>
          </w:p>
        </w:tc>
        <w:tc>
          <w:tcPr>
            <w:tcW w:w="851" w:type="dxa"/>
            <w:tcBorders>
              <w:top w:val="single" w:sz="4" w:space="0" w:color="auto"/>
              <w:left w:val="nil"/>
              <w:bottom w:val="single" w:sz="4" w:space="0" w:color="auto"/>
              <w:right w:val="nil"/>
            </w:tcBorders>
            <w:shd w:val="clear" w:color="auto" w:fill="auto"/>
            <w:noWrap/>
            <w:vAlign w:val="center"/>
            <w:hideMark/>
          </w:tcPr>
          <w:p w14:paraId="47552CB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A1354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150%</w:t>
            </w:r>
          </w:p>
        </w:tc>
        <w:tc>
          <w:tcPr>
            <w:tcW w:w="992" w:type="dxa"/>
            <w:tcBorders>
              <w:top w:val="nil"/>
              <w:left w:val="single" w:sz="4" w:space="0" w:color="auto"/>
              <w:bottom w:val="single" w:sz="4" w:space="0" w:color="auto"/>
              <w:right w:val="nil"/>
            </w:tcBorders>
            <w:shd w:val="clear" w:color="auto" w:fill="auto"/>
            <w:noWrap/>
            <w:vAlign w:val="center"/>
            <w:hideMark/>
          </w:tcPr>
          <w:p w14:paraId="2885EBF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$20,796</w:t>
            </w:r>
          </w:p>
        </w:tc>
        <w:tc>
          <w:tcPr>
            <w:tcW w:w="917" w:type="dxa"/>
            <w:tcBorders>
              <w:top w:val="nil"/>
              <w:left w:val="nil"/>
              <w:bottom w:val="single" w:sz="4" w:space="0" w:color="auto"/>
              <w:right w:val="single" w:sz="4" w:space="0" w:color="auto"/>
            </w:tcBorders>
            <w:shd w:val="clear" w:color="auto" w:fill="auto"/>
            <w:noWrap/>
            <w:vAlign w:val="center"/>
            <w:hideMark/>
          </w:tcPr>
          <w:p w14:paraId="34BA304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$23,490</w:t>
            </w:r>
          </w:p>
        </w:tc>
      </w:tr>
      <w:tr w:rsidR="00065E09" w:rsidRPr="007015B1" w14:paraId="7C4FB3B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0980F7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121Z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5193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6F4876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116</w:t>
            </w:r>
          </w:p>
        </w:tc>
        <w:tc>
          <w:tcPr>
            <w:tcW w:w="850" w:type="dxa"/>
            <w:tcBorders>
              <w:top w:val="single" w:sz="4" w:space="0" w:color="auto"/>
              <w:left w:val="nil"/>
              <w:bottom w:val="single" w:sz="4" w:space="0" w:color="auto"/>
              <w:right w:val="nil"/>
            </w:tcBorders>
            <w:shd w:val="clear" w:color="auto" w:fill="auto"/>
            <w:noWrap/>
            <w:vAlign w:val="center"/>
            <w:hideMark/>
          </w:tcPr>
          <w:p w14:paraId="4DFA638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86</w:t>
            </w:r>
          </w:p>
        </w:tc>
        <w:tc>
          <w:tcPr>
            <w:tcW w:w="851" w:type="dxa"/>
            <w:tcBorders>
              <w:top w:val="single" w:sz="4" w:space="0" w:color="auto"/>
              <w:left w:val="nil"/>
              <w:bottom w:val="single" w:sz="4" w:space="0" w:color="auto"/>
              <w:right w:val="nil"/>
            </w:tcBorders>
            <w:shd w:val="clear" w:color="auto" w:fill="auto"/>
            <w:noWrap/>
            <w:vAlign w:val="center"/>
            <w:hideMark/>
          </w:tcPr>
          <w:p w14:paraId="19C8792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DD6B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w:t>
            </w:r>
          </w:p>
        </w:tc>
        <w:tc>
          <w:tcPr>
            <w:tcW w:w="992" w:type="dxa"/>
            <w:tcBorders>
              <w:top w:val="nil"/>
              <w:left w:val="single" w:sz="4" w:space="0" w:color="auto"/>
              <w:bottom w:val="single" w:sz="4" w:space="0" w:color="auto"/>
              <w:right w:val="nil"/>
            </w:tcBorders>
            <w:shd w:val="clear" w:color="auto" w:fill="auto"/>
            <w:noWrap/>
            <w:vAlign w:val="center"/>
            <w:hideMark/>
          </w:tcPr>
          <w:p w14:paraId="5B84D56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$19,066</w:t>
            </w:r>
          </w:p>
        </w:tc>
        <w:tc>
          <w:tcPr>
            <w:tcW w:w="917" w:type="dxa"/>
            <w:tcBorders>
              <w:top w:val="nil"/>
              <w:left w:val="nil"/>
              <w:bottom w:val="single" w:sz="4" w:space="0" w:color="auto"/>
              <w:right w:val="single" w:sz="4" w:space="0" w:color="auto"/>
            </w:tcBorders>
            <w:shd w:val="clear" w:color="auto" w:fill="auto"/>
            <w:noWrap/>
            <w:vAlign w:val="center"/>
            <w:hideMark/>
          </w:tcPr>
          <w:p w14:paraId="11FB9A0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$17,009</w:t>
            </w:r>
          </w:p>
        </w:tc>
      </w:tr>
      <w:tr w:rsidR="00065E09" w:rsidRPr="007015B1" w14:paraId="418D3989"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18AE326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122A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DD122E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B344D8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2,781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08E558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2,506</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F7526E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-275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6C62C26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3CA1DF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$45,689</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1BEBD66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$54,809</w:t>
            </w:r>
          </w:p>
        </w:tc>
      </w:tr>
      <w:tr w:rsidR="00065E09" w:rsidRPr="007015B1" w14:paraId="6009531B"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61E509DE"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122B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AB88655"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40627F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3,526</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B374A2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4,229</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325835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703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212C056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0D8431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$33,819</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392C12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$29,363</w:t>
            </w:r>
          </w:p>
        </w:tc>
      </w:tr>
      <w:tr w:rsidR="00065E09" w:rsidRPr="007015B1" w14:paraId="09558E6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60C60D8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122Z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9028C6D"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1D1FFE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1,064</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5052ED4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636</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86584A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-428</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99EB59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8A8265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$31,124</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5D28C1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$28,135</w:t>
            </w:r>
          </w:p>
        </w:tc>
      </w:tr>
      <w:tr w:rsidR="00065E09" w:rsidRPr="007015B1" w14:paraId="5D541DA0"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3244A77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123A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3900"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80F692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534</w:t>
            </w:r>
          </w:p>
        </w:tc>
        <w:tc>
          <w:tcPr>
            <w:tcW w:w="850" w:type="dxa"/>
            <w:tcBorders>
              <w:top w:val="single" w:sz="4" w:space="0" w:color="auto"/>
              <w:left w:val="nil"/>
              <w:bottom w:val="single" w:sz="4" w:space="0" w:color="auto"/>
              <w:right w:val="nil"/>
            </w:tcBorders>
            <w:shd w:val="clear" w:color="auto" w:fill="auto"/>
            <w:noWrap/>
            <w:vAlign w:val="center"/>
            <w:hideMark/>
          </w:tcPr>
          <w:p w14:paraId="2241C0D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485</w:t>
            </w:r>
          </w:p>
        </w:tc>
        <w:tc>
          <w:tcPr>
            <w:tcW w:w="851" w:type="dxa"/>
            <w:tcBorders>
              <w:top w:val="single" w:sz="4" w:space="0" w:color="auto"/>
              <w:left w:val="nil"/>
              <w:bottom w:val="single" w:sz="4" w:space="0" w:color="auto"/>
              <w:right w:val="nil"/>
            </w:tcBorders>
            <w:shd w:val="clear" w:color="auto" w:fill="auto"/>
            <w:noWrap/>
            <w:vAlign w:val="center"/>
            <w:hideMark/>
          </w:tcPr>
          <w:p w14:paraId="4F8F5FA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5667C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w:t>
            </w:r>
          </w:p>
        </w:tc>
        <w:tc>
          <w:tcPr>
            <w:tcW w:w="992" w:type="dxa"/>
            <w:tcBorders>
              <w:top w:val="nil"/>
              <w:left w:val="single" w:sz="4" w:space="0" w:color="auto"/>
              <w:bottom w:val="single" w:sz="4" w:space="0" w:color="auto"/>
              <w:right w:val="nil"/>
            </w:tcBorders>
            <w:shd w:val="clear" w:color="auto" w:fill="auto"/>
            <w:noWrap/>
            <w:vAlign w:val="center"/>
            <w:hideMark/>
          </w:tcPr>
          <w:p w14:paraId="6FD9429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$40,237</w:t>
            </w:r>
          </w:p>
        </w:tc>
        <w:tc>
          <w:tcPr>
            <w:tcW w:w="917" w:type="dxa"/>
            <w:tcBorders>
              <w:top w:val="nil"/>
              <w:left w:val="nil"/>
              <w:bottom w:val="single" w:sz="4" w:space="0" w:color="auto"/>
              <w:right w:val="single" w:sz="4" w:space="0" w:color="auto"/>
            </w:tcBorders>
            <w:shd w:val="clear" w:color="auto" w:fill="auto"/>
            <w:noWrap/>
            <w:vAlign w:val="center"/>
            <w:hideMark/>
          </w:tcPr>
          <w:p w14:paraId="7CDDA01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$43,425</w:t>
            </w:r>
          </w:p>
        </w:tc>
      </w:tr>
      <w:tr w:rsidR="00065E09" w:rsidRPr="007015B1" w14:paraId="3DCDE7E0"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F0159AA"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123B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C717"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AB7B2C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394</w:t>
            </w:r>
          </w:p>
        </w:tc>
        <w:tc>
          <w:tcPr>
            <w:tcW w:w="850" w:type="dxa"/>
            <w:tcBorders>
              <w:top w:val="single" w:sz="4" w:space="0" w:color="auto"/>
              <w:left w:val="nil"/>
              <w:bottom w:val="single" w:sz="4" w:space="0" w:color="auto"/>
              <w:right w:val="nil"/>
            </w:tcBorders>
            <w:shd w:val="clear" w:color="auto" w:fill="auto"/>
            <w:noWrap/>
            <w:vAlign w:val="center"/>
            <w:hideMark/>
          </w:tcPr>
          <w:p w14:paraId="0451FB5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524</w:t>
            </w:r>
          </w:p>
        </w:tc>
        <w:tc>
          <w:tcPr>
            <w:tcW w:w="851" w:type="dxa"/>
            <w:tcBorders>
              <w:top w:val="single" w:sz="4" w:space="0" w:color="auto"/>
              <w:left w:val="nil"/>
              <w:bottom w:val="single" w:sz="4" w:space="0" w:color="auto"/>
              <w:right w:val="nil"/>
            </w:tcBorders>
            <w:shd w:val="clear" w:color="auto" w:fill="auto"/>
            <w:noWrap/>
            <w:vAlign w:val="center"/>
            <w:hideMark/>
          </w:tcPr>
          <w:p w14:paraId="582344C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11F41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w:t>
            </w:r>
          </w:p>
        </w:tc>
        <w:tc>
          <w:tcPr>
            <w:tcW w:w="992" w:type="dxa"/>
            <w:tcBorders>
              <w:top w:val="nil"/>
              <w:left w:val="single" w:sz="4" w:space="0" w:color="auto"/>
              <w:bottom w:val="single" w:sz="4" w:space="0" w:color="auto"/>
              <w:right w:val="nil"/>
            </w:tcBorders>
            <w:shd w:val="clear" w:color="auto" w:fill="auto"/>
            <w:noWrap/>
            <w:vAlign w:val="center"/>
            <w:hideMark/>
          </w:tcPr>
          <w:p w14:paraId="37CDC48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$26,494</w:t>
            </w:r>
          </w:p>
        </w:tc>
        <w:tc>
          <w:tcPr>
            <w:tcW w:w="917" w:type="dxa"/>
            <w:tcBorders>
              <w:top w:val="nil"/>
              <w:left w:val="nil"/>
              <w:bottom w:val="single" w:sz="4" w:space="0" w:color="auto"/>
              <w:right w:val="single" w:sz="4" w:space="0" w:color="auto"/>
            </w:tcBorders>
            <w:shd w:val="clear" w:color="auto" w:fill="auto"/>
            <w:noWrap/>
            <w:vAlign w:val="center"/>
            <w:hideMark/>
          </w:tcPr>
          <w:p w14:paraId="6BF8AB3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$25,882</w:t>
            </w:r>
          </w:p>
        </w:tc>
      </w:tr>
      <w:tr w:rsidR="00065E09" w:rsidRPr="007015B1" w14:paraId="1CF9DC14"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1F45568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123Z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CD2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Functional Gain,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330E80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272</w:t>
            </w:r>
          </w:p>
        </w:tc>
        <w:tc>
          <w:tcPr>
            <w:tcW w:w="850" w:type="dxa"/>
            <w:tcBorders>
              <w:top w:val="single" w:sz="4" w:space="0" w:color="auto"/>
              <w:left w:val="nil"/>
              <w:bottom w:val="single" w:sz="4" w:space="0" w:color="auto"/>
              <w:right w:val="nil"/>
            </w:tcBorders>
            <w:shd w:val="clear" w:color="auto" w:fill="auto"/>
            <w:noWrap/>
            <w:vAlign w:val="center"/>
            <w:hideMark/>
          </w:tcPr>
          <w:p w14:paraId="4E69237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191</w:t>
            </w:r>
          </w:p>
        </w:tc>
        <w:tc>
          <w:tcPr>
            <w:tcW w:w="851" w:type="dxa"/>
            <w:tcBorders>
              <w:top w:val="single" w:sz="4" w:space="0" w:color="auto"/>
              <w:left w:val="nil"/>
              <w:bottom w:val="single" w:sz="4" w:space="0" w:color="auto"/>
              <w:right w:val="nil"/>
            </w:tcBorders>
            <w:shd w:val="clear" w:color="auto" w:fill="auto"/>
            <w:noWrap/>
            <w:vAlign w:val="center"/>
            <w:hideMark/>
          </w:tcPr>
          <w:p w14:paraId="328330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D8358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-30%</w:t>
            </w:r>
          </w:p>
        </w:tc>
        <w:tc>
          <w:tcPr>
            <w:tcW w:w="992" w:type="dxa"/>
            <w:tcBorders>
              <w:top w:val="nil"/>
              <w:left w:val="single" w:sz="4" w:space="0" w:color="auto"/>
              <w:bottom w:val="single" w:sz="4" w:space="0" w:color="auto"/>
              <w:right w:val="nil"/>
            </w:tcBorders>
            <w:shd w:val="clear" w:color="auto" w:fill="auto"/>
            <w:noWrap/>
            <w:vAlign w:val="center"/>
            <w:hideMark/>
          </w:tcPr>
          <w:p w14:paraId="1A8B243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$35,195</w:t>
            </w:r>
          </w:p>
        </w:tc>
        <w:tc>
          <w:tcPr>
            <w:tcW w:w="917" w:type="dxa"/>
            <w:tcBorders>
              <w:top w:val="nil"/>
              <w:left w:val="nil"/>
              <w:bottom w:val="single" w:sz="4" w:space="0" w:color="auto"/>
              <w:right w:val="single" w:sz="4" w:space="0" w:color="auto"/>
            </w:tcBorders>
            <w:shd w:val="clear" w:color="auto" w:fill="auto"/>
            <w:noWrap/>
            <w:vAlign w:val="center"/>
            <w:hideMark/>
          </w:tcPr>
          <w:p w14:paraId="66F9ECA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$35,996</w:t>
            </w:r>
          </w:p>
        </w:tc>
      </w:tr>
      <w:tr w:rsidR="00065E09" w:rsidRPr="007015B1" w14:paraId="666A67A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87CB153"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131A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2AB90A0"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AD80AF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49</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D28779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5480FD5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-21</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738343B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0DC90F1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$141,935</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55559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$161,204</w:t>
            </w:r>
          </w:p>
        </w:tc>
      </w:tr>
      <w:tr w:rsidR="00065E09" w:rsidRPr="007015B1" w14:paraId="6A835D3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1B17273F"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131B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2494A7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30BB9CD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87DA30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76E3133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065D5A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244%</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5DC1BD5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$53,326</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6C894E0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$95,086</w:t>
            </w:r>
          </w:p>
        </w:tc>
      </w:tr>
      <w:tr w:rsidR="00065E09" w:rsidRPr="007015B1" w14:paraId="0A96017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4C9B54B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131Z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7E0D5BC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1879C3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A80D49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2B6903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76CAFE4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64894C1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$53,829</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023A1DC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$55,430</w:t>
            </w:r>
          </w:p>
        </w:tc>
      </w:tr>
      <w:tr w:rsidR="00065E09" w:rsidRPr="007015B1" w14:paraId="3B1D3C71"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37C2EA5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132A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57167"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4FC4A7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547</w:t>
            </w:r>
          </w:p>
        </w:tc>
        <w:tc>
          <w:tcPr>
            <w:tcW w:w="850" w:type="dxa"/>
            <w:tcBorders>
              <w:top w:val="single" w:sz="4" w:space="0" w:color="auto"/>
              <w:left w:val="nil"/>
              <w:bottom w:val="single" w:sz="4" w:space="0" w:color="auto"/>
              <w:right w:val="nil"/>
            </w:tcBorders>
            <w:shd w:val="clear" w:color="auto" w:fill="auto"/>
            <w:noWrap/>
            <w:vAlign w:val="center"/>
            <w:hideMark/>
          </w:tcPr>
          <w:p w14:paraId="7DC2A7F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220</w:t>
            </w:r>
          </w:p>
        </w:tc>
        <w:tc>
          <w:tcPr>
            <w:tcW w:w="851" w:type="dxa"/>
            <w:tcBorders>
              <w:top w:val="single" w:sz="4" w:space="0" w:color="auto"/>
              <w:left w:val="nil"/>
              <w:bottom w:val="single" w:sz="4" w:space="0" w:color="auto"/>
              <w:right w:val="nil"/>
            </w:tcBorders>
            <w:shd w:val="clear" w:color="auto" w:fill="auto"/>
            <w:noWrap/>
            <w:vAlign w:val="center"/>
            <w:hideMark/>
          </w:tcPr>
          <w:p w14:paraId="2FB20FD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174B0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-60%</w:t>
            </w:r>
          </w:p>
        </w:tc>
        <w:tc>
          <w:tcPr>
            <w:tcW w:w="992" w:type="dxa"/>
            <w:tcBorders>
              <w:top w:val="nil"/>
              <w:left w:val="single" w:sz="4" w:space="0" w:color="auto"/>
              <w:bottom w:val="single" w:sz="4" w:space="0" w:color="auto"/>
              <w:right w:val="nil"/>
            </w:tcBorders>
            <w:shd w:val="clear" w:color="auto" w:fill="auto"/>
            <w:noWrap/>
            <w:vAlign w:val="center"/>
            <w:hideMark/>
          </w:tcPr>
          <w:p w14:paraId="61A733A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$67,718</w:t>
            </w:r>
          </w:p>
        </w:tc>
        <w:tc>
          <w:tcPr>
            <w:tcW w:w="917" w:type="dxa"/>
            <w:tcBorders>
              <w:top w:val="nil"/>
              <w:left w:val="nil"/>
              <w:bottom w:val="single" w:sz="4" w:space="0" w:color="auto"/>
              <w:right w:val="single" w:sz="4" w:space="0" w:color="auto"/>
            </w:tcBorders>
            <w:shd w:val="clear" w:color="auto" w:fill="auto"/>
            <w:noWrap/>
            <w:vAlign w:val="center"/>
            <w:hideMark/>
          </w:tcPr>
          <w:p w14:paraId="66753FC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$100,351</w:t>
            </w:r>
          </w:p>
        </w:tc>
      </w:tr>
      <w:tr w:rsidR="00065E09" w:rsidRPr="007015B1" w14:paraId="0516603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6BA491E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132B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C5AD"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B153C6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389</w:t>
            </w:r>
          </w:p>
        </w:tc>
        <w:tc>
          <w:tcPr>
            <w:tcW w:w="850" w:type="dxa"/>
            <w:tcBorders>
              <w:top w:val="single" w:sz="4" w:space="0" w:color="auto"/>
              <w:left w:val="nil"/>
              <w:bottom w:val="single" w:sz="4" w:space="0" w:color="auto"/>
              <w:right w:val="nil"/>
            </w:tcBorders>
            <w:shd w:val="clear" w:color="auto" w:fill="auto"/>
            <w:noWrap/>
            <w:vAlign w:val="center"/>
            <w:hideMark/>
          </w:tcPr>
          <w:p w14:paraId="68BB7BA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788</w:t>
            </w:r>
          </w:p>
        </w:tc>
        <w:tc>
          <w:tcPr>
            <w:tcW w:w="851" w:type="dxa"/>
            <w:tcBorders>
              <w:top w:val="single" w:sz="4" w:space="0" w:color="auto"/>
              <w:left w:val="nil"/>
              <w:bottom w:val="single" w:sz="4" w:space="0" w:color="auto"/>
              <w:right w:val="nil"/>
            </w:tcBorders>
            <w:shd w:val="clear" w:color="auto" w:fill="auto"/>
            <w:noWrap/>
            <w:vAlign w:val="center"/>
            <w:hideMark/>
          </w:tcPr>
          <w:p w14:paraId="7B84C5D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A7683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103%</w:t>
            </w:r>
          </w:p>
        </w:tc>
        <w:tc>
          <w:tcPr>
            <w:tcW w:w="992" w:type="dxa"/>
            <w:tcBorders>
              <w:top w:val="nil"/>
              <w:left w:val="single" w:sz="4" w:space="0" w:color="auto"/>
              <w:bottom w:val="single" w:sz="4" w:space="0" w:color="auto"/>
              <w:right w:val="nil"/>
            </w:tcBorders>
            <w:shd w:val="clear" w:color="auto" w:fill="auto"/>
            <w:noWrap/>
            <w:vAlign w:val="center"/>
            <w:hideMark/>
          </w:tcPr>
          <w:p w14:paraId="44567B1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$41,442</w:t>
            </w:r>
          </w:p>
        </w:tc>
        <w:tc>
          <w:tcPr>
            <w:tcW w:w="917" w:type="dxa"/>
            <w:tcBorders>
              <w:top w:val="nil"/>
              <w:left w:val="nil"/>
              <w:bottom w:val="single" w:sz="4" w:space="0" w:color="auto"/>
              <w:right w:val="single" w:sz="4" w:space="0" w:color="auto"/>
            </w:tcBorders>
            <w:shd w:val="clear" w:color="auto" w:fill="auto"/>
            <w:noWrap/>
            <w:vAlign w:val="center"/>
            <w:hideMark/>
          </w:tcPr>
          <w:p w14:paraId="44BC40F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$45,886</w:t>
            </w:r>
          </w:p>
        </w:tc>
      </w:tr>
      <w:tr w:rsidR="00065E09" w:rsidRPr="007015B1" w14:paraId="4ED7CC1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4675CED5"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132Z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CABB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FA3E89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201</w:t>
            </w:r>
          </w:p>
        </w:tc>
        <w:tc>
          <w:tcPr>
            <w:tcW w:w="850" w:type="dxa"/>
            <w:tcBorders>
              <w:top w:val="single" w:sz="4" w:space="0" w:color="auto"/>
              <w:left w:val="nil"/>
              <w:bottom w:val="single" w:sz="4" w:space="0" w:color="auto"/>
              <w:right w:val="nil"/>
            </w:tcBorders>
            <w:shd w:val="clear" w:color="auto" w:fill="auto"/>
            <w:noWrap/>
            <w:vAlign w:val="center"/>
            <w:hideMark/>
          </w:tcPr>
          <w:p w14:paraId="6E1DC3C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129</w:t>
            </w:r>
          </w:p>
        </w:tc>
        <w:tc>
          <w:tcPr>
            <w:tcW w:w="851" w:type="dxa"/>
            <w:tcBorders>
              <w:top w:val="single" w:sz="4" w:space="0" w:color="auto"/>
              <w:left w:val="nil"/>
              <w:bottom w:val="single" w:sz="4" w:space="0" w:color="auto"/>
              <w:right w:val="nil"/>
            </w:tcBorders>
            <w:shd w:val="clear" w:color="auto" w:fill="auto"/>
            <w:noWrap/>
            <w:vAlign w:val="center"/>
            <w:hideMark/>
          </w:tcPr>
          <w:p w14:paraId="06ECF04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CBA49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w:t>
            </w:r>
          </w:p>
        </w:tc>
        <w:tc>
          <w:tcPr>
            <w:tcW w:w="992" w:type="dxa"/>
            <w:tcBorders>
              <w:top w:val="nil"/>
              <w:left w:val="single" w:sz="4" w:space="0" w:color="auto"/>
              <w:bottom w:val="single" w:sz="4" w:space="0" w:color="auto"/>
              <w:right w:val="nil"/>
            </w:tcBorders>
            <w:shd w:val="clear" w:color="auto" w:fill="auto"/>
            <w:noWrap/>
            <w:vAlign w:val="center"/>
            <w:hideMark/>
          </w:tcPr>
          <w:p w14:paraId="0176474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$53,797</w:t>
            </w:r>
          </w:p>
        </w:tc>
        <w:tc>
          <w:tcPr>
            <w:tcW w:w="917" w:type="dxa"/>
            <w:tcBorders>
              <w:top w:val="nil"/>
              <w:left w:val="nil"/>
              <w:bottom w:val="single" w:sz="4" w:space="0" w:color="auto"/>
              <w:right w:val="single" w:sz="4" w:space="0" w:color="auto"/>
            </w:tcBorders>
            <w:shd w:val="clear" w:color="auto" w:fill="auto"/>
            <w:noWrap/>
            <w:vAlign w:val="center"/>
            <w:hideMark/>
          </w:tcPr>
          <w:p w14:paraId="3198D2B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$44,502</w:t>
            </w:r>
          </w:p>
        </w:tc>
      </w:tr>
      <w:tr w:rsidR="00065E09" w:rsidRPr="007015B1" w14:paraId="1E2A3C0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47BD29A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133A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3EF453C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3E3F884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154</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65D185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115</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5C7A983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-39</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662D758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90395A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$47,641</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1992574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$48,642</w:t>
            </w:r>
          </w:p>
        </w:tc>
      </w:tr>
      <w:tr w:rsidR="00065E09" w:rsidRPr="007015B1" w14:paraId="4128B49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54E4D42"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133B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37F6BFF5"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02EF1D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3FFDAA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39734E6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69</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794497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113%</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ED452D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$45,540</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227A194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$40,428</w:t>
            </w:r>
          </w:p>
        </w:tc>
      </w:tr>
      <w:tr w:rsidR="00065E09" w:rsidRPr="007015B1" w14:paraId="6264F12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1A447F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lastRenderedPageBreak/>
              <w:t>133Z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668A88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Intensive Extended,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81694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62</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5504D1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4AB119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-30</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1CF000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4D4130D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$25,842</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8FC4EB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$27,110</w:t>
            </w:r>
          </w:p>
        </w:tc>
      </w:tr>
      <w:tr w:rsidR="00065E09" w:rsidRPr="007015B1" w14:paraId="3D0182E1"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5583B51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141A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60F7D"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14CFEB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w:t>
            </w:r>
          </w:p>
        </w:tc>
        <w:tc>
          <w:tcPr>
            <w:tcW w:w="850" w:type="dxa"/>
            <w:tcBorders>
              <w:top w:val="single" w:sz="4" w:space="0" w:color="auto"/>
              <w:left w:val="nil"/>
              <w:bottom w:val="single" w:sz="4" w:space="0" w:color="auto"/>
              <w:right w:val="nil"/>
            </w:tcBorders>
            <w:shd w:val="clear" w:color="auto" w:fill="auto"/>
            <w:noWrap/>
            <w:vAlign w:val="center"/>
            <w:hideMark/>
          </w:tcPr>
          <w:p w14:paraId="21D5415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w:t>
            </w:r>
          </w:p>
        </w:tc>
        <w:tc>
          <w:tcPr>
            <w:tcW w:w="851" w:type="dxa"/>
            <w:tcBorders>
              <w:top w:val="single" w:sz="4" w:space="0" w:color="auto"/>
              <w:left w:val="nil"/>
              <w:bottom w:val="single" w:sz="4" w:space="0" w:color="auto"/>
              <w:right w:val="nil"/>
            </w:tcBorders>
            <w:shd w:val="clear" w:color="auto" w:fill="auto"/>
            <w:noWrap/>
            <w:vAlign w:val="center"/>
            <w:hideMark/>
          </w:tcPr>
          <w:p w14:paraId="0D38BF0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049B1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-100%</w:t>
            </w:r>
          </w:p>
        </w:tc>
        <w:tc>
          <w:tcPr>
            <w:tcW w:w="992" w:type="dxa"/>
            <w:tcBorders>
              <w:top w:val="nil"/>
              <w:left w:val="single" w:sz="4" w:space="0" w:color="auto"/>
              <w:bottom w:val="single" w:sz="4" w:space="0" w:color="auto"/>
              <w:right w:val="nil"/>
            </w:tcBorders>
            <w:shd w:val="clear" w:color="auto" w:fill="auto"/>
            <w:noWrap/>
            <w:vAlign w:val="center"/>
            <w:hideMark/>
          </w:tcPr>
          <w:p w14:paraId="2CBEF31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$16,787</w:t>
            </w:r>
          </w:p>
        </w:tc>
        <w:tc>
          <w:tcPr>
            <w:tcW w:w="917" w:type="dxa"/>
            <w:tcBorders>
              <w:top w:val="nil"/>
              <w:left w:val="nil"/>
              <w:bottom w:val="single" w:sz="4" w:space="0" w:color="auto"/>
              <w:right w:val="single" w:sz="4" w:space="0" w:color="auto"/>
            </w:tcBorders>
            <w:shd w:val="clear" w:color="auto" w:fill="auto"/>
            <w:noWrap/>
            <w:vAlign w:val="center"/>
            <w:hideMark/>
          </w:tcPr>
          <w:p w14:paraId="3480672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$0</w:t>
            </w:r>
          </w:p>
        </w:tc>
      </w:tr>
      <w:tr w:rsidR="00065E09" w:rsidRPr="007015B1" w14:paraId="0AD7B0BD"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E06D16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141B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CF459"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E56EB8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w:t>
            </w:r>
          </w:p>
        </w:tc>
        <w:tc>
          <w:tcPr>
            <w:tcW w:w="850" w:type="dxa"/>
            <w:tcBorders>
              <w:top w:val="single" w:sz="4" w:space="0" w:color="auto"/>
              <w:left w:val="nil"/>
              <w:bottom w:val="single" w:sz="4" w:space="0" w:color="auto"/>
              <w:right w:val="nil"/>
            </w:tcBorders>
            <w:shd w:val="clear" w:color="auto" w:fill="auto"/>
            <w:noWrap/>
            <w:vAlign w:val="center"/>
            <w:hideMark/>
          </w:tcPr>
          <w:p w14:paraId="5797454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w:t>
            </w:r>
          </w:p>
        </w:tc>
        <w:tc>
          <w:tcPr>
            <w:tcW w:w="851" w:type="dxa"/>
            <w:tcBorders>
              <w:top w:val="single" w:sz="4" w:space="0" w:color="auto"/>
              <w:left w:val="nil"/>
              <w:bottom w:val="single" w:sz="4" w:space="0" w:color="auto"/>
              <w:right w:val="nil"/>
            </w:tcBorders>
            <w:shd w:val="clear" w:color="auto" w:fill="auto"/>
            <w:noWrap/>
            <w:vAlign w:val="center"/>
            <w:hideMark/>
          </w:tcPr>
          <w:p w14:paraId="614AAD4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E77FB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-100%</w:t>
            </w:r>
          </w:p>
        </w:tc>
        <w:tc>
          <w:tcPr>
            <w:tcW w:w="992" w:type="dxa"/>
            <w:tcBorders>
              <w:top w:val="nil"/>
              <w:left w:val="single" w:sz="4" w:space="0" w:color="auto"/>
              <w:bottom w:val="single" w:sz="4" w:space="0" w:color="auto"/>
              <w:right w:val="nil"/>
            </w:tcBorders>
            <w:shd w:val="clear" w:color="auto" w:fill="auto"/>
            <w:noWrap/>
            <w:vAlign w:val="center"/>
            <w:hideMark/>
          </w:tcPr>
          <w:p w14:paraId="341BB5B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$21,537</w:t>
            </w:r>
          </w:p>
        </w:tc>
        <w:tc>
          <w:tcPr>
            <w:tcW w:w="917" w:type="dxa"/>
            <w:tcBorders>
              <w:top w:val="nil"/>
              <w:left w:val="nil"/>
              <w:bottom w:val="single" w:sz="4" w:space="0" w:color="auto"/>
              <w:right w:val="single" w:sz="4" w:space="0" w:color="auto"/>
            </w:tcBorders>
            <w:shd w:val="clear" w:color="auto" w:fill="auto"/>
            <w:noWrap/>
            <w:vAlign w:val="center"/>
            <w:hideMark/>
          </w:tcPr>
          <w:p w14:paraId="26183C8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$0</w:t>
            </w:r>
          </w:p>
        </w:tc>
      </w:tr>
      <w:tr w:rsidR="00065E09" w:rsidRPr="007015B1" w14:paraId="31C94B94"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FA3E907"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141Z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F6505"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B43427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w:t>
            </w:r>
          </w:p>
        </w:tc>
        <w:tc>
          <w:tcPr>
            <w:tcW w:w="850" w:type="dxa"/>
            <w:tcBorders>
              <w:top w:val="single" w:sz="4" w:space="0" w:color="auto"/>
              <w:left w:val="nil"/>
              <w:bottom w:val="single" w:sz="4" w:space="0" w:color="auto"/>
              <w:right w:val="nil"/>
            </w:tcBorders>
            <w:shd w:val="clear" w:color="auto" w:fill="auto"/>
            <w:noWrap/>
            <w:vAlign w:val="center"/>
            <w:hideMark/>
          </w:tcPr>
          <w:p w14:paraId="7E5A8EC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w:t>
            </w:r>
          </w:p>
        </w:tc>
        <w:tc>
          <w:tcPr>
            <w:tcW w:w="851" w:type="dxa"/>
            <w:tcBorders>
              <w:top w:val="single" w:sz="4" w:space="0" w:color="auto"/>
              <w:left w:val="nil"/>
              <w:bottom w:val="single" w:sz="4" w:space="0" w:color="auto"/>
              <w:right w:val="nil"/>
            </w:tcBorders>
            <w:shd w:val="clear" w:color="auto" w:fill="auto"/>
            <w:noWrap/>
            <w:vAlign w:val="center"/>
            <w:hideMark/>
          </w:tcPr>
          <w:p w14:paraId="73251CB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CACAC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94%</w:t>
            </w:r>
          </w:p>
        </w:tc>
        <w:tc>
          <w:tcPr>
            <w:tcW w:w="992" w:type="dxa"/>
            <w:tcBorders>
              <w:top w:val="nil"/>
              <w:left w:val="single" w:sz="4" w:space="0" w:color="auto"/>
              <w:bottom w:val="single" w:sz="4" w:space="0" w:color="auto"/>
              <w:right w:val="nil"/>
            </w:tcBorders>
            <w:shd w:val="clear" w:color="auto" w:fill="auto"/>
            <w:noWrap/>
            <w:vAlign w:val="center"/>
            <w:hideMark/>
          </w:tcPr>
          <w:p w14:paraId="0BD226B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$18,639</w:t>
            </w:r>
          </w:p>
        </w:tc>
        <w:tc>
          <w:tcPr>
            <w:tcW w:w="917" w:type="dxa"/>
            <w:tcBorders>
              <w:top w:val="nil"/>
              <w:left w:val="nil"/>
              <w:bottom w:val="single" w:sz="4" w:space="0" w:color="auto"/>
              <w:right w:val="single" w:sz="4" w:space="0" w:color="auto"/>
            </w:tcBorders>
            <w:shd w:val="clear" w:color="auto" w:fill="auto"/>
            <w:noWrap/>
            <w:vAlign w:val="center"/>
            <w:hideMark/>
          </w:tcPr>
          <w:p w14:paraId="1823D5A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$18,605</w:t>
            </w:r>
          </w:p>
        </w:tc>
      </w:tr>
      <w:tr w:rsidR="00065E09" w:rsidRPr="007015B1" w14:paraId="2DBACD7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12653EAA"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142A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5121C7B0"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7F6932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3,440</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69787F2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2,079</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4EB2232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-1,361</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22FA726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D044D0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$24,186</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290B334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$26,269</w:t>
            </w:r>
          </w:p>
        </w:tc>
      </w:tr>
      <w:tr w:rsidR="00065E09" w:rsidRPr="007015B1" w14:paraId="2ECEAA08"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7269EBB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142B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4845A8A"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44924D9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832</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BB7F53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2,718</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B4845B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1,886</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EA7FA9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227%</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4D453CA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$29,040</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434F60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$24,634</w:t>
            </w:r>
          </w:p>
        </w:tc>
      </w:tr>
      <w:tr w:rsidR="00065E09" w:rsidRPr="007015B1" w14:paraId="314E6AF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495DBFC2"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142Z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C9260ED"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69D29B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1,405</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5655D4C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880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35D0AFD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-525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21F65A8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-37%</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02FC4A0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$26,126</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23AFFB7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$25,565</w:t>
            </w:r>
          </w:p>
        </w:tc>
      </w:tr>
      <w:tr w:rsidR="00065E09" w:rsidRPr="007015B1" w14:paraId="405E2D2B"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86B07D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143A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9533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3F9B66F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1,269</w:t>
            </w:r>
          </w:p>
        </w:tc>
        <w:tc>
          <w:tcPr>
            <w:tcW w:w="850" w:type="dxa"/>
            <w:tcBorders>
              <w:top w:val="single" w:sz="4" w:space="0" w:color="auto"/>
              <w:left w:val="nil"/>
              <w:bottom w:val="single" w:sz="4" w:space="0" w:color="auto"/>
              <w:right w:val="nil"/>
            </w:tcBorders>
            <w:shd w:val="clear" w:color="auto" w:fill="auto"/>
            <w:noWrap/>
            <w:vAlign w:val="center"/>
            <w:hideMark/>
          </w:tcPr>
          <w:p w14:paraId="47C8D0D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758</w:t>
            </w:r>
          </w:p>
        </w:tc>
        <w:tc>
          <w:tcPr>
            <w:tcW w:w="851" w:type="dxa"/>
            <w:tcBorders>
              <w:top w:val="single" w:sz="4" w:space="0" w:color="auto"/>
              <w:left w:val="nil"/>
              <w:bottom w:val="single" w:sz="4" w:space="0" w:color="auto"/>
              <w:right w:val="nil"/>
            </w:tcBorders>
            <w:shd w:val="clear" w:color="auto" w:fill="auto"/>
            <w:noWrap/>
            <w:vAlign w:val="center"/>
            <w:hideMark/>
          </w:tcPr>
          <w:p w14:paraId="7E0199A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-511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70A70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w:t>
            </w:r>
          </w:p>
        </w:tc>
        <w:tc>
          <w:tcPr>
            <w:tcW w:w="992" w:type="dxa"/>
            <w:tcBorders>
              <w:top w:val="nil"/>
              <w:left w:val="single" w:sz="4" w:space="0" w:color="auto"/>
              <w:bottom w:val="single" w:sz="4" w:space="0" w:color="auto"/>
              <w:right w:val="nil"/>
            </w:tcBorders>
            <w:shd w:val="clear" w:color="auto" w:fill="auto"/>
            <w:noWrap/>
            <w:vAlign w:val="center"/>
            <w:hideMark/>
          </w:tcPr>
          <w:p w14:paraId="62C4D86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$36,887</w:t>
            </w:r>
          </w:p>
        </w:tc>
        <w:tc>
          <w:tcPr>
            <w:tcW w:w="917" w:type="dxa"/>
            <w:tcBorders>
              <w:top w:val="nil"/>
              <w:left w:val="nil"/>
              <w:bottom w:val="single" w:sz="4" w:space="0" w:color="auto"/>
              <w:right w:val="single" w:sz="4" w:space="0" w:color="auto"/>
            </w:tcBorders>
            <w:shd w:val="clear" w:color="auto" w:fill="auto"/>
            <w:noWrap/>
            <w:vAlign w:val="center"/>
            <w:hideMark/>
          </w:tcPr>
          <w:p w14:paraId="34AF33A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$38,979</w:t>
            </w:r>
          </w:p>
        </w:tc>
      </w:tr>
      <w:tr w:rsidR="00065E09" w:rsidRPr="007015B1" w14:paraId="67A807BB"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7F7A2B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143B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F78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566481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143</w:t>
            </w:r>
          </w:p>
        </w:tc>
        <w:tc>
          <w:tcPr>
            <w:tcW w:w="850" w:type="dxa"/>
            <w:tcBorders>
              <w:top w:val="single" w:sz="4" w:space="0" w:color="auto"/>
              <w:left w:val="nil"/>
              <w:bottom w:val="single" w:sz="4" w:space="0" w:color="auto"/>
              <w:right w:val="nil"/>
            </w:tcBorders>
            <w:shd w:val="clear" w:color="auto" w:fill="auto"/>
            <w:noWrap/>
            <w:vAlign w:val="center"/>
            <w:hideMark/>
          </w:tcPr>
          <w:p w14:paraId="6FE94D2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819</w:t>
            </w:r>
          </w:p>
        </w:tc>
        <w:tc>
          <w:tcPr>
            <w:tcW w:w="851" w:type="dxa"/>
            <w:tcBorders>
              <w:top w:val="single" w:sz="4" w:space="0" w:color="auto"/>
              <w:left w:val="nil"/>
              <w:bottom w:val="single" w:sz="4" w:space="0" w:color="auto"/>
              <w:right w:val="nil"/>
            </w:tcBorders>
            <w:shd w:val="clear" w:color="auto" w:fill="auto"/>
            <w:noWrap/>
            <w:vAlign w:val="center"/>
            <w:hideMark/>
          </w:tcPr>
          <w:p w14:paraId="6442FD6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676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FF756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473%</w:t>
            </w:r>
          </w:p>
        </w:tc>
        <w:tc>
          <w:tcPr>
            <w:tcW w:w="992" w:type="dxa"/>
            <w:tcBorders>
              <w:top w:val="nil"/>
              <w:left w:val="single" w:sz="4" w:space="0" w:color="auto"/>
              <w:bottom w:val="single" w:sz="4" w:space="0" w:color="auto"/>
              <w:right w:val="nil"/>
            </w:tcBorders>
            <w:shd w:val="clear" w:color="auto" w:fill="auto"/>
            <w:noWrap/>
            <w:vAlign w:val="center"/>
            <w:hideMark/>
          </w:tcPr>
          <w:p w14:paraId="7B49258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$32,552</w:t>
            </w:r>
          </w:p>
        </w:tc>
        <w:tc>
          <w:tcPr>
            <w:tcW w:w="917" w:type="dxa"/>
            <w:tcBorders>
              <w:top w:val="nil"/>
              <w:left w:val="nil"/>
              <w:bottom w:val="single" w:sz="4" w:space="0" w:color="auto"/>
              <w:right w:val="single" w:sz="4" w:space="0" w:color="auto"/>
            </w:tcBorders>
            <w:shd w:val="clear" w:color="auto" w:fill="auto"/>
            <w:noWrap/>
            <w:vAlign w:val="center"/>
            <w:hideMark/>
          </w:tcPr>
          <w:p w14:paraId="4032606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$33,714</w:t>
            </w:r>
          </w:p>
        </w:tc>
      </w:tr>
      <w:tr w:rsidR="00065E09" w:rsidRPr="007015B1" w14:paraId="67F673EB"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343D8E5D"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143Z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B622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Admitted, Consolidating Gain,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6420A6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323</w:t>
            </w:r>
          </w:p>
        </w:tc>
        <w:tc>
          <w:tcPr>
            <w:tcW w:w="850" w:type="dxa"/>
            <w:tcBorders>
              <w:top w:val="single" w:sz="4" w:space="0" w:color="auto"/>
              <w:left w:val="nil"/>
              <w:bottom w:val="single" w:sz="4" w:space="0" w:color="auto"/>
              <w:right w:val="nil"/>
            </w:tcBorders>
            <w:shd w:val="clear" w:color="auto" w:fill="auto"/>
            <w:noWrap/>
            <w:vAlign w:val="center"/>
            <w:hideMark/>
          </w:tcPr>
          <w:p w14:paraId="3E95D1C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158</w:t>
            </w:r>
          </w:p>
        </w:tc>
        <w:tc>
          <w:tcPr>
            <w:tcW w:w="851" w:type="dxa"/>
            <w:tcBorders>
              <w:top w:val="single" w:sz="4" w:space="0" w:color="auto"/>
              <w:left w:val="nil"/>
              <w:bottom w:val="single" w:sz="4" w:space="0" w:color="auto"/>
              <w:right w:val="nil"/>
            </w:tcBorders>
            <w:shd w:val="clear" w:color="auto" w:fill="auto"/>
            <w:noWrap/>
            <w:vAlign w:val="center"/>
            <w:hideMark/>
          </w:tcPr>
          <w:p w14:paraId="149DC0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2F35AD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-51%</w:t>
            </w:r>
          </w:p>
        </w:tc>
        <w:tc>
          <w:tcPr>
            <w:tcW w:w="992" w:type="dxa"/>
            <w:tcBorders>
              <w:top w:val="nil"/>
              <w:left w:val="single" w:sz="4" w:space="0" w:color="auto"/>
              <w:bottom w:val="single" w:sz="4" w:space="0" w:color="auto"/>
              <w:right w:val="nil"/>
            </w:tcBorders>
            <w:shd w:val="clear" w:color="auto" w:fill="auto"/>
            <w:noWrap/>
            <w:vAlign w:val="center"/>
            <w:hideMark/>
          </w:tcPr>
          <w:p w14:paraId="4CF1DEF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$35,081</w:t>
            </w:r>
          </w:p>
        </w:tc>
        <w:tc>
          <w:tcPr>
            <w:tcW w:w="917" w:type="dxa"/>
            <w:tcBorders>
              <w:top w:val="nil"/>
              <w:left w:val="nil"/>
              <w:bottom w:val="single" w:sz="4" w:space="0" w:color="auto"/>
              <w:right w:val="single" w:sz="4" w:space="0" w:color="auto"/>
            </w:tcBorders>
            <w:shd w:val="clear" w:color="auto" w:fill="auto"/>
            <w:noWrap/>
            <w:vAlign w:val="center"/>
            <w:hideMark/>
          </w:tcPr>
          <w:p w14:paraId="7602E41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$35,688</w:t>
            </w:r>
          </w:p>
        </w:tc>
      </w:tr>
      <w:tr w:rsidR="00065E09" w:rsidRPr="007015B1" w14:paraId="0FDE61A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74C9E58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211A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0780A4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82ECDD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1,389</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569A68B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9,725</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7CB157F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8,336</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A88888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600%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2EA8F2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$6,331</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1B831C3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$5,449</w:t>
            </w:r>
          </w:p>
        </w:tc>
      </w:tr>
      <w:tr w:rsidR="00065E09" w:rsidRPr="007015B1" w14:paraId="2F280781"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6154AD7D"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211B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890773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93B4F6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18,683</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6362000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11,333</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41A6FB2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-7,350</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DFF053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-39%</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B78630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$4,321</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47BDF0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$3,639</w:t>
            </w:r>
          </w:p>
        </w:tc>
      </w:tr>
      <w:tr w:rsidR="00065E09" w:rsidRPr="007015B1" w14:paraId="190A90A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2DB4B249"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211Z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8286CD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1E54C0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5,506</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4A2780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4,520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07E40D2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-986</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52D830E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4AD91B8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$2,757</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060215C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$2,313</w:t>
            </w:r>
          </w:p>
        </w:tc>
      </w:tr>
      <w:tr w:rsidR="00065E09" w:rsidRPr="007015B1" w14:paraId="2D2B836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455BCE8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212A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E60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263F93F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12,870</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701BF4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49,088</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7B92B00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36,218</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4578E5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281%</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4A0DEB3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$3,582</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130475E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$3,500</w:t>
            </w:r>
          </w:p>
        </w:tc>
      </w:tr>
      <w:tr w:rsidR="00065E09" w:rsidRPr="007015B1" w14:paraId="6CA7EB3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95D86A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212B1</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566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High LSP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057409F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1,635</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4FADDF1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1,489</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5C54DB0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-146</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3E62D18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700C7D1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$7,127</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2A2871F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$5,301</w:t>
            </w:r>
          </w:p>
        </w:tc>
      </w:tr>
      <w:tr w:rsidR="00065E09" w:rsidRPr="007015B1" w14:paraId="6B5DC9A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0F76D75"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212B2</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ED847"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Moderate LSP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332BED2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79,783</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373653A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48,769</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3A33819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-31,014</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64FEAF0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-39%</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198D9C7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$2,834</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68B7B9B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$2,469</w:t>
            </w:r>
          </w:p>
        </w:tc>
      </w:tr>
      <w:tr w:rsidR="00065E09" w:rsidRPr="007015B1" w14:paraId="1090ECBE"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80DC96A"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212Z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8E6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28079CF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36,612</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471CCB1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31,554</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36A8807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-5,058</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7954E47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48CC980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$2,457</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6BF0D10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$2,336</w:t>
            </w:r>
          </w:p>
        </w:tc>
      </w:tr>
      <w:tr w:rsidR="00065E09" w:rsidRPr="007015B1" w14:paraId="444DA43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22D6E2CF"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213A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8C7D201"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4D029B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2,117</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10DBF6B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5,310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193AF2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3,193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79B3569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151%</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00EB10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$3,243</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EA969D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$3,625</w:t>
            </w:r>
          </w:p>
        </w:tc>
      </w:tr>
      <w:tr w:rsidR="00065E09" w:rsidRPr="007015B1" w14:paraId="0A7A16B2"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71A270E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213B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7FD154D5"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CB05B3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8,188</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4A79C0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5,672</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D1A877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-2,516</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DCC044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6CBD62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$3,512</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44E46EC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$3,331</w:t>
            </w:r>
          </w:p>
        </w:tc>
      </w:tr>
      <w:tr w:rsidR="00065E09" w:rsidRPr="007015B1" w14:paraId="12671E6A"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08C554B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213Z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154F2D0C"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Acute,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97FECE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5,461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5BB0B8C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4,784</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25ACA59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-677</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6B599E1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6813E64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$2,392</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E76E61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$2,203</w:t>
            </w:r>
          </w:p>
        </w:tc>
      </w:tr>
      <w:tr w:rsidR="00065E09" w:rsidRPr="007015B1" w14:paraId="632AAC30"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1906723F"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221A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99508"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32B72BF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1,997</w:t>
            </w:r>
          </w:p>
        </w:tc>
        <w:tc>
          <w:tcPr>
            <w:tcW w:w="850" w:type="dxa"/>
            <w:tcBorders>
              <w:top w:val="single" w:sz="4" w:space="0" w:color="auto"/>
              <w:left w:val="nil"/>
              <w:bottom w:val="single" w:sz="4" w:space="0" w:color="auto"/>
              <w:right w:val="nil"/>
            </w:tcBorders>
            <w:shd w:val="clear" w:color="auto" w:fill="auto"/>
            <w:noWrap/>
            <w:vAlign w:val="center"/>
            <w:hideMark/>
          </w:tcPr>
          <w:p w14:paraId="381DCD2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8,576</w:t>
            </w:r>
          </w:p>
        </w:tc>
        <w:tc>
          <w:tcPr>
            <w:tcW w:w="851" w:type="dxa"/>
            <w:tcBorders>
              <w:top w:val="single" w:sz="4" w:space="0" w:color="auto"/>
              <w:left w:val="nil"/>
              <w:bottom w:val="single" w:sz="4" w:space="0" w:color="auto"/>
              <w:right w:val="nil"/>
            </w:tcBorders>
            <w:shd w:val="clear" w:color="auto" w:fill="auto"/>
            <w:noWrap/>
            <w:vAlign w:val="center"/>
            <w:hideMark/>
          </w:tcPr>
          <w:p w14:paraId="6A548D7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6,579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C3D37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329%</w:t>
            </w:r>
          </w:p>
        </w:tc>
        <w:tc>
          <w:tcPr>
            <w:tcW w:w="992" w:type="dxa"/>
            <w:tcBorders>
              <w:top w:val="nil"/>
              <w:left w:val="single" w:sz="4" w:space="0" w:color="auto"/>
              <w:bottom w:val="single" w:sz="4" w:space="0" w:color="auto"/>
              <w:right w:val="nil"/>
            </w:tcBorders>
            <w:shd w:val="clear" w:color="auto" w:fill="auto"/>
            <w:noWrap/>
            <w:vAlign w:val="center"/>
            <w:hideMark/>
          </w:tcPr>
          <w:p w14:paraId="1B944FC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$9,772</w:t>
            </w:r>
          </w:p>
        </w:tc>
        <w:tc>
          <w:tcPr>
            <w:tcW w:w="917" w:type="dxa"/>
            <w:tcBorders>
              <w:top w:val="nil"/>
              <w:left w:val="nil"/>
              <w:bottom w:val="single" w:sz="4" w:space="0" w:color="auto"/>
              <w:right w:val="single" w:sz="4" w:space="0" w:color="auto"/>
            </w:tcBorders>
            <w:shd w:val="clear" w:color="auto" w:fill="auto"/>
            <w:noWrap/>
            <w:vAlign w:val="center"/>
            <w:hideMark/>
          </w:tcPr>
          <w:p w14:paraId="23C54D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$8,328</w:t>
            </w:r>
          </w:p>
        </w:tc>
      </w:tr>
      <w:tr w:rsidR="00065E09" w:rsidRPr="007015B1" w14:paraId="3FD28B7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71CA8E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221B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266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592E79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14,423</w:t>
            </w:r>
          </w:p>
        </w:tc>
        <w:tc>
          <w:tcPr>
            <w:tcW w:w="850" w:type="dxa"/>
            <w:tcBorders>
              <w:top w:val="single" w:sz="4" w:space="0" w:color="auto"/>
              <w:left w:val="nil"/>
              <w:bottom w:val="single" w:sz="4" w:space="0" w:color="auto"/>
              <w:right w:val="nil"/>
            </w:tcBorders>
            <w:shd w:val="clear" w:color="auto" w:fill="auto"/>
            <w:noWrap/>
            <w:vAlign w:val="center"/>
            <w:hideMark/>
          </w:tcPr>
          <w:p w14:paraId="0FCBE2E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8,633</w:t>
            </w:r>
          </w:p>
        </w:tc>
        <w:tc>
          <w:tcPr>
            <w:tcW w:w="851" w:type="dxa"/>
            <w:tcBorders>
              <w:top w:val="single" w:sz="4" w:space="0" w:color="auto"/>
              <w:left w:val="nil"/>
              <w:bottom w:val="single" w:sz="4" w:space="0" w:color="auto"/>
              <w:right w:val="nil"/>
            </w:tcBorders>
            <w:shd w:val="clear" w:color="auto" w:fill="auto"/>
            <w:noWrap/>
            <w:vAlign w:val="center"/>
            <w:hideMark/>
          </w:tcPr>
          <w:p w14:paraId="1BCC773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-5,790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06FEE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w:t>
            </w:r>
          </w:p>
        </w:tc>
        <w:tc>
          <w:tcPr>
            <w:tcW w:w="992" w:type="dxa"/>
            <w:tcBorders>
              <w:top w:val="nil"/>
              <w:left w:val="single" w:sz="4" w:space="0" w:color="auto"/>
              <w:bottom w:val="single" w:sz="4" w:space="0" w:color="auto"/>
              <w:right w:val="nil"/>
            </w:tcBorders>
            <w:shd w:val="clear" w:color="auto" w:fill="auto"/>
            <w:noWrap/>
            <w:vAlign w:val="center"/>
            <w:hideMark/>
          </w:tcPr>
          <w:p w14:paraId="3D6ECAE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$6,767</w:t>
            </w:r>
          </w:p>
        </w:tc>
        <w:tc>
          <w:tcPr>
            <w:tcW w:w="917" w:type="dxa"/>
            <w:tcBorders>
              <w:top w:val="nil"/>
              <w:left w:val="nil"/>
              <w:bottom w:val="single" w:sz="4" w:space="0" w:color="auto"/>
              <w:right w:val="single" w:sz="4" w:space="0" w:color="auto"/>
            </w:tcBorders>
            <w:shd w:val="clear" w:color="auto" w:fill="auto"/>
            <w:noWrap/>
            <w:vAlign w:val="center"/>
            <w:hideMark/>
          </w:tcPr>
          <w:p w14:paraId="5E6ABC9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$5,953</w:t>
            </w:r>
          </w:p>
        </w:tc>
      </w:tr>
      <w:tr w:rsidR="00065E09" w:rsidRPr="007015B1" w14:paraId="6B5941C2"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B3CD8B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221Z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2D8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0-17 years, Unknown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(221Z)</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A05E18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10,217</w:t>
            </w:r>
          </w:p>
        </w:tc>
        <w:tc>
          <w:tcPr>
            <w:tcW w:w="850" w:type="dxa"/>
            <w:tcBorders>
              <w:top w:val="single" w:sz="4" w:space="0" w:color="auto"/>
              <w:left w:val="nil"/>
              <w:bottom w:val="single" w:sz="4" w:space="0" w:color="auto"/>
              <w:right w:val="nil"/>
            </w:tcBorders>
            <w:shd w:val="clear" w:color="auto" w:fill="auto"/>
            <w:noWrap/>
            <w:vAlign w:val="center"/>
            <w:hideMark/>
          </w:tcPr>
          <w:p w14:paraId="7EAA5AF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9,428</w:t>
            </w:r>
          </w:p>
        </w:tc>
        <w:tc>
          <w:tcPr>
            <w:tcW w:w="851" w:type="dxa"/>
            <w:tcBorders>
              <w:top w:val="single" w:sz="4" w:space="0" w:color="auto"/>
              <w:left w:val="nil"/>
              <w:bottom w:val="single" w:sz="4" w:space="0" w:color="auto"/>
              <w:right w:val="nil"/>
            </w:tcBorders>
            <w:shd w:val="clear" w:color="auto" w:fill="auto"/>
            <w:noWrap/>
            <w:vAlign w:val="center"/>
            <w:hideMark/>
          </w:tcPr>
          <w:p w14:paraId="6871F01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-789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15253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w:t>
            </w:r>
          </w:p>
        </w:tc>
        <w:tc>
          <w:tcPr>
            <w:tcW w:w="992" w:type="dxa"/>
            <w:tcBorders>
              <w:top w:val="nil"/>
              <w:left w:val="single" w:sz="4" w:space="0" w:color="auto"/>
              <w:bottom w:val="single" w:sz="4" w:space="0" w:color="auto"/>
              <w:right w:val="nil"/>
            </w:tcBorders>
            <w:shd w:val="clear" w:color="auto" w:fill="auto"/>
            <w:noWrap/>
            <w:vAlign w:val="center"/>
            <w:hideMark/>
          </w:tcPr>
          <w:p w14:paraId="244238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$4,121</w:t>
            </w:r>
          </w:p>
        </w:tc>
        <w:tc>
          <w:tcPr>
            <w:tcW w:w="917" w:type="dxa"/>
            <w:tcBorders>
              <w:top w:val="nil"/>
              <w:left w:val="nil"/>
              <w:bottom w:val="single" w:sz="4" w:space="0" w:color="auto"/>
              <w:right w:val="single" w:sz="4" w:space="0" w:color="auto"/>
            </w:tcBorders>
            <w:shd w:val="clear" w:color="auto" w:fill="auto"/>
            <w:noWrap/>
            <w:vAlign w:val="center"/>
            <w:hideMark/>
          </w:tcPr>
          <w:p w14:paraId="1B6E23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$3,861</w:t>
            </w:r>
          </w:p>
        </w:tc>
      </w:tr>
      <w:tr w:rsidR="00065E09" w:rsidRPr="007015B1" w14:paraId="6F5C4F4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A3C95C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222A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149E4B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6AD7B43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7,145</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0289DB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28,413</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137F85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21,268</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B3FAAC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298%</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1487677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$7,635</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29990B8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$7,695</w:t>
            </w:r>
          </w:p>
        </w:tc>
      </w:tr>
      <w:tr w:rsidR="00065E09" w:rsidRPr="007015B1" w14:paraId="2F044BF4"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435B1038"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222B1</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178A06B1"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High LSP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52F7FA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9,251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2A4205B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6,366</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41E1E63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-2,885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24AAB2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559577D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$10,342</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62248B6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$9,253</w:t>
            </w:r>
          </w:p>
        </w:tc>
      </w:tr>
      <w:tr w:rsidR="00065E09" w:rsidRPr="007015B1" w14:paraId="174B343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2E29433"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222B2</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595C4A15"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Moderate LSP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4492F48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42,346</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54BAA96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27,455</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8023C5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-14,891</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28D0F67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38B596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$5,537</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43F1335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$4,802</w:t>
            </w:r>
          </w:p>
        </w:tc>
      </w:tr>
      <w:tr w:rsidR="00065E09" w:rsidRPr="007015B1" w14:paraId="3FD9DDB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B1E46B8"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222Z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138BD18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75F28D0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31,621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518FC9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28,129</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5AA0005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-3,492</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473A7D7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29ED543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$4,208</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10C3BA9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$3,853</w:t>
            </w:r>
          </w:p>
        </w:tc>
      </w:tr>
      <w:tr w:rsidR="00065E09" w:rsidRPr="007015B1" w14:paraId="32F06982"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41B8B6D"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223A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952F"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A281BF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2,124</w:t>
            </w:r>
          </w:p>
        </w:tc>
        <w:tc>
          <w:tcPr>
            <w:tcW w:w="850" w:type="dxa"/>
            <w:tcBorders>
              <w:top w:val="single" w:sz="4" w:space="0" w:color="auto"/>
              <w:left w:val="nil"/>
              <w:bottom w:val="single" w:sz="4" w:space="0" w:color="auto"/>
              <w:right w:val="nil"/>
            </w:tcBorders>
            <w:shd w:val="clear" w:color="auto" w:fill="auto"/>
            <w:noWrap/>
            <w:vAlign w:val="center"/>
            <w:hideMark/>
          </w:tcPr>
          <w:p w14:paraId="5FC4CDA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4,838</w:t>
            </w:r>
          </w:p>
        </w:tc>
        <w:tc>
          <w:tcPr>
            <w:tcW w:w="851" w:type="dxa"/>
            <w:tcBorders>
              <w:top w:val="single" w:sz="4" w:space="0" w:color="auto"/>
              <w:left w:val="nil"/>
              <w:bottom w:val="single" w:sz="4" w:space="0" w:color="auto"/>
              <w:right w:val="nil"/>
            </w:tcBorders>
            <w:shd w:val="clear" w:color="auto" w:fill="auto"/>
            <w:noWrap/>
            <w:vAlign w:val="center"/>
            <w:hideMark/>
          </w:tcPr>
          <w:p w14:paraId="1C128F7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1644C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128%</w:t>
            </w:r>
          </w:p>
        </w:tc>
        <w:tc>
          <w:tcPr>
            <w:tcW w:w="992" w:type="dxa"/>
            <w:tcBorders>
              <w:top w:val="nil"/>
              <w:left w:val="single" w:sz="4" w:space="0" w:color="auto"/>
              <w:bottom w:val="single" w:sz="4" w:space="0" w:color="auto"/>
              <w:right w:val="nil"/>
            </w:tcBorders>
            <w:shd w:val="clear" w:color="auto" w:fill="auto"/>
            <w:noWrap/>
            <w:vAlign w:val="center"/>
            <w:hideMark/>
          </w:tcPr>
          <w:p w14:paraId="64599F3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$4,426</w:t>
            </w:r>
          </w:p>
        </w:tc>
        <w:tc>
          <w:tcPr>
            <w:tcW w:w="917" w:type="dxa"/>
            <w:tcBorders>
              <w:top w:val="nil"/>
              <w:left w:val="nil"/>
              <w:bottom w:val="single" w:sz="4" w:space="0" w:color="auto"/>
              <w:right w:val="single" w:sz="4" w:space="0" w:color="auto"/>
            </w:tcBorders>
            <w:shd w:val="clear" w:color="auto" w:fill="auto"/>
            <w:noWrap/>
            <w:vAlign w:val="center"/>
            <w:hideMark/>
          </w:tcPr>
          <w:p w14:paraId="5D3E1D2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$4,891</w:t>
            </w:r>
          </w:p>
        </w:tc>
      </w:tr>
      <w:tr w:rsidR="00065E09" w:rsidRPr="007015B1" w14:paraId="5A263A69"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4C0C76FE"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223B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DD527"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026FBB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7,549</w:t>
            </w:r>
          </w:p>
        </w:tc>
        <w:tc>
          <w:tcPr>
            <w:tcW w:w="850" w:type="dxa"/>
            <w:tcBorders>
              <w:top w:val="single" w:sz="4" w:space="0" w:color="auto"/>
              <w:left w:val="nil"/>
              <w:bottom w:val="single" w:sz="4" w:space="0" w:color="auto"/>
              <w:right w:val="nil"/>
            </w:tcBorders>
            <w:shd w:val="clear" w:color="auto" w:fill="auto"/>
            <w:noWrap/>
            <w:vAlign w:val="center"/>
            <w:hideMark/>
          </w:tcPr>
          <w:p w14:paraId="72930D9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5,313</w:t>
            </w:r>
          </w:p>
        </w:tc>
        <w:tc>
          <w:tcPr>
            <w:tcW w:w="851" w:type="dxa"/>
            <w:tcBorders>
              <w:top w:val="single" w:sz="4" w:space="0" w:color="auto"/>
              <w:left w:val="nil"/>
              <w:bottom w:val="single" w:sz="4" w:space="0" w:color="auto"/>
              <w:right w:val="nil"/>
            </w:tcBorders>
            <w:shd w:val="clear" w:color="auto" w:fill="auto"/>
            <w:noWrap/>
            <w:vAlign w:val="center"/>
            <w:hideMark/>
          </w:tcPr>
          <w:p w14:paraId="0E7E4F7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-2,236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BAC9F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-30%</w:t>
            </w:r>
          </w:p>
        </w:tc>
        <w:tc>
          <w:tcPr>
            <w:tcW w:w="992" w:type="dxa"/>
            <w:tcBorders>
              <w:top w:val="nil"/>
              <w:left w:val="single" w:sz="4" w:space="0" w:color="auto"/>
              <w:bottom w:val="single" w:sz="4" w:space="0" w:color="auto"/>
              <w:right w:val="nil"/>
            </w:tcBorders>
            <w:shd w:val="clear" w:color="auto" w:fill="auto"/>
            <w:noWrap/>
            <w:vAlign w:val="center"/>
            <w:hideMark/>
          </w:tcPr>
          <w:p w14:paraId="7EE2E4B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$4,399</w:t>
            </w:r>
          </w:p>
        </w:tc>
        <w:tc>
          <w:tcPr>
            <w:tcW w:w="917" w:type="dxa"/>
            <w:tcBorders>
              <w:top w:val="nil"/>
              <w:left w:val="nil"/>
              <w:bottom w:val="single" w:sz="4" w:space="0" w:color="auto"/>
              <w:right w:val="single" w:sz="4" w:space="0" w:color="auto"/>
            </w:tcBorders>
            <w:shd w:val="clear" w:color="auto" w:fill="auto"/>
            <w:noWrap/>
            <w:vAlign w:val="center"/>
            <w:hideMark/>
          </w:tcPr>
          <w:p w14:paraId="616E28F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$4,061</w:t>
            </w:r>
          </w:p>
        </w:tc>
      </w:tr>
      <w:tr w:rsidR="00065E09" w:rsidRPr="007015B1" w14:paraId="63FF2B88"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079BAE35"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lastRenderedPageBreak/>
              <w:t>223Z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D57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Functional Gain,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3BE8D2A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4,047</w:t>
            </w:r>
          </w:p>
        </w:tc>
        <w:tc>
          <w:tcPr>
            <w:tcW w:w="850" w:type="dxa"/>
            <w:tcBorders>
              <w:top w:val="single" w:sz="4" w:space="0" w:color="auto"/>
              <w:left w:val="nil"/>
              <w:bottom w:val="single" w:sz="4" w:space="0" w:color="auto"/>
              <w:right w:val="nil"/>
            </w:tcBorders>
            <w:shd w:val="clear" w:color="auto" w:fill="auto"/>
            <w:noWrap/>
            <w:vAlign w:val="center"/>
            <w:hideMark/>
          </w:tcPr>
          <w:p w14:paraId="6DE6645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3,569</w:t>
            </w:r>
          </w:p>
        </w:tc>
        <w:tc>
          <w:tcPr>
            <w:tcW w:w="851" w:type="dxa"/>
            <w:tcBorders>
              <w:top w:val="single" w:sz="4" w:space="0" w:color="auto"/>
              <w:left w:val="nil"/>
              <w:bottom w:val="single" w:sz="4" w:space="0" w:color="auto"/>
              <w:right w:val="nil"/>
            </w:tcBorders>
            <w:shd w:val="clear" w:color="auto" w:fill="auto"/>
            <w:noWrap/>
            <w:vAlign w:val="center"/>
            <w:hideMark/>
          </w:tcPr>
          <w:p w14:paraId="3AA4AB0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-478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433AA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w:t>
            </w:r>
          </w:p>
        </w:tc>
        <w:tc>
          <w:tcPr>
            <w:tcW w:w="992" w:type="dxa"/>
            <w:tcBorders>
              <w:top w:val="nil"/>
              <w:left w:val="single" w:sz="4" w:space="0" w:color="auto"/>
              <w:bottom w:val="single" w:sz="4" w:space="0" w:color="auto"/>
              <w:right w:val="nil"/>
            </w:tcBorders>
            <w:shd w:val="clear" w:color="auto" w:fill="auto"/>
            <w:noWrap/>
            <w:vAlign w:val="center"/>
            <w:hideMark/>
          </w:tcPr>
          <w:p w14:paraId="602F3C6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$3,091</w:t>
            </w:r>
          </w:p>
        </w:tc>
        <w:tc>
          <w:tcPr>
            <w:tcW w:w="917" w:type="dxa"/>
            <w:tcBorders>
              <w:top w:val="nil"/>
              <w:left w:val="nil"/>
              <w:bottom w:val="single" w:sz="4" w:space="0" w:color="auto"/>
              <w:right w:val="single" w:sz="4" w:space="0" w:color="auto"/>
            </w:tcBorders>
            <w:shd w:val="clear" w:color="auto" w:fill="auto"/>
            <w:noWrap/>
            <w:vAlign w:val="center"/>
            <w:hideMark/>
          </w:tcPr>
          <w:p w14:paraId="0F2D9D7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$2,767</w:t>
            </w:r>
          </w:p>
        </w:tc>
      </w:tr>
      <w:tr w:rsidR="00065E09" w:rsidRPr="007015B1" w14:paraId="6DB191DA"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4F35F4EB"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231A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401C68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3329AC6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365</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60C83F0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1,992</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7D26547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1,627</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4284500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446%</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68FEBF8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$10,282</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1006BDF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$8,922</w:t>
            </w:r>
          </w:p>
        </w:tc>
      </w:tr>
      <w:tr w:rsidR="00065E09" w:rsidRPr="007015B1" w14:paraId="7BD5D11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0354717"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231B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6F5109A"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28AB63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3,670</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E7D46C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2,196</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67102DB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-1,474</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72B7540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-40%</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E20268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$6,917</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3272DEB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$5,808</w:t>
            </w:r>
          </w:p>
        </w:tc>
      </w:tr>
      <w:tr w:rsidR="00065E09" w:rsidRPr="007015B1" w14:paraId="060E8D8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4C3405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231Z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18718B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16CB6A7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1,118</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14C100A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965</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4B41AAF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-153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149232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-14%</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5DD6129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$5,164</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7894F88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$4,545</w:t>
            </w:r>
          </w:p>
        </w:tc>
      </w:tr>
      <w:tr w:rsidR="00065E09" w:rsidRPr="007015B1" w14:paraId="655C226A"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7579ED9"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232A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D6E0"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7EC14CE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2,947</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58AF372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9,475</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54E447F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6,528</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54A96BF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222%</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029F435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$9,499</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32E70FF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$9,430</w:t>
            </w:r>
          </w:p>
        </w:tc>
      </w:tr>
      <w:tr w:rsidR="00065E09" w:rsidRPr="007015B1" w14:paraId="5D9679A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1AA12962"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232B1</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D4528"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High LSP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7F12DDF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2,557</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11DAC6D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1,858</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110B0C3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-699</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6FE1236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2B1701F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$12,627</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2CB2ACA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$10,258</w:t>
            </w:r>
          </w:p>
        </w:tc>
      </w:tr>
      <w:tr w:rsidR="00065E09" w:rsidRPr="007015B1" w14:paraId="36BAFFA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0C5E697"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232B2</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1069"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Moderate LSP Complexity</w:t>
            </w:r>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7C7E792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13,475</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1AFB253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8,659</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2FCE6FB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-4,816</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1D9F973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0E780DF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$6,408</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2EBD7EE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$5,280</w:t>
            </w:r>
          </w:p>
        </w:tc>
      </w:tr>
      <w:tr w:rsidR="00065E09" w:rsidRPr="007015B1" w14:paraId="16DD34A8"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3EEF3E74"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232Z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C13A"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FFFFFF" w:themeFill="accent6"/>
            <w:noWrap/>
            <w:vAlign w:val="center"/>
            <w:hideMark/>
          </w:tcPr>
          <w:p w14:paraId="3E70CD2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9,014</w:t>
            </w:r>
          </w:p>
        </w:tc>
        <w:tc>
          <w:tcPr>
            <w:tcW w:w="850" w:type="dxa"/>
            <w:tcBorders>
              <w:top w:val="single" w:sz="4" w:space="0" w:color="auto"/>
              <w:left w:val="nil"/>
              <w:bottom w:val="single" w:sz="4" w:space="0" w:color="auto"/>
              <w:right w:val="nil"/>
            </w:tcBorders>
            <w:shd w:val="clear" w:color="auto" w:fill="FFFFFF" w:themeFill="accent6"/>
            <w:noWrap/>
            <w:vAlign w:val="center"/>
            <w:hideMark/>
          </w:tcPr>
          <w:p w14:paraId="087B070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8,001</w:t>
            </w:r>
          </w:p>
        </w:tc>
        <w:tc>
          <w:tcPr>
            <w:tcW w:w="851" w:type="dxa"/>
            <w:tcBorders>
              <w:top w:val="single" w:sz="4" w:space="0" w:color="auto"/>
              <w:left w:val="nil"/>
              <w:bottom w:val="single" w:sz="4" w:space="0" w:color="auto"/>
              <w:right w:val="nil"/>
            </w:tcBorders>
            <w:shd w:val="clear" w:color="auto" w:fill="FFFFFF" w:themeFill="accent6"/>
            <w:noWrap/>
            <w:vAlign w:val="center"/>
            <w:hideMark/>
          </w:tcPr>
          <w:p w14:paraId="72C9FB7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-1,013</w:t>
            </w:r>
          </w:p>
        </w:tc>
        <w:tc>
          <w:tcPr>
            <w:tcW w:w="850" w:type="dxa"/>
            <w:tcBorders>
              <w:top w:val="single" w:sz="4" w:space="0" w:color="auto"/>
              <w:left w:val="nil"/>
              <w:bottom w:val="single" w:sz="4" w:space="0" w:color="auto"/>
              <w:right w:val="single" w:sz="4" w:space="0" w:color="auto"/>
            </w:tcBorders>
            <w:shd w:val="clear" w:color="auto" w:fill="FFFFFF" w:themeFill="accent6"/>
            <w:noWrap/>
            <w:vAlign w:val="center"/>
            <w:hideMark/>
          </w:tcPr>
          <w:p w14:paraId="49C13FE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w:t>
            </w:r>
          </w:p>
        </w:tc>
        <w:tc>
          <w:tcPr>
            <w:tcW w:w="992" w:type="dxa"/>
            <w:tcBorders>
              <w:top w:val="nil"/>
              <w:left w:val="single" w:sz="4" w:space="0" w:color="auto"/>
              <w:bottom w:val="single" w:sz="4" w:space="0" w:color="auto"/>
              <w:right w:val="nil"/>
            </w:tcBorders>
            <w:shd w:val="clear" w:color="auto" w:fill="FFFFFF" w:themeFill="accent6"/>
            <w:noWrap/>
            <w:vAlign w:val="center"/>
            <w:hideMark/>
          </w:tcPr>
          <w:p w14:paraId="15BE416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$4,904</w:t>
            </w:r>
          </w:p>
        </w:tc>
        <w:tc>
          <w:tcPr>
            <w:tcW w:w="917" w:type="dxa"/>
            <w:tcBorders>
              <w:top w:val="nil"/>
              <w:left w:val="nil"/>
              <w:bottom w:val="single" w:sz="4" w:space="0" w:color="auto"/>
              <w:right w:val="single" w:sz="4" w:space="0" w:color="auto"/>
            </w:tcBorders>
            <w:shd w:val="clear" w:color="auto" w:fill="FFFFFF" w:themeFill="accent6"/>
            <w:noWrap/>
            <w:vAlign w:val="center"/>
            <w:hideMark/>
          </w:tcPr>
          <w:p w14:paraId="3EDF481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$4,588</w:t>
            </w:r>
          </w:p>
        </w:tc>
      </w:tr>
      <w:tr w:rsidR="00065E09" w:rsidRPr="007015B1" w14:paraId="5CE1BDAE"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3F39E18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233A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2A8CEEDA"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7BB3E4A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1,366</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F56E09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1,570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02F39EB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204</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571C5E0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15%</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64FBE9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$4,717</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6C503A8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$6,128</w:t>
            </w:r>
          </w:p>
        </w:tc>
      </w:tr>
      <w:tr w:rsidR="00065E09" w:rsidRPr="007015B1" w14:paraId="65BEFB59"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B36B36C"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233B</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5C8E0FB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50FD1B3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3,191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190A215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3,130</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34ADD2F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-61</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0B82DE5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6997C1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$4,835</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3939495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$4,196</w:t>
            </w:r>
          </w:p>
        </w:tc>
      </w:tr>
      <w:tr w:rsidR="00065E09" w:rsidRPr="007015B1" w14:paraId="4B7BB08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6ABD6B62"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233Z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7FCD7793"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Intensive Extended,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8712E9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2,791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915888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2,648</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4A22D6C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-143</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3595FAA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55BD2C7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$3,638</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55F7E4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$3,501</w:t>
            </w:r>
          </w:p>
        </w:tc>
      </w:tr>
      <w:tr w:rsidR="00065E09" w:rsidRPr="007015B1" w14:paraId="6B905532"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6330CD63"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241A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449B2"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0-17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0CC1FB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1,323</w:t>
            </w:r>
          </w:p>
        </w:tc>
        <w:tc>
          <w:tcPr>
            <w:tcW w:w="850" w:type="dxa"/>
            <w:tcBorders>
              <w:top w:val="single" w:sz="4" w:space="0" w:color="auto"/>
              <w:left w:val="nil"/>
              <w:bottom w:val="single" w:sz="4" w:space="0" w:color="auto"/>
              <w:right w:val="nil"/>
            </w:tcBorders>
            <w:shd w:val="clear" w:color="auto" w:fill="auto"/>
            <w:noWrap/>
            <w:vAlign w:val="center"/>
            <w:hideMark/>
          </w:tcPr>
          <w:p w14:paraId="61EA429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4,575</w:t>
            </w:r>
          </w:p>
        </w:tc>
        <w:tc>
          <w:tcPr>
            <w:tcW w:w="851" w:type="dxa"/>
            <w:tcBorders>
              <w:top w:val="single" w:sz="4" w:space="0" w:color="auto"/>
              <w:left w:val="nil"/>
              <w:bottom w:val="single" w:sz="4" w:space="0" w:color="auto"/>
              <w:right w:val="nil"/>
            </w:tcBorders>
            <w:shd w:val="clear" w:color="auto" w:fill="auto"/>
            <w:noWrap/>
            <w:vAlign w:val="center"/>
            <w:hideMark/>
          </w:tcPr>
          <w:p w14:paraId="730A80A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F5D3D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246%</w:t>
            </w:r>
          </w:p>
        </w:tc>
        <w:tc>
          <w:tcPr>
            <w:tcW w:w="992" w:type="dxa"/>
            <w:tcBorders>
              <w:top w:val="nil"/>
              <w:left w:val="single" w:sz="4" w:space="0" w:color="auto"/>
              <w:bottom w:val="single" w:sz="4" w:space="0" w:color="auto"/>
              <w:right w:val="nil"/>
            </w:tcBorders>
            <w:shd w:val="clear" w:color="auto" w:fill="auto"/>
            <w:noWrap/>
            <w:vAlign w:val="center"/>
            <w:hideMark/>
          </w:tcPr>
          <w:p w14:paraId="15CDBFC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$3,800</w:t>
            </w:r>
          </w:p>
        </w:tc>
        <w:tc>
          <w:tcPr>
            <w:tcW w:w="917" w:type="dxa"/>
            <w:tcBorders>
              <w:top w:val="nil"/>
              <w:left w:val="nil"/>
              <w:bottom w:val="single" w:sz="4" w:space="0" w:color="auto"/>
              <w:right w:val="single" w:sz="4" w:space="0" w:color="auto"/>
            </w:tcBorders>
            <w:shd w:val="clear" w:color="auto" w:fill="auto"/>
            <w:noWrap/>
            <w:vAlign w:val="center"/>
            <w:hideMark/>
          </w:tcPr>
          <w:p w14:paraId="1143A7F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$3,780</w:t>
            </w:r>
          </w:p>
        </w:tc>
      </w:tr>
      <w:tr w:rsidR="00065E09" w:rsidRPr="007015B1" w14:paraId="0EEEB73D"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1B215986"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241B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34F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0-17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A2170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7,786</w:t>
            </w:r>
          </w:p>
        </w:tc>
        <w:tc>
          <w:tcPr>
            <w:tcW w:w="850" w:type="dxa"/>
            <w:tcBorders>
              <w:top w:val="single" w:sz="4" w:space="0" w:color="auto"/>
              <w:left w:val="nil"/>
              <w:bottom w:val="single" w:sz="4" w:space="0" w:color="auto"/>
              <w:right w:val="nil"/>
            </w:tcBorders>
            <w:shd w:val="clear" w:color="auto" w:fill="auto"/>
            <w:noWrap/>
            <w:vAlign w:val="center"/>
            <w:hideMark/>
          </w:tcPr>
          <w:p w14:paraId="5FD5828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5,076</w:t>
            </w:r>
          </w:p>
        </w:tc>
        <w:tc>
          <w:tcPr>
            <w:tcW w:w="851" w:type="dxa"/>
            <w:tcBorders>
              <w:top w:val="single" w:sz="4" w:space="0" w:color="auto"/>
              <w:left w:val="nil"/>
              <w:bottom w:val="single" w:sz="4" w:space="0" w:color="auto"/>
              <w:right w:val="nil"/>
            </w:tcBorders>
            <w:shd w:val="clear" w:color="auto" w:fill="auto"/>
            <w:noWrap/>
            <w:vAlign w:val="center"/>
            <w:hideMark/>
          </w:tcPr>
          <w:p w14:paraId="1CFCADD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-2,710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A6BBB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-35%</w:t>
            </w:r>
          </w:p>
        </w:tc>
        <w:tc>
          <w:tcPr>
            <w:tcW w:w="992" w:type="dxa"/>
            <w:tcBorders>
              <w:top w:val="nil"/>
              <w:left w:val="single" w:sz="4" w:space="0" w:color="auto"/>
              <w:bottom w:val="single" w:sz="4" w:space="0" w:color="auto"/>
              <w:right w:val="nil"/>
            </w:tcBorders>
            <w:shd w:val="clear" w:color="auto" w:fill="auto"/>
            <w:noWrap/>
            <w:vAlign w:val="center"/>
            <w:hideMark/>
          </w:tcPr>
          <w:p w14:paraId="2B7B6F4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$3,607</w:t>
            </w:r>
          </w:p>
        </w:tc>
        <w:tc>
          <w:tcPr>
            <w:tcW w:w="917" w:type="dxa"/>
            <w:tcBorders>
              <w:top w:val="nil"/>
              <w:left w:val="nil"/>
              <w:bottom w:val="single" w:sz="4" w:space="0" w:color="auto"/>
              <w:right w:val="single" w:sz="4" w:space="0" w:color="auto"/>
            </w:tcBorders>
            <w:shd w:val="clear" w:color="auto" w:fill="auto"/>
            <w:noWrap/>
            <w:vAlign w:val="center"/>
            <w:hideMark/>
          </w:tcPr>
          <w:p w14:paraId="3969124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$3,452</w:t>
            </w:r>
          </w:p>
        </w:tc>
      </w:tr>
      <w:tr w:rsidR="00065E09" w:rsidRPr="007015B1" w14:paraId="45D0E36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76F84E49"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241Z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5064"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0-17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E78C83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30,164</w:t>
            </w:r>
          </w:p>
        </w:tc>
        <w:tc>
          <w:tcPr>
            <w:tcW w:w="850" w:type="dxa"/>
            <w:tcBorders>
              <w:top w:val="single" w:sz="4" w:space="0" w:color="auto"/>
              <w:left w:val="nil"/>
              <w:bottom w:val="single" w:sz="4" w:space="0" w:color="auto"/>
              <w:right w:val="nil"/>
            </w:tcBorders>
            <w:shd w:val="clear" w:color="auto" w:fill="auto"/>
            <w:noWrap/>
            <w:vAlign w:val="center"/>
            <w:hideMark/>
          </w:tcPr>
          <w:p w14:paraId="2AA5050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29,622</w:t>
            </w:r>
          </w:p>
        </w:tc>
        <w:tc>
          <w:tcPr>
            <w:tcW w:w="851" w:type="dxa"/>
            <w:tcBorders>
              <w:top w:val="single" w:sz="4" w:space="0" w:color="auto"/>
              <w:left w:val="nil"/>
              <w:bottom w:val="single" w:sz="4" w:space="0" w:color="auto"/>
              <w:right w:val="nil"/>
            </w:tcBorders>
            <w:shd w:val="clear" w:color="auto" w:fill="auto"/>
            <w:noWrap/>
            <w:vAlign w:val="center"/>
            <w:hideMark/>
          </w:tcPr>
          <w:p w14:paraId="17BE8F8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-542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94C11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w:t>
            </w:r>
          </w:p>
        </w:tc>
        <w:tc>
          <w:tcPr>
            <w:tcW w:w="992" w:type="dxa"/>
            <w:tcBorders>
              <w:top w:val="nil"/>
              <w:left w:val="single" w:sz="4" w:space="0" w:color="auto"/>
              <w:bottom w:val="single" w:sz="4" w:space="0" w:color="auto"/>
              <w:right w:val="nil"/>
            </w:tcBorders>
            <w:shd w:val="clear" w:color="auto" w:fill="auto"/>
            <w:noWrap/>
            <w:vAlign w:val="center"/>
            <w:hideMark/>
          </w:tcPr>
          <w:p w14:paraId="59BFD4F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$2,691</w:t>
            </w:r>
          </w:p>
        </w:tc>
        <w:tc>
          <w:tcPr>
            <w:tcW w:w="917" w:type="dxa"/>
            <w:tcBorders>
              <w:top w:val="nil"/>
              <w:left w:val="nil"/>
              <w:bottom w:val="single" w:sz="4" w:space="0" w:color="auto"/>
              <w:right w:val="single" w:sz="4" w:space="0" w:color="auto"/>
            </w:tcBorders>
            <w:shd w:val="clear" w:color="auto" w:fill="auto"/>
            <w:noWrap/>
            <w:vAlign w:val="center"/>
            <w:hideMark/>
          </w:tcPr>
          <w:p w14:paraId="2F5AB4A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$2,682</w:t>
            </w:r>
          </w:p>
        </w:tc>
      </w:tr>
      <w:tr w:rsidR="00065E09" w:rsidRPr="007015B1" w14:paraId="3D69902D"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79B0A88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242A</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93D3EA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18-64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0D991B6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6,325</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45BE1C7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17,667</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29578C8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11,342</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EB5E0F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179%</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4284551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$5,029</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69C1731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$6,298</w:t>
            </w:r>
          </w:p>
        </w:tc>
      </w:tr>
      <w:tr w:rsidR="00065E09" w:rsidRPr="007015B1" w14:paraId="0C98AD27"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15CCDF20"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242B1</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F987AC1"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High LSP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47AA3DC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4,141</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69115C0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4,226</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5A03623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4EDC89C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7D9DE23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$9,500</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2CFD4DA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$7,783</w:t>
            </w:r>
          </w:p>
        </w:tc>
      </w:tr>
      <w:tr w:rsidR="00065E09" w:rsidRPr="007015B1" w14:paraId="15B2DFB6"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58376E75"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242B2</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1956EAB"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18-64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 with Moderate LSP Complexity</w:t>
            </w:r>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3CC3931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26,460</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35EF256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17,458</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327A11B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-9,002</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10078A81"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-34%</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0C594099"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$5,047</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570FD6D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$4,198</w:t>
            </w:r>
          </w:p>
        </w:tc>
      </w:tr>
      <w:tr w:rsidR="00065E09" w:rsidRPr="007015B1" w14:paraId="2EB4DE5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DFEBF1" w:themeFill="accent1" w:themeFillTint="1A"/>
            <w:noWrap/>
            <w:vAlign w:val="center"/>
            <w:hideMark/>
          </w:tcPr>
          <w:p w14:paraId="0A3D1386"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242Z</w:t>
            </w:r>
          </w:p>
        </w:tc>
        <w:tc>
          <w:tcPr>
            <w:tcW w:w="7957" w:type="dxa"/>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6422BD51"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18-64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DFEBF1" w:themeFill="accent1" w:themeFillTint="1A"/>
            <w:noWrap/>
            <w:vAlign w:val="center"/>
            <w:hideMark/>
          </w:tcPr>
          <w:p w14:paraId="23C5AAC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103,562</w:t>
            </w:r>
          </w:p>
        </w:tc>
        <w:tc>
          <w:tcPr>
            <w:tcW w:w="850" w:type="dxa"/>
            <w:tcBorders>
              <w:top w:val="single" w:sz="4" w:space="0" w:color="auto"/>
              <w:left w:val="nil"/>
              <w:bottom w:val="single" w:sz="4" w:space="0" w:color="auto"/>
              <w:right w:val="nil"/>
            </w:tcBorders>
            <w:shd w:val="clear" w:color="auto" w:fill="DFEBF1" w:themeFill="accent1" w:themeFillTint="1A"/>
            <w:noWrap/>
            <w:vAlign w:val="center"/>
            <w:hideMark/>
          </w:tcPr>
          <w:p w14:paraId="7134C89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101,137</w:t>
            </w:r>
          </w:p>
        </w:tc>
        <w:tc>
          <w:tcPr>
            <w:tcW w:w="851" w:type="dxa"/>
            <w:tcBorders>
              <w:top w:val="single" w:sz="4" w:space="0" w:color="auto"/>
              <w:left w:val="nil"/>
              <w:bottom w:val="single" w:sz="4" w:space="0" w:color="auto"/>
              <w:right w:val="nil"/>
            </w:tcBorders>
            <w:shd w:val="clear" w:color="auto" w:fill="DFEBF1" w:themeFill="accent1" w:themeFillTint="1A"/>
            <w:noWrap/>
            <w:vAlign w:val="center"/>
            <w:hideMark/>
          </w:tcPr>
          <w:p w14:paraId="11011DB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-2,425</w:t>
            </w:r>
          </w:p>
        </w:tc>
        <w:tc>
          <w:tcPr>
            <w:tcW w:w="850" w:type="dxa"/>
            <w:tcBorders>
              <w:top w:val="single" w:sz="4" w:space="0" w:color="auto"/>
              <w:left w:val="nil"/>
              <w:bottom w:val="single" w:sz="4" w:space="0" w:color="auto"/>
              <w:right w:val="single" w:sz="4" w:space="0" w:color="auto"/>
            </w:tcBorders>
            <w:shd w:val="clear" w:color="auto" w:fill="DFEBF1" w:themeFill="accent1" w:themeFillTint="1A"/>
            <w:noWrap/>
            <w:vAlign w:val="center"/>
            <w:hideMark/>
          </w:tcPr>
          <w:p w14:paraId="72DD672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w:t>
            </w:r>
          </w:p>
        </w:tc>
        <w:tc>
          <w:tcPr>
            <w:tcW w:w="992" w:type="dxa"/>
            <w:tcBorders>
              <w:top w:val="nil"/>
              <w:left w:val="single" w:sz="4" w:space="0" w:color="auto"/>
              <w:bottom w:val="single" w:sz="4" w:space="0" w:color="auto"/>
              <w:right w:val="nil"/>
            </w:tcBorders>
            <w:shd w:val="clear" w:color="auto" w:fill="DFEBF1" w:themeFill="accent1" w:themeFillTint="1A"/>
            <w:noWrap/>
            <w:vAlign w:val="center"/>
            <w:hideMark/>
          </w:tcPr>
          <w:p w14:paraId="32CBC23A"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$2,448</w:t>
            </w:r>
          </w:p>
        </w:tc>
        <w:tc>
          <w:tcPr>
            <w:tcW w:w="917" w:type="dxa"/>
            <w:tcBorders>
              <w:top w:val="nil"/>
              <w:left w:val="nil"/>
              <w:bottom w:val="single" w:sz="4" w:space="0" w:color="auto"/>
              <w:right w:val="single" w:sz="4" w:space="0" w:color="auto"/>
            </w:tcBorders>
            <w:shd w:val="clear" w:color="auto" w:fill="DFEBF1" w:themeFill="accent1" w:themeFillTint="1A"/>
            <w:noWrap/>
            <w:vAlign w:val="center"/>
            <w:hideMark/>
          </w:tcPr>
          <w:p w14:paraId="4DE6EA3C"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$2,380</w:t>
            </w:r>
          </w:p>
        </w:tc>
      </w:tr>
      <w:tr w:rsidR="00065E09" w:rsidRPr="007015B1" w14:paraId="134A036C"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6BC32BBD"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243A</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1D3F8"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65+ years, High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EDD908E"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852</w:t>
            </w:r>
          </w:p>
        </w:tc>
        <w:tc>
          <w:tcPr>
            <w:tcW w:w="850" w:type="dxa"/>
            <w:tcBorders>
              <w:top w:val="single" w:sz="4" w:space="0" w:color="auto"/>
              <w:left w:val="nil"/>
              <w:bottom w:val="single" w:sz="4" w:space="0" w:color="auto"/>
              <w:right w:val="nil"/>
            </w:tcBorders>
            <w:shd w:val="clear" w:color="auto" w:fill="auto"/>
            <w:noWrap/>
            <w:vAlign w:val="center"/>
            <w:hideMark/>
          </w:tcPr>
          <w:p w14:paraId="74FF920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3,235</w:t>
            </w:r>
          </w:p>
        </w:tc>
        <w:tc>
          <w:tcPr>
            <w:tcW w:w="851" w:type="dxa"/>
            <w:tcBorders>
              <w:top w:val="single" w:sz="4" w:space="0" w:color="auto"/>
              <w:left w:val="nil"/>
              <w:bottom w:val="single" w:sz="4" w:space="0" w:color="auto"/>
              <w:right w:val="nil"/>
            </w:tcBorders>
            <w:shd w:val="clear" w:color="auto" w:fill="auto"/>
            <w:noWrap/>
            <w:vAlign w:val="center"/>
            <w:hideMark/>
          </w:tcPr>
          <w:p w14:paraId="0B919C04"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2,383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1B02F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280%</w:t>
            </w:r>
          </w:p>
        </w:tc>
        <w:tc>
          <w:tcPr>
            <w:tcW w:w="992" w:type="dxa"/>
            <w:tcBorders>
              <w:top w:val="nil"/>
              <w:left w:val="single" w:sz="4" w:space="0" w:color="auto"/>
              <w:bottom w:val="single" w:sz="4" w:space="0" w:color="auto"/>
              <w:right w:val="nil"/>
            </w:tcBorders>
            <w:shd w:val="clear" w:color="auto" w:fill="auto"/>
            <w:noWrap/>
            <w:vAlign w:val="center"/>
            <w:hideMark/>
          </w:tcPr>
          <w:p w14:paraId="634DC2CD"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$3,618</w:t>
            </w:r>
          </w:p>
        </w:tc>
        <w:tc>
          <w:tcPr>
            <w:tcW w:w="917" w:type="dxa"/>
            <w:tcBorders>
              <w:top w:val="nil"/>
              <w:left w:val="nil"/>
              <w:bottom w:val="single" w:sz="4" w:space="0" w:color="auto"/>
              <w:right w:val="single" w:sz="4" w:space="0" w:color="auto"/>
            </w:tcBorders>
            <w:shd w:val="clear" w:color="auto" w:fill="auto"/>
            <w:noWrap/>
            <w:vAlign w:val="center"/>
            <w:hideMark/>
          </w:tcPr>
          <w:p w14:paraId="3937231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$5,046</w:t>
            </w:r>
          </w:p>
        </w:tc>
      </w:tr>
      <w:tr w:rsidR="00065E09" w:rsidRPr="007015B1" w14:paraId="2160F985"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19720673"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243B</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E36CE"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65+ years, Moderate </w:t>
            </w:r>
            <w:proofErr w:type="spellStart"/>
            <w:r w:rsidRPr="1922062C">
              <w:rPr>
                <w:rFonts w:eastAsia="Times New Roman" w:cs="Arial"/>
                <w:color w:val="000000"/>
                <w:sz w:val="16"/>
                <w:szCs w:val="16"/>
              </w:rPr>
              <w:t>HoNOS</w:t>
            </w:r>
            <w:proofErr w:type="spellEnd"/>
            <w:r w:rsidRPr="1922062C">
              <w:rPr>
                <w:rFonts w:eastAsia="Times New Roman" w:cs="Arial"/>
                <w:color w:val="000000"/>
                <w:sz w:val="16"/>
                <w:szCs w:val="16"/>
              </w:rPr>
              <w:t xml:space="preserve"> Complexity</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D394C30"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8,263</w:t>
            </w:r>
          </w:p>
        </w:tc>
        <w:tc>
          <w:tcPr>
            <w:tcW w:w="850" w:type="dxa"/>
            <w:tcBorders>
              <w:top w:val="single" w:sz="4" w:space="0" w:color="auto"/>
              <w:left w:val="nil"/>
              <w:bottom w:val="single" w:sz="4" w:space="0" w:color="auto"/>
              <w:right w:val="nil"/>
            </w:tcBorders>
            <w:shd w:val="clear" w:color="auto" w:fill="auto"/>
            <w:noWrap/>
            <w:vAlign w:val="center"/>
            <w:hideMark/>
          </w:tcPr>
          <w:p w14:paraId="6A2C8E9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6,296</w:t>
            </w:r>
          </w:p>
        </w:tc>
        <w:tc>
          <w:tcPr>
            <w:tcW w:w="851" w:type="dxa"/>
            <w:tcBorders>
              <w:top w:val="single" w:sz="4" w:space="0" w:color="auto"/>
              <w:left w:val="nil"/>
              <w:bottom w:val="single" w:sz="4" w:space="0" w:color="auto"/>
              <w:right w:val="nil"/>
            </w:tcBorders>
            <w:shd w:val="clear" w:color="auto" w:fill="auto"/>
            <w:noWrap/>
            <w:vAlign w:val="center"/>
            <w:hideMark/>
          </w:tcPr>
          <w:p w14:paraId="4A686B0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-1,967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DE3898"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-24%</w:t>
            </w:r>
          </w:p>
        </w:tc>
        <w:tc>
          <w:tcPr>
            <w:tcW w:w="992" w:type="dxa"/>
            <w:tcBorders>
              <w:top w:val="nil"/>
              <w:left w:val="single" w:sz="4" w:space="0" w:color="auto"/>
              <w:bottom w:val="single" w:sz="4" w:space="0" w:color="auto"/>
              <w:right w:val="nil"/>
            </w:tcBorders>
            <w:shd w:val="clear" w:color="auto" w:fill="auto"/>
            <w:noWrap/>
            <w:vAlign w:val="center"/>
            <w:hideMark/>
          </w:tcPr>
          <w:p w14:paraId="422DE547"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$4,162</w:t>
            </w:r>
          </w:p>
        </w:tc>
        <w:tc>
          <w:tcPr>
            <w:tcW w:w="917" w:type="dxa"/>
            <w:tcBorders>
              <w:top w:val="nil"/>
              <w:left w:val="nil"/>
              <w:bottom w:val="single" w:sz="4" w:space="0" w:color="auto"/>
              <w:right w:val="single" w:sz="4" w:space="0" w:color="auto"/>
            </w:tcBorders>
            <w:shd w:val="clear" w:color="auto" w:fill="auto"/>
            <w:noWrap/>
            <w:vAlign w:val="center"/>
            <w:hideMark/>
          </w:tcPr>
          <w:p w14:paraId="75C1A843"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$3,658</w:t>
            </w:r>
          </w:p>
        </w:tc>
      </w:tr>
      <w:tr w:rsidR="00065E09" w:rsidRPr="007015B1" w14:paraId="17A459C3" w14:textId="77777777" w:rsidTr="1922062C">
        <w:trPr>
          <w:trHeight w:val="280"/>
        </w:trPr>
        <w:tc>
          <w:tcPr>
            <w:tcW w:w="685" w:type="dxa"/>
            <w:tcBorders>
              <w:top w:val="nil"/>
              <w:left w:val="single" w:sz="4" w:space="0" w:color="auto"/>
              <w:bottom w:val="single" w:sz="4" w:space="0" w:color="auto"/>
              <w:right w:val="single" w:sz="4" w:space="0" w:color="auto"/>
            </w:tcBorders>
            <w:shd w:val="clear" w:color="auto" w:fill="auto"/>
            <w:noWrap/>
            <w:vAlign w:val="center"/>
            <w:hideMark/>
          </w:tcPr>
          <w:p w14:paraId="20511B71" w14:textId="77777777" w:rsidR="00065E09" w:rsidRPr="007015B1" w:rsidRDefault="00065E09" w:rsidP="00B53673">
            <w:pPr>
              <w:keepNext/>
              <w:keepLines/>
              <w:spacing w:after="0" w:line="240" w:lineRule="auto"/>
              <w:jc w:val="center"/>
              <w:rPr>
                <w:rFonts w:eastAsia="Times New Roman" w:cs="Arial"/>
                <w:color w:val="000000"/>
                <w:sz w:val="16"/>
                <w:szCs w:val="16"/>
                <w:lang w:eastAsia="en-AU"/>
              </w:rPr>
            </w:pPr>
            <w:r w:rsidRPr="1922062C">
              <w:rPr>
                <w:rFonts w:eastAsia="Times New Roman" w:cs="Arial"/>
                <w:color w:val="000000"/>
                <w:sz w:val="16"/>
                <w:szCs w:val="16"/>
              </w:rPr>
              <w:t>243Z</w:t>
            </w:r>
          </w:p>
        </w:tc>
        <w:tc>
          <w:tcPr>
            <w:tcW w:w="7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67366" w14:textId="77777777" w:rsidR="00065E09" w:rsidRPr="007015B1" w:rsidRDefault="00065E09" w:rsidP="00B53673">
            <w:pPr>
              <w:keepNext/>
              <w:keepLines/>
              <w:spacing w:after="0" w:line="240" w:lineRule="auto"/>
              <w:rPr>
                <w:rFonts w:eastAsia="Times New Roman" w:cs="Arial"/>
                <w:color w:val="000000"/>
                <w:sz w:val="16"/>
                <w:szCs w:val="16"/>
                <w:lang w:eastAsia="en-AU"/>
              </w:rPr>
            </w:pPr>
            <w:r w:rsidRPr="1922062C">
              <w:rPr>
                <w:rFonts w:eastAsia="Times New Roman" w:cs="Arial"/>
                <w:color w:val="000000"/>
                <w:sz w:val="16"/>
                <w:szCs w:val="16"/>
              </w:rPr>
              <w:t xml:space="preserve">Community, Consolidating Gain, 65+ years, Unknown </w:t>
            </w:r>
            <w:proofErr w:type="spellStart"/>
            <w:r w:rsidRPr="1922062C">
              <w:rPr>
                <w:rFonts w:eastAsia="Times New Roman" w:cs="Arial"/>
                <w:color w:val="000000"/>
                <w:sz w:val="16"/>
                <w:szCs w:val="16"/>
              </w:rPr>
              <w:t>HoNOS</w:t>
            </w:r>
            <w:proofErr w:type="spellEnd"/>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0D5F67B"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16,639</w:t>
            </w:r>
          </w:p>
        </w:tc>
        <w:tc>
          <w:tcPr>
            <w:tcW w:w="850" w:type="dxa"/>
            <w:tcBorders>
              <w:top w:val="single" w:sz="4" w:space="0" w:color="auto"/>
              <w:left w:val="nil"/>
              <w:bottom w:val="single" w:sz="4" w:space="0" w:color="auto"/>
              <w:right w:val="nil"/>
            </w:tcBorders>
            <w:shd w:val="clear" w:color="auto" w:fill="auto"/>
            <w:noWrap/>
            <w:vAlign w:val="center"/>
            <w:hideMark/>
          </w:tcPr>
          <w:p w14:paraId="6B5DB222"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16,223</w:t>
            </w:r>
          </w:p>
        </w:tc>
        <w:tc>
          <w:tcPr>
            <w:tcW w:w="851" w:type="dxa"/>
            <w:tcBorders>
              <w:top w:val="single" w:sz="4" w:space="0" w:color="auto"/>
              <w:left w:val="nil"/>
              <w:bottom w:val="single" w:sz="4" w:space="0" w:color="auto"/>
              <w:right w:val="nil"/>
            </w:tcBorders>
            <w:shd w:val="clear" w:color="auto" w:fill="auto"/>
            <w:noWrap/>
            <w:vAlign w:val="center"/>
            <w:hideMark/>
          </w:tcPr>
          <w:p w14:paraId="0487C04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FF0000"/>
                <w:sz w:val="16"/>
                <w:szCs w:val="16"/>
              </w:rPr>
              <w:t>-416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E95736"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-3%</w:t>
            </w:r>
          </w:p>
        </w:tc>
        <w:tc>
          <w:tcPr>
            <w:tcW w:w="992" w:type="dxa"/>
            <w:tcBorders>
              <w:top w:val="nil"/>
              <w:left w:val="single" w:sz="4" w:space="0" w:color="auto"/>
              <w:bottom w:val="single" w:sz="4" w:space="0" w:color="auto"/>
              <w:right w:val="nil"/>
            </w:tcBorders>
            <w:shd w:val="clear" w:color="auto" w:fill="auto"/>
            <w:noWrap/>
            <w:vAlign w:val="center"/>
            <w:hideMark/>
          </w:tcPr>
          <w:p w14:paraId="20C39B85"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$2,160</w:t>
            </w:r>
          </w:p>
        </w:tc>
        <w:tc>
          <w:tcPr>
            <w:tcW w:w="917" w:type="dxa"/>
            <w:tcBorders>
              <w:top w:val="nil"/>
              <w:left w:val="nil"/>
              <w:bottom w:val="single" w:sz="4" w:space="0" w:color="auto"/>
              <w:right w:val="single" w:sz="4" w:space="0" w:color="auto"/>
            </w:tcBorders>
            <w:shd w:val="clear" w:color="auto" w:fill="auto"/>
            <w:noWrap/>
            <w:vAlign w:val="center"/>
            <w:hideMark/>
          </w:tcPr>
          <w:p w14:paraId="0B31FC2F" w14:textId="77777777" w:rsidR="00065E09" w:rsidRPr="007015B1" w:rsidRDefault="00065E09" w:rsidP="00B53673">
            <w:pPr>
              <w:keepNext/>
              <w:keepLines/>
              <w:spacing w:after="0" w:line="240" w:lineRule="auto"/>
              <w:jc w:val="right"/>
              <w:rPr>
                <w:rFonts w:eastAsia="Times New Roman" w:cs="Arial"/>
                <w:color w:val="000000"/>
                <w:sz w:val="16"/>
                <w:szCs w:val="16"/>
                <w:lang w:eastAsia="en-AU"/>
              </w:rPr>
            </w:pPr>
            <w:r w:rsidRPr="1922062C">
              <w:rPr>
                <w:rFonts w:eastAsia="Times New Roman" w:cs="Arial"/>
                <w:color w:val="000000"/>
                <w:sz w:val="16"/>
                <w:szCs w:val="16"/>
              </w:rPr>
              <w:t>$2,100</w:t>
            </w:r>
          </w:p>
        </w:tc>
      </w:tr>
    </w:tbl>
    <w:p w14:paraId="673F80B7" w14:textId="4DC23DE9" w:rsidR="00065E09" w:rsidRDefault="00065E09">
      <w:pPr>
        <w:sectPr w:rsidR="00065E09" w:rsidSect="007015B1">
          <w:pgSz w:w="16838" w:h="11906" w:orient="landscape" w:code="9"/>
          <w:pgMar w:top="1077" w:right="1440" w:bottom="1077" w:left="1440" w:header="709" w:footer="709" w:gutter="0"/>
          <w:cols w:space="720"/>
          <w:docGrid w:linePitch="360"/>
        </w:sectPr>
      </w:pPr>
    </w:p>
    <w:p w14:paraId="2626E14A" w14:textId="5DDD32B4" w:rsidR="00286C34" w:rsidRDefault="00D917B3" w:rsidP="003047FB">
      <w:pPr>
        <w:pStyle w:val="Heading1"/>
      </w:pPr>
      <w:bookmarkStart w:id="160" w:name="_Toc152277122"/>
      <w:bookmarkStart w:id="161" w:name="_Toc152312744"/>
      <w:bookmarkStart w:id="162" w:name="_Toc153371618"/>
      <w:r>
        <w:lastRenderedPageBreak/>
        <w:t xml:space="preserve">Appendix </w:t>
      </w:r>
      <w:r w:rsidR="00177AE4">
        <w:t>F</w:t>
      </w:r>
      <w:r>
        <w:t xml:space="preserve">: Comparison of model performance between AMHCC </w:t>
      </w:r>
      <w:r w:rsidR="007624A3">
        <w:t>V1</w:t>
      </w:r>
      <w:r>
        <w:t xml:space="preserve">.0 and AMHCC </w:t>
      </w:r>
      <w:r w:rsidR="007624A3">
        <w:t>V1</w:t>
      </w:r>
      <w:r>
        <w:t>.1</w:t>
      </w:r>
      <w:bookmarkEnd w:id="160"/>
      <w:bookmarkEnd w:id="161"/>
      <w:bookmarkEnd w:id="162"/>
    </w:p>
    <w:p w14:paraId="794B8F27" w14:textId="6F302AAA" w:rsidR="00370BA2" w:rsidRDefault="0045432A" w:rsidP="007A71ED">
      <w:r w:rsidRPr="00FC0BEC">
        <w:rPr>
          <w:b/>
          <w:bCs/>
        </w:rPr>
        <w:t>Table 1</w:t>
      </w:r>
      <w:r w:rsidR="00037196" w:rsidRPr="00FC0BEC">
        <w:rPr>
          <w:b/>
          <w:bCs/>
        </w:rPr>
        <w:t>4</w:t>
      </w:r>
      <w:r w:rsidR="006D2513">
        <w:t xml:space="preserve"> compares the model performance of AMHCC </w:t>
      </w:r>
      <w:r w:rsidR="007624A3">
        <w:t>V1</w:t>
      </w:r>
      <w:r w:rsidR="006D2513">
        <w:t xml:space="preserve">.0 </w:t>
      </w:r>
      <w:r w:rsidR="007A71ED">
        <w:t xml:space="preserve">and AMHCC </w:t>
      </w:r>
      <w:r w:rsidR="007624A3">
        <w:t>V1</w:t>
      </w:r>
      <w:r w:rsidR="007A71ED">
        <w:t xml:space="preserve">.1. </w:t>
      </w:r>
      <w:r>
        <w:t>The g</w:t>
      </w:r>
      <w:r w:rsidR="007A71ED">
        <w:t>reen-highlighted c</w:t>
      </w:r>
      <w:r>
        <w:t>olumns</w:t>
      </w:r>
      <w:r w:rsidR="007A71ED">
        <w:t xml:space="preserve"> show where AMHCC </w:t>
      </w:r>
      <w:r w:rsidR="007624A3">
        <w:t>V1</w:t>
      </w:r>
      <w:r w:rsidR="007A71ED">
        <w:t xml:space="preserve">.1 performance is the same or improved in comparison to AMHCC </w:t>
      </w:r>
      <w:r w:rsidR="007624A3">
        <w:t>V1</w:t>
      </w:r>
      <w:r w:rsidR="007A71ED">
        <w:t>.0.</w:t>
      </w:r>
      <w:r w:rsidR="00432715">
        <w:t xml:space="preserve"> </w:t>
      </w:r>
    </w:p>
    <w:p w14:paraId="27AB5407" w14:textId="04835AA6" w:rsidR="00432715" w:rsidRDefault="00370BA2" w:rsidP="007A71ED">
      <w:r>
        <w:t xml:space="preserve">Model performance was assessed at the complexity score level and the end class level. When applied at the complexity score level, the performance metrics evaluate the degree to which the complexity score in each AMHCC version predicts phase costs. When applied at the end class level, the performance metrics evaluate the predictive power of performing the split of each segment into its constituent AMHCC end classes. </w:t>
      </w:r>
      <w:r w:rsidR="00432715">
        <w:t xml:space="preserve">If no complexity split is performed on a given segment, then there is no 'End </w:t>
      </w:r>
      <w:proofErr w:type="spellStart"/>
      <w:r w:rsidR="00432715">
        <w:t>class'</w:t>
      </w:r>
      <w:proofErr w:type="spellEnd"/>
      <w:r w:rsidR="00432715">
        <w:t xml:space="preserve"> to be assessed; these cells have been highlighted in grey.</w:t>
      </w:r>
    </w:p>
    <w:p w14:paraId="1C2000F9" w14:textId="53F2C023" w:rsidR="00065E09" w:rsidRDefault="007A71ED" w:rsidP="007A71ED">
      <w:r>
        <w:t xml:space="preserve">Phases with unknown or assessment only phase type were excluded from this analysis as </w:t>
      </w:r>
      <w:r w:rsidR="00144F2A">
        <w:t xml:space="preserve">the AMHCC </w:t>
      </w:r>
      <w:r w:rsidR="007624A3">
        <w:t>V1</w:t>
      </w:r>
      <w:r w:rsidR="00144F2A">
        <w:t xml:space="preserve">.1 update will not impact </w:t>
      </w:r>
      <w:r>
        <w:t>these phases. Phases with a residential episode setting were excluded because the</w:t>
      </w:r>
      <w:r w:rsidR="00450B2E">
        <w:t>se</w:t>
      </w:r>
      <w:r>
        <w:t xml:space="preserve"> are not within the scope of the AMHCC.</w:t>
      </w:r>
      <w:r>
        <w:tab/>
      </w:r>
    </w:p>
    <w:p w14:paraId="33AD62C1" w14:textId="5AB52950" w:rsidR="006D2513" w:rsidRDefault="00065E09" w:rsidP="00065E09">
      <w:pPr>
        <w:pStyle w:val="TableFigureheading"/>
      </w:pPr>
      <w:r>
        <w:lastRenderedPageBreak/>
        <w:t xml:space="preserve">Table </w:t>
      </w:r>
      <w:r w:rsidR="00DF4F2E">
        <w:t>1</w:t>
      </w:r>
      <w:r w:rsidR="00037196">
        <w:t>4</w:t>
      </w:r>
      <w:r>
        <w:t xml:space="preserve">. Model performance comparison between AMHCC </w:t>
      </w:r>
      <w:r w:rsidR="007624A3">
        <w:t>V1</w:t>
      </w:r>
      <w:r>
        <w:t xml:space="preserve">.0 and AMHCC </w:t>
      </w:r>
      <w:r w:rsidR="007624A3">
        <w:t>V1</w:t>
      </w:r>
      <w:r>
        <w:t>.1</w:t>
      </w:r>
    </w:p>
    <w:tbl>
      <w:tblPr>
        <w:tblW w:w="5000" w:type="pct"/>
        <w:tblBorders>
          <w:top w:val="single" w:sz="4" w:space="0" w:color="15272F" w:themeColor="text2"/>
          <w:left w:val="single" w:sz="4" w:space="0" w:color="15272F" w:themeColor="text2"/>
          <w:bottom w:val="single" w:sz="4" w:space="0" w:color="15272F" w:themeColor="text2"/>
          <w:right w:val="single" w:sz="4" w:space="0" w:color="15272F" w:themeColor="text2"/>
          <w:insideH w:val="single" w:sz="4" w:space="0" w:color="15272F" w:themeColor="text2"/>
          <w:insideV w:val="single" w:sz="4" w:space="0" w:color="15272F" w:themeColor="text2"/>
        </w:tblBorders>
        <w:tblLook w:val="04A0" w:firstRow="1" w:lastRow="0" w:firstColumn="1" w:lastColumn="0" w:noHBand="0" w:noVBand="1"/>
      </w:tblPr>
      <w:tblGrid>
        <w:gridCol w:w="2822"/>
        <w:gridCol w:w="865"/>
        <w:gridCol w:w="865"/>
        <w:gridCol w:w="321"/>
        <w:gridCol w:w="544"/>
        <w:gridCol w:w="662"/>
        <w:gridCol w:w="201"/>
        <w:gridCol w:w="863"/>
        <w:gridCol w:w="156"/>
        <w:gridCol w:w="707"/>
        <w:gridCol w:w="512"/>
        <w:gridCol w:w="351"/>
        <w:gridCol w:w="873"/>
      </w:tblGrid>
      <w:tr w:rsidR="0046665F" w:rsidRPr="006D2513" w14:paraId="4EB55EEA" w14:textId="77777777" w:rsidTr="005B1EE7">
        <w:trPr>
          <w:trHeight w:val="279"/>
          <w:tblHeader/>
        </w:trPr>
        <w:tc>
          <w:tcPr>
            <w:tcW w:w="1448" w:type="pct"/>
            <w:tcBorders>
              <w:right w:val="single" w:sz="4" w:space="0" w:color="FFFFFF" w:themeColor="background2"/>
            </w:tcBorders>
            <w:shd w:val="clear" w:color="auto" w:fill="15272F" w:themeFill="accent1"/>
            <w:noWrap/>
            <w:vAlign w:val="center"/>
          </w:tcPr>
          <w:p w14:paraId="2DFA04A0" w14:textId="00C857F9" w:rsidR="0046665F" w:rsidRPr="007246EC" w:rsidRDefault="0046665F" w:rsidP="0046665F">
            <w:pPr>
              <w:spacing w:after="0" w:line="240" w:lineRule="auto"/>
              <w:rPr>
                <w:rFonts w:eastAsia="Times New Roman" w:cs="Arial"/>
                <w:b/>
                <w:bCs/>
                <w:color w:val="auto"/>
                <w:sz w:val="18"/>
                <w:szCs w:val="18"/>
              </w:rPr>
            </w:pPr>
            <w:r w:rsidRPr="001A1C14">
              <w:rPr>
                <w:rFonts w:eastAsia="Times New Roman" w:cs="Arial"/>
                <w:b/>
                <w:bCs/>
                <w:color w:val="FFFFFF" w:themeColor="accent6"/>
                <w:sz w:val="18"/>
                <w:szCs w:val="18"/>
              </w:rPr>
              <w:t>Metric</w:t>
            </w:r>
          </w:p>
        </w:tc>
        <w:tc>
          <w:tcPr>
            <w:tcW w:w="1775" w:type="pct"/>
            <w:gridSpan w:val="6"/>
            <w:tcBorders>
              <w:left w:val="single" w:sz="4" w:space="0" w:color="FFFFFF" w:themeColor="background2"/>
              <w:right w:val="single" w:sz="4" w:space="0" w:color="FFFFFF" w:themeColor="background2"/>
            </w:tcBorders>
            <w:shd w:val="clear" w:color="auto" w:fill="15272F" w:themeFill="accent1"/>
            <w:noWrap/>
            <w:vAlign w:val="center"/>
          </w:tcPr>
          <w:p w14:paraId="15C18776" w14:textId="7D10CBC8" w:rsidR="0046665F" w:rsidRPr="007246EC" w:rsidRDefault="0046665F" w:rsidP="0046665F">
            <w:pPr>
              <w:spacing w:after="0" w:line="240" w:lineRule="auto"/>
              <w:jc w:val="center"/>
              <w:rPr>
                <w:rFonts w:eastAsia="Times New Roman" w:cs="Arial"/>
                <w:b/>
                <w:bCs/>
                <w:color w:val="auto"/>
                <w:sz w:val="18"/>
                <w:szCs w:val="18"/>
              </w:rPr>
            </w:pPr>
            <w:r w:rsidRPr="001A1C14">
              <w:rPr>
                <w:rFonts w:eastAsia="Times New Roman" w:cs="Arial"/>
                <w:b/>
                <w:bCs/>
                <w:color w:val="FFFFFF" w:themeColor="accent6"/>
                <w:sz w:val="18"/>
                <w:szCs w:val="18"/>
              </w:rPr>
              <w:t>Area under gains ratio</w:t>
            </w:r>
          </w:p>
        </w:tc>
        <w:tc>
          <w:tcPr>
            <w:tcW w:w="886" w:type="pct"/>
            <w:gridSpan w:val="3"/>
            <w:tcBorders>
              <w:left w:val="single" w:sz="4" w:space="0" w:color="FFFFFF" w:themeColor="background2"/>
              <w:right w:val="single" w:sz="4" w:space="0" w:color="FFFFFF" w:themeColor="background2"/>
            </w:tcBorders>
            <w:shd w:val="clear" w:color="auto" w:fill="15272F" w:themeFill="accent1"/>
            <w:noWrap/>
            <w:vAlign w:val="center"/>
          </w:tcPr>
          <w:p w14:paraId="3C767DD4" w14:textId="14CB7561" w:rsidR="0046665F" w:rsidRPr="007246EC" w:rsidRDefault="0046665F" w:rsidP="0046665F">
            <w:pPr>
              <w:spacing w:after="0" w:line="240" w:lineRule="auto"/>
              <w:jc w:val="center"/>
              <w:rPr>
                <w:rFonts w:eastAsia="Times New Roman" w:cs="Arial"/>
                <w:b/>
                <w:bCs/>
                <w:color w:val="auto"/>
                <w:sz w:val="18"/>
                <w:szCs w:val="18"/>
              </w:rPr>
            </w:pPr>
            <w:r w:rsidRPr="001A1C14">
              <w:rPr>
                <w:rFonts w:eastAsia="Times New Roman" w:cs="Arial"/>
                <w:b/>
                <w:bCs/>
                <w:color w:val="FFFFFF" w:themeColor="accent6"/>
                <w:sz w:val="18"/>
                <w:szCs w:val="18"/>
              </w:rPr>
              <w:t>R-squared</w:t>
            </w:r>
          </w:p>
        </w:tc>
        <w:tc>
          <w:tcPr>
            <w:tcW w:w="891" w:type="pct"/>
            <w:gridSpan w:val="3"/>
            <w:tcBorders>
              <w:left w:val="single" w:sz="4" w:space="0" w:color="FFFFFF" w:themeColor="background2"/>
            </w:tcBorders>
            <w:shd w:val="clear" w:color="auto" w:fill="15272F" w:themeFill="accent1"/>
            <w:noWrap/>
            <w:vAlign w:val="center"/>
          </w:tcPr>
          <w:p w14:paraId="28C5FE31" w14:textId="51B3570F" w:rsidR="0046665F" w:rsidRPr="007246EC" w:rsidRDefault="0046665F" w:rsidP="0046665F">
            <w:pPr>
              <w:spacing w:after="0" w:line="240" w:lineRule="auto"/>
              <w:jc w:val="center"/>
              <w:rPr>
                <w:rFonts w:eastAsia="Times New Roman" w:cs="Arial"/>
                <w:b/>
                <w:bCs/>
                <w:color w:val="auto"/>
                <w:sz w:val="18"/>
                <w:szCs w:val="18"/>
              </w:rPr>
            </w:pPr>
            <w:r w:rsidRPr="001A1C14">
              <w:rPr>
                <w:rFonts w:eastAsia="Times New Roman" w:cs="Arial"/>
                <w:b/>
                <w:bCs/>
                <w:color w:val="FFFFFF" w:themeColor="accent6"/>
                <w:sz w:val="18"/>
                <w:szCs w:val="18"/>
              </w:rPr>
              <w:t>RID</w:t>
            </w:r>
          </w:p>
        </w:tc>
      </w:tr>
      <w:tr w:rsidR="0046665F" w:rsidRPr="006D2513" w14:paraId="0BB0ECD5" w14:textId="77777777" w:rsidTr="00F32A89">
        <w:trPr>
          <w:trHeight w:val="279"/>
          <w:tblHeader/>
        </w:trPr>
        <w:tc>
          <w:tcPr>
            <w:tcW w:w="1448" w:type="pct"/>
            <w:shd w:val="clear" w:color="auto" w:fill="DFEBF1" w:themeFill="accent1" w:themeFillTint="1A"/>
            <w:noWrap/>
            <w:vAlign w:val="center"/>
            <w:hideMark/>
          </w:tcPr>
          <w:p w14:paraId="39A24013" w14:textId="77777777" w:rsidR="0046665F" w:rsidRPr="007246EC" w:rsidRDefault="0046665F" w:rsidP="0046665F">
            <w:pPr>
              <w:spacing w:after="0" w:line="240" w:lineRule="auto"/>
              <w:rPr>
                <w:color w:val="auto"/>
              </w:rPr>
            </w:pPr>
            <w:r w:rsidRPr="007246EC">
              <w:rPr>
                <w:rFonts w:eastAsia="Times New Roman" w:cs="Arial"/>
                <w:b/>
                <w:bCs/>
                <w:color w:val="auto"/>
                <w:sz w:val="18"/>
                <w:szCs w:val="18"/>
              </w:rPr>
              <w:t>Grouping</w:t>
            </w:r>
          </w:p>
        </w:tc>
        <w:tc>
          <w:tcPr>
            <w:tcW w:w="888" w:type="pct"/>
            <w:gridSpan w:val="2"/>
            <w:shd w:val="clear" w:color="auto" w:fill="DFEBF1" w:themeFill="accent1" w:themeFillTint="1A"/>
            <w:noWrap/>
            <w:vAlign w:val="center"/>
            <w:hideMark/>
          </w:tcPr>
          <w:p w14:paraId="2080DFDD"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Complexity score</w:t>
            </w:r>
          </w:p>
        </w:tc>
        <w:tc>
          <w:tcPr>
            <w:tcW w:w="887" w:type="pct"/>
            <w:gridSpan w:val="4"/>
            <w:shd w:val="clear" w:color="auto" w:fill="DFEBF1" w:themeFill="accent1" w:themeFillTint="1A"/>
            <w:noWrap/>
            <w:vAlign w:val="center"/>
            <w:hideMark/>
          </w:tcPr>
          <w:p w14:paraId="0B18D54A"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End class</w:t>
            </w:r>
          </w:p>
        </w:tc>
        <w:tc>
          <w:tcPr>
            <w:tcW w:w="886" w:type="pct"/>
            <w:gridSpan w:val="3"/>
            <w:shd w:val="clear" w:color="auto" w:fill="DFEBF1" w:themeFill="accent1" w:themeFillTint="1A"/>
            <w:noWrap/>
            <w:vAlign w:val="center"/>
            <w:hideMark/>
          </w:tcPr>
          <w:p w14:paraId="52BB2D9B"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End class</w:t>
            </w:r>
          </w:p>
        </w:tc>
        <w:tc>
          <w:tcPr>
            <w:tcW w:w="891" w:type="pct"/>
            <w:gridSpan w:val="3"/>
            <w:shd w:val="clear" w:color="auto" w:fill="DFEBF1" w:themeFill="accent1" w:themeFillTint="1A"/>
            <w:noWrap/>
            <w:vAlign w:val="center"/>
            <w:hideMark/>
          </w:tcPr>
          <w:p w14:paraId="71D17636"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End class</w:t>
            </w:r>
          </w:p>
        </w:tc>
      </w:tr>
      <w:tr w:rsidR="0046665F" w:rsidRPr="006D2513" w14:paraId="731D47DC" w14:textId="77777777" w:rsidTr="00F32A89">
        <w:trPr>
          <w:trHeight w:val="279"/>
          <w:tblHeader/>
        </w:trPr>
        <w:tc>
          <w:tcPr>
            <w:tcW w:w="1448" w:type="pct"/>
            <w:shd w:val="clear" w:color="auto" w:fill="DFEBF1" w:themeFill="accent1" w:themeFillTint="1A"/>
            <w:noWrap/>
            <w:vAlign w:val="center"/>
            <w:hideMark/>
          </w:tcPr>
          <w:p w14:paraId="1D7A5A8F" w14:textId="77777777" w:rsidR="0046665F" w:rsidRPr="007246EC" w:rsidRDefault="0046665F" w:rsidP="0046665F">
            <w:pPr>
              <w:spacing w:after="0" w:line="240" w:lineRule="auto"/>
              <w:rPr>
                <w:rFonts w:eastAsia="Times New Roman" w:cs="Arial"/>
                <w:b/>
                <w:bCs/>
                <w:color w:val="auto"/>
                <w:sz w:val="18"/>
                <w:szCs w:val="18"/>
                <w:lang w:eastAsia="en-AU"/>
              </w:rPr>
            </w:pPr>
            <w:r w:rsidRPr="007246EC">
              <w:rPr>
                <w:rFonts w:eastAsia="Times New Roman" w:cs="Arial"/>
                <w:b/>
                <w:bCs/>
                <w:color w:val="auto"/>
                <w:sz w:val="18"/>
                <w:szCs w:val="18"/>
              </w:rPr>
              <w:t>AMHCC version</w:t>
            </w:r>
          </w:p>
        </w:tc>
        <w:tc>
          <w:tcPr>
            <w:tcW w:w="444" w:type="pct"/>
            <w:tcBorders>
              <w:bottom w:val="single" w:sz="4" w:space="0" w:color="15272F" w:themeColor="text2"/>
            </w:tcBorders>
            <w:shd w:val="clear" w:color="auto" w:fill="DFEBF1" w:themeFill="accent1" w:themeFillTint="1A"/>
            <w:noWrap/>
            <w:vAlign w:val="center"/>
            <w:hideMark/>
          </w:tcPr>
          <w:p w14:paraId="79F0D5BF"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V1.0</w:t>
            </w:r>
          </w:p>
        </w:tc>
        <w:tc>
          <w:tcPr>
            <w:tcW w:w="444" w:type="pct"/>
            <w:tcBorders>
              <w:bottom w:val="single" w:sz="4" w:space="0" w:color="15272F" w:themeColor="text2"/>
            </w:tcBorders>
            <w:shd w:val="clear" w:color="auto" w:fill="DFEBF1" w:themeFill="accent1" w:themeFillTint="1A"/>
            <w:noWrap/>
            <w:vAlign w:val="center"/>
            <w:hideMark/>
          </w:tcPr>
          <w:p w14:paraId="2744EA43"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V1.1</w:t>
            </w:r>
          </w:p>
        </w:tc>
        <w:tc>
          <w:tcPr>
            <w:tcW w:w="444" w:type="pct"/>
            <w:gridSpan w:val="2"/>
            <w:tcBorders>
              <w:bottom w:val="single" w:sz="4" w:space="0" w:color="15272F" w:themeColor="text2"/>
            </w:tcBorders>
            <w:shd w:val="clear" w:color="auto" w:fill="DFEBF1" w:themeFill="accent1" w:themeFillTint="1A"/>
            <w:noWrap/>
            <w:vAlign w:val="center"/>
            <w:hideMark/>
          </w:tcPr>
          <w:p w14:paraId="19DBD925"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V1.0</w:t>
            </w:r>
          </w:p>
        </w:tc>
        <w:tc>
          <w:tcPr>
            <w:tcW w:w="443" w:type="pct"/>
            <w:gridSpan w:val="2"/>
            <w:tcBorders>
              <w:bottom w:val="single" w:sz="4" w:space="0" w:color="15272F" w:themeColor="text2"/>
            </w:tcBorders>
            <w:shd w:val="clear" w:color="auto" w:fill="DFEBF1" w:themeFill="accent1" w:themeFillTint="1A"/>
            <w:noWrap/>
            <w:vAlign w:val="center"/>
            <w:hideMark/>
          </w:tcPr>
          <w:p w14:paraId="22261AE3"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V1.1</w:t>
            </w:r>
          </w:p>
        </w:tc>
        <w:tc>
          <w:tcPr>
            <w:tcW w:w="443" w:type="pct"/>
            <w:tcBorders>
              <w:bottom w:val="single" w:sz="4" w:space="0" w:color="15272F" w:themeColor="text2"/>
            </w:tcBorders>
            <w:shd w:val="clear" w:color="auto" w:fill="DFEBF1" w:themeFill="accent1" w:themeFillTint="1A"/>
            <w:noWrap/>
            <w:vAlign w:val="center"/>
            <w:hideMark/>
          </w:tcPr>
          <w:p w14:paraId="2AE24404"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V1.0</w:t>
            </w:r>
          </w:p>
        </w:tc>
        <w:tc>
          <w:tcPr>
            <w:tcW w:w="443" w:type="pct"/>
            <w:gridSpan w:val="2"/>
            <w:tcBorders>
              <w:bottom w:val="single" w:sz="4" w:space="0" w:color="15272F" w:themeColor="text2"/>
            </w:tcBorders>
            <w:shd w:val="clear" w:color="auto" w:fill="DFEBF1" w:themeFill="accent1" w:themeFillTint="1A"/>
            <w:noWrap/>
            <w:vAlign w:val="center"/>
            <w:hideMark/>
          </w:tcPr>
          <w:p w14:paraId="45582738"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V1.1</w:t>
            </w:r>
          </w:p>
        </w:tc>
        <w:tc>
          <w:tcPr>
            <w:tcW w:w="443" w:type="pct"/>
            <w:gridSpan w:val="2"/>
            <w:tcBorders>
              <w:bottom w:val="single" w:sz="4" w:space="0" w:color="15272F" w:themeColor="text2"/>
            </w:tcBorders>
            <w:shd w:val="clear" w:color="auto" w:fill="DFEBF1" w:themeFill="accent1" w:themeFillTint="1A"/>
            <w:noWrap/>
            <w:vAlign w:val="center"/>
            <w:hideMark/>
          </w:tcPr>
          <w:p w14:paraId="61E55A0C"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V1.0</w:t>
            </w:r>
          </w:p>
        </w:tc>
        <w:tc>
          <w:tcPr>
            <w:tcW w:w="448" w:type="pct"/>
            <w:tcBorders>
              <w:bottom w:val="single" w:sz="4" w:space="0" w:color="15272F" w:themeColor="text2"/>
            </w:tcBorders>
            <w:shd w:val="clear" w:color="auto" w:fill="DFEBF1" w:themeFill="accent1" w:themeFillTint="1A"/>
            <w:noWrap/>
            <w:vAlign w:val="center"/>
            <w:hideMark/>
          </w:tcPr>
          <w:p w14:paraId="36BC5BDF" w14:textId="77777777" w:rsidR="0046665F" w:rsidRPr="007246EC" w:rsidRDefault="0046665F" w:rsidP="0046665F">
            <w:pPr>
              <w:spacing w:after="0" w:line="240" w:lineRule="auto"/>
              <w:jc w:val="center"/>
              <w:rPr>
                <w:rFonts w:eastAsia="Times New Roman" w:cs="Arial"/>
                <w:b/>
                <w:bCs/>
                <w:color w:val="auto"/>
                <w:sz w:val="18"/>
                <w:szCs w:val="18"/>
                <w:lang w:eastAsia="en-AU"/>
              </w:rPr>
            </w:pPr>
            <w:r w:rsidRPr="007246EC">
              <w:rPr>
                <w:rFonts w:eastAsia="Times New Roman" w:cs="Arial"/>
                <w:b/>
                <w:bCs/>
                <w:color w:val="auto"/>
                <w:sz w:val="18"/>
                <w:szCs w:val="18"/>
              </w:rPr>
              <w:t>V1.1</w:t>
            </w:r>
          </w:p>
        </w:tc>
      </w:tr>
      <w:tr w:rsidR="00F32A89" w:rsidRPr="006D2513" w14:paraId="3A54C7DD" w14:textId="77777777" w:rsidTr="00F32A89">
        <w:trPr>
          <w:trHeight w:val="279"/>
          <w:tblHeader/>
        </w:trPr>
        <w:tc>
          <w:tcPr>
            <w:tcW w:w="1448" w:type="pct"/>
            <w:shd w:val="clear" w:color="auto" w:fill="auto"/>
            <w:noWrap/>
            <w:vAlign w:val="center"/>
            <w:hideMark/>
          </w:tcPr>
          <w:p w14:paraId="455AB88F"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Overall</w:t>
            </w:r>
          </w:p>
        </w:tc>
        <w:tc>
          <w:tcPr>
            <w:tcW w:w="444" w:type="pct"/>
            <w:tcBorders>
              <w:bottom w:val="nil"/>
              <w:right w:val="nil"/>
            </w:tcBorders>
            <w:shd w:val="clear" w:color="auto" w:fill="auto"/>
            <w:noWrap/>
            <w:vAlign w:val="center"/>
            <w:hideMark/>
          </w:tcPr>
          <w:p w14:paraId="446726A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17.4%</w:t>
            </w:r>
          </w:p>
        </w:tc>
        <w:tc>
          <w:tcPr>
            <w:tcW w:w="444" w:type="pct"/>
            <w:tcBorders>
              <w:left w:val="nil"/>
              <w:bottom w:val="nil"/>
            </w:tcBorders>
            <w:shd w:val="clear" w:color="000000" w:fill="DCF2EE"/>
            <w:noWrap/>
            <w:vAlign w:val="center"/>
            <w:hideMark/>
          </w:tcPr>
          <w:p w14:paraId="4443CE2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21.2%</w:t>
            </w:r>
          </w:p>
        </w:tc>
        <w:tc>
          <w:tcPr>
            <w:tcW w:w="444" w:type="pct"/>
            <w:gridSpan w:val="2"/>
            <w:tcBorders>
              <w:bottom w:val="nil"/>
              <w:right w:val="nil"/>
            </w:tcBorders>
            <w:shd w:val="clear" w:color="auto" w:fill="auto"/>
            <w:noWrap/>
            <w:vAlign w:val="center"/>
            <w:hideMark/>
          </w:tcPr>
          <w:p w14:paraId="7848B26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59.3%</w:t>
            </w:r>
          </w:p>
        </w:tc>
        <w:tc>
          <w:tcPr>
            <w:tcW w:w="443" w:type="pct"/>
            <w:gridSpan w:val="2"/>
            <w:tcBorders>
              <w:left w:val="nil"/>
              <w:bottom w:val="nil"/>
            </w:tcBorders>
            <w:shd w:val="clear" w:color="000000" w:fill="DCF2EE"/>
            <w:noWrap/>
            <w:vAlign w:val="center"/>
            <w:hideMark/>
          </w:tcPr>
          <w:p w14:paraId="17F17D3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60.2%</w:t>
            </w:r>
          </w:p>
        </w:tc>
        <w:tc>
          <w:tcPr>
            <w:tcW w:w="443" w:type="pct"/>
            <w:tcBorders>
              <w:bottom w:val="nil"/>
              <w:right w:val="nil"/>
            </w:tcBorders>
            <w:shd w:val="clear" w:color="auto" w:fill="auto"/>
            <w:noWrap/>
            <w:vAlign w:val="center"/>
            <w:hideMark/>
          </w:tcPr>
          <w:p w14:paraId="265CEE9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36.5%</w:t>
            </w:r>
          </w:p>
        </w:tc>
        <w:tc>
          <w:tcPr>
            <w:tcW w:w="443" w:type="pct"/>
            <w:gridSpan w:val="2"/>
            <w:tcBorders>
              <w:left w:val="nil"/>
              <w:bottom w:val="nil"/>
            </w:tcBorders>
            <w:shd w:val="clear" w:color="auto" w:fill="DCF2EE" w:themeFill="accent5" w:themeFillTint="33"/>
            <w:noWrap/>
            <w:vAlign w:val="center"/>
            <w:hideMark/>
          </w:tcPr>
          <w:p w14:paraId="5638C66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37.2%</w:t>
            </w:r>
          </w:p>
        </w:tc>
        <w:tc>
          <w:tcPr>
            <w:tcW w:w="443" w:type="pct"/>
            <w:gridSpan w:val="2"/>
            <w:tcBorders>
              <w:bottom w:val="nil"/>
              <w:right w:val="nil"/>
            </w:tcBorders>
            <w:shd w:val="clear" w:color="auto" w:fill="auto"/>
            <w:noWrap/>
            <w:vAlign w:val="center"/>
            <w:hideMark/>
          </w:tcPr>
          <w:p w14:paraId="5B20512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38.9%</w:t>
            </w:r>
          </w:p>
        </w:tc>
        <w:tc>
          <w:tcPr>
            <w:tcW w:w="448" w:type="pct"/>
            <w:tcBorders>
              <w:left w:val="nil"/>
              <w:bottom w:val="nil"/>
            </w:tcBorders>
            <w:shd w:val="clear" w:color="auto" w:fill="DCF2EE" w:themeFill="accent5" w:themeFillTint="33"/>
            <w:noWrap/>
            <w:vAlign w:val="center"/>
            <w:hideMark/>
          </w:tcPr>
          <w:p w14:paraId="01D743E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39.7%</w:t>
            </w:r>
          </w:p>
        </w:tc>
      </w:tr>
      <w:tr w:rsidR="00F32A89" w:rsidRPr="006D2513" w14:paraId="5DF9BCF1" w14:textId="77777777" w:rsidTr="00F32A89">
        <w:trPr>
          <w:trHeight w:val="279"/>
          <w:tblHeader/>
        </w:trPr>
        <w:tc>
          <w:tcPr>
            <w:tcW w:w="1448" w:type="pct"/>
            <w:shd w:val="clear" w:color="auto" w:fill="auto"/>
            <w:noWrap/>
            <w:vAlign w:val="center"/>
            <w:hideMark/>
          </w:tcPr>
          <w:p w14:paraId="6184460C"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Admitted</w:t>
            </w:r>
          </w:p>
        </w:tc>
        <w:tc>
          <w:tcPr>
            <w:tcW w:w="444" w:type="pct"/>
            <w:tcBorders>
              <w:top w:val="nil"/>
              <w:bottom w:val="nil"/>
              <w:right w:val="nil"/>
            </w:tcBorders>
            <w:shd w:val="clear" w:color="auto" w:fill="auto"/>
            <w:noWrap/>
            <w:vAlign w:val="center"/>
            <w:hideMark/>
          </w:tcPr>
          <w:p w14:paraId="2A80264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15.7%</w:t>
            </w:r>
          </w:p>
        </w:tc>
        <w:tc>
          <w:tcPr>
            <w:tcW w:w="444" w:type="pct"/>
            <w:tcBorders>
              <w:top w:val="nil"/>
              <w:left w:val="nil"/>
              <w:bottom w:val="nil"/>
            </w:tcBorders>
            <w:shd w:val="clear" w:color="000000" w:fill="DCF2EE"/>
            <w:noWrap/>
            <w:vAlign w:val="center"/>
            <w:hideMark/>
          </w:tcPr>
          <w:p w14:paraId="11487B0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27.1%</w:t>
            </w:r>
          </w:p>
        </w:tc>
        <w:tc>
          <w:tcPr>
            <w:tcW w:w="444" w:type="pct"/>
            <w:gridSpan w:val="2"/>
            <w:tcBorders>
              <w:top w:val="nil"/>
              <w:bottom w:val="nil"/>
              <w:right w:val="nil"/>
            </w:tcBorders>
            <w:shd w:val="clear" w:color="auto" w:fill="auto"/>
            <w:noWrap/>
            <w:vAlign w:val="center"/>
            <w:hideMark/>
          </w:tcPr>
          <w:p w14:paraId="24A4BF9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34.9%</w:t>
            </w:r>
          </w:p>
        </w:tc>
        <w:tc>
          <w:tcPr>
            <w:tcW w:w="443" w:type="pct"/>
            <w:gridSpan w:val="2"/>
            <w:tcBorders>
              <w:top w:val="nil"/>
              <w:left w:val="nil"/>
              <w:bottom w:val="nil"/>
            </w:tcBorders>
            <w:shd w:val="clear" w:color="000000" w:fill="DCF2EE"/>
            <w:noWrap/>
            <w:vAlign w:val="center"/>
            <w:hideMark/>
          </w:tcPr>
          <w:p w14:paraId="5F55F97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37.5%</w:t>
            </w:r>
          </w:p>
        </w:tc>
        <w:tc>
          <w:tcPr>
            <w:tcW w:w="443" w:type="pct"/>
            <w:tcBorders>
              <w:top w:val="nil"/>
              <w:bottom w:val="nil"/>
              <w:right w:val="nil"/>
            </w:tcBorders>
            <w:shd w:val="clear" w:color="auto" w:fill="auto"/>
            <w:noWrap/>
            <w:vAlign w:val="center"/>
            <w:hideMark/>
          </w:tcPr>
          <w:p w14:paraId="0050114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12.0%</w:t>
            </w:r>
          </w:p>
        </w:tc>
        <w:tc>
          <w:tcPr>
            <w:tcW w:w="443" w:type="pct"/>
            <w:gridSpan w:val="2"/>
            <w:tcBorders>
              <w:top w:val="nil"/>
              <w:left w:val="nil"/>
              <w:bottom w:val="nil"/>
            </w:tcBorders>
            <w:shd w:val="clear" w:color="auto" w:fill="DCF2EE" w:themeFill="accent5" w:themeFillTint="33"/>
            <w:noWrap/>
            <w:vAlign w:val="center"/>
            <w:hideMark/>
          </w:tcPr>
          <w:p w14:paraId="1AB318A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13.7%</w:t>
            </w:r>
          </w:p>
        </w:tc>
        <w:tc>
          <w:tcPr>
            <w:tcW w:w="443" w:type="pct"/>
            <w:gridSpan w:val="2"/>
            <w:tcBorders>
              <w:top w:val="nil"/>
              <w:bottom w:val="nil"/>
              <w:right w:val="nil"/>
            </w:tcBorders>
            <w:shd w:val="clear" w:color="auto" w:fill="auto"/>
            <w:noWrap/>
            <w:vAlign w:val="center"/>
            <w:hideMark/>
          </w:tcPr>
          <w:p w14:paraId="63C6567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12.5%</w:t>
            </w:r>
          </w:p>
        </w:tc>
        <w:tc>
          <w:tcPr>
            <w:tcW w:w="448" w:type="pct"/>
            <w:tcBorders>
              <w:top w:val="nil"/>
              <w:left w:val="nil"/>
              <w:bottom w:val="nil"/>
            </w:tcBorders>
            <w:shd w:val="clear" w:color="auto" w:fill="DCF2EE" w:themeFill="accent5" w:themeFillTint="33"/>
            <w:noWrap/>
            <w:vAlign w:val="center"/>
            <w:hideMark/>
          </w:tcPr>
          <w:p w14:paraId="4AEF6B7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14.0%</w:t>
            </w:r>
          </w:p>
        </w:tc>
      </w:tr>
      <w:tr w:rsidR="00F32A89" w:rsidRPr="006D2513" w14:paraId="15234615" w14:textId="77777777" w:rsidTr="00F32A89">
        <w:trPr>
          <w:trHeight w:val="279"/>
          <w:tblHeader/>
        </w:trPr>
        <w:tc>
          <w:tcPr>
            <w:tcW w:w="1448" w:type="pct"/>
            <w:shd w:val="clear" w:color="auto" w:fill="auto"/>
            <w:noWrap/>
            <w:vAlign w:val="center"/>
            <w:hideMark/>
          </w:tcPr>
          <w:p w14:paraId="50D26329"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Community</w:t>
            </w:r>
          </w:p>
        </w:tc>
        <w:tc>
          <w:tcPr>
            <w:tcW w:w="444" w:type="pct"/>
            <w:tcBorders>
              <w:top w:val="nil"/>
              <w:right w:val="nil"/>
            </w:tcBorders>
            <w:shd w:val="clear" w:color="auto" w:fill="auto"/>
            <w:noWrap/>
            <w:vAlign w:val="center"/>
            <w:hideMark/>
          </w:tcPr>
          <w:p w14:paraId="3232EE2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5.0%</w:t>
            </w:r>
          </w:p>
        </w:tc>
        <w:tc>
          <w:tcPr>
            <w:tcW w:w="444" w:type="pct"/>
            <w:tcBorders>
              <w:top w:val="nil"/>
              <w:left w:val="nil"/>
            </w:tcBorders>
            <w:shd w:val="clear" w:color="000000" w:fill="DCF2EE"/>
            <w:noWrap/>
            <w:vAlign w:val="center"/>
            <w:hideMark/>
          </w:tcPr>
          <w:p w14:paraId="66E7AC0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13.3%</w:t>
            </w:r>
          </w:p>
        </w:tc>
        <w:tc>
          <w:tcPr>
            <w:tcW w:w="444" w:type="pct"/>
            <w:gridSpan w:val="2"/>
            <w:tcBorders>
              <w:top w:val="nil"/>
              <w:right w:val="nil"/>
            </w:tcBorders>
            <w:shd w:val="clear" w:color="auto" w:fill="auto"/>
            <w:noWrap/>
            <w:vAlign w:val="center"/>
            <w:hideMark/>
          </w:tcPr>
          <w:p w14:paraId="60BF828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30.8%</w:t>
            </w:r>
          </w:p>
        </w:tc>
        <w:tc>
          <w:tcPr>
            <w:tcW w:w="443" w:type="pct"/>
            <w:gridSpan w:val="2"/>
            <w:tcBorders>
              <w:top w:val="nil"/>
              <w:left w:val="nil"/>
            </w:tcBorders>
            <w:shd w:val="clear" w:color="000000" w:fill="DCF2EE"/>
            <w:noWrap/>
            <w:vAlign w:val="center"/>
            <w:hideMark/>
          </w:tcPr>
          <w:p w14:paraId="2DFF43C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32.5%</w:t>
            </w:r>
          </w:p>
        </w:tc>
        <w:tc>
          <w:tcPr>
            <w:tcW w:w="443" w:type="pct"/>
            <w:tcBorders>
              <w:top w:val="nil"/>
              <w:right w:val="nil"/>
            </w:tcBorders>
            <w:shd w:val="clear" w:color="auto" w:fill="auto"/>
            <w:noWrap/>
            <w:vAlign w:val="center"/>
            <w:hideMark/>
          </w:tcPr>
          <w:p w14:paraId="34D898E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9.7%</w:t>
            </w:r>
          </w:p>
        </w:tc>
        <w:tc>
          <w:tcPr>
            <w:tcW w:w="443" w:type="pct"/>
            <w:gridSpan w:val="2"/>
            <w:tcBorders>
              <w:top w:val="nil"/>
              <w:left w:val="nil"/>
            </w:tcBorders>
            <w:shd w:val="clear" w:color="auto" w:fill="DCF2EE" w:themeFill="accent5" w:themeFillTint="33"/>
            <w:noWrap/>
            <w:vAlign w:val="center"/>
            <w:hideMark/>
          </w:tcPr>
          <w:p w14:paraId="746F1E8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10.6%</w:t>
            </w:r>
          </w:p>
        </w:tc>
        <w:tc>
          <w:tcPr>
            <w:tcW w:w="443" w:type="pct"/>
            <w:gridSpan w:val="2"/>
            <w:tcBorders>
              <w:top w:val="nil"/>
              <w:right w:val="nil"/>
            </w:tcBorders>
            <w:shd w:val="clear" w:color="auto" w:fill="auto"/>
            <w:noWrap/>
            <w:vAlign w:val="center"/>
            <w:hideMark/>
          </w:tcPr>
          <w:p w14:paraId="65F1F80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10.8%</w:t>
            </w:r>
          </w:p>
        </w:tc>
        <w:tc>
          <w:tcPr>
            <w:tcW w:w="448" w:type="pct"/>
            <w:tcBorders>
              <w:top w:val="nil"/>
              <w:left w:val="nil"/>
            </w:tcBorders>
            <w:shd w:val="clear" w:color="auto" w:fill="DCF2EE" w:themeFill="accent5" w:themeFillTint="33"/>
            <w:noWrap/>
            <w:vAlign w:val="center"/>
            <w:hideMark/>
          </w:tcPr>
          <w:p w14:paraId="0EC4209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11.9%</w:t>
            </w:r>
          </w:p>
        </w:tc>
      </w:tr>
      <w:tr w:rsidR="0046665F" w:rsidRPr="006D2513" w14:paraId="2BFF0837" w14:textId="77777777" w:rsidTr="00F32A89">
        <w:trPr>
          <w:trHeight w:val="279"/>
          <w:tblHeader/>
        </w:trPr>
        <w:tc>
          <w:tcPr>
            <w:tcW w:w="1448" w:type="pct"/>
            <w:tcBorders>
              <w:bottom w:val="single" w:sz="4" w:space="0" w:color="15272F" w:themeColor="text2"/>
            </w:tcBorders>
            <w:shd w:val="clear" w:color="auto" w:fill="15272F" w:themeFill="accent1"/>
            <w:noWrap/>
            <w:vAlign w:val="center"/>
            <w:hideMark/>
          </w:tcPr>
          <w:p w14:paraId="05444576" w14:textId="77777777" w:rsidR="0046665F" w:rsidRPr="006D2513" w:rsidRDefault="0046665F" w:rsidP="0046665F">
            <w:pPr>
              <w:spacing w:after="0" w:line="240" w:lineRule="auto"/>
              <w:rPr>
                <w:rFonts w:eastAsia="Times New Roman" w:cs="Arial"/>
                <w:b/>
                <w:bCs/>
                <w:color w:val="FFFFFF"/>
                <w:sz w:val="18"/>
                <w:szCs w:val="18"/>
                <w:lang w:eastAsia="en-AU"/>
              </w:rPr>
            </w:pPr>
            <w:r w:rsidRPr="1922062C">
              <w:rPr>
                <w:rFonts w:eastAsia="Times New Roman" w:cs="Arial"/>
                <w:b/>
                <w:bCs/>
                <w:color w:val="FFFFFF" w:themeColor="accent6"/>
                <w:sz w:val="18"/>
                <w:szCs w:val="18"/>
              </w:rPr>
              <w:t>By setting and phase group</w:t>
            </w:r>
          </w:p>
        </w:tc>
        <w:tc>
          <w:tcPr>
            <w:tcW w:w="444" w:type="pct"/>
            <w:tcBorders>
              <w:bottom w:val="single" w:sz="4" w:space="0" w:color="15272F" w:themeColor="text2"/>
            </w:tcBorders>
            <w:shd w:val="clear" w:color="000000" w:fill="15272F"/>
            <w:noWrap/>
            <w:vAlign w:val="center"/>
            <w:hideMark/>
          </w:tcPr>
          <w:p w14:paraId="27296B54"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4" w:type="pct"/>
            <w:tcBorders>
              <w:bottom w:val="single" w:sz="4" w:space="0" w:color="15272F" w:themeColor="text2"/>
            </w:tcBorders>
            <w:shd w:val="clear" w:color="000000" w:fill="15272F"/>
            <w:noWrap/>
            <w:vAlign w:val="center"/>
            <w:hideMark/>
          </w:tcPr>
          <w:p w14:paraId="7B07367A"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4" w:type="pct"/>
            <w:gridSpan w:val="2"/>
            <w:tcBorders>
              <w:bottom w:val="single" w:sz="4" w:space="0" w:color="15272F" w:themeColor="text2"/>
            </w:tcBorders>
            <w:shd w:val="clear" w:color="000000" w:fill="15272F"/>
            <w:noWrap/>
            <w:vAlign w:val="center"/>
            <w:hideMark/>
          </w:tcPr>
          <w:p w14:paraId="5EC1D2AA"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3" w:type="pct"/>
            <w:gridSpan w:val="2"/>
            <w:tcBorders>
              <w:bottom w:val="single" w:sz="4" w:space="0" w:color="15272F" w:themeColor="text2"/>
            </w:tcBorders>
            <w:shd w:val="clear" w:color="000000" w:fill="15272F"/>
            <w:noWrap/>
            <w:vAlign w:val="center"/>
            <w:hideMark/>
          </w:tcPr>
          <w:p w14:paraId="4CBBB6C6"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3" w:type="pct"/>
            <w:tcBorders>
              <w:bottom w:val="single" w:sz="4" w:space="0" w:color="15272F" w:themeColor="text2"/>
            </w:tcBorders>
            <w:shd w:val="clear" w:color="auto" w:fill="15272F" w:themeFill="accent1"/>
            <w:noWrap/>
            <w:vAlign w:val="center"/>
            <w:hideMark/>
          </w:tcPr>
          <w:p w14:paraId="585F9CCD"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3" w:type="pct"/>
            <w:gridSpan w:val="2"/>
            <w:tcBorders>
              <w:bottom w:val="single" w:sz="4" w:space="0" w:color="15272F" w:themeColor="text2"/>
            </w:tcBorders>
            <w:shd w:val="clear" w:color="auto" w:fill="15272F" w:themeFill="accent1"/>
            <w:noWrap/>
            <w:vAlign w:val="center"/>
            <w:hideMark/>
          </w:tcPr>
          <w:p w14:paraId="670F3A43"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3" w:type="pct"/>
            <w:gridSpan w:val="2"/>
            <w:tcBorders>
              <w:bottom w:val="single" w:sz="4" w:space="0" w:color="15272F" w:themeColor="text2"/>
            </w:tcBorders>
            <w:shd w:val="clear" w:color="auto" w:fill="15272F" w:themeFill="accent1"/>
            <w:noWrap/>
            <w:vAlign w:val="center"/>
            <w:hideMark/>
          </w:tcPr>
          <w:p w14:paraId="4E3B1BB8"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8" w:type="pct"/>
            <w:tcBorders>
              <w:bottom w:val="single" w:sz="4" w:space="0" w:color="15272F" w:themeColor="text2"/>
            </w:tcBorders>
            <w:shd w:val="clear" w:color="auto" w:fill="15272F" w:themeFill="accent1"/>
            <w:noWrap/>
            <w:vAlign w:val="center"/>
            <w:hideMark/>
          </w:tcPr>
          <w:p w14:paraId="4CA33397"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r>
      <w:tr w:rsidR="0046665F" w:rsidRPr="006D2513" w14:paraId="08FA3262" w14:textId="77777777" w:rsidTr="00F32A89">
        <w:trPr>
          <w:trHeight w:val="279"/>
          <w:tblHeader/>
        </w:trPr>
        <w:tc>
          <w:tcPr>
            <w:tcW w:w="1448" w:type="pct"/>
            <w:tcBorders>
              <w:right w:val="nil"/>
            </w:tcBorders>
            <w:shd w:val="clear" w:color="auto" w:fill="DFEBF1" w:themeFill="accent1" w:themeFillTint="1A"/>
            <w:noWrap/>
            <w:vAlign w:val="center"/>
            <w:hideMark/>
          </w:tcPr>
          <w:p w14:paraId="71EAF015" w14:textId="77777777" w:rsidR="0046665F" w:rsidRPr="00AD73A5" w:rsidRDefault="0046665F" w:rsidP="0046665F">
            <w:pPr>
              <w:spacing w:after="0" w:line="240" w:lineRule="auto"/>
              <w:rPr>
                <w:rFonts w:eastAsia="Times New Roman" w:cs="Arial"/>
                <w:b/>
                <w:bCs/>
                <w:color w:val="auto"/>
                <w:sz w:val="18"/>
                <w:szCs w:val="18"/>
                <w:lang w:eastAsia="en-AU"/>
              </w:rPr>
            </w:pPr>
            <w:r w:rsidRPr="1922062C">
              <w:rPr>
                <w:rFonts w:eastAsia="Times New Roman" w:cs="Arial"/>
                <w:b/>
                <w:bCs/>
                <w:color w:val="auto"/>
                <w:sz w:val="18"/>
                <w:szCs w:val="18"/>
              </w:rPr>
              <w:t>Admitted</w:t>
            </w:r>
          </w:p>
        </w:tc>
        <w:tc>
          <w:tcPr>
            <w:tcW w:w="444" w:type="pct"/>
            <w:tcBorders>
              <w:left w:val="nil"/>
              <w:bottom w:val="single" w:sz="4" w:space="0" w:color="15272F" w:themeColor="text2"/>
              <w:right w:val="nil"/>
            </w:tcBorders>
            <w:shd w:val="clear" w:color="000000" w:fill="DFEBF1"/>
            <w:noWrap/>
            <w:vAlign w:val="center"/>
            <w:hideMark/>
          </w:tcPr>
          <w:p w14:paraId="5D09481E"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tcBorders>
              <w:left w:val="nil"/>
              <w:bottom w:val="single" w:sz="4" w:space="0" w:color="15272F" w:themeColor="text2"/>
              <w:right w:val="nil"/>
            </w:tcBorders>
            <w:shd w:val="clear" w:color="000000" w:fill="DFEBF1"/>
            <w:noWrap/>
            <w:vAlign w:val="center"/>
            <w:hideMark/>
          </w:tcPr>
          <w:p w14:paraId="482095B8"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gridSpan w:val="2"/>
            <w:tcBorders>
              <w:left w:val="nil"/>
              <w:bottom w:val="single" w:sz="4" w:space="0" w:color="15272F" w:themeColor="text2"/>
              <w:right w:val="nil"/>
            </w:tcBorders>
            <w:shd w:val="clear" w:color="000000" w:fill="DFEBF1"/>
            <w:noWrap/>
            <w:vAlign w:val="center"/>
            <w:hideMark/>
          </w:tcPr>
          <w:p w14:paraId="251C801F"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gridSpan w:val="2"/>
            <w:tcBorders>
              <w:left w:val="nil"/>
              <w:bottom w:val="single" w:sz="4" w:space="0" w:color="15272F" w:themeColor="text2"/>
              <w:right w:val="nil"/>
            </w:tcBorders>
            <w:shd w:val="clear" w:color="000000" w:fill="DFEBF1"/>
            <w:noWrap/>
            <w:vAlign w:val="center"/>
            <w:hideMark/>
          </w:tcPr>
          <w:p w14:paraId="516BFBA7"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tcBorders>
              <w:left w:val="nil"/>
              <w:bottom w:val="single" w:sz="4" w:space="0" w:color="15272F" w:themeColor="text2"/>
              <w:right w:val="nil"/>
            </w:tcBorders>
            <w:shd w:val="clear" w:color="auto" w:fill="DFEBF1" w:themeFill="accent1" w:themeFillTint="1A"/>
            <w:noWrap/>
            <w:vAlign w:val="center"/>
            <w:hideMark/>
          </w:tcPr>
          <w:p w14:paraId="36A22011"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04B50352"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2F4D1DC8" w14:textId="77777777" w:rsidR="0046665F" w:rsidRPr="00AD73A5" w:rsidRDefault="0046665F" w:rsidP="0046665F">
            <w:pPr>
              <w:spacing w:after="0" w:line="240" w:lineRule="auto"/>
              <w:jc w:val="right"/>
              <w:rPr>
                <w:rFonts w:eastAsia="Times New Roman" w:cs="Arial"/>
                <w:b/>
                <w:bCs/>
                <w:color w:val="auto"/>
                <w:sz w:val="18"/>
                <w:szCs w:val="18"/>
              </w:rPr>
            </w:pPr>
            <w:r w:rsidRPr="1922062C">
              <w:rPr>
                <w:rFonts w:eastAsia="Times New Roman" w:cs="Arial"/>
                <w:b/>
                <w:bCs/>
                <w:color w:val="auto"/>
                <w:sz w:val="18"/>
                <w:szCs w:val="18"/>
              </w:rPr>
              <w:t> </w:t>
            </w:r>
          </w:p>
        </w:tc>
        <w:tc>
          <w:tcPr>
            <w:tcW w:w="448" w:type="pct"/>
            <w:tcBorders>
              <w:left w:val="nil"/>
              <w:bottom w:val="single" w:sz="4" w:space="0" w:color="15272F" w:themeColor="text2"/>
            </w:tcBorders>
            <w:shd w:val="clear" w:color="auto" w:fill="DFEBF1" w:themeFill="accent1" w:themeFillTint="1A"/>
            <w:noWrap/>
            <w:vAlign w:val="center"/>
            <w:hideMark/>
          </w:tcPr>
          <w:p w14:paraId="3C7C55F3"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r>
      <w:tr w:rsidR="0046665F" w:rsidRPr="006D2513" w14:paraId="3B869E7C" w14:textId="77777777" w:rsidTr="00F32A89">
        <w:trPr>
          <w:trHeight w:val="279"/>
          <w:tblHeader/>
        </w:trPr>
        <w:tc>
          <w:tcPr>
            <w:tcW w:w="1448" w:type="pct"/>
            <w:shd w:val="clear" w:color="auto" w:fill="auto"/>
            <w:noWrap/>
            <w:vAlign w:val="center"/>
            <w:hideMark/>
          </w:tcPr>
          <w:p w14:paraId="016B8AAF"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Acute</w:t>
            </w:r>
          </w:p>
        </w:tc>
        <w:tc>
          <w:tcPr>
            <w:tcW w:w="444" w:type="pct"/>
            <w:tcBorders>
              <w:bottom w:val="nil"/>
              <w:right w:val="nil"/>
            </w:tcBorders>
            <w:shd w:val="clear" w:color="auto" w:fill="auto"/>
            <w:noWrap/>
            <w:vAlign w:val="center"/>
            <w:hideMark/>
          </w:tcPr>
          <w:p w14:paraId="15B40E1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17.3%</w:t>
            </w:r>
          </w:p>
        </w:tc>
        <w:tc>
          <w:tcPr>
            <w:tcW w:w="444" w:type="pct"/>
            <w:tcBorders>
              <w:left w:val="nil"/>
              <w:bottom w:val="nil"/>
            </w:tcBorders>
            <w:shd w:val="clear" w:color="000000" w:fill="DCF2EE"/>
            <w:noWrap/>
            <w:vAlign w:val="center"/>
            <w:hideMark/>
          </w:tcPr>
          <w:p w14:paraId="378CD91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28.1%</w:t>
            </w:r>
          </w:p>
        </w:tc>
        <w:tc>
          <w:tcPr>
            <w:tcW w:w="444" w:type="pct"/>
            <w:gridSpan w:val="2"/>
            <w:tcBorders>
              <w:bottom w:val="nil"/>
              <w:right w:val="nil"/>
            </w:tcBorders>
            <w:shd w:val="clear" w:color="auto" w:fill="auto"/>
            <w:noWrap/>
            <w:vAlign w:val="center"/>
            <w:hideMark/>
          </w:tcPr>
          <w:p w14:paraId="3170A20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34.6%</w:t>
            </w:r>
          </w:p>
        </w:tc>
        <w:tc>
          <w:tcPr>
            <w:tcW w:w="443" w:type="pct"/>
            <w:gridSpan w:val="2"/>
            <w:tcBorders>
              <w:left w:val="nil"/>
              <w:bottom w:val="nil"/>
            </w:tcBorders>
            <w:shd w:val="clear" w:color="000000" w:fill="DCF2EE"/>
            <w:noWrap/>
            <w:vAlign w:val="center"/>
            <w:hideMark/>
          </w:tcPr>
          <w:p w14:paraId="4903D85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37.0%</w:t>
            </w:r>
          </w:p>
        </w:tc>
        <w:tc>
          <w:tcPr>
            <w:tcW w:w="443" w:type="pct"/>
            <w:tcBorders>
              <w:bottom w:val="nil"/>
              <w:right w:val="nil"/>
            </w:tcBorders>
            <w:shd w:val="clear" w:color="auto" w:fill="auto"/>
            <w:noWrap/>
            <w:vAlign w:val="center"/>
            <w:hideMark/>
          </w:tcPr>
          <w:p w14:paraId="338EF1C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11.8%</w:t>
            </w:r>
          </w:p>
        </w:tc>
        <w:tc>
          <w:tcPr>
            <w:tcW w:w="443" w:type="pct"/>
            <w:gridSpan w:val="2"/>
            <w:tcBorders>
              <w:left w:val="nil"/>
              <w:bottom w:val="nil"/>
            </w:tcBorders>
            <w:shd w:val="clear" w:color="auto" w:fill="DCF2EE" w:themeFill="accent5" w:themeFillTint="33"/>
            <w:noWrap/>
            <w:vAlign w:val="center"/>
            <w:hideMark/>
          </w:tcPr>
          <w:p w14:paraId="0DDEEC7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13.4%</w:t>
            </w:r>
          </w:p>
        </w:tc>
        <w:tc>
          <w:tcPr>
            <w:tcW w:w="443" w:type="pct"/>
            <w:gridSpan w:val="2"/>
            <w:tcBorders>
              <w:bottom w:val="nil"/>
              <w:right w:val="nil"/>
            </w:tcBorders>
            <w:shd w:val="clear" w:color="auto" w:fill="auto"/>
            <w:noWrap/>
            <w:vAlign w:val="center"/>
            <w:hideMark/>
          </w:tcPr>
          <w:p w14:paraId="3C21498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11.5%</w:t>
            </w:r>
          </w:p>
        </w:tc>
        <w:tc>
          <w:tcPr>
            <w:tcW w:w="448" w:type="pct"/>
            <w:tcBorders>
              <w:left w:val="nil"/>
              <w:bottom w:val="nil"/>
            </w:tcBorders>
            <w:shd w:val="clear" w:color="auto" w:fill="DCF2EE" w:themeFill="accent5" w:themeFillTint="33"/>
            <w:noWrap/>
            <w:vAlign w:val="center"/>
            <w:hideMark/>
          </w:tcPr>
          <w:p w14:paraId="640F56E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12.9%</w:t>
            </w:r>
          </w:p>
        </w:tc>
      </w:tr>
      <w:tr w:rsidR="0046665F" w:rsidRPr="006D2513" w14:paraId="44BCB66A" w14:textId="77777777" w:rsidTr="00F32A89">
        <w:trPr>
          <w:trHeight w:val="279"/>
          <w:tblHeader/>
        </w:trPr>
        <w:tc>
          <w:tcPr>
            <w:tcW w:w="1448" w:type="pct"/>
            <w:shd w:val="clear" w:color="auto" w:fill="auto"/>
            <w:noWrap/>
            <w:vAlign w:val="center"/>
            <w:hideMark/>
          </w:tcPr>
          <w:p w14:paraId="367AD377"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Functional gain</w:t>
            </w:r>
          </w:p>
        </w:tc>
        <w:tc>
          <w:tcPr>
            <w:tcW w:w="444" w:type="pct"/>
            <w:tcBorders>
              <w:top w:val="nil"/>
              <w:bottom w:val="nil"/>
              <w:right w:val="nil"/>
            </w:tcBorders>
            <w:shd w:val="clear" w:color="auto" w:fill="auto"/>
            <w:noWrap/>
            <w:vAlign w:val="center"/>
            <w:hideMark/>
          </w:tcPr>
          <w:p w14:paraId="210F3C9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9.7%</w:t>
            </w:r>
          </w:p>
        </w:tc>
        <w:tc>
          <w:tcPr>
            <w:tcW w:w="444" w:type="pct"/>
            <w:tcBorders>
              <w:top w:val="nil"/>
              <w:left w:val="nil"/>
              <w:bottom w:val="nil"/>
            </w:tcBorders>
            <w:shd w:val="clear" w:color="000000" w:fill="DCF2EE"/>
            <w:noWrap/>
            <w:vAlign w:val="center"/>
            <w:hideMark/>
          </w:tcPr>
          <w:p w14:paraId="60946E2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23.8%</w:t>
            </w:r>
          </w:p>
        </w:tc>
        <w:tc>
          <w:tcPr>
            <w:tcW w:w="444" w:type="pct"/>
            <w:gridSpan w:val="2"/>
            <w:tcBorders>
              <w:top w:val="nil"/>
              <w:bottom w:val="nil"/>
              <w:right w:val="nil"/>
            </w:tcBorders>
            <w:shd w:val="clear" w:color="auto" w:fill="auto"/>
            <w:noWrap/>
            <w:vAlign w:val="center"/>
            <w:hideMark/>
          </w:tcPr>
          <w:p w14:paraId="3953C82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8.7%</w:t>
            </w:r>
          </w:p>
        </w:tc>
        <w:tc>
          <w:tcPr>
            <w:tcW w:w="443" w:type="pct"/>
            <w:gridSpan w:val="2"/>
            <w:tcBorders>
              <w:top w:val="nil"/>
              <w:left w:val="nil"/>
              <w:bottom w:val="nil"/>
            </w:tcBorders>
            <w:shd w:val="clear" w:color="000000" w:fill="DCF2EE"/>
            <w:noWrap/>
            <w:vAlign w:val="center"/>
            <w:hideMark/>
          </w:tcPr>
          <w:p w14:paraId="5E33750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19.3%</w:t>
            </w:r>
          </w:p>
        </w:tc>
        <w:tc>
          <w:tcPr>
            <w:tcW w:w="443" w:type="pct"/>
            <w:tcBorders>
              <w:top w:val="nil"/>
              <w:bottom w:val="nil"/>
              <w:right w:val="nil"/>
            </w:tcBorders>
            <w:shd w:val="clear" w:color="auto" w:fill="auto"/>
            <w:noWrap/>
            <w:vAlign w:val="center"/>
            <w:hideMark/>
          </w:tcPr>
          <w:p w14:paraId="771CC7E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w:t>
            </w:r>
          </w:p>
        </w:tc>
        <w:tc>
          <w:tcPr>
            <w:tcW w:w="443" w:type="pct"/>
            <w:gridSpan w:val="2"/>
            <w:tcBorders>
              <w:top w:val="nil"/>
              <w:left w:val="nil"/>
              <w:bottom w:val="nil"/>
            </w:tcBorders>
            <w:shd w:val="clear" w:color="auto" w:fill="DCF2EE" w:themeFill="accent5" w:themeFillTint="33"/>
            <w:noWrap/>
            <w:vAlign w:val="center"/>
            <w:hideMark/>
          </w:tcPr>
          <w:p w14:paraId="262EFF7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4.5%</w:t>
            </w:r>
          </w:p>
        </w:tc>
        <w:tc>
          <w:tcPr>
            <w:tcW w:w="443" w:type="pct"/>
            <w:gridSpan w:val="2"/>
            <w:tcBorders>
              <w:top w:val="nil"/>
              <w:bottom w:val="nil"/>
              <w:right w:val="nil"/>
            </w:tcBorders>
            <w:shd w:val="clear" w:color="auto" w:fill="auto"/>
            <w:noWrap/>
            <w:vAlign w:val="center"/>
            <w:hideMark/>
          </w:tcPr>
          <w:p w14:paraId="740BDBA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2.2%</w:t>
            </w:r>
          </w:p>
        </w:tc>
        <w:tc>
          <w:tcPr>
            <w:tcW w:w="448" w:type="pct"/>
            <w:tcBorders>
              <w:top w:val="nil"/>
              <w:left w:val="nil"/>
              <w:bottom w:val="nil"/>
            </w:tcBorders>
            <w:shd w:val="clear" w:color="auto" w:fill="DCF2EE" w:themeFill="accent5" w:themeFillTint="33"/>
            <w:noWrap/>
            <w:vAlign w:val="center"/>
            <w:hideMark/>
          </w:tcPr>
          <w:p w14:paraId="05F5E0C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6.1%</w:t>
            </w:r>
          </w:p>
        </w:tc>
      </w:tr>
      <w:tr w:rsidR="0046665F" w:rsidRPr="006D2513" w14:paraId="62AD7A7E" w14:textId="77777777" w:rsidTr="00F32A89">
        <w:trPr>
          <w:trHeight w:val="279"/>
          <w:tblHeader/>
        </w:trPr>
        <w:tc>
          <w:tcPr>
            <w:tcW w:w="1448" w:type="pct"/>
            <w:shd w:val="clear" w:color="auto" w:fill="auto"/>
            <w:noWrap/>
            <w:vAlign w:val="center"/>
            <w:hideMark/>
          </w:tcPr>
          <w:p w14:paraId="16AED9FA"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Intensive extended</w:t>
            </w:r>
          </w:p>
        </w:tc>
        <w:tc>
          <w:tcPr>
            <w:tcW w:w="444" w:type="pct"/>
            <w:tcBorders>
              <w:top w:val="nil"/>
              <w:bottom w:val="nil"/>
              <w:right w:val="nil"/>
            </w:tcBorders>
            <w:shd w:val="clear" w:color="auto" w:fill="auto"/>
            <w:noWrap/>
            <w:vAlign w:val="center"/>
            <w:hideMark/>
          </w:tcPr>
          <w:p w14:paraId="4CECFAA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13.1%</w:t>
            </w:r>
          </w:p>
        </w:tc>
        <w:tc>
          <w:tcPr>
            <w:tcW w:w="444" w:type="pct"/>
            <w:tcBorders>
              <w:top w:val="nil"/>
              <w:left w:val="nil"/>
              <w:bottom w:val="nil"/>
            </w:tcBorders>
            <w:shd w:val="clear" w:color="000000" w:fill="DCF2EE"/>
            <w:noWrap/>
            <w:vAlign w:val="center"/>
            <w:hideMark/>
          </w:tcPr>
          <w:p w14:paraId="3A58A04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25.6%</w:t>
            </w:r>
          </w:p>
        </w:tc>
        <w:tc>
          <w:tcPr>
            <w:tcW w:w="444" w:type="pct"/>
            <w:gridSpan w:val="2"/>
            <w:tcBorders>
              <w:top w:val="nil"/>
              <w:bottom w:val="nil"/>
              <w:right w:val="nil"/>
            </w:tcBorders>
            <w:shd w:val="clear" w:color="auto" w:fill="auto"/>
            <w:noWrap/>
            <w:vAlign w:val="center"/>
            <w:hideMark/>
          </w:tcPr>
          <w:p w14:paraId="750A765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13.6%</w:t>
            </w:r>
          </w:p>
        </w:tc>
        <w:tc>
          <w:tcPr>
            <w:tcW w:w="443" w:type="pct"/>
            <w:gridSpan w:val="2"/>
            <w:tcBorders>
              <w:top w:val="nil"/>
              <w:left w:val="nil"/>
              <w:bottom w:val="nil"/>
            </w:tcBorders>
            <w:shd w:val="clear" w:color="000000" w:fill="DCF2EE"/>
            <w:noWrap/>
            <w:vAlign w:val="center"/>
            <w:hideMark/>
          </w:tcPr>
          <w:p w14:paraId="2D6A2B8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22.5%</w:t>
            </w:r>
          </w:p>
        </w:tc>
        <w:tc>
          <w:tcPr>
            <w:tcW w:w="443" w:type="pct"/>
            <w:tcBorders>
              <w:top w:val="nil"/>
              <w:bottom w:val="nil"/>
              <w:right w:val="nil"/>
            </w:tcBorders>
            <w:shd w:val="clear" w:color="auto" w:fill="auto"/>
            <w:noWrap/>
            <w:vAlign w:val="center"/>
            <w:hideMark/>
          </w:tcPr>
          <w:p w14:paraId="5D14270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3.0%</w:t>
            </w:r>
          </w:p>
        </w:tc>
        <w:tc>
          <w:tcPr>
            <w:tcW w:w="443" w:type="pct"/>
            <w:gridSpan w:val="2"/>
            <w:tcBorders>
              <w:top w:val="nil"/>
              <w:left w:val="nil"/>
              <w:bottom w:val="nil"/>
            </w:tcBorders>
            <w:shd w:val="clear" w:color="auto" w:fill="DCF2EE" w:themeFill="accent5" w:themeFillTint="33"/>
            <w:noWrap/>
            <w:vAlign w:val="center"/>
            <w:hideMark/>
          </w:tcPr>
          <w:p w14:paraId="6929A9E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7.0%</w:t>
            </w:r>
          </w:p>
        </w:tc>
        <w:tc>
          <w:tcPr>
            <w:tcW w:w="443" w:type="pct"/>
            <w:gridSpan w:val="2"/>
            <w:tcBorders>
              <w:top w:val="nil"/>
              <w:bottom w:val="nil"/>
              <w:right w:val="nil"/>
            </w:tcBorders>
            <w:shd w:val="clear" w:color="auto" w:fill="auto"/>
            <w:noWrap/>
            <w:vAlign w:val="center"/>
            <w:hideMark/>
          </w:tcPr>
          <w:p w14:paraId="7E6800D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5.5%</w:t>
            </w:r>
          </w:p>
        </w:tc>
        <w:tc>
          <w:tcPr>
            <w:tcW w:w="448" w:type="pct"/>
            <w:tcBorders>
              <w:top w:val="nil"/>
              <w:left w:val="nil"/>
              <w:bottom w:val="nil"/>
            </w:tcBorders>
            <w:shd w:val="clear" w:color="auto" w:fill="DCF2EE" w:themeFill="accent5" w:themeFillTint="33"/>
            <w:noWrap/>
            <w:vAlign w:val="center"/>
            <w:hideMark/>
          </w:tcPr>
          <w:p w14:paraId="76F651CF"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7.9%</w:t>
            </w:r>
          </w:p>
        </w:tc>
      </w:tr>
      <w:tr w:rsidR="0046665F" w:rsidRPr="006D2513" w14:paraId="183A0060" w14:textId="77777777" w:rsidTr="00F32A89">
        <w:trPr>
          <w:trHeight w:val="279"/>
          <w:tblHeader/>
        </w:trPr>
        <w:tc>
          <w:tcPr>
            <w:tcW w:w="1448" w:type="pct"/>
            <w:tcBorders>
              <w:bottom w:val="single" w:sz="4" w:space="0" w:color="15272F" w:themeColor="text2"/>
            </w:tcBorders>
            <w:shd w:val="clear" w:color="auto" w:fill="auto"/>
            <w:noWrap/>
            <w:vAlign w:val="center"/>
            <w:hideMark/>
          </w:tcPr>
          <w:p w14:paraId="34411D33"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Consolidating gain</w:t>
            </w:r>
          </w:p>
        </w:tc>
        <w:tc>
          <w:tcPr>
            <w:tcW w:w="444" w:type="pct"/>
            <w:tcBorders>
              <w:top w:val="nil"/>
              <w:bottom w:val="single" w:sz="4" w:space="0" w:color="15272F" w:themeColor="text2"/>
              <w:right w:val="nil"/>
            </w:tcBorders>
            <w:shd w:val="clear" w:color="auto" w:fill="auto"/>
            <w:noWrap/>
            <w:vAlign w:val="center"/>
            <w:hideMark/>
          </w:tcPr>
          <w:p w14:paraId="4109F6C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8.7%</w:t>
            </w:r>
          </w:p>
        </w:tc>
        <w:tc>
          <w:tcPr>
            <w:tcW w:w="444" w:type="pct"/>
            <w:tcBorders>
              <w:top w:val="nil"/>
              <w:left w:val="nil"/>
              <w:bottom w:val="single" w:sz="4" w:space="0" w:color="15272F" w:themeColor="text2"/>
            </w:tcBorders>
            <w:shd w:val="clear" w:color="000000" w:fill="DCF2EE"/>
            <w:noWrap/>
            <w:vAlign w:val="center"/>
            <w:hideMark/>
          </w:tcPr>
          <w:p w14:paraId="364E2F6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17.5%</w:t>
            </w:r>
          </w:p>
        </w:tc>
        <w:tc>
          <w:tcPr>
            <w:tcW w:w="444" w:type="pct"/>
            <w:gridSpan w:val="2"/>
            <w:tcBorders>
              <w:top w:val="nil"/>
              <w:bottom w:val="single" w:sz="4" w:space="0" w:color="15272F" w:themeColor="text2"/>
              <w:right w:val="nil"/>
            </w:tcBorders>
            <w:shd w:val="clear" w:color="auto" w:fill="auto"/>
            <w:noWrap/>
            <w:vAlign w:val="center"/>
            <w:hideMark/>
          </w:tcPr>
          <w:p w14:paraId="707D51D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16.0%</w:t>
            </w:r>
          </w:p>
        </w:tc>
        <w:tc>
          <w:tcPr>
            <w:tcW w:w="443" w:type="pct"/>
            <w:gridSpan w:val="2"/>
            <w:tcBorders>
              <w:top w:val="nil"/>
              <w:left w:val="nil"/>
              <w:bottom w:val="single" w:sz="4" w:space="0" w:color="15272F" w:themeColor="text2"/>
            </w:tcBorders>
            <w:shd w:val="clear" w:color="000000" w:fill="DCF2EE"/>
            <w:noWrap/>
            <w:vAlign w:val="center"/>
            <w:hideMark/>
          </w:tcPr>
          <w:p w14:paraId="12B993A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19.0%</w:t>
            </w:r>
          </w:p>
        </w:tc>
        <w:tc>
          <w:tcPr>
            <w:tcW w:w="443" w:type="pct"/>
            <w:tcBorders>
              <w:top w:val="nil"/>
              <w:bottom w:val="single" w:sz="4" w:space="0" w:color="15272F" w:themeColor="text2"/>
              <w:right w:val="nil"/>
            </w:tcBorders>
            <w:shd w:val="clear" w:color="auto" w:fill="auto"/>
            <w:noWrap/>
            <w:vAlign w:val="center"/>
            <w:hideMark/>
          </w:tcPr>
          <w:p w14:paraId="746137F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3.1%</w:t>
            </w:r>
          </w:p>
        </w:tc>
        <w:tc>
          <w:tcPr>
            <w:tcW w:w="443" w:type="pct"/>
            <w:gridSpan w:val="2"/>
            <w:tcBorders>
              <w:top w:val="nil"/>
              <w:left w:val="nil"/>
              <w:bottom w:val="single" w:sz="4" w:space="0" w:color="15272F" w:themeColor="text2"/>
            </w:tcBorders>
            <w:shd w:val="clear" w:color="auto" w:fill="DCF2EE" w:themeFill="accent5" w:themeFillTint="33"/>
            <w:noWrap/>
            <w:vAlign w:val="center"/>
            <w:hideMark/>
          </w:tcPr>
          <w:p w14:paraId="50ACEC9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4.0%</w:t>
            </w:r>
          </w:p>
        </w:tc>
        <w:tc>
          <w:tcPr>
            <w:tcW w:w="443" w:type="pct"/>
            <w:gridSpan w:val="2"/>
            <w:tcBorders>
              <w:top w:val="nil"/>
              <w:bottom w:val="single" w:sz="4" w:space="0" w:color="15272F" w:themeColor="text2"/>
              <w:right w:val="nil"/>
            </w:tcBorders>
            <w:shd w:val="clear" w:color="auto" w:fill="auto"/>
            <w:noWrap/>
            <w:vAlign w:val="center"/>
            <w:hideMark/>
          </w:tcPr>
          <w:p w14:paraId="14FCA855"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3.1%</w:t>
            </w:r>
          </w:p>
        </w:tc>
        <w:tc>
          <w:tcPr>
            <w:tcW w:w="448" w:type="pct"/>
            <w:tcBorders>
              <w:top w:val="nil"/>
              <w:left w:val="nil"/>
              <w:bottom w:val="single" w:sz="4" w:space="0" w:color="15272F" w:themeColor="text2"/>
            </w:tcBorders>
            <w:shd w:val="clear" w:color="auto" w:fill="auto"/>
            <w:noWrap/>
            <w:vAlign w:val="center"/>
            <w:hideMark/>
          </w:tcPr>
          <w:p w14:paraId="3BD2920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2.9%</w:t>
            </w:r>
          </w:p>
        </w:tc>
      </w:tr>
      <w:tr w:rsidR="0046665F" w:rsidRPr="006D2513" w14:paraId="7DBF4D87" w14:textId="77777777" w:rsidTr="00F32A89">
        <w:trPr>
          <w:trHeight w:val="279"/>
          <w:tblHeader/>
        </w:trPr>
        <w:tc>
          <w:tcPr>
            <w:tcW w:w="1448" w:type="pct"/>
            <w:tcBorders>
              <w:right w:val="nil"/>
            </w:tcBorders>
            <w:shd w:val="clear" w:color="auto" w:fill="DFEBF1" w:themeFill="accent1" w:themeFillTint="1A"/>
            <w:noWrap/>
            <w:vAlign w:val="center"/>
            <w:hideMark/>
          </w:tcPr>
          <w:p w14:paraId="042D1BD3" w14:textId="77777777" w:rsidR="0046665F" w:rsidRPr="00AD73A5" w:rsidRDefault="0046665F" w:rsidP="0046665F">
            <w:pPr>
              <w:spacing w:after="0" w:line="240" w:lineRule="auto"/>
              <w:rPr>
                <w:rFonts w:eastAsia="Times New Roman" w:cs="Arial"/>
                <w:b/>
                <w:bCs/>
                <w:color w:val="auto"/>
                <w:sz w:val="18"/>
                <w:szCs w:val="18"/>
                <w:lang w:eastAsia="en-AU"/>
              </w:rPr>
            </w:pPr>
            <w:r w:rsidRPr="1922062C">
              <w:rPr>
                <w:rFonts w:eastAsia="Times New Roman" w:cs="Arial"/>
                <w:b/>
                <w:bCs/>
                <w:color w:val="auto"/>
                <w:sz w:val="18"/>
                <w:szCs w:val="18"/>
              </w:rPr>
              <w:t>Community</w:t>
            </w:r>
          </w:p>
        </w:tc>
        <w:tc>
          <w:tcPr>
            <w:tcW w:w="444" w:type="pct"/>
            <w:tcBorders>
              <w:top w:val="single" w:sz="4" w:space="0" w:color="15272F" w:themeColor="text2"/>
              <w:left w:val="nil"/>
              <w:bottom w:val="single" w:sz="4" w:space="0" w:color="15272F" w:themeColor="text2"/>
              <w:right w:val="nil"/>
            </w:tcBorders>
            <w:shd w:val="clear" w:color="000000" w:fill="DFEBF1"/>
            <w:noWrap/>
            <w:vAlign w:val="center"/>
            <w:hideMark/>
          </w:tcPr>
          <w:p w14:paraId="519122ED"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tcBorders>
              <w:top w:val="single" w:sz="4" w:space="0" w:color="15272F" w:themeColor="text2"/>
              <w:left w:val="nil"/>
              <w:bottom w:val="single" w:sz="4" w:space="0" w:color="15272F" w:themeColor="text2"/>
              <w:right w:val="nil"/>
            </w:tcBorders>
            <w:shd w:val="clear" w:color="000000" w:fill="DFEBF1"/>
            <w:noWrap/>
            <w:vAlign w:val="center"/>
            <w:hideMark/>
          </w:tcPr>
          <w:p w14:paraId="47F5BD8E"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gridSpan w:val="2"/>
            <w:tcBorders>
              <w:left w:val="nil"/>
              <w:bottom w:val="single" w:sz="4" w:space="0" w:color="15272F" w:themeColor="text2"/>
              <w:right w:val="nil"/>
            </w:tcBorders>
            <w:shd w:val="clear" w:color="000000" w:fill="DFEBF1"/>
            <w:noWrap/>
            <w:vAlign w:val="center"/>
            <w:hideMark/>
          </w:tcPr>
          <w:p w14:paraId="3975DA29"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gridSpan w:val="2"/>
            <w:tcBorders>
              <w:left w:val="nil"/>
              <w:bottom w:val="single" w:sz="4" w:space="0" w:color="15272F" w:themeColor="text2"/>
              <w:right w:val="nil"/>
            </w:tcBorders>
            <w:shd w:val="clear" w:color="000000" w:fill="DFEBF1"/>
            <w:noWrap/>
            <w:vAlign w:val="center"/>
            <w:hideMark/>
          </w:tcPr>
          <w:p w14:paraId="793F2E1C"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tcBorders>
              <w:left w:val="nil"/>
              <w:bottom w:val="single" w:sz="4" w:space="0" w:color="15272F" w:themeColor="text2"/>
              <w:right w:val="nil"/>
            </w:tcBorders>
            <w:shd w:val="clear" w:color="auto" w:fill="DFEBF1" w:themeFill="accent1" w:themeFillTint="1A"/>
            <w:noWrap/>
            <w:vAlign w:val="center"/>
            <w:hideMark/>
          </w:tcPr>
          <w:p w14:paraId="07D8D280"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24102263"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1A03F80C"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8" w:type="pct"/>
            <w:tcBorders>
              <w:left w:val="nil"/>
              <w:bottom w:val="single" w:sz="4" w:space="0" w:color="15272F" w:themeColor="text2"/>
            </w:tcBorders>
            <w:shd w:val="clear" w:color="auto" w:fill="DFEBF1" w:themeFill="accent1" w:themeFillTint="1A"/>
            <w:noWrap/>
            <w:vAlign w:val="center"/>
            <w:hideMark/>
          </w:tcPr>
          <w:p w14:paraId="254FB429"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r>
      <w:tr w:rsidR="0046665F" w:rsidRPr="006D2513" w14:paraId="6114D602" w14:textId="77777777" w:rsidTr="00F32A89">
        <w:trPr>
          <w:trHeight w:val="279"/>
          <w:tblHeader/>
        </w:trPr>
        <w:tc>
          <w:tcPr>
            <w:tcW w:w="1448" w:type="pct"/>
            <w:shd w:val="clear" w:color="auto" w:fill="auto"/>
            <w:noWrap/>
            <w:vAlign w:val="center"/>
            <w:hideMark/>
          </w:tcPr>
          <w:p w14:paraId="2F0E1C92"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Acute</w:t>
            </w:r>
          </w:p>
        </w:tc>
        <w:tc>
          <w:tcPr>
            <w:tcW w:w="444" w:type="pct"/>
            <w:tcBorders>
              <w:top w:val="single" w:sz="4" w:space="0" w:color="15272F" w:themeColor="text2"/>
              <w:bottom w:val="nil"/>
              <w:right w:val="nil"/>
            </w:tcBorders>
            <w:shd w:val="clear" w:color="auto" w:fill="auto"/>
            <w:noWrap/>
            <w:vAlign w:val="center"/>
            <w:hideMark/>
          </w:tcPr>
          <w:p w14:paraId="4B6ACF80"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10.5%</w:t>
            </w:r>
          </w:p>
        </w:tc>
        <w:tc>
          <w:tcPr>
            <w:tcW w:w="444" w:type="pct"/>
            <w:tcBorders>
              <w:top w:val="single" w:sz="4" w:space="0" w:color="15272F" w:themeColor="text2"/>
              <w:left w:val="nil"/>
              <w:bottom w:val="nil"/>
            </w:tcBorders>
            <w:shd w:val="clear" w:color="000000" w:fill="DCF2EE"/>
            <w:noWrap/>
            <w:vAlign w:val="center"/>
            <w:hideMark/>
          </w:tcPr>
          <w:p w14:paraId="5BA73FC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16.0%</w:t>
            </w:r>
          </w:p>
        </w:tc>
        <w:tc>
          <w:tcPr>
            <w:tcW w:w="444" w:type="pct"/>
            <w:gridSpan w:val="2"/>
            <w:tcBorders>
              <w:bottom w:val="nil"/>
              <w:right w:val="nil"/>
            </w:tcBorders>
            <w:shd w:val="clear" w:color="auto" w:fill="auto"/>
            <w:noWrap/>
            <w:vAlign w:val="center"/>
            <w:hideMark/>
          </w:tcPr>
          <w:p w14:paraId="3A45E2A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16.3%</w:t>
            </w:r>
          </w:p>
        </w:tc>
        <w:tc>
          <w:tcPr>
            <w:tcW w:w="443" w:type="pct"/>
            <w:gridSpan w:val="2"/>
            <w:tcBorders>
              <w:left w:val="nil"/>
              <w:bottom w:val="nil"/>
            </w:tcBorders>
            <w:shd w:val="clear" w:color="000000" w:fill="DCF2EE"/>
            <w:noWrap/>
            <w:vAlign w:val="center"/>
            <w:hideMark/>
          </w:tcPr>
          <w:p w14:paraId="2614C6BC"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19.9%</w:t>
            </w:r>
          </w:p>
        </w:tc>
        <w:tc>
          <w:tcPr>
            <w:tcW w:w="443" w:type="pct"/>
            <w:tcBorders>
              <w:bottom w:val="nil"/>
              <w:right w:val="nil"/>
            </w:tcBorders>
            <w:shd w:val="clear" w:color="auto" w:fill="auto"/>
            <w:noWrap/>
            <w:vAlign w:val="center"/>
            <w:hideMark/>
          </w:tcPr>
          <w:p w14:paraId="0618D84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3.0%</w:t>
            </w:r>
          </w:p>
        </w:tc>
        <w:tc>
          <w:tcPr>
            <w:tcW w:w="443" w:type="pct"/>
            <w:gridSpan w:val="2"/>
            <w:tcBorders>
              <w:left w:val="nil"/>
              <w:bottom w:val="nil"/>
            </w:tcBorders>
            <w:shd w:val="clear" w:color="auto" w:fill="DCF2EE" w:themeFill="accent5" w:themeFillTint="33"/>
            <w:noWrap/>
            <w:vAlign w:val="center"/>
            <w:hideMark/>
          </w:tcPr>
          <w:p w14:paraId="022D648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4.3%</w:t>
            </w:r>
          </w:p>
        </w:tc>
        <w:tc>
          <w:tcPr>
            <w:tcW w:w="443" w:type="pct"/>
            <w:gridSpan w:val="2"/>
            <w:tcBorders>
              <w:bottom w:val="nil"/>
              <w:right w:val="nil"/>
            </w:tcBorders>
            <w:shd w:val="clear" w:color="auto" w:fill="auto"/>
            <w:noWrap/>
            <w:vAlign w:val="center"/>
            <w:hideMark/>
          </w:tcPr>
          <w:p w14:paraId="2275340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3.1%</w:t>
            </w:r>
          </w:p>
        </w:tc>
        <w:tc>
          <w:tcPr>
            <w:tcW w:w="448" w:type="pct"/>
            <w:tcBorders>
              <w:left w:val="nil"/>
              <w:bottom w:val="nil"/>
            </w:tcBorders>
            <w:shd w:val="clear" w:color="auto" w:fill="DCF2EE" w:themeFill="accent5" w:themeFillTint="33"/>
            <w:noWrap/>
            <w:vAlign w:val="center"/>
            <w:hideMark/>
          </w:tcPr>
          <w:p w14:paraId="0559CCD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4.3%</w:t>
            </w:r>
          </w:p>
        </w:tc>
      </w:tr>
      <w:tr w:rsidR="0046665F" w:rsidRPr="006D2513" w14:paraId="18BF691D" w14:textId="77777777" w:rsidTr="00F32A89">
        <w:trPr>
          <w:trHeight w:val="279"/>
          <w:tblHeader/>
        </w:trPr>
        <w:tc>
          <w:tcPr>
            <w:tcW w:w="1448" w:type="pct"/>
            <w:shd w:val="clear" w:color="auto" w:fill="auto"/>
            <w:noWrap/>
            <w:vAlign w:val="center"/>
            <w:hideMark/>
          </w:tcPr>
          <w:p w14:paraId="7762EC81"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Functional gain</w:t>
            </w:r>
          </w:p>
        </w:tc>
        <w:tc>
          <w:tcPr>
            <w:tcW w:w="444" w:type="pct"/>
            <w:tcBorders>
              <w:top w:val="nil"/>
              <w:bottom w:val="nil"/>
              <w:right w:val="nil"/>
            </w:tcBorders>
            <w:shd w:val="clear" w:color="auto" w:fill="auto"/>
            <w:noWrap/>
            <w:vAlign w:val="center"/>
            <w:hideMark/>
          </w:tcPr>
          <w:p w14:paraId="291812A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10.0%</w:t>
            </w:r>
          </w:p>
        </w:tc>
        <w:tc>
          <w:tcPr>
            <w:tcW w:w="444" w:type="pct"/>
            <w:tcBorders>
              <w:top w:val="nil"/>
              <w:left w:val="nil"/>
              <w:bottom w:val="nil"/>
            </w:tcBorders>
            <w:shd w:val="clear" w:color="000000" w:fill="DCF2EE"/>
            <w:noWrap/>
            <w:vAlign w:val="center"/>
            <w:hideMark/>
          </w:tcPr>
          <w:p w14:paraId="1B8FE82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15.8%</w:t>
            </w:r>
          </w:p>
        </w:tc>
        <w:tc>
          <w:tcPr>
            <w:tcW w:w="444" w:type="pct"/>
            <w:gridSpan w:val="2"/>
            <w:tcBorders>
              <w:top w:val="nil"/>
              <w:bottom w:val="nil"/>
              <w:right w:val="nil"/>
            </w:tcBorders>
            <w:shd w:val="clear" w:color="auto" w:fill="auto"/>
            <w:noWrap/>
            <w:vAlign w:val="center"/>
            <w:hideMark/>
          </w:tcPr>
          <w:p w14:paraId="7AC92FEC"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20.9%</w:t>
            </w:r>
          </w:p>
        </w:tc>
        <w:tc>
          <w:tcPr>
            <w:tcW w:w="443" w:type="pct"/>
            <w:gridSpan w:val="2"/>
            <w:tcBorders>
              <w:top w:val="nil"/>
              <w:left w:val="nil"/>
              <w:bottom w:val="nil"/>
            </w:tcBorders>
            <w:shd w:val="clear" w:color="000000" w:fill="DCF2EE"/>
            <w:noWrap/>
            <w:vAlign w:val="center"/>
            <w:hideMark/>
          </w:tcPr>
          <w:p w14:paraId="13406D3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24.4%</w:t>
            </w:r>
          </w:p>
        </w:tc>
        <w:tc>
          <w:tcPr>
            <w:tcW w:w="443" w:type="pct"/>
            <w:tcBorders>
              <w:top w:val="nil"/>
              <w:bottom w:val="nil"/>
              <w:right w:val="nil"/>
            </w:tcBorders>
            <w:shd w:val="clear" w:color="auto" w:fill="auto"/>
            <w:noWrap/>
            <w:vAlign w:val="center"/>
            <w:hideMark/>
          </w:tcPr>
          <w:p w14:paraId="29A9BF6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4.8%</w:t>
            </w:r>
          </w:p>
        </w:tc>
        <w:tc>
          <w:tcPr>
            <w:tcW w:w="443" w:type="pct"/>
            <w:gridSpan w:val="2"/>
            <w:tcBorders>
              <w:top w:val="nil"/>
              <w:left w:val="nil"/>
              <w:bottom w:val="nil"/>
            </w:tcBorders>
            <w:shd w:val="clear" w:color="auto" w:fill="DCF2EE" w:themeFill="accent5" w:themeFillTint="33"/>
            <w:noWrap/>
            <w:vAlign w:val="center"/>
            <w:hideMark/>
          </w:tcPr>
          <w:p w14:paraId="70209AA5"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5.9%</w:t>
            </w:r>
          </w:p>
        </w:tc>
        <w:tc>
          <w:tcPr>
            <w:tcW w:w="443" w:type="pct"/>
            <w:gridSpan w:val="2"/>
            <w:tcBorders>
              <w:top w:val="nil"/>
              <w:bottom w:val="nil"/>
              <w:right w:val="nil"/>
            </w:tcBorders>
            <w:shd w:val="clear" w:color="auto" w:fill="auto"/>
            <w:noWrap/>
            <w:vAlign w:val="center"/>
            <w:hideMark/>
          </w:tcPr>
          <w:p w14:paraId="2DD9B00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5.8%</w:t>
            </w:r>
          </w:p>
        </w:tc>
        <w:tc>
          <w:tcPr>
            <w:tcW w:w="448" w:type="pct"/>
            <w:tcBorders>
              <w:top w:val="nil"/>
              <w:left w:val="nil"/>
              <w:bottom w:val="nil"/>
            </w:tcBorders>
            <w:shd w:val="clear" w:color="auto" w:fill="DCF2EE" w:themeFill="accent5" w:themeFillTint="33"/>
            <w:noWrap/>
            <w:vAlign w:val="center"/>
            <w:hideMark/>
          </w:tcPr>
          <w:p w14:paraId="1343527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7.2%</w:t>
            </w:r>
          </w:p>
        </w:tc>
      </w:tr>
      <w:tr w:rsidR="0046665F" w:rsidRPr="006D2513" w14:paraId="7FF16A53" w14:textId="77777777" w:rsidTr="00F32A89">
        <w:trPr>
          <w:trHeight w:val="279"/>
          <w:tblHeader/>
        </w:trPr>
        <w:tc>
          <w:tcPr>
            <w:tcW w:w="1448" w:type="pct"/>
            <w:shd w:val="clear" w:color="auto" w:fill="auto"/>
            <w:noWrap/>
            <w:vAlign w:val="center"/>
            <w:hideMark/>
          </w:tcPr>
          <w:p w14:paraId="023034C3"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Intensive extended</w:t>
            </w:r>
          </w:p>
        </w:tc>
        <w:tc>
          <w:tcPr>
            <w:tcW w:w="444" w:type="pct"/>
            <w:tcBorders>
              <w:top w:val="nil"/>
              <w:bottom w:val="nil"/>
              <w:right w:val="nil"/>
            </w:tcBorders>
            <w:shd w:val="clear" w:color="auto" w:fill="auto"/>
            <w:noWrap/>
            <w:vAlign w:val="center"/>
            <w:hideMark/>
          </w:tcPr>
          <w:p w14:paraId="0E64CB4C"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11.4%</w:t>
            </w:r>
          </w:p>
        </w:tc>
        <w:tc>
          <w:tcPr>
            <w:tcW w:w="444" w:type="pct"/>
            <w:tcBorders>
              <w:top w:val="nil"/>
              <w:left w:val="nil"/>
              <w:bottom w:val="nil"/>
            </w:tcBorders>
            <w:shd w:val="clear" w:color="000000" w:fill="DCF2EE"/>
            <w:noWrap/>
            <w:vAlign w:val="center"/>
            <w:hideMark/>
          </w:tcPr>
          <w:p w14:paraId="4BD7EDC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18.5%</w:t>
            </w:r>
          </w:p>
        </w:tc>
        <w:tc>
          <w:tcPr>
            <w:tcW w:w="444" w:type="pct"/>
            <w:gridSpan w:val="2"/>
            <w:tcBorders>
              <w:top w:val="nil"/>
              <w:bottom w:val="nil"/>
              <w:right w:val="nil"/>
            </w:tcBorders>
            <w:shd w:val="clear" w:color="auto" w:fill="auto"/>
            <w:noWrap/>
            <w:vAlign w:val="center"/>
            <w:hideMark/>
          </w:tcPr>
          <w:p w14:paraId="35C949C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21.7%</w:t>
            </w:r>
          </w:p>
        </w:tc>
        <w:tc>
          <w:tcPr>
            <w:tcW w:w="443" w:type="pct"/>
            <w:gridSpan w:val="2"/>
            <w:tcBorders>
              <w:top w:val="nil"/>
              <w:left w:val="nil"/>
              <w:bottom w:val="nil"/>
            </w:tcBorders>
            <w:shd w:val="clear" w:color="000000" w:fill="DCF2EE"/>
            <w:noWrap/>
            <w:vAlign w:val="center"/>
            <w:hideMark/>
          </w:tcPr>
          <w:p w14:paraId="06210FE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25.1%</w:t>
            </w:r>
          </w:p>
        </w:tc>
        <w:tc>
          <w:tcPr>
            <w:tcW w:w="443" w:type="pct"/>
            <w:tcBorders>
              <w:top w:val="nil"/>
              <w:bottom w:val="nil"/>
              <w:right w:val="nil"/>
            </w:tcBorders>
            <w:shd w:val="clear" w:color="auto" w:fill="auto"/>
            <w:noWrap/>
            <w:vAlign w:val="center"/>
            <w:hideMark/>
          </w:tcPr>
          <w:p w14:paraId="3D6B968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5.2%</w:t>
            </w:r>
          </w:p>
        </w:tc>
        <w:tc>
          <w:tcPr>
            <w:tcW w:w="443" w:type="pct"/>
            <w:gridSpan w:val="2"/>
            <w:tcBorders>
              <w:top w:val="nil"/>
              <w:left w:val="nil"/>
              <w:bottom w:val="nil"/>
            </w:tcBorders>
            <w:shd w:val="clear" w:color="auto" w:fill="DCF2EE" w:themeFill="accent5" w:themeFillTint="33"/>
            <w:noWrap/>
            <w:vAlign w:val="center"/>
            <w:hideMark/>
          </w:tcPr>
          <w:p w14:paraId="637AF78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6.3%</w:t>
            </w:r>
          </w:p>
        </w:tc>
        <w:tc>
          <w:tcPr>
            <w:tcW w:w="443" w:type="pct"/>
            <w:gridSpan w:val="2"/>
            <w:tcBorders>
              <w:top w:val="nil"/>
              <w:bottom w:val="nil"/>
              <w:right w:val="nil"/>
            </w:tcBorders>
            <w:shd w:val="clear" w:color="auto" w:fill="auto"/>
            <w:noWrap/>
            <w:vAlign w:val="center"/>
            <w:hideMark/>
          </w:tcPr>
          <w:p w14:paraId="7F762C1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6.1%</w:t>
            </w:r>
          </w:p>
        </w:tc>
        <w:tc>
          <w:tcPr>
            <w:tcW w:w="448" w:type="pct"/>
            <w:tcBorders>
              <w:top w:val="nil"/>
              <w:left w:val="nil"/>
              <w:bottom w:val="nil"/>
            </w:tcBorders>
            <w:shd w:val="clear" w:color="auto" w:fill="DCF2EE" w:themeFill="accent5" w:themeFillTint="33"/>
            <w:noWrap/>
            <w:vAlign w:val="center"/>
            <w:hideMark/>
          </w:tcPr>
          <w:p w14:paraId="73863D7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7.7%</w:t>
            </w:r>
          </w:p>
        </w:tc>
      </w:tr>
      <w:tr w:rsidR="0046665F" w:rsidRPr="006D2513" w14:paraId="77E49AFC" w14:textId="77777777" w:rsidTr="00F32A89">
        <w:trPr>
          <w:trHeight w:val="279"/>
          <w:tblHeader/>
        </w:trPr>
        <w:tc>
          <w:tcPr>
            <w:tcW w:w="1448" w:type="pct"/>
            <w:shd w:val="clear" w:color="auto" w:fill="auto"/>
            <w:noWrap/>
            <w:vAlign w:val="center"/>
            <w:hideMark/>
          </w:tcPr>
          <w:p w14:paraId="6B88FFD7"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Consolidating gain</w:t>
            </w:r>
          </w:p>
        </w:tc>
        <w:tc>
          <w:tcPr>
            <w:tcW w:w="444" w:type="pct"/>
            <w:tcBorders>
              <w:top w:val="nil"/>
              <w:right w:val="nil"/>
            </w:tcBorders>
            <w:shd w:val="clear" w:color="auto" w:fill="auto"/>
            <w:noWrap/>
            <w:vAlign w:val="center"/>
            <w:hideMark/>
          </w:tcPr>
          <w:p w14:paraId="01CBC78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-5.5%</w:t>
            </w:r>
          </w:p>
        </w:tc>
        <w:tc>
          <w:tcPr>
            <w:tcW w:w="444" w:type="pct"/>
            <w:tcBorders>
              <w:top w:val="nil"/>
              <w:left w:val="nil"/>
            </w:tcBorders>
            <w:shd w:val="clear" w:color="000000" w:fill="DCF2EE"/>
            <w:noWrap/>
            <w:vAlign w:val="center"/>
            <w:hideMark/>
          </w:tcPr>
          <w:p w14:paraId="01B2599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6.6%</w:t>
            </w:r>
          </w:p>
        </w:tc>
        <w:tc>
          <w:tcPr>
            <w:tcW w:w="444" w:type="pct"/>
            <w:gridSpan w:val="2"/>
            <w:tcBorders>
              <w:top w:val="nil"/>
              <w:right w:val="nil"/>
            </w:tcBorders>
            <w:shd w:val="clear" w:color="auto" w:fill="auto"/>
            <w:noWrap/>
            <w:vAlign w:val="center"/>
            <w:hideMark/>
          </w:tcPr>
          <w:p w14:paraId="3223BDA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21.7%</w:t>
            </w:r>
          </w:p>
        </w:tc>
        <w:tc>
          <w:tcPr>
            <w:tcW w:w="443" w:type="pct"/>
            <w:gridSpan w:val="2"/>
            <w:tcBorders>
              <w:top w:val="nil"/>
              <w:left w:val="nil"/>
            </w:tcBorders>
            <w:shd w:val="clear" w:color="000000" w:fill="DCF2EE"/>
            <w:noWrap/>
            <w:vAlign w:val="center"/>
            <w:hideMark/>
          </w:tcPr>
          <w:p w14:paraId="202F078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23.3%</w:t>
            </w:r>
          </w:p>
        </w:tc>
        <w:tc>
          <w:tcPr>
            <w:tcW w:w="443" w:type="pct"/>
            <w:tcBorders>
              <w:top w:val="nil"/>
              <w:right w:val="nil"/>
            </w:tcBorders>
            <w:shd w:val="clear" w:color="auto" w:fill="auto"/>
            <w:noWrap/>
            <w:vAlign w:val="center"/>
            <w:hideMark/>
          </w:tcPr>
          <w:p w14:paraId="473FA44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6.6%</w:t>
            </w:r>
          </w:p>
        </w:tc>
        <w:tc>
          <w:tcPr>
            <w:tcW w:w="443" w:type="pct"/>
            <w:gridSpan w:val="2"/>
            <w:tcBorders>
              <w:top w:val="nil"/>
              <w:left w:val="nil"/>
            </w:tcBorders>
            <w:shd w:val="clear" w:color="auto" w:fill="DCF2EE" w:themeFill="accent5" w:themeFillTint="33"/>
            <w:noWrap/>
            <w:vAlign w:val="center"/>
            <w:hideMark/>
          </w:tcPr>
          <w:p w14:paraId="6F8DE50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7.2%</w:t>
            </w:r>
          </w:p>
        </w:tc>
        <w:tc>
          <w:tcPr>
            <w:tcW w:w="443" w:type="pct"/>
            <w:gridSpan w:val="2"/>
            <w:tcBorders>
              <w:top w:val="nil"/>
              <w:right w:val="nil"/>
            </w:tcBorders>
            <w:shd w:val="clear" w:color="auto" w:fill="auto"/>
            <w:noWrap/>
            <w:vAlign w:val="center"/>
            <w:hideMark/>
          </w:tcPr>
          <w:p w14:paraId="3198F27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7.6%</w:t>
            </w:r>
          </w:p>
        </w:tc>
        <w:tc>
          <w:tcPr>
            <w:tcW w:w="448" w:type="pct"/>
            <w:tcBorders>
              <w:top w:val="nil"/>
              <w:left w:val="nil"/>
            </w:tcBorders>
            <w:shd w:val="clear" w:color="auto" w:fill="DCF2EE" w:themeFill="accent5" w:themeFillTint="33"/>
            <w:noWrap/>
            <w:vAlign w:val="center"/>
            <w:hideMark/>
          </w:tcPr>
          <w:p w14:paraId="539AE23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8.4%</w:t>
            </w:r>
          </w:p>
        </w:tc>
      </w:tr>
      <w:tr w:rsidR="0046665F" w:rsidRPr="006D2513" w14:paraId="083F6634" w14:textId="77777777" w:rsidTr="00F32A89">
        <w:trPr>
          <w:trHeight w:val="279"/>
          <w:tblHeader/>
        </w:trPr>
        <w:tc>
          <w:tcPr>
            <w:tcW w:w="2501" w:type="pct"/>
            <w:gridSpan w:val="4"/>
            <w:shd w:val="clear" w:color="auto" w:fill="15272F" w:themeFill="accent1"/>
            <w:noWrap/>
            <w:vAlign w:val="center"/>
            <w:hideMark/>
          </w:tcPr>
          <w:p w14:paraId="181ABB4C" w14:textId="77777777" w:rsidR="0046665F" w:rsidRPr="006D2513" w:rsidRDefault="0046665F" w:rsidP="0046665F">
            <w:pPr>
              <w:spacing w:after="0" w:line="240" w:lineRule="auto"/>
              <w:rPr>
                <w:rFonts w:eastAsia="Times New Roman" w:cs="Arial"/>
                <w:b/>
                <w:bCs/>
                <w:color w:val="FFFFFF"/>
                <w:sz w:val="18"/>
                <w:szCs w:val="18"/>
                <w:lang w:eastAsia="en-AU"/>
              </w:rPr>
            </w:pPr>
            <w:r w:rsidRPr="1922062C">
              <w:rPr>
                <w:rFonts w:eastAsia="Times New Roman" w:cs="Arial"/>
                <w:b/>
                <w:bCs/>
                <w:color w:val="FFFFFF" w:themeColor="accent6"/>
                <w:sz w:val="18"/>
                <w:szCs w:val="18"/>
              </w:rPr>
              <w:t>By setting phase and age group</w:t>
            </w:r>
            <w:r>
              <w:rPr>
                <w:rFonts w:cs="Arial"/>
                <w:b/>
                <w:bCs/>
                <w:color w:val="FFFFFF"/>
                <w:sz w:val="18"/>
                <w:szCs w:val="18"/>
              </w:rPr>
              <w:t> </w:t>
            </w:r>
          </w:p>
        </w:tc>
        <w:tc>
          <w:tcPr>
            <w:tcW w:w="619" w:type="pct"/>
            <w:gridSpan w:val="2"/>
            <w:shd w:val="clear" w:color="auto" w:fill="15272F" w:themeFill="accent1"/>
            <w:noWrap/>
            <w:vAlign w:val="center"/>
            <w:hideMark/>
          </w:tcPr>
          <w:p w14:paraId="54900EED"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626" w:type="pct"/>
            <w:gridSpan w:val="3"/>
            <w:shd w:val="clear" w:color="auto" w:fill="15272F" w:themeFill="accent1"/>
            <w:noWrap/>
            <w:vAlign w:val="center"/>
            <w:hideMark/>
          </w:tcPr>
          <w:p w14:paraId="35997C68"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626" w:type="pct"/>
            <w:gridSpan w:val="2"/>
            <w:shd w:val="clear" w:color="auto" w:fill="15272F" w:themeFill="accent1"/>
            <w:noWrap/>
            <w:vAlign w:val="center"/>
            <w:hideMark/>
          </w:tcPr>
          <w:p w14:paraId="5C46613E"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628" w:type="pct"/>
            <w:gridSpan w:val="2"/>
            <w:shd w:val="clear" w:color="auto" w:fill="15272F" w:themeFill="accent1"/>
            <w:noWrap/>
            <w:vAlign w:val="center"/>
            <w:hideMark/>
          </w:tcPr>
          <w:p w14:paraId="130D81F6"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r>
      <w:tr w:rsidR="0046665F" w:rsidRPr="006D2513" w14:paraId="0F98593A" w14:textId="77777777" w:rsidTr="00F32A89">
        <w:trPr>
          <w:trHeight w:val="279"/>
          <w:tblHeader/>
        </w:trPr>
        <w:tc>
          <w:tcPr>
            <w:tcW w:w="1448" w:type="pct"/>
            <w:tcBorders>
              <w:right w:val="nil"/>
            </w:tcBorders>
            <w:shd w:val="clear" w:color="auto" w:fill="DFEBF1" w:themeFill="accent1" w:themeFillTint="1A"/>
            <w:noWrap/>
            <w:vAlign w:val="center"/>
            <w:hideMark/>
          </w:tcPr>
          <w:p w14:paraId="03409656" w14:textId="77777777" w:rsidR="0046665F" w:rsidRPr="006D2513" w:rsidRDefault="0046665F" w:rsidP="0046665F">
            <w:pPr>
              <w:spacing w:after="0" w:line="240" w:lineRule="auto"/>
              <w:rPr>
                <w:rFonts w:eastAsia="Times New Roman" w:cs="Arial"/>
                <w:b/>
                <w:bCs/>
                <w:color w:val="FFFFFF"/>
                <w:sz w:val="18"/>
                <w:szCs w:val="18"/>
                <w:lang w:eastAsia="en-AU"/>
              </w:rPr>
            </w:pPr>
            <w:r w:rsidRPr="1922062C">
              <w:rPr>
                <w:rFonts w:eastAsia="Times New Roman" w:cs="Arial"/>
                <w:b/>
                <w:bCs/>
                <w:color w:val="auto"/>
                <w:sz w:val="18"/>
                <w:szCs w:val="18"/>
              </w:rPr>
              <w:t>Admitted</w:t>
            </w:r>
          </w:p>
        </w:tc>
        <w:tc>
          <w:tcPr>
            <w:tcW w:w="444" w:type="pct"/>
            <w:tcBorders>
              <w:left w:val="nil"/>
              <w:bottom w:val="single" w:sz="4" w:space="0" w:color="15272F" w:themeColor="text2"/>
              <w:right w:val="nil"/>
            </w:tcBorders>
            <w:shd w:val="clear" w:color="000000" w:fill="DFEBF1"/>
            <w:noWrap/>
            <w:vAlign w:val="center"/>
            <w:hideMark/>
          </w:tcPr>
          <w:p w14:paraId="5FD4129E"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4" w:type="pct"/>
            <w:tcBorders>
              <w:left w:val="nil"/>
              <w:bottom w:val="single" w:sz="4" w:space="0" w:color="15272F" w:themeColor="text2"/>
              <w:right w:val="nil"/>
            </w:tcBorders>
            <w:shd w:val="clear" w:color="000000" w:fill="DFEBF1"/>
            <w:noWrap/>
            <w:vAlign w:val="center"/>
            <w:hideMark/>
          </w:tcPr>
          <w:p w14:paraId="65DB2C23"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4" w:type="pct"/>
            <w:gridSpan w:val="2"/>
            <w:tcBorders>
              <w:left w:val="nil"/>
              <w:bottom w:val="single" w:sz="4" w:space="0" w:color="15272F" w:themeColor="text2"/>
              <w:right w:val="nil"/>
            </w:tcBorders>
            <w:shd w:val="clear" w:color="000000" w:fill="DFEBF1"/>
            <w:noWrap/>
            <w:vAlign w:val="center"/>
            <w:hideMark/>
          </w:tcPr>
          <w:p w14:paraId="24392B69"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3" w:type="pct"/>
            <w:gridSpan w:val="2"/>
            <w:tcBorders>
              <w:left w:val="nil"/>
              <w:bottom w:val="single" w:sz="4" w:space="0" w:color="15272F" w:themeColor="text2"/>
              <w:right w:val="nil"/>
            </w:tcBorders>
            <w:shd w:val="clear" w:color="000000" w:fill="DFEBF1"/>
            <w:noWrap/>
            <w:vAlign w:val="center"/>
            <w:hideMark/>
          </w:tcPr>
          <w:p w14:paraId="404315D0" w14:textId="77777777" w:rsidR="0046665F" w:rsidRPr="006D2513" w:rsidRDefault="0046665F" w:rsidP="0046665F">
            <w:pPr>
              <w:spacing w:after="0" w:line="240" w:lineRule="auto"/>
              <w:jc w:val="right"/>
              <w:rPr>
                <w:rFonts w:eastAsia="Times New Roman" w:cs="Arial"/>
                <w:b/>
                <w:bCs/>
                <w:color w:val="FFFFFF"/>
                <w:sz w:val="18"/>
                <w:szCs w:val="18"/>
                <w:lang w:eastAsia="en-AU"/>
              </w:rPr>
            </w:pPr>
            <w:r>
              <w:rPr>
                <w:rFonts w:cs="Arial"/>
                <w:b/>
                <w:bCs/>
                <w:color w:val="FFFFFF"/>
                <w:sz w:val="18"/>
                <w:szCs w:val="18"/>
              </w:rPr>
              <w:t> </w:t>
            </w:r>
          </w:p>
        </w:tc>
        <w:tc>
          <w:tcPr>
            <w:tcW w:w="443" w:type="pct"/>
            <w:tcBorders>
              <w:left w:val="nil"/>
              <w:bottom w:val="single" w:sz="4" w:space="0" w:color="15272F" w:themeColor="text2"/>
              <w:right w:val="nil"/>
            </w:tcBorders>
            <w:shd w:val="clear" w:color="auto" w:fill="DFEBF1" w:themeFill="accent1" w:themeFillTint="1A"/>
            <w:noWrap/>
            <w:vAlign w:val="center"/>
            <w:hideMark/>
          </w:tcPr>
          <w:p w14:paraId="68A8AF04"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2A4F2038"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3893D02C"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c>
          <w:tcPr>
            <w:tcW w:w="448" w:type="pct"/>
            <w:tcBorders>
              <w:left w:val="nil"/>
              <w:bottom w:val="single" w:sz="4" w:space="0" w:color="15272F" w:themeColor="text2"/>
            </w:tcBorders>
            <w:shd w:val="clear" w:color="auto" w:fill="DFEBF1" w:themeFill="accent1" w:themeFillTint="1A"/>
            <w:noWrap/>
            <w:vAlign w:val="center"/>
            <w:hideMark/>
          </w:tcPr>
          <w:p w14:paraId="19A5FAEF" w14:textId="77777777" w:rsidR="0046665F" w:rsidRPr="006D2513" w:rsidRDefault="0046665F" w:rsidP="0046665F">
            <w:pPr>
              <w:spacing w:after="0" w:line="240" w:lineRule="auto"/>
              <w:jc w:val="right"/>
              <w:rPr>
                <w:rFonts w:eastAsia="Times New Roman" w:cs="Arial"/>
                <w:b/>
                <w:bCs/>
                <w:color w:val="FFFFFF"/>
                <w:sz w:val="18"/>
                <w:szCs w:val="18"/>
                <w:lang w:eastAsia="en-AU"/>
              </w:rPr>
            </w:pPr>
            <w:r w:rsidRPr="1922062C">
              <w:rPr>
                <w:rFonts w:eastAsia="Times New Roman" w:cs="Arial"/>
                <w:b/>
                <w:bCs/>
                <w:color w:val="FFFFFF" w:themeColor="accent6"/>
                <w:sz w:val="18"/>
                <w:szCs w:val="18"/>
              </w:rPr>
              <w:t> </w:t>
            </w:r>
          </w:p>
        </w:tc>
      </w:tr>
      <w:tr w:rsidR="0046665F" w:rsidRPr="006D2513" w14:paraId="1D9456A9" w14:textId="77777777" w:rsidTr="00F32A89">
        <w:trPr>
          <w:trHeight w:val="279"/>
          <w:tblHeader/>
        </w:trPr>
        <w:tc>
          <w:tcPr>
            <w:tcW w:w="1448" w:type="pct"/>
            <w:shd w:val="clear" w:color="auto" w:fill="auto"/>
            <w:noWrap/>
            <w:vAlign w:val="center"/>
            <w:hideMark/>
          </w:tcPr>
          <w:p w14:paraId="62A3B499"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Acute 0-17 years  </w:t>
            </w:r>
          </w:p>
        </w:tc>
        <w:tc>
          <w:tcPr>
            <w:tcW w:w="444" w:type="pct"/>
            <w:tcBorders>
              <w:bottom w:val="nil"/>
              <w:right w:val="nil"/>
            </w:tcBorders>
            <w:shd w:val="clear" w:color="auto" w:fill="auto"/>
            <w:noWrap/>
            <w:vAlign w:val="center"/>
            <w:hideMark/>
          </w:tcPr>
          <w:p w14:paraId="3D544A1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4.0%</w:t>
            </w:r>
          </w:p>
        </w:tc>
        <w:tc>
          <w:tcPr>
            <w:tcW w:w="444" w:type="pct"/>
            <w:tcBorders>
              <w:left w:val="nil"/>
              <w:bottom w:val="nil"/>
            </w:tcBorders>
            <w:shd w:val="clear" w:color="000000" w:fill="DCF2EE"/>
            <w:noWrap/>
            <w:vAlign w:val="center"/>
            <w:hideMark/>
          </w:tcPr>
          <w:p w14:paraId="65AA4B03"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17.0%</w:t>
            </w:r>
          </w:p>
        </w:tc>
        <w:tc>
          <w:tcPr>
            <w:tcW w:w="444" w:type="pct"/>
            <w:gridSpan w:val="2"/>
            <w:tcBorders>
              <w:bottom w:val="nil"/>
              <w:right w:val="nil"/>
            </w:tcBorders>
            <w:shd w:val="clear" w:color="auto" w:fill="auto"/>
            <w:noWrap/>
            <w:vAlign w:val="center"/>
            <w:hideMark/>
          </w:tcPr>
          <w:p w14:paraId="510C8DF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6.9%</w:t>
            </w:r>
          </w:p>
        </w:tc>
        <w:tc>
          <w:tcPr>
            <w:tcW w:w="443" w:type="pct"/>
            <w:gridSpan w:val="2"/>
            <w:tcBorders>
              <w:left w:val="nil"/>
              <w:bottom w:val="nil"/>
            </w:tcBorders>
            <w:shd w:val="clear" w:color="000000" w:fill="DCF2EE"/>
            <w:noWrap/>
            <w:vAlign w:val="center"/>
            <w:hideMark/>
          </w:tcPr>
          <w:p w14:paraId="69AE97A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10.0%</w:t>
            </w:r>
          </w:p>
        </w:tc>
        <w:tc>
          <w:tcPr>
            <w:tcW w:w="443" w:type="pct"/>
            <w:tcBorders>
              <w:bottom w:val="nil"/>
              <w:right w:val="nil"/>
            </w:tcBorders>
            <w:shd w:val="clear" w:color="auto" w:fill="auto"/>
            <w:noWrap/>
            <w:vAlign w:val="center"/>
            <w:hideMark/>
          </w:tcPr>
          <w:p w14:paraId="69FC4BC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0.5%</w:t>
            </w:r>
          </w:p>
        </w:tc>
        <w:tc>
          <w:tcPr>
            <w:tcW w:w="443" w:type="pct"/>
            <w:gridSpan w:val="2"/>
            <w:tcBorders>
              <w:left w:val="nil"/>
              <w:bottom w:val="nil"/>
            </w:tcBorders>
            <w:shd w:val="clear" w:color="auto" w:fill="DCF2EE" w:themeFill="accent5" w:themeFillTint="33"/>
            <w:noWrap/>
            <w:vAlign w:val="center"/>
            <w:hideMark/>
          </w:tcPr>
          <w:p w14:paraId="0EF45CB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2.2%</w:t>
            </w:r>
          </w:p>
        </w:tc>
        <w:tc>
          <w:tcPr>
            <w:tcW w:w="443" w:type="pct"/>
            <w:gridSpan w:val="2"/>
            <w:tcBorders>
              <w:bottom w:val="nil"/>
              <w:right w:val="nil"/>
            </w:tcBorders>
            <w:shd w:val="clear" w:color="auto" w:fill="auto"/>
            <w:noWrap/>
            <w:vAlign w:val="center"/>
            <w:hideMark/>
          </w:tcPr>
          <w:p w14:paraId="4F9604F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0.4%</w:t>
            </w:r>
          </w:p>
        </w:tc>
        <w:tc>
          <w:tcPr>
            <w:tcW w:w="448" w:type="pct"/>
            <w:tcBorders>
              <w:left w:val="nil"/>
              <w:bottom w:val="nil"/>
            </w:tcBorders>
            <w:shd w:val="clear" w:color="auto" w:fill="DCF2EE" w:themeFill="accent5" w:themeFillTint="33"/>
            <w:noWrap/>
            <w:vAlign w:val="center"/>
            <w:hideMark/>
          </w:tcPr>
          <w:p w14:paraId="494956D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4.2%</w:t>
            </w:r>
          </w:p>
        </w:tc>
      </w:tr>
      <w:tr w:rsidR="0046665F" w:rsidRPr="006D2513" w14:paraId="3B220FBD" w14:textId="77777777" w:rsidTr="00F32A89">
        <w:trPr>
          <w:trHeight w:val="279"/>
          <w:tblHeader/>
        </w:trPr>
        <w:tc>
          <w:tcPr>
            <w:tcW w:w="1448" w:type="pct"/>
            <w:shd w:val="clear" w:color="auto" w:fill="auto"/>
            <w:noWrap/>
            <w:vAlign w:val="center"/>
            <w:hideMark/>
          </w:tcPr>
          <w:p w14:paraId="5ECD56DA"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Acute 18-64 years</w:t>
            </w:r>
          </w:p>
        </w:tc>
        <w:tc>
          <w:tcPr>
            <w:tcW w:w="444" w:type="pct"/>
            <w:tcBorders>
              <w:top w:val="nil"/>
              <w:bottom w:val="nil"/>
              <w:right w:val="nil"/>
            </w:tcBorders>
            <w:shd w:val="clear" w:color="auto" w:fill="auto"/>
            <w:noWrap/>
            <w:vAlign w:val="center"/>
            <w:hideMark/>
          </w:tcPr>
          <w:p w14:paraId="0689D1A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18.3%</w:t>
            </w:r>
          </w:p>
        </w:tc>
        <w:tc>
          <w:tcPr>
            <w:tcW w:w="444" w:type="pct"/>
            <w:tcBorders>
              <w:top w:val="nil"/>
              <w:left w:val="nil"/>
              <w:bottom w:val="nil"/>
            </w:tcBorders>
            <w:shd w:val="clear" w:color="000000" w:fill="DCF2EE"/>
            <w:noWrap/>
            <w:vAlign w:val="center"/>
            <w:hideMark/>
          </w:tcPr>
          <w:p w14:paraId="703C88B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28.9%</w:t>
            </w:r>
          </w:p>
        </w:tc>
        <w:tc>
          <w:tcPr>
            <w:tcW w:w="444" w:type="pct"/>
            <w:gridSpan w:val="2"/>
            <w:tcBorders>
              <w:top w:val="nil"/>
              <w:bottom w:val="nil"/>
              <w:right w:val="nil"/>
            </w:tcBorders>
            <w:shd w:val="clear" w:color="auto" w:fill="auto"/>
            <w:noWrap/>
            <w:vAlign w:val="center"/>
            <w:hideMark/>
          </w:tcPr>
          <w:p w14:paraId="5D55FC9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32.5%</w:t>
            </w:r>
          </w:p>
        </w:tc>
        <w:tc>
          <w:tcPr>
            <w:tcW w:w="443" w:type="pct"/>
            <w:gridSpan w:val="2"/>
            <w:tcBorders>
              <w:top w:val="nil"/>
              <w:left w:val="nil"/>
              <w:bottom w:val="nil"/>
            </w:tcBorders>
            <w:shd w:val="clear" w:color="000000" w:fill="DCF2EE"/>
            <w:noWrap/>
            <w:vAlign w:val="center"/>
            <w:hideMark/>
          </w:tcPr>
          <w:p w14:paraId="46C92A5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35.5%</w:t>
            </w:r>
          </w:p>
        </w:tc>
        <w:tc>
          <w:tcPr>
            <w:tcW w:w="443" w:type="pct"/>
            <w:tcBorders>
              <w:top w:val="nil"/>
              <w:bottom w:val="nil"/>
              <w:right w:val="nil"/>
            </w:tcBorders>
            <w:shd w:val="clear" w:color="auto" w:fill="auto"/>
            <w:noWrap/>
            <w:vAlign w:val="center"/>
            <w:hideMark/>
          </w:tcPr>
          <w:p w14:paraId="2E69350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10.7%</w:t>
            </w:r>
          </w:p>
        </w:tc>
        <w:tc>
          <w:tcPr>
            <w:tcW w:w="443" w:type="pct"/>
            <w:gridSpan w:val="2"/>
            <w:tcBorders>
              <w:top w:val="nil"/>
              <w:left w:val="nil"/>
              <w:bottom w:val="nil"/>
            </w:tcBorders>
            <w:shd w:val="clear" w:color="auto" w:fill="DCF2EE" w:themeFill="accent5" w:themeFillTint="33"/>
            <w:noWrap/>
            <w:vAlign w:val="center"/>
            <w:hideMark/>
          </w:tcPr>
          <w:p w14:paraId="1523171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12.3%</w:t>
            </w:r>
          </w:p>
        </w:tc>
        <w:tc>
          <w:tcPr>
            <w:tcW w:w="443" w:type="pct"/>
            <w:gridSpan w:val="2"/>
            <w:tcBorders>
              <w:top w:val="nil"/>
              <w:bottom w:val="nil"/>
              <w:right w:val="nil"/>
            </w:tcBorders>
            <w:shd w:val="clear" w:color="auto" w:fill="auto"/>
            <w:noWrap/>
            <w:vAlign w:val="center"/>
            <w:hideMark/>
          </w:tcPr>
          <w:p w14:paraId="7E39C23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9.6%</w:t>
            </w:r>
          </w:p>
        </w:tc>
        <w:tc>
          <w:tcPr>
            <w:tcW w:w="448" w:type="pct"/>
            <w:tcBorders>
              <w:top w:val="nil"/>
              <w:left w:val="nil"/>
              <w:bottom w:val="nil"/>
            </w:tcBorders>
            <w:shd w:val="clear" w:color="auto" w:fill="DCF2EE" w:themeFill="accent5" w:themeFillTint="33"/>
            <w:noWrap/>
            <w:vAlign w:val="center"/>
            <w:hideMark/>
          </w:tcPr>
          <w:p w14:paraId="08DDAC2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10.9%</w:t>
            </w:r>
          </w:p>
        </w:tc>
      </w:tr>
      <w:tr w:rsidR="0046665F" w:rsidRPr="006D2513" w14:paraId="2C92E46B" w14:textId="77777777" w:rsidTr="00F32A89">
        <w:trPr>
          <w:trHeight w:val="279"/>
          <w:tblHeader/>
        </w:trPr>
        <w:tc>
          <w:tcPr>
            <w:tcW w:w="1448" w:type="pct"/>
            <w:shd w:val="clear" w:color="auto" w:fill="auto"/>
            <w:noWrap/>
            <w:vAlign w:val="center"/>
            <w:hideMark/>
          </w:tcPr>
          <w:p w14:paraId="24C288A6"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Acute 65+ years  </w:t>
            </w:r>
          </w:p>
        </w:tc>
        <w:tc>
          <w:tcPr>
            <w:tcW w:w="444" w:type="pct"/>
            <w:tcBorders>
              <w:top w:val="nil"/>
              <w:bottom w:val="nil"/>
              <w:right w:val="nil"/>
            </w:tcBorders>
            <w:shd w:val="clear" w:color="auto" w:fill="auto"/>
            <w:noWrap/>
            <w:vAlign w:val="center"/>
            <w:hideMark/>
          </w:tcPr>
          <w:p w14:paraId="56010A9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15.8%</w:t>
            </w:r>
          </w:p>
        </w:tc>
        <w:tc>
          <w:tcPr>
            <w:tcW w:w="444" w:type="pct"/>
            <w:tcBorders>
              <w:top w:val="nil"/>
              <w:left w:val="nil"/>
              <w:bottom w:val="nil"/>
            </w:tcBorders>
            <w:shd w:val="clear" w:color="000000" w:fill="DCF2EE"/>
            <w:noWrap/>
            <w:vAlign w:val="center"/>
            <w:hideMark/>
          </w:tcPr>
          <w:p w14:paraId="01011FB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23.5%</w:t>
            </w:r>
          </w:p>
        </w:tc>
        <w:tc>
          <w:tcPr>
            <w:tcW w:w="444" w:type="pct"/>
            <w:gridSpan w:val="2"/>
            <w:tcBorders>
              <w:top w:val="nil"/>
              <w:bottom w:val="nil"/>
              <w:right w:val="nil"/>
            </w:tcBorders>
            <w:shd w:val="clear" w:color="auto" w:fill="auto"/>
            <w:noWrap/>
            <w:vAlign w:val="center"/>
            <w:hideMark/>
          </w:tcPr>
          <w:p w14:paraId="232ACB4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11.6%</w:t>
            </w:r>
          </w:p>
        </w:tc>
        <w:tc>
          <w:tcPr>
            <w:tcW w:w="443" w:type="pct"/>
            <w:gridSpan w:val="2"/>
            <w:tcBorders>
              <w:top w:val="nil"/>
              <w:left w:val="nil"/>
              <w:bottom w:val="nil"/>
            </w:tcBorders>
            <w:shd w:val="clear" w:color="000000" w:fill="DCF2EE"/>
            <w:noWrap/>
            <w:vAlign w:val="center"/>
            <w:hideMark/>
          </w:tcPr>
          <w:p w14:paraId="3BC46EA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18.4%</w:t>
            </w:r>
          </w:p>
        </w:tc>
        <w:tc>
          <w:tcPr>
            <w:tcW w:w="443" w:type="pct"/>
            <w:tcBorders>
              <w:top w:val="nil"/>
              <w:bottom w:val="nil"/>
              <w:right w:val="nil"/>
            </w:tcBorders>
            <w:shd w:val="clear" w:color="auto" w:fill="auto"/>
            <w:noWrap/>
            <w:vAlign w:val="center"/>
            <w:hideMark/>
          </w:tcPr>
          <w:p w14:paraId="79D5F38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1.6%</w:t>
            </w:r>
          </w:p>
        </w:tc>
        <w:tc>
          <w:tcPr>
            <w:tcW w:w="443" w:type="pct"/>
            <w:gridSpan w:val="2"/>
            <w:tcBorders>
              <w:top w:val="nil"/>
              <w:left w:val="nil"/>
              <w:bottom w:val="nil"/>
            </w:tcBorders>
            <w:shd w:val="clear" w:color="auto" w:fill="DCF2EE" w:themeFill="accent5" w:themeFillTint="33"/>
            <w:noWrap/>
            <w:vAlign w:val="center"/>
            <w:hideMark/>
          </w:tcPr>
          <w:p w14:paraId="1FECE8D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3.8%</w:t>
            </w:r>
          </w:p>
        </w:tc>
        <w:tc>
          <w:tcPr>
            <w:tcW w:w="443" w:type="pct"/>
            <w:gridSpan w:val="2"/>
            <w:tcBorders>
              <w:top w:val="nil"/>
              <w:bottom w:val="nil"/>
              <w:right w:val="nil"/>
            </w:tcBorders>
            <w:shd w:val="clear" w:color="auto" w:fill="auto"/>
            <w:noWrap/>
            <w:vAlign w:val="center"/>
            <w:hideMark/>
          </w:tcPr>
          <w:p w14:paraId="5EACAB8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w:t>
            </w:r>
          </w:p>
        </w:tc>
        <w:tc>
          <w:tcPr>
            <w:tcW w:w="448" w:type="pct"/>
            <w:tcBorders>
              <w:top w:val="nil"/>
              <w:left w:val="nil"/>
              <w:bottom w:val="nil"/>
            </w:tcBorders>
            <w:shd w:val="clear" w:color="auto" w:fill="DCF2EE" w:themeFill="accent5" w:themeFillTint="33"/>
            <w:noWrap/>
            <w:vAlign w:val="center"/>
            <w:hideMark/>
          </w:tcPr>
          <w:p w14:paraId="213C97A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3.1%</w:t>
            </w:r>
          </w:p>
        </w:tc>
      </w:tr>
      <w:tr w:rsidR="0046665F" w:rsidRPr="006D2513" w14:paraId="4B854E61" w14:textId="77777777" w:rsidTr="00F32A89">
        <w:trPr>
          <w:trHeight w:val="279"/>
          <w:tblHeader/>
        </w:trPr>
        <w:tc>
          <w:tcPr>
            <w:tcW w:w="1448" w:type="pct"/>
            <w:shd w:val="clear" w:color="auto" w:fill="auto"/>
            <w:noWrap/>
            <w:vAlign w:val="center"/>
            <w:hideMark/>
          </w:tcPr>
          <w:p w14:paraId="1A51B54A"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0-17 years  </w:t>
            </w:r>
          </w:p>
        </w:tc>
        <w:tc>
          <w:tcPr>
            <w:tcW w:w="444" w:type="pct"/>
            <w:tcBorders>
              <w:top w:val="nil"/>
              <w:bottom w:val="nil"/>
              <w:right w:val="nil"/>
            </w:tcBorders>
            <w:shd w:val="clear" w:color="auto" w:fill="auto"/>
            <w:noWrap/>
            <w:vAlign w:val="center"/>
            <w:hideMark/>
          </w:tcPr>
          <w:p w14:paraId="4BA4983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15.1%</w:t>
            </w:r>
          </w:p>
        </w:tc>
        <w:tc>
          <w:tcPr>
            <w:tcW w:w="444" w:type="pct"/>
            <w:tcBorders>
              <w:top w:val="nil"/>
              <w:left w:val="nil"/>
              <w:bottom w:val="nil"/>
            </w:tcBorders>
            <w:shd w:val="clear" w:color="000000" w:fill="DCF2EE"/>
            <w:noWrap/>
            <w:vAlign w:val="center"/>
            <w:hideMark/>
          </w:tcPr>
          <w:p w14:paraId="047183D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27.6%</w:t>
            </w:r>
          </w:p>
        </w:tc>
        <w:tc>
          <w:tcPr>
            <w:tcW w:w="444" w:type="pct"/>
            <w:gridSpan w:val="2"/>
            <w:tcBorders>
              <w:top w:val="nil"/>
              <w:bottom w:val="nil"/>
              <w:right w:val="nil"/>
            </w:tcBorders>
            <w:shd w:val="clear" w:color="auto" w:fill="auto"/>
            <w:noWrap/>
            <w:vAlign w:val="center"/>
            <w:hideMark/>
          </w:tcPr>
          <w:p w14:paraId="11DC094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20.4%</w:t>
            </w:r>
          </w:p>
        </w:tc>
        <w:tc>
          <w:tcPr>
            <w:tcW w:w="443" w:type="pct"/>
            <w:gridSpan w:val="2"/>
            <w:tcBorders>
              <w:top w:val="nil"/>
              <w:left w:val="nil"/>
              <w:bottom w:val="nil"/>
            </w:tcBorders>
            <w:shd w:val="clear" w:color="000000" w:fill="DCF2EE"/>
            <w:noWrap/>
            <w:vAlign w:val="center"/>
            <w:hideMark/>
          </w:tcPr>
          <w:p w14:paraId="415DB74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27.0%</w:t>
            </w:r>
          </w:p>
        </w:tc>
        <w:tc>
          <w:tcPr>
            <w:tcW w:w="443" w:type="pct"/>
            <w:tcBorders>
              <w:top w:val="nil"/>
              <w:bottom w:val="nil"/>
              <w:right w:val="nil"/>
            </w:tcBorders>
            <w:shd w:val="clear" w:color="auto" w:fill="auto"/>
            <w:noWrap/>
            <w:vAlign w:val="center"/>
            <w:hideMark/>
          </w:tcPr>
          <w:p w14:paraId="434CCC4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4.5%</w:t>
            </w:r>
          </w:p>
        </w:tc>
        <w:tc>
          <w:tcPr>
            <w:tcW w:w="443" w:type="pct"/>
            <w:gridSpan w:val="2"/>
            <w:tcBorders>
              <w:top w:val="nil"/>
              <w:left w:val="nil"/>
              <w:bottom w:val="nil"/>
            </w:tcBorders>
            <w:shd w:val="clear" w:color="auto" w:fill="DCF2EE" w:themeFill="accent5" w:themeFillTint="33"/>
            <w:noWrap/>
            <w:vAlign w:val="center"/>
            <w:hideMark/>
          </w:tcPr>
          <w:p w14:paraId="74457D15"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8.4%</w:t>
            </w:r>
          </w:p>
        </w:tc>
        <w:tc>
          <w:tcPr>
            <w:tcW w:w="443" w:type="pct"/>
            <w:gridSpan w:val="2"/>
            <w:tcBorders>
              <w:top w:val="nil"/>
              <w:bottom w:val="nil"/>
              <w:right w:val="nil"/>
            </w:tcBorders>
            <w:shd w:val="clear" w:color="auto" w:fill="auto"/>
            <w:noWrap/>
            <w:vAlign w:val="center"/>
            <w:hideMark/>
          </w:tcPr>
          <w:p w14:paraId="28DC7EC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4.5%</w:t>
            </w:r>
          </w:p>
        </w:tc>
        <w:tc>
          <w:tcPr>
            <w:tcW w:w="448" w:type="pct"/>
            <w:tcBorders>
              <w:top w:val="nil"/>
              <w:left w:val="nil"/>
              <w:bottom w:val="nil"/>
            </w:tcBorders>
            <w:shd w:val="clear" w:color="auto" w:fill="DCF2EE" w:themeFill="accent5" w:themeFillTint="33"/>
            <w:noWrap/>
            <w:vAlign w:val="center"/>
            <w:hideMark/>
          </w:tcPr>
          <w:p w14:paraId="2DF92EC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6.3%</w:t>
            </w:r>
          </w:p>
        </w:tc>
      </w:tr>
      <w:tr w:rsidR="0046665F" w:rsidRPr="006D2513" w14:paraId="5BC5CD4D" w14:textId="77777777" w:rsidTr="00F32A89">
        <w:trPr>
          <w:trHeight w:val="279"/>
          <w:tblHeader/>
        </w:trPr>
        <w:tc>
          <w:tcPr>
            <w:tcW w:w="1448" w:type="pct"/>
            <w:shd w:val="clear" w:color="auto" w:fill="auto"/>
            <w:noWrap/>
            <w:vAlign w:val="center"/>
            <w:hideMark/>
          </w:tcPr>
          <w:p w14:paraId="541CCC42"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18-64 years  </w:t>
            </w:r>
          </w:p>
        </w:tc>
        <w:tc>
          <w:tcPr>
            <w:tcW w:w="444" w:type="pct"/>
            <w:tcBorders>
              <w:top w:val="nil"/>
              <w:bottom w:val="nil"/>
              <w:right w:val="nil"/>
            </w:tcBorders>
            <w:shd w:val="clear" w:color="auto" w:fill="auto"/>
            <w:noWrap/>
            <w:vAlign w:val="center"/>
            <w:hideMark/>
          </w:tcPr>
          <w:p w14:paraId="6FD4E4D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6.9%</w:t>
            </w:r>
          </w:p>
        </w:tc>
        <w:tc>
          <w:tcPr>
            <w:tcW w:w="444" w:type="pct"/>
            <w:tcBorders>
              <w:top w:val="nil"/>
              <w:left w:val="nil"/>
              <w:bottom w:val="nil"/>
            </w:tcBorders>
            <w:shd w:val="clear" w:color="000000" w:fill="DCF2EE"/>
            <w:noWrap/>
            <w:vAlign w:val="center"/>
            <w:hideMark/>
          </w:tcPr>
          <w:p w14:paraId="555B859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22.3%</w:t>
            </w:r>
          </w:p>
        </w:tc>
        <w:tc>
          <w:tcPr>
            <w:tcW w:w="444" w:type="pct"/>
            <w:gridSpan w:val="2"/>
            <w:tcBorders>
              <w:top w:val="nil"/>
              <w:bottom w:val="nil"/>
              <w:right w:val="nil"/>
            </w:tcBorders>
            <w:shd w:val="clear" w:color="auto" w:fill="auto"/>
            <w:noWrap/>
            <w:vAlign w:val="center"/>
            <w:hideMark/>
          </w:tcPr>
          <w:p w14:paraId="3320ACF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4.4%</w:t>
            </w:r>
          </w:p>
        </w:tc>
        <w:tc>
          <w:tcPr>
            <w:tcW w:w="443" w:type="pct"/>
            <w:gridSpan w:val="2"/>
            <w:tcBorders>
              <w:top w:val="nil"/>
              <w:left w:val="nil"/>
              <w:bottom w:val="nil"/>
            </w:tcBorders>
            <w:shd w:val="clear" w:color="000000" w:fill="DCF2EE"/>
            <w:noWrap/>
            <w:vAlign w:val="center"/>
            <w:hideMark/>
          </w:tcPr>
          <w:p w14:paraId="0798B25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16.9%</w:t>
            </w:r>
          </w:p>
        </w:tc>
        <w:tc>
          <w:tcPr>
            <w:tcW w:w="443" w:type="pct"/>
            <w:tcBorders>
              <w:top w:val="nil"/>
              <w:bottom w:val="nil"/>
              <w:right w:val="nil"/>
            </w:tcBorders>
            <w:shd w:val="clear" w:color="auto" w:fill="auto"/>
            <w:noWrap/>
            <w:vAlign w:val="center"/>
            <w:hideMark/>
          </w:tcPr>
          <w:p w14:paraId="07FF4E7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0.2%</w:t>
            </w:r>
          </w:p>
        </w:tc>
        <w:tc>
          <w:tcPr>
            <w:tcW w:w="443" w:type="pct"/>
            <w:gridSpan w:val="2"/>
            <w:tcBorders>
              <w:top w:val="nil"/>
              <w:left w:val="nil"/>
              <w:bottom w:val="nil"/>
            </w:tcBorders>
            <w:shd w:val="clear" w:color="auto" w:fill="DCF2EE" w:themeFill="accent5" w:themeFillTint="33"/>
            <w:noWrap/>
            <w:vAlign w:val="center"/>
            <w:hideMark/>
          </w:tcPr>
          <w:p w14:paraId="6871D2F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3.7%</w:t>
            </w:r>
          </w:p>
        </w:tc>
        <w:tc>
          <w:tcPr>
            <w:tcW w:w="443" w:type="pct"/>
            <w:gridSpan w:val="2"/>
            <w:tcBorders>
              <w:top w:val="nil"/>
              <w:bottom w:val="nil"/>
              <w:right w:val="nil"/>
            </w:tcBorders>
            <w:shd w:val="clear" w:color="auto" w:fill="auto"/>
            <w:noWrap/>
            <w:vAlign w:val="center"/>
            <w:hideMark/>
          </w:tcPr>
          <w:p w14:paraId="71B64BB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1.6%</w:t>
            </w:r>
          </w:p>
        </w:tc>
        <w:tc>
          <w:tcPr>
            <w:tcW w:w="448" w:type="pct"/>
            <w:tcBorders>
              <w:top w:val="nil"/>
              <w:left w:val="nil"/>
              <w:bottom w:val="nil"/>
            </w:tcBorders>
            <w:shd w:val="clear" w:color="auto" w:fill="DCF2EE" w:themeFill="accent5" w:themeFillTint="33"/>
            <w:noWrap/>
            <w:vAlign w:val="center"/>
            <w:hideMark/>
          </w:tcPr>
          <w:p w14:paraId="7984192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5.9%</w:t>
            </w:r>
          </w:p>
        </w:tc>
      </w:tr>
      <w:tr w:rsidR="0046665F" w:rsidRPr="006D2513" w14:paraId="42D43B8A" w14:textId="77777777" w:rsidTr="00F32A89">
        <w:trPr>
          <w:trHeight w:val="279"/>
          <w:tblHeader/>
        </w:trPr>
        <w:tc>
          <w:tcPr>
            <w:tcW w:w="1448" w:type="pct"/>
            <w:shd w:val="clear" w:color="auto" w:fill="auto"/>
            <w:noWrap/>
            <w:vAlign w:val="center"/>
            <w:hideMark/>
          </w:tcPr>
          <w:p w14:paraId="4E61DE9C"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65+ years  </w:t>
            </w:r>
          </w:p>
        </w:tc>
        <w:tc>
          <w:tcPr>
            <w:tcW w:w="444" w:type="pct"/>
            <w:tcBorders>
              <w:top w:val="nil"/>
              <w:bottom w:val="nil"/>
              <w:right w:val="nil"/>
            </w:tcBorders>
            <w:shd w:val="clear" w:color="auto" w:fill="auto"/>
            <w:noWrap/>
            <w:vAlign w:val="center"/>
            <w:hideMark/>
          </w:tcPr>
          <w:p w14:paraId="1BA5E62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28.3%</w:t>
            </w:r>
          </w:p>
        </w:tc>
        <w:tc>
          <w:tcPr>
            <w:tcW w:w="444" w:type="pct"/>
            <w:tcBorders>
              <w:top w:val="nil"/>
              <w:left w:val="nil"/>
              <w:bottom w:val="nil"/>
            </w:tcBorders>
            <w:shd w:val="clear" w:color="000000" w:fill="DCF2EE"/>
            <w:noWrap/>
            <w:vAlign w:val="center"/>
            <w:hideMark/>
          </w:tcPr>
          <w:p w14:paraId="467A6990"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35.4%</w:t>
            </w:r>
          </w:p>
        </w:tc>
        <w:tc>
          <w:tcPr>
            <w:tcW w:w="444" w:type="pct"/>
            <w:gridSpan w:val="2"/>
            <w:tcBorders>
              <w:top w:val="nil"/>
              <w:bottom w:val="nil"/>
              <w:right w:val="nil"/>
            </w:tcBorders>
            <w:shd w:val="clear" w:color="auto" w:fill="auto"/>
            <w:noWrap/>
            <w:vAlign w:val="center"/>
            <w:hideMark/>
          </w:tcPr>
          <w:p w14:paraId="6130908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20.4%</w:t>
            </w:r>
          </w:p>
        </w:tc>
        <w:tc>
          <w:tcPr>
            <w:tcW w:w="443" w:type="pct"/>
            <w:gridSpan w:val="2"/>
            <w:tcBorders>
              <w:top w:val="nil"/>
              <w:left w:val="nil"/>
              <w:bottom w:val="nil"/>
            </w:tcBorders>
            <w:shd w:val="clear" w:color="000000" w:fill="DCF2EE"/>
            <w:noWrap/>
            <w:vAlign w:val="center"/>
            <w:hideMark/>
          </w:tcPr>
          <w:p w14:paraId="1F25755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26.1%</w:t>
            </w:r>
          </w:p>
        </w:tc>
        <w:tc>
          <w:tcPr>
            <w:tcW w:w="443" w:type="pct"/>
            <w:tcBorders>
              <w:top w:val="nil"/>
              <w:bottom w:val="nil"/>
              <w:right w:val="nil"/>
            </w:tcBorders>
            <w:shd w:val="clear" w:color="auto" w:fill="auto"/>
            <w:noWrap/>
            <w:vAlign w:val="center"/>
            <w:hideMark/>
          </w:tcPr>
          <w:p w14:paraId="7B14675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4.6%</w:t>
            </w:r>
          </w:p>
        </w:tc>
        <w:tc>
          <w:tcPr>
            <w:tcW w:w="443" w:type="pct"/>
            <w:gridSpan w:val="2"/>
            <w:tcBorders>
              <w:top w:val="nil"/>
              <w:left w:val="nil"/>
              <w:bottom w:val="nil"/>
            </w:tcBorders>
            <w:shd w:val="clear" w:color="auto" w:fill="DCF2EE" w:themeFill="accent5" w:themeFillTint="33"/>
            <w:noWrap/>
            <w:vAlign w:val="center"/>
            <w:hideMark/>
          </w:tcPr>
          <w:p w14:paraId="58CC9C4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8.0%</w:t>
            </w:r>
          </w:p>
        </w:tc>
        <w:tc>
          <w:tcPr>
            <w:tcW w:w="443" w:type="pct"/>
            <w:gridSpan w:val="2"/>
            <w:tcBorders>
              <w:top w:val="nil"/>
              <w:bottom w:val="nil"/>
              <w:right w:val="nil"/>
            </w:tcBorders>
            <w:shd w:val="clear" w:color="auto" w:fill="auto"/>
            <w:noWrap/>
            <w:vAlign w:val="center"/>
            <w:hideMark/>
          </w:tcPr>
          <w:p w14:paraId="3C93B0B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2.7%</w:t>
            </w:r>
          </w:p>
        </w:tc>
        <w:tc>
          <w:tcPr>
            <w:tcW w:w="448" w:type="pct"/>
            <w:tcBorders>
              <w:top w:val="nil"/>
              <w:left w:val="nil"/>
              <w:bottom w:val="nil"/>
            </w:tcBorders>
            <w:shd w:val="clear" w:color="auto" w:fill="DCF2EE" w:themeFill="accent5" w:themeFillTint="33"/>
            <w:noWrap/>
            <w:vAlign w:val="center"/>
            <w:hideMark/>
          </w:tcPr>
          <w:p w14:paraId="08EE8E4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4.7%</w:t>
            </w:r>
          </w:p>
        </w:tc>
      </w:tr>
      <w:tr w:rsidR="0046665F" w:rsidRPr="006D2513" w14:paraId="5F646891" w14:textId="77777777" w:rsidTr="00F32A89">
        <w:trPr>
          <w:trHeight w:val="279"/>
          <w:tblHeader/>
        </w:trPr>
        <w:tc>
          <w:tcPr>
            <w:tcW w:w="1448" w:type="pct"/>
            <w:shd w:val="clear" w:color="auto" w:fill="auto"/>
            <w:noWrap/>
            <w:vAlign w:val="center"/>
            <w:hideMark/>
          </w:tcPr>
          <w:p w14:paraId="62FCF47F"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0-17 years  </w:t>
            </w:r>
          </w:p>
        </w:tc>
        <w:tc>
          <w:tcPr>
            <w:tcW w:w="444" w:type="pct"/>
            <w:tcBorders>
              <w:top w:val="nil"/>
              <w:bottom w:val="nil"/>
              <w:right w:val="nil"/>
            </w:tcBorders>
            <w:shd w:val="clear" w:color="auto" w:fill="auto"/>
            <w:noWrap/>
            <w:vAlign w:val="center"/>
            <w:hideMark/>
          </w:tcPr>
          <w:p w14:paraId="1D3CA46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11.9%</w:t>
            </w:r>
          </w:p>
        </w:tc>
        <w:tc>
          <w:tcPr>
            <w:tcW w:w="444" w:type="pct"/>
            <w:tcBorders>
              <w:top w:val="nil"/>
              <w:left w:val="nil"/>
              <w:bottom w:val="nil"/>
            </w:tcBorders>
            <w:shd w:val="clear" w:color="000000" w:fill="DCF2EE"/>
            <w:noWrap/>
            <w:vAlign w:val="center"/>
            <w:hideMark/>
          </w:tcPr>
          <w:p w14:paraId="3A7BA4F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37.4%</w:t>
            </w:r>
          </w:p>
        </w:tc>
        <w:tc>
          <w:tcPr>
            <w:tcW w:w="444" w:type="pct"/>
            <w:gridSpan w:val="2"/>
            <w:tcBorders>
              <w:top w:val="nil"/>
              <w:bottom w:val="nil"/>
              <w:right w:val="nil"/>
            </w:tcBorders>
            <w:shd w:val="clear" w:color="auto" w:fill="auto"/>
            <w:noWrap/>
            <w:vAlign w:val="center"/>
            <w:hideMark/>
          </w:tcPr>
          <w:p w14:paraId="34753FC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26.1%</w:t>
            </w:r>
          </w:p>
        </w:tc>
        <w:tc>
          <w:tcPr>
            <w:tcW w:w="443" w:type="pct"/>
            <w:gridSpan w:val="2"/>
            <w:tcBorders>
              <w:top w:val="nil"/>
              <w:left w:val="nil"/>
              <w:bottom w:val="nil"/>
            </w:tcBorders>
            <w:shd w:val="clear" w:color="000000" w:fill="DCF2EE"/>
            <w:noWrap/>
            <w:vAlign w:val="center"/>
            <w:hideMark/>
          </w:tcPr>
          <w:p w14:paraId="111C5BC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34.5%</w:t>
            </w:r>
          </w:p>
        </w:tc>
        <w:tc>
          <w:tcPr>
            <w:tcW w:w="443" w:type="pct"/>
            <w:tcBorders>
              <w:top w:val="nil"/>
              <w:bottom w:val="nil"/>
              <w:right w:val="nil"/>
            </w:tcBorders>
            <w:shd w:val="clear" w:color="auto" w:fill="auto"/>
            <w:noWrap/>
            <w:vAlign w:val="center"/>
            <w:hideMark/>
          </w:tcPr>
          <w:p w14:paraId="07FAD59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8.8%</w:t>
            </w:r>
          </w:p>
        </w:tc>
        <w:tc>
          <w:tcPr>
            <w:tcW w:w="443" w:type="pct"/>
            <w:gridSpan w:val="2"/>
            <w:tcBorders>
              <w:top w:val="nil"/>
              <w:left w:val="nil"/>
              <w:bottom w:val="nil"/>
            </w:tcBorders>
            <w:shd w:val="clear" w:color="auto" w:fill="DCF2EE" w:themeFill="accent5" w:themeFillTint="33"/>
            <w:noWrap/>
            <w:vAlign w:val="center"/>
            <w:hideMark/>
          </w:tcPr>
          <w:p w14:paraId="3CE1B17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12.8%</w:t>
            </w:r>
          </w:p>
        </w:tc>
        <w:tc>
          <w:tcPr>
            <w:tcW w:w="443" w:type="pct"/>
            <w:gridSpan w:val="2"/>
            <w:tcBorders>
              <w:top w:val="nil"/>
              <w:bottom w:val="nil"/>
              <w:right w:val="nil"/>
            </w:tcBorders>
            <w:shd w:val="clear" w:color="auto" w:fill="auto"/>
            <w:noWrap/>
            <w:vAlign w:val="center"/>
            <w:hideMark/>
          </w:tcPr>
          <w:p w14:paraId="3961FC5F"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10.9%</w:t>
            </w:r>
          </w:p>
        </w:tc>
        <w:tc>
          <w:tcPr>
            <w:tcW w:w="448" w:type="pct"/>
            <w:tcBorders>
              <w:top w:val="nil"/>
              <w:left w:val="nil"/>
              <w:bottom w:val="nil"/>
            </w:tcBorders>
            <w:shd w:val="clear" w:color="auto" w:fill="auto"/>
            <w:noWrap/>
            <w:vAlign w:val="center"/>
            <w:hideMark/>
          </w:tcPr>
          <w:p w14:paraId="7F1B8FB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8.8%</w:t>
            </w:r>
          </w:p>
        </w:tc>
      </w:tr>
      <w:tr w:rsidR="0046665F" w:rsidRPr="006D2513" w14:paraId="404DCCD6" w14:textId="77777777" w:rsidTr="00F32A89">
        <w:trPr>
          <w:trHeight w:val="279"/>
          <w:tblHeader/>
        </w:trPr>
        <w:tc>
          <w:tcPr>
            <w:tcW w:w="1448" w:type="pct"/>
            <w:shd w:val="clear" w:color="auto" w:fill="auto"/>
            <w:noWrap/>
            <w:vAlign w:val="center"/>
            <w:hideMark/>
          </w:tcPr>
          <w:p w14:paraId="2A0C78D7"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18-64 years  </w:t>
            </w:r>
          </w:p>
        </w:tc>
        <w:tc>
          <w:tcPr>
            <w:tcW w:w="444" w:type="pct"/>
            <w:tcBorders>
              <w:top w:val="nil"/>
              <w:bottom w:val="nil"/>
              <w:right w:val="nil"/>
            </w:tcBorders>
            <w:shd w:val="clear" w:color="auto" w:fill="auto"/>
            <w:noWrap/>
            <w:vAlign w:val="center"/>
            <w:hideMark/>
          </w:tcPr>
          <w:p w14:paraId="3B8494B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12.2%</w:t>
            </w:r>
          </w:p>
        </w:tc>
        <w:tc>
          <w:tcPr>
            <w:tcW w:w="444" w:type="pct"/>
            <w:tcBorders>
              <w:top w:val="nil"/>
              <w:left w:val="nil"/>
              <w:bottom w:val="nil"/>
            </w:tcBorders>
            <w:shd w:val="clear" w:color="000000" w:fill="DCF2EE"/>
            <w:noWrap/>
            <w:vAlign w:val="center"/>
            <w:hideMark/>
          </w:tcPr>
          <w:p w14:paraId="684AFF2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25.2%</w:t>
            </w:r>
          </w:p>
        </w:tc>
        <w:tc>
          <w:tcPr>
            <w:tcW w:w="444" w:type="pct"/>
            <w:gridSpan w:val="2"/>
            <w:tcBorders>
              <w:top w:val="nil"/>
              <w:bottom w:val="nil"/>
              <w:right w:val="nil"/>
            </w:tcBorders>
            <w:shd w:val="clear" w:color="auto" w:fill="auto"/>
            <w:noWrap/>
            <w:vAlign w:val="center"/>
            <w:hideMark/>
          </w:tcPr>
          <w:p w14:paraId="202C96D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9.2%</w:t>
            </w:r>
          </w:p>
        </w:tc>
        <w:tc>
          <w:tcPr>
            <w:tcW w:w="443" w:type="pct"/>
            <w:gridSpan w:val="2"/>
            <w:tcBorders>
              <w:top w:val="nil"/>
              <w:left w:val="nil"/>
              <w:bottom w:val="nil"/>
            </w:tcBorders>
            <w:shd w:val="clear" w:color="000000" w:fill="DCF2EE"/>
            <w:noWrap/>
            <w:vAlign w:val="center"/>
            <w:hideMark/>
          </w:tcPr>
          <w:p w14:paraId="69A2F3F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18.8%</w:t>
            </w:r>
          </w:p>
        </w:tc>
        <w:tc>
          <w:tcPr>
            <w:tcW w:w="443" w:type="pct"/>
            <w:tcBorders>
              <w:top w:val="nil"/>
              <w:bottom w:val="nil"/>
              <w:right w:val="nil"/>
            </w:tcBorders>
            <w:shd w:val="clear" w:color="auto" w:fill="auto"/>
            <w:noWrap/>
            <w:vAlign w:val="center"/>
            <w:hideMark/>
          </w:tcPr>
          <w:p w14:paraId="2B7555D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w:t>
            </w:r>
          </w:p>
        </w:tc>
        <w:tc>
          <w:tcPr>
            <w:tcW w:w="443" w:type="pct"/>
            <w:gridSpan w:val="2"/>
            <w:tcBorders>
              <w:top w:val="nil"/>
              <w:left w:val="nil"/>
              <w:bottom w:val="nil"/>
            </w:tcBorders>
            <w:shd w:val="clear" w:color="auto" w:fill="DCF2EE" w:themeFill="accent5" w:themeFillTint="33"/>
            <w:noWrap/>
            <w:vAlign w:val="center"/>
            <w:hideMark/>
          </w:tcPr>
          <w:p w14:paraId="4F6B0B85"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5.9%</w:t>
            </w:r>
          </w:p>
        </w:tc>
        <w:tc>
          <w:tcPr>
            <w:tcW w:w="443" w:type="pct"/>
            <w:gridSpan w:val="2"/>
            <w:tcBorders>
              <w:top w:val="nil"/>
              <w:bottom w:val="nil"/>
              <w:right w:val="nil"/>
            </w:tcBorders>
            <w:shd w:val="clear" w:color="auto" w:fill="auto"/>
            <w:noWrap/>
            <w:vAlign w:val="center"/>
            <w:hideMark/>
          </w:tcPr>
          <w:p w14:paraId="58A5D52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2.5%</w:t>
            </w:r>
          </w:p>
        </w:tc>
        <w:tc>
          <w:tcPr>
            <w:tcW w:w="448" w:type="pct"/>
            <w:tcBorders>
              <w:top w:val="nil"/>
              <w:left w:val="nil"/>
              <w:bottom w:val="nil"/>
            </w:tcBorders>
            <w:shd w:val="clear" w:color="auto" w:fill="DCF2EE" w:themeFill="accent5" w:themeFillTint="33"/>
            <w:noWrap/>
            <w:vAlign w:val="center"/>
            <w:hideMark/>
          </w:tcPr>
          <w:p w14:paraId="6CEFA30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5.9%</w:t>
            </w:r>
          </w:p>
        </w:tc>
      </w:tr>
      <w:tr w:rsidR="0046665F" w:rsidRPr="006D2513" w14:paraId="346BE631" w14:textId="77777777" w:rsidTr="00F32A89">
        <w:trPr>
          <w:trHeight w:val="279"/>
          <w:tblHeader/>
        </w:trPr>
        <w:tc>
          <w:tcPr>
            <w:tcW w:w="1448" w:type="pct"/>
            <w:shd w:val="clear" w:color="auto" w:fill="auto"/>
            <w:noWrap/>
            <w:vAlign w:val="center"/>
            <w:hideMark/>
          </w:tcPr>
          <w:p w14:paraId="03B7F54D"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65+ years  </w:t>
            </w:r>
          </w:p>
        </w:tc>
        <w:tc>
          <w:tcPr>
            <w:tcW w:w="444" w:type="pct"/>
            <w:tcBorders>
              <w:top w:val="nil"/>
              <w:bottom w:val="nil"/>
              <w:right w:val="nil"/>
            </w:tcBorders>
            <w:shd w:val="clear" w:color="auto" w:fill="auto"/>
            <w:noWrap/>
            <w:vAlign w:val="center"/>
            <w:hideMark/>
          </w:tcPr>
          <w:p w14:paraId="434A505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2.6%</w:t>
            </w:r>
          </w:p>
        </w:tc>
        <w:tc>
          <w:tcPr>
            <w:tcW w:w="444" w:type="pct"/>
            <w:tcBorders>
              <w:top w:val="nil"/>
              <w:left w:val="nil"/>
              <w:bottom w:val="nil"/>
            </w:tcBorders>
            <w:shd w:val="clear" w:color="000000" w:fill="DCF2EE"/>
            <w:noWrap/>
            <w:vAlign w:val="center"/>
            <w:hideMark/>
          </w:tcPr>
          <w:p w14:paraId="14F9948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10.7%</w:t>
            </w:r>
          </w:p>
        </w:tc>
        <w:tc>
          <w:tcPr>
            <w:tcW w:w="444" w:type="pct"/>
            <w:gridSpan w:val="2"/>
            <w:tcBorders>
              <w:top w:val="nil"/>
              <w:bottom w:val="nil"/>
              <w:right w:val="nil"/>
            </w:tcBorders>
            <w:shd w:val="clear" w:color="auto" w:fill="auto"/>
            <w:noWrap/>
            <w:vAlign w:val="center"/>
            <w:hideMark/>
          </w:tcPr>
          <w:p w14:paraId="45C4580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10.9%</w:t>
            </w:r>
          </w:p>
        </w:tc>
        <w:tc>
          <w:tcPr>
            <w:tcW w:w="443" w:type="pct"/>
            <w:gridSpan w:val="2"/>
            <w:tcBorders>
              <w:top w:val="nil"/>
              <w:left w:val="nil"/>
              <w:bottom w:val="nil"/>
            </w:tcBorders>
            <w:shd w:val="clear" w:color="000000" w:fill="DCF2EE"/>
            <w:noWrap/>
            <w:vAlign w:val="center"/>
            <w:hideMark/>
          </w:tcPr>
          <w:p w14:paraId="18722C4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12.1%</w:t>
            </w:r>
          </w:p>
        </w:tc>
        <w:tc>
          <w:tcPr>
            <w:tcW w:w="443" w:type="pct"/>
            <w:tcBorders>
              <w:top w:val="nil"/>
              <w:bottom w:val="nil"/>
              <w:right w:val="nil"/>
            </w:tcBorders>
            <w:shd w:val="clear" w:color="auto" w:fill="auto"/>
            <w:noWrap/>
            <w:vAlign w:val="center"/>
            <w:hideMark/>
          </w:tcPr>
          <w:p w14:paraId="6F1AA0C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2.1%</w:t>
            </w:r>
          </w:p>
        </w:tc>
        <w:tc>
          <w:tcPr>
            <w:tcW w:w="443" w:type="pct"/>
            <w:gridSpan w:val="2"/>
            <w:tcBorders>
              <w:top w:val="nil"/>
              <w:left w:val="nil"/>
              <w:bottom w:val="nil"/>
            </w:tcBorders>
            <w:shd w:val="clear" w:color="auto" w:fill="auto"/>
            <w:noWrap/>
            <w:vAlign w:val="center"/>
            <w:hideMark/>
          </w:tcPr>
          <w:p w14:paraId="6B96B01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1.7%</w:t>
            </w:r>
          </w:p>
        </w:tc>
        <w:tc>
          <w:tcPr>
            <w:tcW w:w="443" w:type="pct"/>
            <w:gridSpan w:val="2"/>
            <w:tcBorders>
              <w:top w:val="nil"/>
              <w:bottom w:val="nil"/>
              <w:right w:val="nil"/>
            </w:tcBorders>
            <w:shd w:val="clear" w:color="auto" w:fill="auto"/>
            <w:noWrap/>
            <w:vAlign w:val="center"/>
            <w:hideMark/>
          </w:tcPr>
          <w:p w14:paraId="0EEEF67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4.8%</w:t>
            </w:r>
          </w:p>
        </w:tc>
        <w:tc>
          <w:tcPr>
            <w:tcW w:w="448" w:type="pct"/>
            <w:tcBorders>
              <w:top w:val="nil"/>
              <w:left w:val="nil"/>
              <w:bottom w:val="nil"/>
            </w:tcBorders>
            <w:shd w:val="clear" w:color="auto" w:fill="auto"/>
            <w:noWrap/>
            <w:vAlign w:val="center"/>
            <w:hideMark/>
          </w:tcPr>
          <w:p w14:paraId="00721A6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2.5%</w:t>
            </w:r>
          </w:p>
        </w:tc>
      </w:tr>
      <w:tr w:rsidR="0046665F" w:rsidRPr="006D2513" w14:paraId="1A8FF8D7" w14:textId="77777777" w:rsidTr="00F32A89">
        <w:trPr>
          <w:trHeight w:val="279"/>
          <w:tblHeader/>
        </w:trPr>
        <w:tc>
          <w:tcPr>
            <w:tcW w:w="1448" w:type="pct"/>
            <w:shd w:val="clear" w:color="auto" w:fill="auto"/>
            <w:noWrap/>
            <w:vAlign w:val="center"/>
            <w:hideMark/>
          </w:tcPr>
          <w:p w14:paraId="2A6ABA8C"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0-17 years  </w:t>
            </w:r>
          </w:p>
        </w:tc>
        <w:tc>
          <w:tcPr>
            <w:tcW w:w="444" w:type="pct"/>
            <w:tcBorders>
              <w:top w:val="nil"/>
              <w:bottom w:val="nil"/>
              <w:right w:val="nil"/>
            </w:tcBorders>
            <w:shd w:val="clear" w:color="auto" w:fill="auto"/>
            <w:noWrap/>
            <w:vAlign w:val="center"/>
            <w:hideMark/>
          </w:tcPr>
          <w:p w14:paraId="5B835C8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w:t>
            </w:r>
          </w:p>
        </w:tc>
        <w:tc>
          <w:tcPr>
            <w:tcW w:w="444" w:type="pct"/>
            <w:tcBorders>
              <w:top w:val="nil"/>
              <w:left w:val="nil"/>
              <w:bottom w:val="nil"/>
            </w:tcBorders>
            <w:shd w:val="clear" w:color="000000" w:fill="DCF2EE"/>
            <w:noWrap/>
            <w:vAlign w:val="center"/>
            <w:hideMark/>
          </w:tcPr>
          <w:p w14:paraId="5982343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10.8%</w:t>
            </w:r>
          </w:p>
        </w:tc>
        <w:tc>
          <w:tcPr>
            <w:tcW w:w="444" w:type="pct"/>
            <w:gridSpan w:val="2"/>
            <w:tcBorders>
              <w:top w:val="nil"/>
              <w:bottom w:val="nil"/>
              <w:right w:val="nil"/>
            </w:tcBorders>
            <w:shd w:val="clear" w:color="auto" w:fill="auto"/>
            <w:noWrap/>
            <w:vAlign w:val="center"/>
            <w:hideMark/>
          </w:tcPr>
          <w:p w14:paraId="731A4A4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3.8%</w:t>
            </w:r>
          </w:p>
        </w:tc>
        <w:tc>
          <w:tcPr>
            <w:tcW w:w="443" w:type="pct"/>
            <w:gridSpan w:val="2"/>
            <w:tcBorders>
              <w:top w:val="nil"/>
              <w:left w:val="nil"/>
              <w:bottom w:val="nil"/>
            </w:tcBorders>
            <w:shd w:val="clear" w:color="000000" w:fill="A6A6A6"/>
            <w:noWrap/>
            <w:vAlign w:val="center"/>
            <w:hideMark/>
          </w:tcPr>
          <w:p w14:paraId="52A0118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 </w:t>
            </w:r>
          </w:p>
        </w:tc>
        <w:tc>
          <w:tcPr>
            <w:tcW w:w="443" w:type="pct"/>
            <w:tcBorders>
              <w:top w:val="nil"/>
              <w:bottom w:val="nil"/>
              <w:right w:val="nil"/>
            </w:tcBorders>
            <w:shd w:val="clear" w:color="auto" w:fill="auto"/>
            <w:noWrap/>
            <w:vAlign w:val="center"/>
            <w:hideMark/>
          </w:tcPr>
          <w:p w14:paraId="61CE625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0.2%</w:t>
            </w:r>
          </w:p>
        </w:tc>
        <w:tc>
          <w:tcPr>
            <w:tcW w:w="443" w:type="pct"/>
            <w:gridSpan w:val="2"/>
            <w:tcBorders>
              <w:top w:val="nil"/>
              <w:left w:val="nil"/>
              <w:bottom w:val="nil"/>
            </w:tcBorders>
            <w:shd w:val="clear" w:color="auto" w:fill="A6A6A6" w:themeFill="accent6" w:themeFillShade="A6"/>
            <w:noWrap/>
            <w:vAlign w:val="center"/>
            <w:hideMark/>
          </w:tcPr>
          <w:p w14:paraId="45A01AD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 </w:t>
            </w:r>
          </w:p>
        </w:tc>
        <w:tc>
          <w:tcPr>
            <w:tcW w:w="443" w:type="pct"/>
            <w:gridSpan w:val="2"/>
            <w:tcBorders>
              <w:top w:val="nil"/>
              <w:bottom w:val="nil"/>
              <w:right w:val="nil"/>
            </w:tcBorders>
            <w:shd w:val="clear" w:color="auto" w:fill="auto"/>
            <w:noWrap/>
            <w:vAlign w:val="center"/>
            <w:hideMark/>
          </w:tcPr>
          <w:p w14:paraId="2A33A06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0.8%</w:t>
            </w:r>
          </w:p>
        </w:tc>
        <w:tc>
          <w:tcPr>
            <w:tcW w:w="448" w:type="pct"/>
            <w:tcBorders>
              <w:top w:val="nil"/>
              <w:left w:val="nil"/>
              <w:bottom w:val="nil"/>
            </w:tcBorders>
            <w:shd w:val="clear" w:color="auto" w:fill="A6A6A6" w:themeFill="accent6" w:themeFillShade="A6"/>
            <w:noWrap/>
            <w:vAlign w:val="center"/>
            <w:hideMark/>
          </w:tcPr>
          <w:p w14:paraId="199C41A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 </w:t>
            </w:r>
          </w:p>
        </w:tc>
      </w:tr>
      <w:tr w:rsidR="0046665F" w:rsidRPr="006D2513" w14:paraId="74F67EBA" w14:textId="77777777" w:rsidTr="00F32A89">
        <w:trPr>
          <w:trHeight w:val="279"/>
          <w:tblHeader/>
        </w:trPr>
        <w:tc>
          <w:tcPr>
            <w:tcW w:w="1448" w:type="pct"/>
            <w:shd w:val="clear" w:color="auto" w:fill="auto"/>
            <w:noWrap/>
            <w:vAlign w:val="center"/>
            <w:hideMark/>
          </w:tcPr>
          <w:p w14:paraId="204A2108"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18-64 years  </w:t>
            </w:r>
          </w:p>
        </w:tc>
        <w:tc>
          <w:tcPr>
            <w:tcW w:w="444" w:type="pct"/>
            <w:tcBorders>
              <w:top w:val="nil"/>
              <w:bottom w:val="nil"/>
              <w:right w:val="nil"/>
            </w:tcBorders>
            <w:shd w:val="clear" w:color="auto" w:fill="auto"/>
            <w:noWrap/>
            <w:vAlign w:val="center"/>
            <w:hideMark/>
          </w:tcPr>
          <w:p w14:paraId="56E1E9F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3.2%</w:t>
            </w:r>
          </w:p>
        </w:tc>
        <w:tc>
          <w:tcPr>
            <w:tcW w:w="444" w:type="pct"/>
            <w:tcBorders>
              <w:top w:val="nil"/>
              <w:left w:val="nil"/>
              <w:bottom w:val="nil"/>
            </w:tcBorders>
            <w:shd w:val="clear" w:color="000000" w:fill="DCF2EE"/>
            <w:noWrap/>
            <w:vAlign w:val="center"/>
            <w:hideMark/>
          </w:tcPr>
          <w:p w14:paraId="33D9ECE5"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12.6%</w:t>
            </w:r>
          </w:p>
        </w:tc>
        <w:tc>
          <w:tcPr>
            <w:tcW w:w="444" w:type="pct"/>
            <w:gridSpan w:val="2"/>
            <w:tcBorders>
              <w:top w:val="nil"/>
              <w:bottom w:val="nil"/>
              <w:right w:val="nil"/>
            </w:tcBorders>
            <w:shd w:val="clear" w:color="auto" w:fill="auto"/>
            <w:noWrap/>
            <w:vAlign w:val="center"/>
            <w:hideMark/>
          </w:tcPr>
          <w:p w14:paraId="4A61D53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5.8%</w:t>
            </w:r>
          </w:p>
        </w:tc>
        <w:tc>
          <w:tcPr>
            <w:tcW w:w="443" w:type="pct"/>
            <w:gridSpan w:val="2"/>
            <w:tcBorders>
              <w:top w:val="nil"/>
              <w:left w:val="nil"/>
              <w:bottom w:val="nil"/>
            </w:tcBorders>
            <w:shd w:val="clear" w:color="000000" w:fill="DCF2EE"/>
            <w:noWrap/>
            <w:vAlign w:val="center"/>
            <w:hideMark/>
          </w:tcPr>
          <w:p w14:paraId="263CCE5C"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11.3%</w:t>
            </w:r>
          </w:p>
        </w:tc>
        <w:tc>
          <w:tcPr>
            <w:tcW w:w="443" w:type="pct"/>
            <w:tcBorders>
              <w:top w:val="nil"/>
              <w:bottom w:val="nil"/>
              <w:right w:val="nil"/>
            </w:tcBorders>
            <w:shd w:val="clear" w:color="auto" w:fill="auto"/>
            <w:noWrap/>
            <w:vAlign w:val="center"/>
            <w:hideMark/>
          </w:tcPr>
          <w:p w14:paraId="05C5682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0.4%</w:t>
            </w:r>
          </w:p>
        </w:tc>
        <w:tc>
          <w:tcPr>
            <w:tcW w:w="443" w:type="pct"/>
            <w:gridSpan w:val="2"/>
            <w:tcBorders>
              <w:top w:val="nil"/>
              <w:left w:val="nil"/>
              <w:bottom w:val="nil"/>
            </w:tcBorders>
            <w:shd w:val="clear" w:color="auto" w:fill="DCF2EE" w:themeFill="accent5" w:themeFillTint="33"/>
            <w:noWrap/>
            <w:vAlign w:val="center"/>
            <w:hideMark/>
          </w:tcPr>
          <w:p w14:paraId="013A6E8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1.4%</w:t>
            </w:r>
          </w:p>
        </w:tc>
        <w:tc>
          <w:tcPr>
            <w:tcW w:w="443" w:type="pct"/>
            <w:gridSpan w:val="2"/>
            <w:tcBorders>
              <w:top w:val="nil"/>
              <w:bottom w:val="nil"/>
              <w:right w:val="nil"/>
            </w:tcBorders>
            <w:shd w:val="clear" w:color="auto" w:fill="auto"/>
            <w:noWrap/>
            <w:vAlign w:val="center"/>
            <w:hideMark/>
          </w:tcPr>
          <w:p w14:paraId="39ADEA6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0.5%</w:t>
            </w:r>
          </w:p>
        </w:tc>
        <w:tc>
          <w:tcPr>
            <w:tcW w:w="448" w:type="pct"/>
            <w:tcBorders>
              <w:top w:val="nil"/>
              <w:left w:val="nil"/>
              <w:bottom w:val="nil"/>
            </w:tcBorders>
            <w:shd w:val="clear" w:color="auto" w:fill="auto"/>
            <w:noWrap/>
            <w:vAlign w:val="center"/>
            <w:hideMark/>
          </w:tcPr>
          <w:p w14:paraId="600683A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0.1%</w:t>
            </w:r>
          </w:p>
        </w:tc>
      </w:tr>
      <w:tr w:rsidR="0046665F" w:rsidRPr="006D2513" w14:paraId="40EF0188" w14:textId="77777777" w:rsidTr="00F32A89">
        <w:trPr>
          <w:trHeight w:val="279"/>
          <w:tblHeader/>
        </w:trPr>
        <w:tc>
          <w:tcPr>
            <w:tcW w:w="1448" w:type="pct"/>
            <w:tcBorders>
              <w:bottom w:val="single" w:sz="4" w:space="0" w:color="15272F" w:themeColor="text2"/>
            </w:tcBorders>
            <w:shd w:val="clear" w:color="auto" w:fill="auto"/>
            <w:noWrap/>
            <w:vAlign w:val="center"/>
            <w:hideMark/>
          </w:tcPr>
          <w:p w14:paraId="2F68A194"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65+ years  </w:t>
            </w:r>
          </w:p>
        </w:tc>
        <w:tc>
          <w:tcPr>
            <w:tcW w:w="444" w:type="pct"/>
            <w:tcBorders>
              <w:top w:val="nil"/>
              <w:bottom w:val="single" w:sz="4" w:space="0" w:color="15272F" w:themeColor="text2"/>
              <w:right w:val="nil"/>
            </w:tcBorders>
            <w:shd w:val="clear" w:color="auto" w:fill="auto"/>
            <w:noWrap/>
            <w:vAlign w:val="center"/>
            <w:hideMark/>
          </w:tcPr>
          <w:p w14:paraId="5C0B75E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11.7%</w:t>
            </w:r>
          </w:p>
        </w:tc>
        <w:tc>
          <w:tcPr>
            <w:tcW w:w="444" w:type="pct"/>
            <w:tcBorders>
              <w:top w:val="nil"/>
              <w:left w:val="nil"/>
              <w:bottom w:val="single" w:sz="4" w:space="0" w:color="15272F" w:themeColor="text2"/>
            </w:tcBorders>
            <w:shd w:val="clear" w:color="000000" w:fill="DCF2EE"/>
            <w:noWrap/>
            <w:vAlign w:val="center"/>
            <w:hideMark/>
          </w:tcPr>
          <w:p w14:paraId="3EB7995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18.7%</w:t>
            </w:r>
          </w:p>
        </w:tc>
        <w:tc>
          <w:tcPr>
            <w:tcW w:w="444" w:type="pct"/>
            <w:gridSpan w:val="2"/>
            <w:tcBorders>
              <w:top w:val="nil"/>
              <w:bottom w:val="single" w:sz="4" w:space="0" w:color="15272F" w:themeColor="text2"/>
              <w:right w:val="nil"/>
            </w:tcBorders>
            <w:shd w:val="clear" w:color="auto" w:fill="auto"/>
            <w:noWrap/>
            <w:vAlign w:val="center"/>
            <w:hideMark/>
          </w:tcPr>
          <w:p w14:paraId="2482070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10.1%</w:t>
            </w:r>
          </w:p>
        </w:tc>
        <w:tc>
          <w:tcPr>
            <w:tcW w:w="443" w:type="pct"/>
            <w:gridSpan w:val="2"/>
            <w:tcBorders>
              <w:top w:val="nil"/>
              <w:left w:val="nil"/>
              <w:bottom w:val="single" w:sz="4" w:space="0" w:color="15272F" w:themeColor="text2"/>
            </w:tcBorders>
            <w:shd w:val="clear" w:color="000000" w:fill="DCF2EE"/>
            <w:noWrap/>
            <w:vAlign w:val="center"/>
            <w:hideMark/>
          </w:tcPr>
          <w:p w14:paraId="2B5382E3"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14.9%</w:t>
            </w:r>
          </w:p>
        </w:tc>
        <w:tc>
          <w:tcPr>
            <w:tcW w:w="443" w:type="pct"/>
            <w:tcBorders>
              <w:top w:val="nil"/>
              <w:bottom w:val="single" w:sz="4" w:space="0" w:color="15272F" w:themeColor="text2"/>
              <w:right w:val="nil"/>
            </w:tcBorders>
            <w:shd w:val="clear" w:color="auto" w:fill="auto"/>
            <w:noWrap/>
            <w:vAlign w:val="center"/>
            <w:hideMark/>
          </w:tcPr>
          <w:p w14:paraId="3DD109E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1.8%</w:t>
            </w:r>
          </w:p>
        </w:tc>
        <w:tc>
          <w:tcPr>
            <w:tcW w:w="443" w:type="pct"/>
            <w:gridSpan w:val="2"/>
            <w:tcBorders>
              <w:top w:val="nil"/>
              <w:left w:val="nil"/>
              <w:bottom w:val="single" w:sz="4" w:space="0" w:color="15272F" w:themeColor="text2"/>
            </w:tcBorders>
            <w:shd w:val="clear" w:color="auto" w:fill="DCF2EE" w:themeFill="accent5" w:themeFillTint="33"/>
            <w:noWrap/>
            <w:vAlign w:val="center"/>
            <w:hideMark/>
          </w:tcPr>
          <w:p w14:paraId="177652D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2.5%</w:t>
            </w:r>
          </w:p>
        </w:tc>
        <w:tc>
          <w:tcPr>
            <w:tcW w:w="443" w:type="pct"/>
            <w:gridSpan w:val="2"/>
            <w:tcBorders>
              <w:top w:val="nil"/>
              <w:bottom w:val="single" w:sz="4" w:space="0" w:color="15272F" w:themeColor="text2"/>
              <w:right w:val="nil"/>
            </w:tcBorders>
            <w:shd w:val="clear" w:color="auto" w:fill="auto"/>
            <w:noWrap/>
            <w:vAlign w:val="center"/>
            <w:hideMark/>
          </w:tcPr>
          <w:p w14:paraId="3154CD1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0.1%</w:t>
            </w:r>
          </w:p>
        </w:tc>
        <w:tc>
          <w:tcPr>
            <w:tcW w:w="448" w:type="pct"/>
            <w:tcBorders>
              <w:top w:val="nil"/>
              <w:left w:val="nil"/>
            </w:tcBorders>
            <w:shd w:val="clear" w:color="auto" w:fill="DCF2EE" w:themeFill="accent5" w:themeFillTint="33"/>
            <w:noWrap/>
            <w:vAlign w:val="center"/>
            <w:hideMark/>
          </w:tcPr>
          <w:p w14:paraId="1D4D7E3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0.5%</w:t>
            </w:r>
          </w:p>
        </w:tc>
      </w:tr>
      <w:tr w:rsidR="0046665F" w:rsidRPr="006D2513" w14:paraId="4F916DEA" w14:textId="77777777" w:rsidTr="00F32A89">
        <w:trPr>
          <w:trHeight w:val="279"/>
          <w:tblHeader/>
        </w:trPr>
        <w:tc>
          <w:tcPr>
            <w:tcW w:w="1448" w:type="pct"/>
            <w:tcBorders>
              <w:right w:val="nil"/>
            </w:tcBorders>
            <w:shd w:val="clear" w:color="auto" w:fill="DFEBF1" w:themeFill="accent1" w:themeFillTint="1A"/>
            <w:noWrap/>
            <w:vAlign w:val="center"/>
            <w:hideMark/>
          </w:tcPr>
          <w:p w14:paraId="2C1A8F2E" w14:textId="77777777" w:rsidR="0046665F" w:rsidRPr="00AD73A5" w:rsidRDefault="0046665F" w:rsidP="0046665F">
            <w:pPr>
              <w:spacing w:after="0" w:line="240" w:lineRule="auto"/>
              <w:rPr>
                <w:rFonts w:eastAsia="Times New Roman" w:cs="Arial"/>
                <w:b/>
                <w:bCs/>
                <w:color w:val="auto"/>
                <w:sz w:val="18"/>
                <w:szCs w:val="18"/>
                <w:lang w:eastAsia="en-AU"/>
              </w:rPr>
            </w:pPr>
            <w:r w:rsidRPr="1922062C">
              <w:rPr>
                <w:rFonts w:eastAsia="Times New Roman" w:cs="Arial"/>
                <w:b/>
                <w:bCs/>
                <w:color w:val="auto"/>
                <w:sz w:val="18"/>
                <w:szCs w:val="18"/>
              </w:rPr>
              <w:t>Community</w:t>
            </w:r>
          </w:p>
        </w:tc>
        <w:tc>
          <w:tcPr>
            <w:tcW w:w="444" w:type="pct"/>
            <w:tcBorders>
              <w:left w:val="nil"/>
              <w:bottom w:val="single" w:sz="4" w:space="0" w:color="15272F" w:themeColor="text2"/>
              <w:right w:val="nil"/>
            </w:tcBorders>
            <w:shd w:val="clear" w:color="000000" w:fill="DFEBF1"/>
            <w:noWrap/>
            <w:vAlign w:val="center"/>
            <w:hideMark/>
          </w:tcPr>
          <w:p w14:paraId="11F3AA36"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tcBorders>
              <w:left w:val="nil"/>
              <w:bottom w:val="single" w:sz="4" w:space="0" w:color="15272F" w:themeColor="text2"/>
              <w:right w:val="nil"/>
            </w:tcBorders>
            <w:shd w:val="clear" w:color="000000" w:fill="DFEBF1"/>
            <w:noWrap/>
            <w:vAlign w:val="center"/>
            <w:hideMark/>
          </w:tcPr>
          <w:p w14:paraId="4BD58C91"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4" w:type="pct"/>
            <w:gridSpan w:val="2"/>
            <w:tcBorders>
              <w:left w:val="nil"/>
              <w:bottom w:val="single" w:sz="4" w:space="0" w:color="15272F" w:themeColor="text2"/>
              <w:right w:val="nil"/>
            </w:tcBorders>
            <w:shd w:val="clear" w:color="000000" w:fill="DFEBF1"/>
            <w:noWrap/>
            <w:vAlign w:val="center"/>
            <w:hideMark/>
          </w:tcPr>
          <w:p w14:paraId="5A7E844B"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gridSpan w:val="2"/>
            <w:tcBorders>
              <w:left w:val="nil"/>
              <w:bottom w:val="single" w:sz="4" w:space="0" w:color="15272F" w:themeColor="text2"/>
              <w:right w:val="nil"/>
            </w:tcBorders>
            <w:shd w:val="clear" w:color="000000" w:fill="DFEBF1"/>
            <w:noWrap/>
            <w:vAlign w:val="center"/>
            <w:hideMark/>
          </w:tcPr>
          <w:p w14:paraId="42A6277C" w14:textId="77777777" w:rsidR="0046665F" w:rsidRPr="00AD73A5" w:rsidRDefault="0046665F" w:rsidP="0046665F">
            <w:pPr>
              <w:spacing w:after="0" w:line="240" w:lineRule="auto"/>
              <w:jc w:val="right"/>
              <w:rPr>
                <w:rFonts w:eastAsia="Times New Roman" w:cs="Arial"/>
                <w:b/>
                <w:bCs/>
                <w:color w:val="auto"/>
                <w:sz w:val="18"/>
                <w:szCs w:val="18"/>
                <w:lang w:eastAsia="en-AU"/>
              </w:rPr>
            </w:pPr>
            <w:r>
              <w:rPr>
                <w:rFonts w:cs="Arial"/>
                <w:b/>
                <w:bCs/>
                <w:color w:val="000000"/>
                <w:sz w:val="18"/>
                <w:szCs w:val="18"/>
              </w:rPr>
              <w:t> </w:t>
            </w:r>
          </w:p>
        </w:tc>
        <w:tc>
          <w:tcPr>
            <w:tcW w:w="443" w:type="pct"/>
            <w:tcBorders>
              <w:left w:val="nil"/>
              <w:bottom w:val="single" w:sz="4" w:space="0" w:color="15272F" w:themeColor="text2"/>
              <w:right w:val="nil"/>
            </w:tcBorders>
            <w:shd w:val="clear" w:color="auto" w:fill="DFEBF1" w:themeFill="accent1" w:themeFillTint="1A"/>
            <w:noWrap/>
            <w:vAlign w:val="center"/>
            <w:hideMark/>
          </w:tcPr>
          <w:p w14:paraId="7B458BA5"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360B43B6"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3" w:type="pct"/>
            <w:gridSpan w:val="2"/>
            <w:tcBorders>
              <w:left w:val="nil"/>
              <w:bottom w:val="single" w:sz="4" w:space="0" w:color="15272F" w:themeColor="text2"/>
              <w:right w:val="nil"/>
            </w:tcBorders>
            <w:shd w:val="clear" w:color="auto" w:fill="DFEBF1" w:themeFill="accent1" w:themeFillTint="1A"/>
            <w:noWrap/>
            <w:vAlign w:val="center"/>
            <w:hideMark/>
          </w:tcPr>
          <w:p w14:paraId="69315FE0"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c>
          <w:tcPr>
            <w:tcW w:w="448" w:type="pct"/>
            <w:tcBorders>
              <w:left w:val="nil"/>
              <w:bottom w:val="single" w:sz="4" w:space="0" w:color="15272F" w:themeColor="text2"/>
            </w:tcBorders>
            <w:shd w:val="clear" w:color="auto" w:fill="DFEBF1" w:themeFill="accent1" w:themeFillTint="1A"/>
            <w:noWrap/>
            <w:vAlign w:val="center"/>
            <w:hideMark/>
          </w:tcPr>
          <w:p w14:paraId="26380E83" w14:textId="77777777" w:rsidR="0046665F" w:rsidRPr="00AD73A5" w:rsidRDefault="0046665F" w:rsidP="0046665F">
            <w:pPr>
              <w:spacing w:after="0" w:line="240" w:lineRule="auto"/>
              <w:jc w:val="right"/>
              <w:rPr>
                <w:rFonts w:eastAsia="Times New Roman" w:cs="Arial"/>
                <w:b/>
                <w:bCs/>
                <w:color w:val="auto"/>
                <w:sz w:val="18"/>
                <w:szCs w:val="18"/>
                <w:lang w:eastAsia="en-AU"/>
              </w:rPr>
            </w:pPr>
            <w:r w:rsidRPr="1922062C">
              <w:rPr>
                <w:rFonts w:eastAsia="Times New Roman" w:cs="Arial"/>
                <w:b/>
                <w:bCs/>
                <w:color w:val="auto"/>
                <w:sz w:val="18"/>
                <w:szCs w:val="18"/>
              </w:rPr>
              <w:t> </w:t>
            </w:r>
          </w:p>
        </w:tc>
      </w:tr>
      <w:tr w:rsidR="0046665F" w:rsidRPr="006D2513" w14:paraId="12A08E0C" w14:textId="77777777" w:rsidTr="00F32A89">
        <w:trPr>
          <w:trHeight w:val="279"/>
          <w:tblHeader/>
        </w:trPr>
        <w:tc>
          <w:tcPr>
            <w:tcW w:w="1448" w:type="pct"/>
            <w:shd w:val="clear" w:color="auto" w:fill="auto"/>
            <w:noWrap/>
            <w:vAlign w:val="center"/>
            <w:hideMark/>
          </w:tcPr>
          <w:p w14:paraId="193277F0"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Acute 0-17 years  </w:t>
            </w:r>
          </w:p>
        </w:tc>
        <w:tc>
          <w:tcPr>
            <w:tcW w:w="444" w:type="pct"/>
            <w:tcBorders>
              <w:bottom w:val="nil"/>
              <w:right w:val="nil"/>
            </w:tcBorders>
            <w:shd w:val="clear" w:color="auto" w:fill="auto"/>
            <w:noWrap/>
            <w:vAlign w:val="center"/>
            <w:hideMark/>
          </w:tcPr>
          <w:p w14:paraId="402FE21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15.3%</w:t>
            </w:r>
          </w:p>
        </w:tc>
        <w:tc>
          <w:tcPr>
            <w:tcW w:w="444" w:type="pct"/>
            <w:tcBorders>
              <w:left w:val="nil"/>
              <w:bottom w:val="nil"/>
            </w:tcBorders>
            <w:shd w:val="clear" w:color="000000" w:fill="DCF2EE"/>
            <w:noWrap/>
            <w:vAlign w:val="center"/>
            <w:hideMark/>
          </w:tcPr>
          <w:p w14:paraId="080082A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19.0%</w:t>
            </w:r>
          </w:p>
        </w:tc>
        <w:tc>
          <w:tcPr>
            <w:tcW w:w="444" w:type="pct"/>
            <w:gridSpan w:val="2"/>
            <w:tcBorders>
              <w:bottom w:val="nil"/>
              <w:right w:val="nil"/>
            </w:tcBorders>
            <w:shd w:val="clear" w:color="auto" w:fill="auto"/>
            <w:noWrap/>
            <w:vAlign w:val="center"/>
            <w:hideMark/>
          </w:tcPr>
          <w:p w14:paraId="16A0869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13.4%</w:t>
            </w:r>
          </w:p>
        </w:tc>
        <w:tc>
          <w:tcPr>
            <w:tcW w:w="443" w:type="pct"/>
            <w:gridSpan w:val="2"/>
            <w:tcBorders>
              <w:left w:val="nil"/>
              <w:bottom w:val="nil"/>
            </w:tcBorders>
            <w:shd w:val="clear" w:color="000000" w:fill="DCF2EE"/>
            <w:noWrap/>
            <w:vAlign w:val="center"/>
            <w:hideMark/>
          </w:tcPr>
          <w:p w14:paraId="27587E3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22.6%</w:t>
            </w:r>
          </w:p>
        </w:tc>
        <w:tc>
          <w:tcPr>
            <w:tcW w:w="443" w:type="pct"/>
            <w:tcBorders>
              <w:bottom w:val="nil"/>
              <w:right w:val="nil"/>
            </w:tcBorders>
            <w:shd w:val="clear" w:color="auto" w:fill="auto"/>
            <w:noWrap/>
            <w:vAlign w:val="center"/>
            <w:hideMark/>
          </w:tcPr>
          <w:p w14:paraId="08EDD2C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3.0%</w:t>
            </w:r>
          </w:p>
        </w:tc>
        <w:tc>
          <w:tcPr>
            <w:tcW w:w="443" w:type="pct"/>
            <w:gridSpan w:val="2"/>
            <w:tcBorders>
              <w:left w:val="nil"/>
              <w:bottom w:val="nil"/>
            </w:tcBorders>
            <w:shd w:val="clear" w:color="auto" w:fill="DCF2EE" w:themeFill="accent5" w:themeFillTint="33"/>
            <w:noWrap/>
            <w:vAlign w:val="center"/>
            <w:hideMark/>
          </w:tcPr>
          <w:p w14:paraId="26BBDFE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5.8%</w:t>
            </w:r>
          </w:p>
        </w:tc>
        <w:tc>
          <w:tcPr>
            <w:tcW w:w="443" w:type="pct"/>
            <w:gridSpan w:val="2"/>
            <w:tcBorders>
              <w:bottom w:val="nil"/>
              <w:right w:val="nil"/>
            </w:tcBorders>
            <w:shd w:val="clear" w:color="auto" w:fill="auto"/>
            <w:noWrap/>
            <w:vAlign w:val="center"/>
            <w:hideMark/>
          </w:tcPr>
          <w:p w14:paraId="10888E7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2.8%</w:t>
            </w:r>
          </w:p>
        </w:tc>
        <w:tc>
          <w:tcPr>
            <w:tcW w:w="448" w:type="pct"/>
            <w:tcBorders>
              <w:left w:val="nil"/>
              <w:bottom w:val="nil"/>
            </w:tcBorders>
            <w:shd w:val="clear" w:color="auto" w:fill="DCF2EE" w:themeFill="accent5" w:themeFillTint="33"/>
            <w:noWrap/>
            <w:vAlign w:val="center"/>
            <w:hideMark/>
          </w:tcPr>
          <w:p w14:paraId="61CD0E0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5.6%</w:t>
            </w:r>
          </w:p>
        </w:tc>
      </w:tr>
      <w:tr w:rsidR="0046665F" w:rsidRPr="006D2513" w14:paraId="003067B7" w14:textId="77777777" w:rsidTr="00F32A89">
        <w:trPr>
          <w:trHeight w:val="279"/>
          <w:tblHeader/>
        </w:trPr>
        <w:tc>
          <w:tcPr>
            <w:tcW w:w="1448" w:type="pct"/>
            <w:shd w:val="clear" w:color="auto" w:fill="auto"/>
            <w:noWrap/>
            <w:vAlign w:val="center"/>
            <w:hideMark/>
          </w:tcPr>
          <w:p w14:paraId="347611DD"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Acute 18-64 years</w:t>
            </w:r>
          </w:p>
        </w:tc>
        <w:tc>
          <w:tcPr>
            <w:tcW w:w="444" w:type="pct"/>
            <w:tcBorders>
              <w:top w:val="nil"/>
              <w:bottom w:val="nil"/>
              <w:right w:val="nil"/>
            </w:tcBorders>
            <w:shd w:val="clear" w:color="auto" w:fill="auto"/>
            <w:noWrap/>
            <w:vAlign w:val="center"/>
            <w:hideMark/>
          </w:tcPr>
          <w:p w14:paraId="30982B45"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9.4%</w:t>
            </w:r>
          </w:p>
        </w:tc>
        <w:tc>
          <w:tcPr>
            <w:tcW w:w="444" w:type="pct"/>
            <w:tcBorders>
              <w:top w:val="nil"/>
              <w:left w:val="nil"/>
              <w:bottom w:val="nil"/>
            </w:tcBorders>
            <w:shd w:val="clear" w:color="000000" w:fill="DCF2EE"/>
            <w:noWrap/>
            <w:vAlign w:val="center"/>
            <w:hideMark/>
          </w:tcPr>
          <w:p w14:paraId="58C0C3B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13.7%</w:t>
            </w:r>
          </w:p>
        </w:tc>
        <w:tc>
          <w:tcPr>
            <w:tcW w:w="444" w:type="pct"/>
            <w:gridSpan w:val="2"/>
            <w:tcBorders>
              <w:top w:val="nil"/>
              <w:bottom w:val="nil"/>
              <w:right w:val="nil"/>
            </w:tcBorders>
            <w:shd w:val="clear" w:color="auto" w:fill="auto"/>
            <w:noWrap/>
            <w:vAlign w:val="center"/>
            <w:hideMark/>
          </w:tcPr>
          <w:p w14:paraId="76203E0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12.1%</w:t>
            </w:r>
          </w:p>
        </w:tc>
        <w:tc>
          <w:tcPr>
            <w:tcW w:w="443" w:type="pct"/>
            <w:gridSpan w:val="2"/>
            <w:tcBorders>
              <w:top w:val="nil"/>
              <w:left w:val="nil"/>
              <w:bottom w:val="nil"/>
            </w:tcBorders>
            <w:shd w:val="clear" w:color="000000" w:fill="DCF2EE"/>
            <w:noWrap/>
            <w:vAlign w:val="center"/>
            <w:hideMark/>
          </w:tcPr>
          <w:p w14:paraId="4DF8A5D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17.0%</w:t>
            </w:r>
          </w:p>
        </w:tc>
        <w:tc>
          <w:tcPr>
            <w:tcW w:w="443" w:type="pct"/>
            <w:tcBorders>
              <w:top w:val="nil"/>
              <w:bottom w:val="nil"/>
              <w:right w:val="nil"/>
            </w:tcBorders>
            <w:shd w:val="clear" w:color="auto" w:fill="auto"/>
            <w:noWrap/>
            <w:vAlign w:val="center"/>
            <w:hideMark/>
          </w:tcPr>
          <w:p w14:paraId="56FF7A3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2.2%</w:t>
            </w:r>
          </w:p>
        </w:tc>
        <w:tc>
          <w:tcPr>
            <w:tcW w:w="443" w:type="pct"/>
            <w:gridSpan w:val="2"/>
            <w:tcBorders>
              <w:top w:val="nil"/>
              <w:left w:val="nil"/>
              <w:bottom w:val="nil"/>
            </w:tcBorders>
            <w:shd w:val="clear" w:color="auto" w:fill="DCF2EE" w:themeFill="accent5" w:themeFillTint="33"/>
            <w:noWrap/>
            <w:vAlign w:val="center"/>
            <w:hideMark/>
          </w:tcPr>
          <w:p w14:paraId="220101B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3.2%</w:t>
            </w:r>
          </w:p>
        </w:tc>
        <w:tc>
          <w:tcPr>
            <w:tcW w:w="443" w:type="pct"/>
            <w:gridSpan w:val="2"/>
            <w:tcBorders>
              <w:top w:val="nil"/>
              <w:bottom w:val="nil"/>
              <w:right w:val="nil"/>
            </w:tcBorders>
            <w:shd w:val="clear" w:color="auto" w:fill="auto"/>
            <w:noWrap/>
            <w:vAlign w:val="center"/>
            <w:hideMark/>
          </w:tcPr>
          <w:p w14:paraId="1BAB08D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1.8%</w:t>
            </w:r>
          </w:p>
        </w:tc>
        <w:tc>
          <w:tcPr>
            <w:tcW w:w="448" w:type="pct"/>
            <w:tcBorders>
              <w:top w:val="nil"/>
              <w:left w:val="nil"/>
              <w:bottom w:val="nil"/>
            </w:tcBorders>
            <w:shd w:val="clear" w:color="auto" w:fill="DCF2EE" w:themeFill="accent5" w:themeFillTint="33"/>
            <w:noWrap/>
            <w:vAlign w:val="center"/>
            <w:hideMark/>
          </w:tcPr>
          <w:p w14:paraId="0B7E1D2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2.6%</w:t>
            </w:r>
          </w:p>
        </w:tc>
      </w:tr>
      <w:tr w:rsidR="0046665F" w:rsidRPr="006D2513" w14:paraId="207507C8" w14:textId="77777777" w:rsidTr="00F32A89">
        <w:trPr>
          <w:trHeight w:val="279"/>
          <w:tblHeader/>
        </w:trPr>
        <w:tc>
          <w:tcPr>
            <w:tcW w:w="1448" w:type="pct"/>
            <w:shd w:val="clear" w:color="auto" w:fill="auto"/>
            <w:noWrap/>
            <w:vAlign w:val="center"/>
            <w:hideMark/>
          </w:tcPr>
          <w:p w14:paraId="5C077A19"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Acute 65+ years  </w:t>
            </w:r>
          </w:p>
        </w:tc>
        <w:tc>
          <w:tcPr>
            <w:tcW w:w="444" w:type="pct"/>
            <w:tcBorders>
              <w:top w:val="nil"/>
              <w:bottom w:val="nil"/>
              <w:right w:val="nil"/>
            </w:tcBorders>
            <w:shd w:val="clear" w:color="auto" w:fill="auto"/>
            <w:noWrap/>
            <w:vAlign w:val="center"/>
            <w:hideMark/>
          </w:tcPr>
          <w:p w14:paraId="25E3E7C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-3.1%</w:t>
            </w:r>
          </w:p>
        </w:tc>
        <w:tc>
          <w:tcPr>
            <w:tcW w:w="444" w:type="pct"/>
            <w:tcBorders>
              <w:top w:val="nil"/>
              <w:left w:val="nil"/>
              <w:bottom w:val="nil"/>
            </w:tcBorders>
            <w:shd w:val="clear" w:color="000000" w:fill="DCF2EE"/>
            <w:noWrap/>
            <w:vAlign w:val="center"/>
            <w:hideMark/>
          </w:tcPr>
          <w:p w14:paraId="333F853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w:t>
            </w:r>
          </w:p>
        </w:tc>
        <w:tc>
          <w:tcPr>
            <w:tcW w:w="444" w:type="pct"/>
            <w:gridSpan w:val="2"/>
            <w:tcBorders>
              <w:top w:val="nil"/>
              <w:bottom w:val="nil"/>
              <w:right w:val="nil"/>
            </w:tcBorders>
            <w:shd w:val="clear" w:color="auto" w:fill="auto"/>
            <w:noWrap/>
            <w:vAlign w:val="center"/>
            <w:hideMark/>
          </w:tcPr>
          <w:p w14:paraId="26E6C3E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15.2%</w:t>
            </w:r>
          </w:p>
        </w:tc>
        <w:tc>
          <w:tcPr>
            <w:tcW w:w="443" w:type="pct"/>
            <w:gridSpan w:val="2"/>
            <w:tcBorders>
              <w:top w:val="nil"/>
              <w:left w:val="nil"/>
              <w:bottom w:val="nil"/>
            </w:tcBorders>
            <w:shd w:val="clear" w:color="000000" w:fill="DCF2EE"/>
            <w:noWrap/>
            <w:vAlign w:val="center"/>
            <w:hideMark/>
          </w:tcPr>
          <w:p w14:paraId="7DF774B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16.1%</w:t>
            </w:r>
          </w:p>
        </w:tc>
        <w:tc>
          <w:tcPr>
            <w:tcW w:w="443" w:type="pct"/>
            <w:tcBorders>
              <w:top w:val="nil"/>
              <w:bottom w:val="nil"/>
              <w:right w:val="nil"/>
            </w:tcBorders>
            <w:shd w:val="clear" w:color="auto" w:fill="auto"/>
            <w:noWrap/>
            <w:vAlign w:val="center"/>
            <w:hideMark/>
          </w:tcPr>
          <w:p w14:paraId="1944DEC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2.8%</w:t>
            </w:r>
          </w:p>
        </w:tc>
        <w:tc>
          <w:tcPr>
            <w:tcW w:w="443" w:type="pct"/>
            <w:gridSpan w:val="2"/>
            <w:tcBorders>
              <w:top w:val="nil"/>
              <w:left w:val="nil"/>
              <w:bottom w:val="nil"/>
            </w:tcBorders>
            <w:shd w:val="clear" w:color="auto" w:fill="DCF2EE" w:themeFill="accent5" w:themeFillTint="33"/>
            <w:noWrap/>
            <w:vAlign w:val="center"/>
            <w:hideMark/>
          </w:tcPr>
          <w:p w14:paraId="02244E5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3.4%</w:t>
            </w:r>
          </w:p>
        </w:tc>
        <w:tc>
          <w:tcPr>
            <w:tcW w:w="443" w:type="pct"/>
            <w:gridSpan w:val="2"/>
            <w:tcBorders>
              <w:top w:val="nil"/>
              <w:bottom w:val="nil"/>
              <w:right w:val="nil"/>
            </w:tcBorders>
            <w:shd w:val="clear" w:color="auto" w:fill="auto"/>
            <w:noWrap/>
            <w:vAlign w:val="center"/>
            <w:hideMark/>
          </w:tcPr>
          <w:p w14:paraId="45DE40B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2.1%</w:t>
            </w:r>
          </w:p>
        </w:tc>
        <w:tc>
          <w:tcPr>
            <w:tcW w:w="448" w:type="pct"/>
            <w:tcBorders>
              <w:top w:val="nil"/>
              <w:left w:val="nil"/>
              <w:bottom w:val="nil"/>
            </w:tcBorders>
            <w:shd w:val="clear" w:color="auto" w:fill="DCF2EE" w:themeFill="accent5" w:themeFillTint="33"/>
            <w:noWrap/>
            <w:vAlign w:val="center"/>
            <w:hideMark/>
          </w:tcPr>
          <w:p w14:paraId="7A656F8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2.9%</w:t>
            </w:r>
          </w:p>
        </w:tc>
      </w:tr>
      <w:tr w:rsidR="0046665F" w:rsidRPr="006D2513" w14:paraId="4F723C8C" w14:textId="77777777" w:rsidTr="00F32A89">
        <w:trPr>
          <w:trHeight w:val="279"/>
          <w:tblHeader/>
        </w:trPr>
        <w:tc>
          <w:tcPr>
            <w:tcW w:w="1448" w:type="pct"/>
            <w:shd w:val="clear" w:color="auto" w:fill="auto"/>
            <w:noWrap/>
            <w:vAlign w:val="center"/>
            <w:hideMark/>
          </w:tcPr>
          <w:p w14:paraId="44B846DE"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0-17 years  </w:t>
            </w:r>
          </w:p>
        </w:tc>
        <w:tc>
          <w:tcPr>
            <w:tcW w:w="444" w:type="pct"/>
            <w:tcBorders>
              <w:top w:val="nil"/>
              <w:bottom w:val="nil"/>
              <w:right w:val="nil"/>
            </w:tcBorders>
            <w:shd w:val="clear" w:color="auto" w:fill="auto"/>
            <w:noWrap/>
            <w:vAlign w:val="center"/>
            <w:hideMark/>
          </w:tcPr>
          <w:p w14:paraId="6C8389D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17.8%</w:t>
            </w:r>
          </w:p>
        </w:tc>
        <w:tc>
          <w:tcPr>
            <w:tcW w:w="444" w:type="pct"/>
            <w:tcBorders>
              <w:top w:val="nil"/>
              <w:left w:val="nil"/>
              <w:bottom w:val="nil"/>
            </w:tcBorders>
            <w:shd w:val="clear" w:color="000000" w:fill="DCF2EE"/>
            <w:noWrap/>
            <w:vAlign w:val="center"/>
            <w:hideMark/>
          </w:tcPr>
          <w:p w14:paraId="0D4CCD9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19.3%</w:t>
            </w:r>
          </w:p>
        </w:tc>
        <w:tc>
          <w:tcPr>
            <w:tcW w:w="444" w:type="pct"/>
            <w:gridSpan w:val="2"/>
            <w:tcBorders>
              <w:top w:val="nil"/>
              <w:bottom w:val="nil"/>
              <w:right w:val="nil"/>
            </w:tcBorders>
            <w:shd w:val="clear" w:color="auto" w:fill="auto"/>
            <w:noWrap/>
            <w:vAlign w:val="center"/>
            <w:hideMark/>
          </w:tcPr>
          <w:p w14:paraId="5678A9E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19.2%</w:t>
            </w:r>
          </w:p>
        </w:tc>
        <w:tc>
          <w:tcPr>
            <w:tcW w:w="443" w:type="pct"/>
            <w:gridSpan w:val="2"/>
            <w:tcBorders>
              <w:top w:val="nil"/>
              <w:left w:val="nil"/>
              <w:bottom w:val="nil"/>
            </w:tcBorders>
            <w:shd w:val="clear" w:color="000000" w:fill="DCF2EE"/>
            <w:noWrap/>
            <w:vAlign w:val="center"/>
            <w:hideMark/>
          </w:tcPr>
          <w:p w14:paraId="6E1B8AD0"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23.8%</w:t>
            </w:r>
          </w:p>
        </w:tc>
        <w:tc>
          <w:tcPr>
            <w:tcW w:w="443" w:type="pct"/>
            <w:tcBorders>
              <w:top w:val="nil"/>
              <w:bottom w:val="nil"/>
              <w:right w:val="nil"/>
            </w:tcBorders>
            <w:shd w:val="clear" w:color="auto" w:fill="auto"/>
            <w:noWrap/>
            <w:vAlign w:val="center"/>
            <w:hideMark/>
          </w:tcPr>
          <w:p w14:paraId="31A943B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4.2%</w:t>
            </w:r>
          </w:p>
        </w:tc>
        <w:tc>
          <w:tcPr>
            <w:tcW w:w="443" w:type="pct"/>
            <w:gridSpan w:val="2"/>
            <w:tcBorders>
              <w:top w:val="nil"/>
              <w:left w:val="nil"/>
              <w:bottom w:val="nil"/>
            </w:tcBorders>
            <w:shd w:val="clear" w:color="auto" w:fill="DCF2EE" w:themeFill="accent5" w:themeFillTint="33"/>
            <w:noWrap/>
            <w:vAlign w:val="center"/>
            <w:hideMark/>
          </w:tcPr>
          <w:p w14:paraId="4597FB48"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5.7%</w:t>
            </w:r>
          </w:p>
        </w:tc>
        <w:tc>
          <w:tcPr>
            <w:tcW w:w="443" w:type="pct"/>
            <w:gridSpan w:val="2"/>
            <w:tcBorders>
              <w:top w:val="nil"/>
              <w:bottom w:val="nil"/>
              <w:right w:val="nil"/>
            </w:tcBorders>
            <w:shd w:val="clear" w:color="auto" w:fill="auto"/>
            <w:noWrap/>
            <w:vAlign w:val="center"/>
            <w:hideMark/>
          </w:tcPr>
          <w:p w14:paraId="728FC249"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4.9%</w:t>
            </w:r>
          </w:p>
        </w:tc>
        <w:tc>
          <w:tcPr>
            <w:tcW w:w="448" w:type="pct"/>
            <w:tcBorders>
              <w:top w:val="nil"/>
              <w:left w:val="nil"/>
              <w:bottom w:val="nil"/>
            </w:tcBorders>
            <w:shd w:val="clear" w:color="auto" w:fill="DCF2EE" w:themeFill="accent5" w:themeFillTint="33"/>
            <w:noWrap/>
            <w:vAlign w:val="center"/>
            <w:hideMark/>
          </w:tcPr>
          <w:p w14:paraId="101D4F2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6.2%</w:t>
            </w:r>
          </w:p>
        </w:tc>
      </w:tr>
      <w:tr w:rsidR="0046665F" w:rsidRPr="006D2513" w14:paraId="05744C6C" w14:textId="77777777" w:rsidTr="00F32A89">
        <w:trPr>
          <w:trHeight w:val="279"/>
          <w:tblHeader/>
        </w:trPr>
        <w:tc>
          <w:tcPr>
            <w:tcW w:w="1448" w:type="pct"/>
            <w:shd w:val="clear" w:color="auto" w:fill="auto"/>
            <w:noWrap/>
            <w:vAlign w:val="center"/>
            <w:hideMark/>
          </w:tcPr>
          <w:p w14:paraId="6C89953B"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18-64 years  </w:t>
            </w:r>
          </w:p>
        </w:tc>
        <w:tc>
          <w:tcPr>
            <w:tcW w:w="444" w:type="pct"/>
            <w:tcBorders>
              <w:top w:val="nil"/>
              <w:bottom w:val="nil"/>
              <w:right w:val="nil"/>
            </w:tcBorders>
            <w:shd w:val="clear" w:color="auto" w:fill="auto"/>
            <w:noWrap/>
            <w:vAlign w:val="center"/>
            <w:hideMark/>
          </w:tcPr>
          <w:p w14:paraId="752EF87C"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7.9%</w:t>
            </w:r>
          </w:p>
        </w:tc>
        <w:tc>
          <w:tcPr>
            <w:tcW w:w="444" w:type="pct"/>
            <w:tcBorders>
              <w:top w:val="nil"/>
              <w:left w:val="nil"/>
              <w:bottom w:val="nil"/>
            </w:tcBorders>
            <w:shd w:val="clear" w:color="000000" w:fill="DCF2EE"/>
            <w:noWrap/>
            <w:vAlign w:val="center"/>
            <w:hideMark/>
          </w:tcPr>
          <w:p w14:paraId="25FF973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15.5%</w:t>
            </w:r>
          </w:p>
        </w:tc>
        <w:tc>
          <w:tcPr>
            <w:tcW w:w="444" w:type="pct"/>
            <w:gridSpan w:val="2"/>
            <w:tcBorders>
              <w:top w:val="nil"/>
              <w:bottom w:val="nil"/>
              <w:right w:val="nil"/>
            </w:tcBorders>
            <w:shd w:val="clear" w:color="auto" w:fill="auto"/>
            <w:noWrap/>
            <w:vAlign w:val="center"/>
            <w:hideMark/>
          </w:tcPr>
          <w:p w14:paraId="5959280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18.8%</w:t>
            </w:r>
          </w:p>
        </w:tc>
        <w:tc>
          <w:tcPr>
            <w:tcW w:w="443" w:type="pct"/>
            <w:gridSpan w:val="2"/>
            <w:tcBorders>
              <w:top w:val="nil"/>
              <w:left w:val="nil"/>
              <w:bottom w:val="nil"/>
            </w:tcBorders>
            <w:shd w:val="clear" w:color="000000" w:fill="DCF2EE"/>
            <w:noWrap/>
            <w:vAlign w:val="center"/>
            <w:hideMark/>
          </w:tcPr>
          <w:p w14:paraId="4C61182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22.6%</w:t>
            </w:r>
          </w:p>
        </w:tc>
        <w:tc>
          <w:tcPr>
            <w:tcW w:w="443" w:type="pct"/>
            <w:tcBorders>
              <w:top w:val="nil"/>
              <w:bottom w:val="nil"/>
              <w:right w:val="nil"/>
            </w:tcBorders>
            <w:shd w:val="clear" w:color="auto" w:fill="auto"/>
            <w:noWrap/>
            <w:vAlign w:val="center"/>
            <w:hideMark/>
          </w:tcPr>
          <w:p w14:paraId="43E7EC2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4.6%</w:t>
            </w:r>
          </w:p>
        </w:tc>
        <w:tc>
          <w:tcPr>
            <w:tcW w:w="443" w:type="pct"/>
            <w:gridSpan w:val="2"/>
            <w:tcBorders>
              <w:top w:val="nil"/>
              <w:left w:val="nil"/>
              <w:bottom w:val="nil"/>
            </w:tcBorders>
            <w:shd w:val="clear" w:color="auto" w:fill="DCF2EE" w:themeFill="accent5" w:themeFillTint="33"/>
            <w:noWrap/>
            <w:vAlign w:val="center"/>
            <w:hideMark/>
          </w:tcPr>
          <w:p w14:paraId="335A79A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5.5%</w:t>
            </w:r>
          </w:p>
        </w:tc>
        <w:tc>
          <w:tcPr>
            <w:tcW w:w="443" w:type="pct"/>
            <w:gridSpan w:val="2"/>
            <w:tcBorders>
              <w:top w:val="nil"/>
              <w:bottom w:val="nil"/>
              <w:right w:val="nil"/>
            </w:tcBorders>
            <w:shd w:val="clear" w:color="auto" w:fill="auto"/>
            <w:noWrap/>
            <w:vAlign w:val="center"/>
            <w:hideMark/>
          </w:tcPr>
          <w:p w14:paraId="30FA5A2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5.6%</w:t>
            </w:r>
          </w:p>
        </w:tc>
        <w:tc>
          <w:tcPr>
            <w:tcW w:w="448" w:type="pct"/>
            <w:tcBorders>
              <w:top w:val="nil"/>
              <w:left w:val="nil"/>
              <w:bottom w:val="nil"/>
            </w:tcBorders>
            <w:shd w:val="clear" w:color="auto" w:fill="DCF2EE" w:themeFill="accent5" w:themeFillTint="33"/>
            <w:noWrap/>
            <w:vAlign w:val="center"/>
            <w:hideMark/>
          </w:tcPr>
          <w:p w14:paraId="0F6088FF"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7.0%</w:t>
            </w:r>
          </w:p>
        </w:tc>
      </w:tr>
      <w:tr w:rsidR="0046665F" w:rsidRPr="006D2513" w14:paraId="461295C9" w14:textId="77777777" w:rsidTr="00F32A89">
        <w:trPr>
          <w:trHeight w:val="279"/>
          <w:tblHeader/>
        </w:trPr>
        <w:tc>
          <w:tcPr>
            <w:tcW w:w="1448" w:type="pct"/>
            <w:shd w:val="clear" w:color="auto" w:fill="auto"/>
            <w:noWrap/>
            <w:vAlign w:val="center"/>
            <w:hideMark/>
          </w:tcPr>
          <w:p w14:paraId="59A47E09"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Functional gain 65+ years  </w:t>
            </w:r>
          </w:p>
        </w:tc>
        <w:tc>
          <w:tcPr>
            <w:tcW w:w="444" w:type="pct"/>
            <w:tcBorders>
              <w:top w:val="nil"/>
              <w:bottom w:val="nil"/>
              <w:right w:val="nil"/>
            </w:tcBorders>
            <w:shd w:val="clear" w:color="auto" w:fill="auto"/>
            <w:noWrap/>
            <w:vAlign w:val="center"/>
            <w:hideMark/>
          </w:tcPr>
          <w:p w14:paraId="1683FEF5"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6.6%</w:t>
            </w:r>
          </w:p>
        </w:tc>
        <w:tc>
          <w:tcPr>
            <w:tcW w:w="444" w:type="pct"/>
            <w:tcBorders>
              <w:top w:val="nil"/>
              <w:left w:val="nil"/>
              <w:bottom w:val="nil"/>
            </w:tcBorders>
            <w:shd w:val="clear" w:color="000000" w:fill="DCF2EE"/>
            <w:noWrap/>
            <w:vAlign w:val="center"/>
            <w:hideMark/>
          </w:tcPr>
          <w:p w14:paraId="60D8AEC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13.6%</w:t>
            </w:r>
          </w:p>
        </w:tc>
        <w:tc>
          <w:tcPr>
            <w:tcW w:w="444" w:type="pct"/>
            <w:gridSpan w:val="2"/>
            <w:tcBorders>
              <w:top w:val="nil"/>
              <w:bottom w:val="nil"/>
              <w:right w:val="nil"/>
            </w:tcBorders>
            <w:shd w:val="clear" w:color="auto" w:fill="auto"/>
            <w:noWrap/>
            <w:vAlign w:val="center"/>
            <w:hideMark/>
          </w:tcPr>
          <w:p w14:paraId="73B5135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14.7%</w:t>
            </w:r>
          </w:p>
        </w:tc>
        <w:tc>
          <w:tcPr>
            <w:tcW w:w="443" w:type="pct"/>
            <w:gridSpan w:val="2"/>
            <w:tcBorders>
              <w:top w:val="nil"/>
              <w:left w:val="nil"/>
              <w:bottom w:val="nil"/>
            </w:tcBorders>
            <w:shd w:val="clear" w:color="000000" w:fill="DCF2EE"/>
            <w:noWrap/>
            <w:vAlign w:val="center"/>
            <w:hideMark/>
          </w:tcPr>
          <w:p w14:paraId="04B368F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20.8%</w:t>
            </w:r>
          </w:p>
        </w:tc>
        <w:tc>
          <w:tcPr>
            <w:tcW w:w="443" w:type="pct"/>
            <w:tcBorders>
              <w:top w:val="nil"/>
              <w:bottom w:val="nil"/>
              <w:right w:val="nil"/>
            </w:tcBorders>
            <w:shd w:val="clear" w:color="auto" w:fill="auto"/>
            <w:noWrap/>
            <w:vAlign w:val="center"/>
            <w:hideMark/>
          </w:tcPr>
          <w:p w14:paraId="71CE917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3.0%</w:t>
            </w:r>
          </w:p>
        </w:tc>
        <w:tc>
          <w:tcPr>
            <w:tcW w:w="443" w:type="pct"/>
            <w:gridSpan w:val="2"/>
            <w:tcBorders>
              <w:top w:val="nil"/>
              <w:left w:val="nil"/>
              <w:bottom w:val="nil"/>
            </w:tcBorders>
            <w:shd w:val="clear" w:color="auto" w:fill="DCF2EE" w:themeFill="accent5" w:themeFillTint="33"/>
            <w:noWrap/>
            <w:vAlign w:val="center"/>
            <w:hideMark/>
          </w:tcPr>
          <w:p w14:paraId="1CB0465F"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4.9%</w:t>
            </w:r>
          </w:p>
        </w:tc>
        <w:tc>
          <w:tcPr>
            <w:tcW w:w="443" w:type="pct"/>
            <w:gridSpan w:val="2"/>
            <w:tcBorders>
              <w:top w:val="nil"/>
              <w:bottom w:val="nil"/>
              <w:right w:val="nil"/>
            </w:tcBorders>
            <w:shd w:val="clear" w:color="auto" w:fill="auto"/>
            <w:noWrap/>
            <w:vAlign w:val="center"/>
            <w:hideMark/>
          </w:tcPr>
          <w:p w14:paraId="31887BF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1.8%</w:t>
            </w:r>
          </w:p>
        </w:tc>
        <w:tc>
          <w:tcPr>
            <w:tcW w:w="448" w:type="pct"/>
            <w:tcBorders>
              <w:top w:val="nil"/>
              <w:left w:val="nil"/>
              <w:bottom w:val="nil"/>
            </w:tcBorders>
            <w:shd w:val="clear" w:color="auto" w:fill="DCF2EE" w:themeFill="accent5" w:themeFillTint="33"/>
            <w:noWrap/>
            <w:vAlign w:val="center"/>
            <w:hideMark/>
          </w:tcPr>
          <w:p w14:paraId="5C0850D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3.4%</w:t>
            </w:r>
          </w:p>
        </w:tc>
      </w:tr>
      <w:tr w:rsidR="0046665F" w:rsidRPr="006D2513" w14:paraId="32137097" w14:textId="77777777" w:rsidTr="00F32A89">
        <w:trPr>
          <w:trHeight w:val="279"/>
          <w:tblHeader/>
        </w:trPr>
        <w:tc>
          <w:tcPr>
            <w:tcW w:w="1448" w:type="pct"/>
            <w:shd w:val="clear" w:color="auto" w:fill="auto"/>
            <w:noWrap/>
            <w:vAlign w:val="center"/>
            <w:hideMark/>
          </w:tcPr>
          <w:p w14:paraId="52090AA6"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0-17 years  </w:t>
            </w:r>
          </w:p>
        </w:tc>
        <w:tc>
          <w:tcPr>
            <w:tcW w:w="444" w:type="pct"/>
            <w:tcBorders>
              <w:top w:val="nil"/>
              <w:bottom w:val="nil"/>
              <w:right w:val="nil"/>
            </w:tcBorders>
            <w:shd w:val="clear" w:color="auto" w:fill="auto"/>
            <w:noWrap/>
            <w:vAlign w:val="center"/>
            <w:hideMark/>
          </w:tcPr>
          <w:p w14:paraId="3FEA58D9"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14.4%</w:t>
            </w:r>
          </w:p>
        </w:tc>
        <w:tc>
          <w:tcPr>
            <w:tcW w:w="444" w:type="pct"/>
            <w:tcBorders>
              <w:top w:val="nil"/>
              <w:left w:val="nil"/>
              <w:bottom w:val="nil"/>
            </w:tcBorders>
            <w:shd w:val="clear" w:color="000000" w:fill="DCF2EE"/>
            <w:noWrap/>
            <w:vAlign w:val="center"/>
            <w:hideMark/>
          </w:tcPr>
          <w:p w14:paraId="1C5F4EC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17.1%</w:t>
            </w:r>
          </w:p>
        </w:tc>
        <w:tc>
          <w:tcPr>
            <w:tcW w:w="444" w:type="pct"/>
            <w:gridSpan w:val="2"/>
            <w:tcBorders>
              <w:top w:val="nil"/>
              <w:bottom w:val="nil"/>
              <w:right w:val="nil"/>
            </w:tcBorders>
            <w:shd w:val="clear" w:color="auto" w:fill="auto"/>
            <w:noWrap/>
            <w:vAlign w:val="center"/>
            <w:hideMark/>
          </w:tcPr>
          <w:p w14:paraId="0F5F03B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9.8%</w:t>
            </w:r>
          </w:p>
        </w:tc>
        <w:tc>
          <w:tcPr>
            <w:tcW w:w="443" w:type="pct"/>
            <w:gridSpan w:val="2"/>
            <w:tcBorders>
              <w:top w:val="nil"/>
              <w:left w:val="nil"/>
              <w:bottom w:val="nil"/>
            </w:tcBorders>
            <w:shd w:val="clear" w:color="000000" w:fill="DCF2EE"/>
            <w:noWrap/>
            <w:vAlign w:val="center"/>
            <w:hideMark/>
          </w:tcPr>
          <w:p w14:paraId="4B1F276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17.6%</w:t>
            </w:r>
          </w:p>
        </w:tc>
        <w:tc>
          <w:tcPr>
            <w:tcW w:w="443" w:type="pct"/>
            <w:tcBorders>
              <w:top w:val="nil"/>
              <w:bottom w:val="nil"/>
              <w:right w:val="nil"/>
            </w:tcBorders>
            <w:shd w:val="clear" w:color="auto" w:fill="auto"/>
            <w:noWrap/>
            <w:vAlign w:val="center"/>
            <w:hideMark/>
          </w:tcPr>
          <w:p w14:paraId="053767A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1.5%</w:t>
            </w:r>
          </w:p>
        </w:tc>
        <w:tc>
          <w:tcPr>
            <w:tcW w:w="443" w:type="pct"/>
            <w:gridSpan w:val="2"/>
            <w:tcBorders>
              <w:top w:val="nil"/>
              <w:left w:val="nil"/>
              <w:bottom w:val="nil"/>
            </w:tcBorders>
            <w:shd w:val="clear" w:color="auto" w:fill="DCF2EE" w:themeFill="accent5" w:themeFillTint="33"/>
            <w:noWrap/>
            <w:vAlign w:val="center"/>
            <w:hideMark/>
          </w:tcPr>
          <w:p w14:paraId="3990EF6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3.3%</w:t>
            </w:r>
          </w:p>
        </w:tc>
        <w:tc>
          <w:tcPr>
            <w:tcW w:w="443" w:type="pct"/>
            <w:gridSpan w:val="2"/>
            <w:tcBorders>
              <w:top w:val="nil"/>
              <w:bottom w:val="nil"/>
              <w:right w:val="nil"/>
            </w:tcBorders>
            <w:shd w:val="clear" w:color="auto" w:fill="auto"/>
            <w:noWrap/>
            <w:vAlign w:val="center"/>
            <w:hideMark/>
          </w:tcPr>
          <w:p w14:paraId="083C111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1.9%</w:t>
            </w:r>
          </w:p>
        </w:tc>
        <w:tc>
          <w:tcPr>
            <w:tcW w:w="448" w:type="pct"/>
            <w:tcBorders>
              <w:top w:val="nil"/>
              <w:left w:val="nil"/>
              <w:bottom w:val="nil"/>
            </w:tcBorders>
            <w:shd w:val="clear" w:color="auto" w:fill="DCF2EE" w:themeFill="accent5" w:themeFillTint="33"/>
            <w:noWrap/>
            <w:vAlign w:val="center"/>
            <w:hideMark/>
          </w:tcPr>
          <w:p w14:paraId="03676ED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4.5%</w:t>
            </w:r>
          </w:p>
        </w:tc>
      </w:tr>
      <w:tr w:rsidR="0046665F" w:rsidRPr="006D2513" w14:paraId="7B651FA4" w14:textId="77777777" w:rsidTr="00F32A89">
        <w:trPr>
          <w:trHeight w:val="279"/>
          <w:tblHeader/>
        </w:trPr>
        <w:tc>
          <w:tcPr>
            <w:tcW w:w="1448" w:type="pct"/>
            <w:shd w:val="clear" w:color="auto" w:fill="auto"/>
            <w:noWrap/>
            <w:vAlign w:val="center"/>
            <w:hideMark/>
          </w:tcPr>
          <w:p w14:paraId="2ED325D3"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18-64 years  </w:t>
            </w:r>
          </w:p>
        </w:tc>
        <w:tc>
          <w:tcPr>
            <w:tcW w:w="444" w:type="pct"/>
            <w:tcBorders>
              <w:top w:val="nil"/>
              <w:bottom w:val="nil"/>
              <w:right w:val="nil"/>
            </w:tcBorders>
            <w:shd w:val="clear" w:color="auto" w:fill="auto"/>
            <w:noWrap/>
            <w:vAlign w:val="center"/>
            <w:hideMark/>
          </w:tcPr>
          <w:p w14:paraId="755EE8B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13.1%</w:t>
            </w:r>
          </w:p>
        </w:tc>
        <w:tc>
          <w:tcPr>
            <w:tcW w:w="444" w:type="pct"/>
            <w:tcBorders>
              <w:top w:val="nil"/>
              <w:left w:val="nil"/>
              <w:bottom w:val="nil"/>
            </w:tcBorders>
            <w:shd w:val="clear" w:color="000000" w:fill="DCF2EE"/>
            <w:noWrap/>
            <w:vAlign w:val="center"/>
            <w:hideMark/>
          </w:tcPr>
          <w:p w14:paraId="551399BD"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18.7%</w:t>
            </w:r>
          </w:p>
        </w:tc>
        <w:tc>
          <w:tcPr>
            <w:tcW w:w="444" w:type="pct"/>
            <w:gridSpan w:val="2"/>
            <w:tcBorders>
              <w:top w:val="nil"/>
              <w:bottom w:val="nil"/>
              <w:right w:val="nil"/>
            </w:tcBorders>
            <w:shd w:val="clear" w:color="auto" w:fill="auto"/>
            <w:noWrap/>
            <w:vAlign w:val="center"/>
            <w:hideMark/>
          </w:tcPr>
          <w:p w14:paraId="6BFDC3E5"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20.8%</w:t>
            </w:r>
          </w:p>
        </w:tc>
        <w:tc>
          <w:tcPr>
            <w:tcW w:w="443" w:type="pct"/>
            <w:gridSpan w:val="2"/>
            <w:tcBorders>
              <w:top w:val="nil"/>
              <w:left w:val="nil"/>
              <w:bottom w:val="nil"/>
            </w:tcBorders>
            <w:shd w:val="clear" w:color="000000" w:fill="DCF2EE"/>
            <w:noWrap/>
            <w:vAlign w:val="center"/>
            <w:hideMark/>
          </w:tcPr>
          <w:p w14:paraId="0151190A"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24.0%</w:t>
            </w:r>
          </w:p>
        </w:tc>
        <w:tc>
          <w:tcPr>
            <w:tcW w:w="443" w:type="pct"/>
            <w:tcBorders>
              <w:top w:val="nil"/>
              <w:bottom w:val="nil"/>
              <w:right w:val="nil"/>
            </w:tcBorders>
            <w:shd w:val="clear" w:color="auto" w:fill="auto"/>
            <w:noWrap/>
            <w:vAlign w:val="center"/>
            <w:hideMark/>
          </w:tcPr>
          <w:p w14:paraId="1F3A3707"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5.2%</w:t>
            </w:r>
          </w:p>
        </w:tc>
        <w:tc>
          <w:tcPr>
            <w:tcW w:w="443" w:type="pct"/>
            <w:gridSpan w:val="2"/>
            <w:tcBorders>
              <w:top w:val="nil"/>
              <w:left w:val="nil"/>
              <w:bottom w:val="nil"/>
            </w:tcBorders>
            <w:shd w:val="clear" w:color="auto" w:fill="DCF2EE" w:themeFill="accent5" w:themeFillTint="33"/>
            <w:noWrap/>
            <w:vAlign w:val="center"/>
            <w:hideMark/>
          </w:tcPr>
          <w:p w14:paraId="175DC95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6.1%</w:t>
            </w:r>
          </w:p>
        </w:tc>
        <w:tc>
          <w:tcPr>
            <w:tcW w:w="443" w:type="pct"/>
            <w:gridSpan w:val="2"/>
            <w:tcBorders>
              <w:top w:val="nil"/>
              <w:bottom w:val="nil"/>
              <w:right w:val="nil"/>
            </w:tcBorders>
            <w:shd w:val="clear" w:color="auto" w:fill="auto"/>
            <w:noWrap/>
            <w:vAlign w:val="center"/>
            <w:hideMark/>
          </w:tcPr>
          <w:p w14:paraId="0401934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5.7%</w:t>
            </w:r>
          </w:p>
        </w:tc>
        <w:tc>
          <w:tcPr>
            <w:tcW w:w="448" w:type="pct"/>
            <w:tcBorders>
              <w:top w:val="nil"/>
              <w:left w:val="nil"/>
              <w:bottom w:val="nil"/>
            </w:tcBorders>
            <w:shd w:val="clear" w:color="auto" w:fill="DCF2EE" w:themeFill="accent5" w:themeFillTint="33"/>
            <w:noWrap/>
            <w:vAlign w:val="center"/>
            <w:hideMark/>
          </w:tcPr>
          <w:p w14:paraId="4B7C521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7.0%</w:t>
            </w:r>
          </w:p>
        </w:tc>
      </w:tr>
      <w:tr w:rsidR="0046665F" w:rsidRPr="006D2513" w14:paraId="431C86C3" w14:textId="77777777" w:rsidTr="00F32A89">
        <w:trPr>
          <w:trHeight w:val="279"/>
          <w:tblHeader/>
        </w:trPr>
        <w:tc>
          <w:tcPr>
            <w:tcW w:w="1448" w:type="pct"/>
            <w:shd w:val="clear" w:color="auto" w:fill="auto"/>
            <w:noWrap/>
            <w:vAlign w:val="center"/>
            <w:hideMark/>
          </w:tcPr>
          <w:p w14:paraId="717BC76B"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Intensive extended 65+ years  </w:t>
            </w:r>
          </w:p>
        </w:tc>
        <w:tc>
          <w:tcPr>
            <w:tcW w:w="444" w:type="pct"/>
            <w:tcBorders>
              <w:top w:val="nil"/>
              <w:bottom w:val="nil"/>
              <w:right w:val="nil"/>
            </w:tcBorders>
            <w:shd w:val="clear" w:color="auto" w:fill="auto"/>
            <w:noWrap/>
            <w:vAlign w:val="center"/>
            <w:hideMark/>
          </w:tcPr>
          <w:p w14:paraId="349E42F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5.0%</w:t>
            </w:r>
          </w:p>
        </w:tc>
        <w:tc>
          <w:tcPr>
            <w:tcW w:w="444" w:type="pct"/>
            <w:tcBorders>
              <w:top w:val="nil"/>
              <w:left w:val="nil"/>
              <w:bottom w:val="nil"/>
            </w:tcBorders>
            <w:shd w:val="clear" w:color="000000" w:fill="DCF2EE"/>
            <w:noWrap/>
            <w:vAlign w:val="center"/>
            <w:hideMark/>
          </w:tcPr>
          <w:p w14:paraId="367CCC23"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16.0%</w:t>
            </w:r>
          </w:p>
        </w:tc>
        <w:tc>
          <w:tcPr>
            <w:tcW w:w="444" w:type="pct"/>
            <w:gridSpan w:val="2"/>
            <w:tcBorders>
              <w:top w:val="nil"/>
              <w:bottom w:val="nil"/>
              <w:right w:val="nil"/>
            </w:tcBorders>
            <w:shd w:val="clear" w:color="auto" w:fill="auto"/>
            <w:noWrap/>
            <w:vAlign w:val="center"/>
            <w:hideMark/>
          </w:tcPr>
          <w:p w14:paraId="6CB02797"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9.1%</w:t>
            </w:r>
          </w:p>
        </w:tc>
        <w:tc>
          <w:tcPr>
            <w:tcW w:w="443" w:type="pct"/>
            <w:gridSpan w:val="2"/>
            <w:tcBorders>
              <w:top w:val="nil"/>
              <w:left w:val="nil"/>
              <w:bottom w:val="nil"/>
            </w:tcBorders>
            <w:shd w:val="clear" w:color="000000" w:fill="DCF2EE"/>
            <w:noWrap/>
            <w:vAlign w:val="center"/>
            <w:hideMark/>
          </w:tcPr>
          <w:p w14:paraId="3CEBB3A2"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14.3%</w:t>
            </w:r>
          </w:p>
        </w:tc>
        <w:tc>
          <w:tcPr>
            <w:tcW w:w="443" w:type="pct"/>
            <w:tcBorders>
              <w:top w:val="nil"/>
              <w:bottom w:val="nil"/>
              <w:right w:val="nil"/>
            </w:tcBorders>
            <w:shd w:val="clear" w:color="auto" w:fill="auto"/>
            <w:noWrap/>
            <w:vAlign w:val="center"/>
            <w:hideMark/>
          </w:tcPr>
          <w:p w14:paraId="3957175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w:t>
            </w:r>
          </w:p>
        </w:tc>
        <w:tc>
          <w:tcPr>
            <w:tcW w:w="443" w:type="pct"/>
            <w:gridSpan w:val="2"/>
            <w:tcBorders>
              <w:top w:val="nil"/>
              <w:left w:val="nil"/>
              <w:bottom w:val="nil"/>
            </w:tcBorders>
            <w:shd w:val="clear" w:color="auto" w:fill="DCF2EE" w:themeFill="accent5" w:themeFillTint="33"/>
            <w:noWrap/>
            <w:vAlign w:val="center"/>
            <w:hideMark/>
          </w:tcPr>
          <w:p w14:paraId="5D27DF2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2.4%</w:t>
            </w:r>
          </w:p>
        </w:tc>
        <w:tc>
          <w:tcPr>
            <w:tcW w:w="443" w:type="pct"/>
            <w:gridSpan w:val="2"/>
            <w:tcBorders>
              <w:top w:val="nil"/>
              <w:bottom w:val="nil"/>
              <w:right w:val="nil"/>
            </w:tcBorders>
            <w:shd w:val="clear" w:color="auto" w:fill="auto"/>
            <w:noWrap/>
            <w:vAlign w:val="center"/>
            <w:hideMark/>
          </w:tcPr>
          <w:p w14:paraId="5DA937AE"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w:t>
            </w:r>
          </w:p>
        </w:tc>
        <w:tc>
          <w:tcPr>
            <w:tcW w:w="448" w:type="pct"/>
            <w:tcBorders>
              <w:top w:val="nil"/>
              <w:left w:val="nil"/>
              <w:bottom w:val="nil"/>
            </w:tcBorders>
            <w:shd w:val="clear" w:color="auto" w:fill="DCF2EE" w:themeFill="accent5" w:themeFillTint="33"/>
            <w:noWrap/>
            <w:vAlign w:val="center"/>
            <w:hideMark/>
          </w:tcPr>
          <w:p w14:paraId="3FC9FDDB"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3.1%</w:t>
            </w:r>
          </w:p>
        </w:tc>
      </w:tr>
      <w:tr w:rsidR="0046665F" w:rsidRPr="006D2513" w14:paraId="22713404" w14:textId="77777777" w:rsidTr="00F32A89">
        <w:trPr>
          <w:trHeight w:val="279"/>
          <w:tblHeader/>
        </w:trPr>
        <w:tc>
          <w:tcPr>
            <w:tcW w:w="1448" w:type="pct"/>
            <w:shd w:val="clear" w:color="auto" w:fill="auto"/>
            <w:noWrap/>
            <w:vAlign w:val="center"/>
            <w:hideMark/>
          </w:tcPr>
          <w:p w14:paraId="386AB644"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0-17 years  </w:t>
            </w:r>
          </w:p>
        </w:tc>
        <w:tc>
          <w:tcPr>
            <w:tcW w:w="444" w:type="pct"/>
            <w:tcBorders>
              <w:top w:val="nil"/>
              <w:bottom w:val="nil"/>
              <w:right w:val="nil"/>
            </w:tcBorders>
            <w:shd w:val="clear" w:color="auto" w:fill="auto"/>
            <w:noWrap/>
            <w:vAlign w:val="center"/>
            <w:hideMark/>
          </w:tcPr>
          <w:p w14:paraId="70DF16DB"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3.7%</w:t>
            </w:r>
          </w:p>
        </w:tc>
        <w:tc>
          <w:tcPr>
            <w:tcW w:w="444" w:type="pct"/>
            <w:tcBorders>
              <w:top w:val="nil"/>
              <w:left w:val="nil"/>
              <w:bottom w:val="nil"/>
            </w:tcBorders>
            <w:shd w:val="clear" w:color="000000" w:fill="DCF2EE"/>
            <w:noWrap/>
            <w:vAlign w:val="center"/>
            <w:hideMark/>
          </w:tcPr>
          <w:p w14:paraId="397CCCB1"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6.1%</w:t>
            </w:r>
          </w:p>
        </w:tc>
        <w:tc>
          <w:tcPr>
            <w:tcW w:w="444" w:type="pct"/>
            <w:gridSpan w:val="2"/>
            <w:tcBorders>
              <w:top w:val="nil"/>
              <w:bottom w:val="nil"/>
              <w:right w:val="nil"/>
            </w:tcBorders>
            <w:shd w:val="clear" w:color="auto" w:fill="auto"/>
            <w:noWrap/>
            <w:vAlign w:val="center"/>
            <w:hideMark/>
          </w:tcPr>
          <w:p w14:paraId="03C562F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11.1%</w:t>
            </w:r>
          </w:p>
        </w:tc>
        <w:tc>
          <w:tcPr>
            <w:tcW w:w="443" w:type="pct"/>
            <w:gridSpan w:val="2"/>
            <w:tcBorders>
              <w:top w:val="nil"/>
              <w:left w:val="nil"/>
              <w:bottom w:val="nil"/>
            </w:tcBorders>
            <w:shd w:val="clear" w:color="000000" w:fill="DCF2EE"/>
            <w:noWrap/>
            <w:vAlign w:val="center"/>
            <w:hideMark/>
          </w:tcPr>
          <w:p w14:paraId="46726E3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11.8%</w:t>
            </w:r>
          </w:p>
        </w:tc>
        <w:tc>
          <w:tcPr>
            <w:tcW w:w="443" w:type="pct"/>
            <w:tcBorders>
              <w:top w:val="nil"/>
              <w:bottom w:val="nil"/>
              <w:right w:val="nil"/>
            </w:tcBorders>
            <w:shd w:val="clear" w:color="auto" w:fill="auto"/>
            <w:noWrap/>
            <w:vAlign w:val="center"/>
            <w:hideMark/>
          </w:tcPr>
          <w:p w14:paraId="2EFA9DE1"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2.1%</w:t>
            </w:r>
          </w:p>
        </w:tc>
        <w:tc>
          <w:tcPr>
            <w:tcW w:w="443" w:type="pct"/>
            <w:gridSpan w:val="2"/>
            <w:tcBorders>
              <w:top w:val="nil"/>
              <w:left w:val="nil"/>
              <w:bottom w:val="nil"/>
            </w:tcBorders>
            <w:shd w:val="clear" w:color="auto" w:fill="DCF2EE" w:themeFill="accent5" w:themeFillTint="33"/>
            <w:noWrap/>
            <w:vAlign w:val="center"/>
            <w:hideMark/>
          </w:tcPr>
          <w:p w14:paraId="5F87842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2.3%</w:t>
            </w:r>
          </w:p>
        </w:tc>
        <w:tc>
          <w:tcPr>
            <w:tcW w:w="443" w:type="pct"/>
            <w:gridSpan w:val="2"/>
            <w:tcBorders>
              <w:top w:val="nil"/>
              <w:bottom w:val="nil"/>
              <w:right w:val="nil"/>
            </w:tcBorders>
            <w:shd w:val="clear" w:color="auto" w:fill="auto"/>
            <w:noWrap/>
            <w:vAlign w:val="center"/>
            <w:hideMark/>
          </w:tcPr>
          <w:p w14:paraId="6CE6781A"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1.1%</w:t>
            </w:r>
          </w:p>
        </w:tc>
        <w:tc>
          <w:tcPr>
            <w:tcW w:w="448" w:type="pct"/>
            <w:tcBorders>
              <w:top w:val="nil"/>
              <w:left w:val="nil"/>
              <w:bottom w:val="nil"/>
            </w:tcBorders>
            <w:shd w:val="clear" w:color="auto" w:fill="DCF2EE" w:themeFill="accent5" w:themeFillTint="33"/>
            <w:noWrap/>
            <w:vAlign w:val="center"/>
            <w:hideMark/>
          </w:tcPr>
          <w:p w14:paraId="609A81C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1.2%</w:t>
            </w:r>
          </w:p>
        </w:tc>
      </w:tr>
      <w:tr w:rsidR="0046665F" w:rsidRPr="006D2513" w14:paraId="420AEF9E" w14:textId="77777777" w:rsidTr="00F32A89">
        <w:trPr>
          <w:trHeight w:val="279"/>
          <w:tblHeader/>
        </w:trPr>
        <w:tc>
          <w:tcPr>
            <w:tcW w:w="1448" w:type="pct"/>
            <w:shd w:val="clear" w:color="auto" w:fill="auto"/>
            <w:noWrap/>
            <w:vAlign w:val="center"/>
            <w:hideMark/>
          </w:tcPr>
          <w:p w14:paraId="6BE541EF"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18-64 years  </w:t>
            </w:r>
          </w:p>
        </w:tc>
        <w:tc>
          <w:tcPr>
            <w:tcW w:w="444" w:type="pct"/>
            <w:tcBorders>
              <w:top w:val="nil"/>
              <w:bottom w:val="nil"/>
              <w:right w:val="nil"/>
            </w:tcBorders>
            <w:shd w:val="clear" w:color="auto" w:fill="auto"/>
            <w:noWrap/>
            <w:vAlign w:val="center"/>
            <w:hideMark/>
          </w:tcPr>
          <w:p w14:paraId="551F6EC6"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-5.4%</w:t>
            </w:r>
          </w:p>
        </w:tc>
        <w:tc>
          <w:tcPr>
            <w:tcW w:w="444" w:type="pct"/>
            <w:tcBorders>
              <w:top w:val="nil"/>
              <w:left w:val="nil"/>
              <w:bottom w:val="nil"/>
            </w:tcBorders>
            <w:shd w:val="clear" w:color="000000" w:fill="DCF2EE"/>
            <w:noWrap/>
            <w:vAlign w:val="center"/>
            <w:hideMark/>
          </w:tcPr>
          <w:p w14:paraId="31E992FF"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8.6%</w:t>
            </w:r>
          </w:p>
        </w:tc>
        <w:tc>
          <w:tcPr>
            <w:tcW w:w="444" w:type="pct"/>
            <w:gridSpan w:val="2"/>
            <w:tcBorders>
              <w:top w:val="nil"/>
              <w:bottom w:val="nil"/>
              <w:right w:val="nil"/>
            </w:tcBorders>
            <w:shd w:val="clear" w:color="auto" w:fill="auto"/>
            <w:noWrap/>
            <w:vAlign w:val="center"/>
            <w:hideMark/>
          </w:tcPr>
          <w:p w14:paraId="68B91E25"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21.7%</w:t>
            </w:r>
          </w:p>
        </w:tc>
        <w:tc>
          <w:tcPr>
            <w:tcW w:w="443" w:type="pct"/>
            <w:gridSpan w:val="2"/>
            <w:tcBorders>
              <w:top w:val="nil"/>
              <w:left w:val="nil"/>
              <w:bottom w:val="nil"/>
            </w:tcBorders>
            <w:shd w:val="clear" w:color="000000" w:fill="DCF2EE"/>
            <w:noWrap/>
            <w:vAlign w:val="center"/>
            <w:hideMark/>
          </w:tcPr>
          <w:p w14:paraId="20C665A8"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23.5%</w:t>
            </w:r>
          </w:p>
        </w:tc>
        <w:tc>
          <w:tcPr>
            <w:tcW w:w="443" w:type="pct"/>
            <w:tcBorders>
              <w:top w:val="nil"/>
              <w:bottom w:val="nil"/>
              <w:right w:val="nil"/>
            </w:tcBorders>
            <w:shd w:val="clear" w:color="auto" w:fill="auto"/>
            <w:noWrap/>
            <w:vAlign w:val="center"/>
            <w:hideMark/>
          </w:tcPr>
          <w:p w14:paraId="7636AD4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7.9%</w:t>
            </w:r>
          </w:p>
        </w:tc>
        <w:tc>
          <w:tcPr>
            <w:tcW w:w="443" w:type="pct"/>
            <w:gridSpan w:val="2"/>
            <w:tcBorders>
              <w:top w:val="nil"/>
              <w:left w:val="nil"/>
              <w:bottom w:val="nil"/>
            </w:tcBorders>
            <w:shd w:val="clear" w:color="auto" w:fill="DCF2EE" w:themeFill="accent5" w:themeFillTint="33"/>
            <w:noWrap/>
            <w:vAlign w:val="center"/>
            <w:hideMark/>
          </w:tcPr>
          <w:p w14:paraId="2AA369EC"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8.5%</w:t>
            </w:r>
          </w:p>
        </w:tc>
        <w:tc>
          <w:tcPr>
            <w:tcW w:w="443" w:type="pct"/>
            <w:gridSpan w:val="2"/>
            <w:tcBorders>
              <w:top w:val="nil"/>
              <w:bottom w:val="nil"/>
              <w:right w:val="nil"/>
            </w:tcBorders>
            <w:shd w:val="clear" w:color="auto" w:fill="auto"/>
            <w:noWrap/>
            <w:vAlign w:val="center"/>
            <w:hideMark/>
          </w:tcPr>
          <w:p w14:paraId="5A233B74"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9.2%</w:t>
            </w:r>
          </w:p>
        </w:tc>
        <w:tc>
          <w:tcPr>
            <w:tcW w:w="448" w:type="pct"/>
            <w:tcBorders>
              <w:top w:val="nil"/>
              <w:left w:val="nil"/>
              <w:bottom w:val="nil"/>
            </w:tcBorders>
            <w:shd w:val="clear" w:color="auto" w:fill="DCF2EE" w:themeFill="accent5" w:themeFillTint="33"/>
            <w:noWrap/>
            <w:vAlign w:val="center"/>
            <w:hideMark/>
          </w:tcPr>
          <w:p w14:paraId="14ACBE3D"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10.1%</w:t>
            </w:r>
          </w:p>
        </w:tc>
      </w:tr>
      <w:tr w:rsidR="0046665F" w:rsidRPr="006D2513" w14:paraId="2EA70BE8" w14:textId="77777777" w:rsidTr="00F32A89">
        <w:trPr>
          <w:trHeight w:val="279"/>
          <w:tblHeader/>
        </w:trPr>
        <w:tc>
          <w:tcPr>
            <w:tcW w:w="1448" w:type="pct"/>
            <w:shd w:val="clear" w:color="auto" w:fill="auto"/>
            <w:noWrap/>
            <w:vAlign w:val="center"/>
            <w:hideMark/>
          </w:tcPr>
          <w:p w14:paraId="389768D9" w14:textId="77777777" w:rsidR="0046665F" w:rsidRPr="006D2513" w:rsidRDefault="0046665F" w:rsidP="0046665F">
            <w:pPr>
              <w:spacing w:after="0" w:line="240" w:lineRule="auto"/>
              <w:rPr>
                <w:rFonts w:eastAsia="Times New Roman" w:cs="Arial"/>
                <w:color w:val="000000"/>
                <w:sz w:val="18"/>
                <w:szCs w:val="18"/>
                <w:lang w:eastAsia="en-AU"/>
              </w:rPr>
            </w:pPr>
            <w:r w:rsidRPr="1922062C">
              <w:rPr>
                <w:rFonts w:eastAsia="Times New Roman" w:cs="Arial"/>
                <w:color w:val="000000"/>
                <w:sz w:val="18"/>
                <w:szCs w:val="18"/>
              </w:rPr>
              <w:t xml:space="preserve">Consolidating gain 65+ years  </w:t>
            </w:r>
          </w:p>
        </w:tc>
        <w:tc>
          <w:tcPr>
            <w:tcW w:w="444" w:type="pct"/>
            <w:tcBorders>
              <w:top w:val="nil"/>
              <w:right w:val="nil"/>
            </w:tcBorders>
            <w:shd w:val="clear" w:color="auto" w:fill="auto"/>
            <w:noWrap/>
            <w:vAlign w:val="center"/>
            <w:hideMark/>
          </w:tcPr>
          <w:p w14:paraId="239E2E9E"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-0.5%</w:t>
            </w:r>
          </w:p>
        </w:tc>
        <w:tc>
          <w:tcPr>
            <w:tcW w:w="444" w:type="pct"/>
            <w:tcBorders>
              <w:top w:val="nil"/>
              <w:left w:val="nil"/>
            </w:tcBorders>
            <w:shd w:val="clear" w:color="000000" w:fill="DCF2EE"/>
            <w:noWrap/>
            <w:vAlign w:val="center"/>
            <w:hideMark/>
          </w:tcPr>
          <w:p w14:paraId="066F187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8.7%</w:t>
            </w:r>
          </w:p>
        </w:tc>
        <w:tc>
          <w:tcPr>
            <w:tcW w:w="444" w:type="pct"/>
            <w:gridSpan w:val="2"/>
            <w:tcBorders>
              <w:top w:val="nil"/>
              <w:right w:val="nil"/>
            </w:tcBorders>
            <w:shd w:val="clear" w:color="auto" w:fill="auto"/>
            <w:noWrap/>
            <w:vAlign w:val="center"/>
            <w:hideMark/>
          </w:tcPr>
          <w:p w14:paraId="6F09BE54"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20.4%</w:t>
            </w:r>
          </w:p>
        </w:tc>
        <w:tc>
          <w:tcPr>
            <w:tcW w:w="443" w:type="pct"/>
            <w:gridSpan w:val="2"/>
            <w:tcBorders>
              <w:top w:val="nil"/>
              <w:left w:val="nil"/>
            </w:tcBorders>
            <w:shd w:val="clear" w:color="000000" w:fill="DCF2EE"/>
            <w:noWrap/>
            <w:vAlign w:val="center"/>
            <w:hideMark/>
          </w:tcPr>
          <w:p w14:paraId="63D79273" w14:textId="77777777" w:rsidR="0046665F" w:rsidRPr="006D2513" w:rsidRDefault="0046665F" w:rsidP="0046665F">
            <w:pPr>
              <w:spacing w:after="0" w:line="240" w:lineRule="auto"/>
              <w:jc w:val="right"/>
              <w:rPr>
                <w:rFonts w:eastAsia="Times New Roman" w:cs="Arial"/>
                <w:color w:val="000000"/>
                <w:sz w:val="18"/>
                <w:szCs w:val="18"/>
                <w:lang w:eastAsia="en-AU"/>
              </w:rPr>
            </w:pPr>
            <w:r>
              <w:rPr>
                <w:rFonts w:cs="Arial"/>
                <w:color w:val="000000"/>
                <w:sz w:val="18"/>
                <w:szCs w:val="18"/>
              </w:rPr>
              <w:t>22.6%</w:t>
            </w:r>
          </w:p>
        </w:tc>
        <w:tc>
          <w:tcPr>
            <w:tcW w:w="443" w:type="pct"/>
            <w:tcBorders>
              <w:top w:val="nil"/>
              <w:right w:val="nil"/>
            </w:tcBorders>
            <w:shd w:val="clear" w:color="auto" w:fill="auto"/>
            <w:noWrap/>
            <w:vAlign w:val="center"/>
            <w:hideMark/>
          </w:tcPr>
          <w:p w14:paraId="601A4262"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5.7%</w:t>
            </w:r>
          </w:p>
        </w:tc>
        <w:tc>
          <w:tcPr>
            <w:tcW w:w="443" w:type="pct"/>
            <w:gridSpan w:val="2"/>
            <w:tcBorders>
              <w:top w:val="nil"/>
              <w:left w:val="nil"/>
            </w:tcBorders>
            <w:shd w:val="clear" w:color="auto" w:fill="DCF2EE" w:themeFill="accent5" w:themeFillTint="33"/>
            <w:noWrap/>
            <w:vAlign w:val="center"/>
            <w:hideMark/>
          </w:tcPr>
          <w:p w14:paraId="6A718610"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6.6%</w:t>
            </w:r>
          </w:p>
        </w:tc>
        <w:tc>
          <w:tcPr>
            <w:tcW w:w="443" w:type="pct"/>
            <w:gridSpan w:val="2"/>
            <w:tcBorders>
              <w:top w:val="nil"/>
              <w:right w:val="nil"/>
            </w:tcBorders>
            <w:shd w:val="clear" w:color="auto" w:fill="auto"/>
            <w:noWrap/>
            <w:vAlign w:val="center"/>
            <w:hideMark/>
          </w:tcPr>
          <w:p w14:paraId="2030F333"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6.1%</w:t>
            </w:r>
          </w:p>
        </w:tc>
        <w:tc>
          <w:tcPr>
            <w:tcW w:w="448" w:type="pct"/>
            <w:tcBorders>
              <w:top w:val="nil"/>
              <w:left w:val="nil"/>
            </w:tcBorders>
            <w:shd w:val="clear" w:color="auto" w:fill="DCF2EE" w:themeFill="accent5" w:themeFillTint="33"/>
            <w:noWrap/>
            <w:vAlign w:val="center"/>
            <w:hideMark/>
          </w:tcPr>
          <w:p w14:paraId="10EEA7C6" w14:textId="77777777" w:rsidR="0046665F" w:rsidRPr="006D2513" w:rsidRDefault="0046665F" w:rsidP="0046665F">
            <w:pPr>
              <w:spacing w:after="0" w:line="240" w:lineRule="auto"/>
              <w:jc w:val="right"/>
              <w:rPr>
                <w:rFonts w:eastAsia="Times New Roman" w:cs="Arial"/>
                <w:color w:val="000000"/>
                <w:sz w:val="18"/>
                <w:szCs w:val="18"/>
                <w:lang w:eastAsia="en-AU"/>
              </w:rPr>
            </w:pPr>
            <w:r w:rsidRPr="1922062C">
              <w:rPr>
                <w:rFonts w:eastAsia="Times New Roman" w:cs="Arial"/>
                <w:color w:val="000000"/>
                <w:sz w:val="18"/>
                <w:szCs w:val="18"/>
              </w:rPr>
              <w:t>7.3%</w:t>
            </w:r>
          </w:p>
        </w:tc>
      </w:tr>
    </w:tbl>
    <w:p w14:paraId="177128C0" w14:textId="77777777" w:rsidR="008F2775" w:rsidRDefault="008F2775" w:rsidP="00416582">
      <w:pPr>
        <w:sectPr w:rsidR="008F2775" w:rsidSect="00BA6C6A">
          <w:pgSz w:w="11906" w:h="16838" w:code="9"/>
          <w:pgMar w:top="1440" w:right="1077" w:bottom="1440" w:left="1077" w:header="709" w:footer="709" w:gutter="0"/>
          <w:cols w:space="720"/>
          <w:docGrid w:linePitch="360"/>
        </w:sectPr>
      </w:pPr>
    </w:p>
    <w:p w14:paraId="70D1B456" w14:textId="77777777" w:rsidR="00502A09" w:rsidRDefault="00502A09" w:rsidP="00502A09">
      <w:pPr>
        <w:spacing w:after="360"/>
        <w:rPr>
          <w:color w:val="FFFFFF" w:themeColor="background2"/>
        </w:rPr>
      </w:pPr>
      <w:r>
        <w:rPr>
          <w:noProof/>
        </w:rPr>
        <w:lastRenderedPageBreak/>
        <w:drawing>
          <wp:inline distT="0" distB="0" distL="0" distR="0" wp14:anchorId="1B889885" wp14:editId="494BED3A">
            <wp:extent cx="1764880" cy="396484"/>
            <wp:effectExtent l="0" t="0" r="6985" b="3810"/>
            <wp:docPr id="108" name="Graph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764880" cy="396484"/>
                    </a:xfrm>
                    <a:prstGeom prst="rect">
                      <a:avLst/>
                    </a:prstGeom>
                  </pic:spPr>
                </pic:pic>
              </a:graphicData>
            </a:graphic>
          </wp:inline>
        </w:drawing>
      </w:r>
    </w:p>
    <w:p w14:paraId="38002CD9" w14:textId="77777777" w:rsidR="00502A09" w:rsidRPr="00502A09" w:rsidRDefault="00502A09" w:rsidP="00502A09">
      <w:pPr>
        <w:spacing w:after="360"/>
      </w:pPr>
      <w:r w:rsidRPr="00502A09">
        <w:t>Independent Health and Aged Care Pricing Authority</w:t>
      </w:r>
    </w:p>
    <w:p w14:paraId="79C53FFE" w14:textId="0C39D363" w:rsidR="00502A09" w:rsidRPr="00502A09" w:rsidRDefault="00335758" w:rsidP="00502A09">
      <w:pPr>
        <w:spacing w:after="360"/>
        <w:rPr>
          <w:color w:val="104F99" w:themeColor="accent2"/>
        </w:rPr>
      </w:pPr>
      <w:r w:rsidRPr="1922062C">
        <w:rPr>
          <w:color w:val="104F99" w:themeColor="accent2"/>
        </w:rPr>
        <w:t xml:space="preserve">Eora Nation, </w:t>
      </w:r>
      <w:r w:rsidR="00502A09" w:rsidRPr="1922062C">
        <w:rPr>
          <w:color w:val="104F99" w:themeColor="accent2"/>
        </w:rPr>
        <w:t xml:space="preserve">Level </w:t>
      </w:r>
      <w:r w:rsidR="00B64398" w:rsidRPr="1922062C">
        <w:rPr>
          <w:color w:val="104F99" w:themeColor="accent2"/>
        </w:rPr>
        <w:t>12</w:t>
      </w:r>
      <w:r w:rsidR="00502A09" w:rsidRPr="1922062C">
        <w:rPr>
          <w:color w:val="104F99" w:themeColor="accent2"/>
        </w:rPr>
        <w:t>, 1 Oxford Street</w:t>
      </w:r>
      <w:r>
        <w:br/>
      </w:r>
      <w:r w:rsidR="00502A09" w:rsidRPr="1922062C">
        <w:rPr>
          <w:color w:val="104F99" w:themeColor="accent2"/>
        </w:rPr>
        <w:t>Sydney NSW 2000</w:t>
      </w:r>
    </w:p>
    <w:p w14:paraId="1F34F833" w14:textId="703FC959" w:rsidR="00502A09" w:rsidRPr="00502A09" w:rsidRDefault="00502A09" w:rsidP="00502A09">
      <w:pPr>
        <w:spacing w:after="360"/>
      </w:pPr>
      <w:r>
        <w:t xml:space="preserve">Phone </w:t>
      </w:r>
      <w:r w:rsidRPr="1922062C">
        <w:rPr>
          <w:color w:val="104F99" w:themeColor="accent2"/>
        </w:rPr>
        <w:t>02 8215 1100</w:t>
      </w:r>
      <w:r>
        <w:br/>
        <w:t xml:space="preserve">Email </w:t>
      </w:r>
      <w:hyperlink r:id="rId42">
        <w:r w:rsidR="00DF2CB4" w:rsidRPr="1922062C">
          <w:rPr>
            <w:rStyle w:val="Hyperlink"/>
          </w:rPr>
          <w:t>enquiries.ihacpa@ihacpa.gov.au</w:t>
        </w:r>
      </w:hyperlink>
      <w:r w:rsidR="001F0267" w:rsidDel="001F0267">
        <w:t xml:space="preserve"> </w:t>
      </w:r>
    </w:p>
    <w:p w14:paraId="4E2278FE" w14:textId="4C9E88A1" w:rsidR="00502A09" w:rsidRPr="00502A09" w:rsidRDefault="00000000" w:rsidP="00502A09">
      <w:pPr>
        <w:spacing w:after="360"/>
        <w:rPr>
          <w:color w:val="104F99" w:themeColor="accent2"/>
        </w:rPr>
      </w:pPr>
      <w:hyperlink r:id="rId43">
        <w:r w:rsidR="00502A09" w:rsidRPr="1922062C">
          <w:rPr>
            <w:rStyle w:val="Hyperlink"/>
          </w:rPr>
          <w:t>www.ih</w:t>
        </w:r>
        <w:r w:rsidR="00B64398" w:rsidRPr="1922062C">
          <w:rPr>
            <w:rStyle w:val="Hyperlink"/>
          </w:rPr>
          <w:t>ac</w:t>
        </w:r>
        <w:r w:rsidR="00502A09" w:rsidRPr="1922062C">
          <w:rPr>
            <w:rStyle w:val="Hyperlink"/>
          </w:rPr>
          <w:t>pa.gov.au</w:t>
        </w:r>
      </w:hyperlink>
    </w:p>
    <w:p w14:paraId="55FBC7ED" w14:textId="77777777" w:rsidR="00502A09" w:rsidRPr="00502A09" w:rsidRDefault="00502A09" w:rsidP="00F95700">
      <w:pPr>
        <w:spacing w:after="360"/>
        <w:rPr>
          <w:color w:val="104F99" w:themeColor="accent2"/>
        </w:rPr>
      </w:pPr>
    </w:p>
    <w:sectPr w:rsidR="00502A09" w:rsidRPr="00502A09" w:rsidSect="00383C9C">
      <w:headerReference w:type="even" r:id="rId44"/>
      <w:headerReference w:type="default" r:id="rId45"/>
      <w:footerReference w:type="default" r:id="rId46"/>
      <w:headerReference w:type="first" r:id="rId47"/>
      <w:pgSz w:w="11906" w:h="16838" w:code="9"/>
      <w:pgMar w:top="1440" w:right="1077" w:bottom="1440"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5997" w14:textId="77777777" w:rsidR="006B7D6C" w:rsidRDefault="006B7D6C" w:rsidP="00DC0458">
      <w:pPr>
        <w:spacing w:after="0" w:line="240" w:lineRule="auto"/>
      </w:pPr>
      <w:r>
        <w:separator/>
      </w:r>
    </w:p>
  </w:endnote>
  <w:endnote w:type="continuationSeparator" w:id="0">
    <w:p w14:paraId="5570938A" w14:textId="77777777" w:rsidR="006B7D6C" w:rsidRDefault="006B7D6C" w:rsidP="00DC0458">
      <w:pPr>
        <w:spacing w:after="0" w:line="240" w:lineRule="auto"/>
      </w:pPr>
      <w:r>
        <w:continuationSeparator/>
      </w:r>
    </w:p>
  </w:endnote>
  <w:endnote w:type="continuationNotice" w:id="1">
    <w:p w14:paraId="4EBC3EFC" w14:textId="77777777" w:rsidR="006B7D6C" w:rsidRDefault="006B7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regular">
    <w:altName w:val="Cambria"/>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panose1 w:val="00000000000000000000"/>
    <w:charset w:val="00"/>
    <w:family w:val="auto"/>
    <w:pitch w:val="variable"/>
    <w:sig w:usb0="A00000FF" w:usb1="4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2875" w14:textId="2AD6F7CD" w:rsidR="00D60A37" w:rsidRDefault="00D60A37">
    <w:pPr>
      <w:pStyle w:val="Footer"/>
    </w:pPr>
    <w:r>
      <w:rPr>
        <w:noProof/>
      </w:rPr>
      <w:drawing>
        <wp:anchor distT="0" distB="0" distL="114300" distR="114300" simplePos="0" relativeHeight="251658240" behindDoc="0" locked="0" layoutInCell="1" allowOverlap="1" wp14:anchorId="2C1AC86A" wp14:editId="29429BF5">
          <wp:simplePos x="0" y="0"/>
          <wp:positionH relativeFrom="column">
            <wp:posOffset>5139706</wp:posOffset>
          </wp:positionH>
          <wp:positionV relativeFrom="paragraph">
            <wp:posOffset>-407035</wp:posOffset>
          </wp:positionV>
          <wp:extent cx="1137783" cy="712585"/>
          <wp:effectExtent l="0" t="0" r="5715" b="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37783" cy="712585"/>
                  </a:xfrm>
                  <a:prstGeom prst="rect">
                    <a:avLst/>
                  </a:prstGeom>
                </pic:spPr>
              </pic:pic>
            </a:graphicData>
          </a:graphic>
          <wp14:sizeRelH relativeFrom="margin">
            <wp14:pctWidth>0</wp14:pctWidth>
          </wp14:sizeRelH>
          <wp14:sizeRelV relativeFrom="margin">
            <wp14:pctHeight>0</wp14:pctHeight>
          </wp14:sizeRelV>
        </wp:anchor>
      </w:drawing>
    </w:r>
    <w:r w:rsidR="009D44F2" w:rsidRPr="00D60A37" w:rsidDel="009D44F2">
      <w:rPr>
        <w:color w:val="FFFFFF" w:themeColor="background2"/>
      </w:rPr>
      <w:t xml:space="preserve"> </w:t>
    </w:r>
    <w:r w:rsidR="00B64398">
      <w:rPr>
        <w:color w:val="FFFFFF" w:themeColor="background2"/>
      </w:rPr>
      <w:br/>
    </w:r>
    <w:r w:rsidR="00EB3ED8">
      <w:rPr>
        <w:color w:val="FFFFFF" w:themeColor="background2"/>
      </w:rPr>
      <w:t xml:space="preserve">December </w:t>
    </w:r>
    <w:r w:rsidR="00BD3525">
      <w:rPr>
        <w:color w:val="FFFFFF" w:themeColor="background2"/>
      </w:rPr>
      <w:t>2023</w:t>
    </w:r>
    <w:r w:rsidR="1922062C">
      <w:t xml:space="preserve"> and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B2F7" w14:textId="73C50805" w:rsidR="001F2735" w:rsidRDefault="1922062C" w:rsidP="00E24D0E">
    <w:pPr>
      <w:pStyle w:val="Footer"/>
      <w:tabs>
        <w:tab w:val="clear" w:pos="4680"/>
        <w:tab w:val="clear" w:pos="9360"/>
        <w:tab w:val="center" w:pos="9498"/>
        <w:tab w:val="right" w:pos="9746"/>
      </w:tabs>
    </w:pPr>
    <w:r w:rsidRPr="1922062C">
      <w:rPr>
        <w:b/>
        <w:bCs/>
      </w:rPr>
      <w:t>IHACPA</w:t>
    </w:r>
    <w:r>
      <w:t xml:space="preserve"> Australian Mental Health Care Classification Version 1.1 </w:t>
    </w:r>
    <w:r w:rsidR="00BD3525">
      <w:t>– Final Report</w:t>
    </w:r>
    <w:r w:rsidR="00891A02">
      <w:tab/>
    </w:r>
    <w:r w:rsidR="00891A02">
      <w:tab/>
    </w:r>
    <w:r w:rsidR="001F2735">
      <w:fldChar w:fldCharType="begin"/>
    </w:r>
    <w:r w:rsidR="001F2735">
      <w:instrText xml:space="preserve"> PAGE   \* MERGEFORMAT </w:instrText>
    </w:r>
    <w:r w:rsidR="001F2735">
      <w:fldChar w:fldCharType="separate"/>
    </w:r>
    <w:r>
      <w:t>1</w:t>
    </w:r>
    <w:r w:rsidR="001F273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8E6" w14:textId="13ED37F6" w:rsidR="00B02FA5" w:rsidRDefault="00023508" w:rsidP="00F45F2F">
    <w:pPr>
      <w:pStyle w:val="Footer"/>
    </w:pPr>
    <w:r w:rsidRPr="1922062C">
      <w:rPr>
        <w:b/>
        <w:bCs/>
      </w:rPr>
      <w:t>IHACPA</w:t>
    </w:r>
    <w:r>
      <w:t xml:space="preserve"> Australian Mental Health Care Classification Version 1.1 – Final Report</w:t>
    </w:r>
    <w:r>
      <w:tab/>
    </w: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5F41" w14:textId="2CFABC22" w:rsidR="000C0B8E" w:rsidRDefault="000C0B8E">
    <w:pPr>
      <w:pStyle w:val="Footer"/>
    </w:pPr>
  </w:p>
  <w:p w14:paraId="1AB90CA7" w14:textId="482713BF" w:rsidR="000C0B8E" w:rsidRDefault="000C0B8E" w:rsidP="00E24D0E">
    <w:pPr>
      <w:pStyle w:val="Footer"/>
      <w:tabs>
        <w:tab w:val="clear" w:pos="4680"/>
        <w:tab w:val="clear" w:pos="9360"/>
        <w:tab w:val="center" w:pos="9498"/>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08C5" w14:textId="77777777" w:rsidR="006B7D6C" w:rsidRDefault="006B7D6C" w:rsidP="00DC0458">
      <w:pPr>
        <w:spacing w:after="0" w:line="240" w:lineRule="auto"/>
      </w:pPr>
      <w:r>
        <w:separator/>
      </w:r>
    </w:p>
  </w:footnote>
  <w:footnote w:type="continuationSeparator" w:id="0">
    <w:p w14:paraId="7F5095FF" w14:textId="77777777" w:rsidR="006B7D6C" w:rsidRDefault="006B7D6C" w:rsidP="00DC0458">
      <w:pPr>
        <w:spacing w:after="0" w:line="240" w:lineRule="auto"/>
      </w:pPr>
      <w:r>
        <w:continuationSeparator/>
      </w:r>
    </w:p>
  </w:footnote>
  <w:footnote w:type="continuationNotice" w:id="1">
    <w:p w14:paraId="381CCD51" w14:textId="77777777" w:rsidR="006B7D6C" w:rsidRDefault="006B7D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DF25" w14:textId="51859786" w:rsidR="00D60A37" w:rsidRDefault="00D60A37">
    <w:pPr>
      <w:pStyle w:val="Header"/>
    </w:pPr>
    <w:r>
      <w:rPr>
        <w:noProof/>
      </w:rPr>
      <w:drawing>
        <wp:anchor distT="0" distB="0" distL="114300" distR="114300" simplePos="0" relativeHeight="251657216" behindDoc="1" locked="0" layoutInCell="1" allowOverlap="1" wp14:anchorId="1FC952EE" wp14:editId="4C2802E5">
          <wp:simplePos x="0" y="0"/>
          <wp:positionH relativeFrom="page">
            <wp:align>left</wp:align>
          </wp:positionH>
          <wp:positionV relativeFrom="paragraph">
            <wp:posOffset>-447422</wp:posOffset>
          </wp:positionV>
          <wp:extent cx="7573925" cy="10707858"/>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078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AC0B" w14:textId="269E4FE9" w:rsidR="00F03AD8" w:rsidRDefault="00F03A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0904" w14:textId="77777777" w:rsidR="005528E0" w:rsidRDefault="005528E0" w:rsidP="002F1206">
    <w:pPr>
      <w:pStyle w:val="Header"/>
    </w:pPr>
  </w:p>
  <w:p w14:paraId="4ABCF9AB" w14:textId="4EC2E96A" w:rsidR="000858FA" w:rsidRDefault="000858FA" w:rsidP="002F1206">
    <w:pPr>
      <w:pStyle w:val="Header"/>
    </w:pPr>
  </w:p>
  <w:p w14:paraId="6A6E92D4" w14:textId="156F2C0C" w:rsidR="005528E0" w:rsidRDefault="005528E0">
    <w:pPr>
      <w:pStyle w:val="Header"/>
    </w:pPr>
  </w:p>
  <w:p w14:paraId="6426841C" w14:textId="7F6FB600" w:rsidR="005528E0" w:rsidRDefault="005528E0">
    <w:pPr>
      <w:pStyle w:val="Header"/>
    </w:pPr>
  </w:p>
  <w:p w14:paraId="553FF0B2" w14:textId="78BF228B" w:rsidR="005528E0" w:rsidRDefault="005528E0">
    <w:pPr>
      <w:pStyle w:val="Header"/>
    </w:pPr>
  </w:p>
  <w:p w14:paraId="0DDF5535" w14:textId="265716F4" w:rsidR="005528E0" w:rsidRDefault="005528E0">
    <w:pPr>
      <w:pStyle w:val="Header"/>
    </w:pPr>
  </w:p>
  <w:p w14:paraId="31383E55" w14:textId="761862C8" w:rsidR="005528E0" w:rsidRDefault="005528E0">
    <w:pPr>
      <w:pStyle w:val="Header"/>
    </w:pPr>
  </w:p>
  <w:p w14:paraId="2CDA4E30" w14:textId="20929230" w:rsidR="005528E0" w:rsidRDefault="005528E0">
    <w:pPr>
      <w:pStyle w:val="Header"/>
    </w:pPr>
  </w:p>
  <w:p w14:paraId="004F2ED9" w14:textId="31FEF4E9" w:rsidR="005528E0" w:rsidRDefault="005528E0">
    <w:pPr>
      <w:pStyle w:val="Header"/>
    </w:pPr>
  </w:p>
  <w:p w14:paraId="35DA5FAB" w14:textId="1D064E56" w:rsidR="005528E0" w:rsidRDefault="005528E0">
    <w:pPr>
      <w:pStyle w:val="Header"/>
    </w:pPr>
  </w:p>
  <w:p w14:paraId="0C7D604A" w14:textId="15F7FBDB" w:rsidR="005528E0" w:rsidRDefault="005528E0">
    <w:pPr>
      <w:pStyle w:val="Header"/>
    </w:pPr>
  </w:p>
  <w:p w14:paraId="789E2201" w14:textId="6585C664" w:rsidR="005528E0" w:rsidRDefault="005528E0">
    <w:pPr>
      <w:pStyle w:val="Header"/>
    </w:pPr>
  </w:p>
  <w:p w14:paraId="343787C5" w14:textId="5818CF41" w:rsidR="005528E0" w:rsidRDefault="005528E0">
    <w:pPr>
      <w:pStyle w:val="Header"/>
    </w:pPr>
  </w:p>
  <w:p w14:paraId="76DCB79F" w14:textId="4AD3E427" w:rsidR="005528E0" w:rsidRDefault="005528E0">
    <w:pPr>
      <w:pStyle w:val="Header"/>
    </w:pPr>
  </w:p>
  <w:p w14:paraId="3A7CB73F" w14:textId="3DE48974" w:rsidR="005528E0" w:rsidRDefault="005528E0">
    <w:pPr>
      <w:pStyle w:val="Header"/>
    </w:pPr>
  </w:p>
  <w:p w14:paraId="45D789B0" w14:textId="010B1D10" w:rsidR="005528E0" w:rsidRDefault="005528E0">
    <w:pPr>
      <w:pStyle w:val="Header"/>
    </w:pPr>
  </w:p>
  <w:p w14:paraId="76D2DA63" w14:textId="4DE740EE" w:rsidR="005528E0" w:rsidRDefault="005528E0">
    <w:pPr>
      <w:pStyle w:val="Header"/>
    </w:pPr>
  </w:p>
  <w:p w14:paraId="3056C3AF" w14:textId="1AF84177" w:rsidR="005528E0" w:rsidRDefault="005528E0">
    <w:pPr>
      <w:pStyle w:val="Header"/>
    </w:pPr>
  </w:p>
  <w:p w14:paraId="40908036" w14:textId="40F43285" w:rsidR="005528E0" w:rsidRDefault="005528E0">
    <w:pPr>
      <w:pStyle w:val="Header"/>
    </w:pPr>
  </w:p>
  <w:p w14:paraId="6CE1CDC5" w14:textId="7342EC4F" w:rsidR="005528E0" w:rsidRDefault="005528E0">
    <w:pPr>
      <w:pStyle w:val="Header"/>
    </w:pPr>
  </w:p>
  <w:p w14:paraId="6AECF79F" w14:textId="6970844A" w:rsidR="005528E0" w:rsidRDefault="005528E0">
    <w:pPr>
      <w:pStyle w:val="Header"/>
    </w:pPr>
  </w:p>
  <w:p w14:paraId="1A0BFC6B" w14:textId="1C8FF2D0" w:rsidR="005528E0" w:rsidRDefault="005528E0">
    <w:pPr>
      <w:pStyle w:val="Header"/>
    </w:pPr>
  </w:p>
  <w:p w14:paraId="0CEF4194" w14:textId="5962C690" w:rsidR="005528E0" w:rsidRDefault="005528E0">
    <w:pPr>
      <w:pStyle w:val="Header"/>
    </w:pPr>
  </w:p>
  <w:p w14:paraId="706EA621" w14:textId="3D687A93" w:rsidR="005528E0" w:rsidRDefault="005528E0">
    <w:pPr>
      <w:pStyle w:val="Header"/>
    </w:pPr>
  </w:p>
  <w:p w14:paraId="6A191EF6" w14:textId="6C332155" w:rsidR="005528E0" w:rsidRDefault="005528E0">
    <w:pPr>
      <w:pStyle w:val="Header"/>
    </w:pPr>
  </w:p>
  <w:p w14:paraId="189CE6E3" w14:textId="0092A21C" w:rsidR="005528E0" w:rsidRDefault="005528E0">
    <w:pPr>
      <w:pStyle w:val="Header"/>
    </w:pPr>
  </w:p>
  <w:p w14:paraId="5E7B83AE" w14:textId="1461B2C3" w:rsidR="005528E0" w:rsidRDefault="005528E0">
    <w:pPr>
      <w:pStyle w:val="Header"/>
    </w:pPr>
  </w:p>
  <w:p w14:paraId="73BEB09C" w14:textId="0313AB3A" w:rsidR="005528E0" w:rsidRDefault="005528E0">
    <w:pPr>
      <w:pStyle w:val="Header"/>
    </w:pPr>
  </w:p>
  <w:p w14:paraId="5BA3D1AE" w14:textId="77777777" w:rsidR="005528E0" w:rsidRDefault="005528E0" w:rsidP="002F1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F252" w14:textId="0D12D5BC" w:rsidR="00F03AD8" w:rsidRDefault="00F03A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691C" w14:textId="77777777" w:rsidR="005528E0" w:rsidRDefault="005528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04BC" w14:textId="7F48786C" w:rsidR="00F03AD8" w:rsidRDefault="00F03A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1A40CAE3" w:rsidR="00502A09" w:rsidRDefault="00502A09">
    <w:pPr>
      <w:pStyle w:val="Header"/>
    </w:pPr>
    <w:r>
      <w:rPr>
        <w:noProof/>
      </w:rPr>
      <w:drawing>
        <wp:anchor distT="0" distB="0" distL="114300" distR="114300" simplePos="0" relativeHeight="251656192"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9799" w14:textId="33312440" w:rsidR="00F03AD8" w:rsidRDefault="00F03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A15"/>
    <w:multiLevelType w:val="hybridMultilevel"/>
    <w:tmpl w:val="CA5CA7E4"/>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976EF5"/>
    <w:multiLevelType w:val="multilevel"/>
    <w:tmpl w:val="F104ADE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4A440FF"/>
    <w:multiLevelType w:val="hybridMultilevel"/>
    <w:tmpl w:val="9FF8900A"/>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0014D"/>
    <w:multiLevelType w:val="hybridMultilevel"/>
    <w:tmpl w:val="39F612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824B8C"/>
    <w:multiLevelType w:val="hybridMultilevel"/>
    <w:tmpl w:val="D6BEC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8D4185"/>
    <w:multiLevelType w:val="hybridMultilevel"/>
    <w:tmpl w:val="E0A4723C"/>
    <w:lvl w:ilvl="0" w:tplc="04081FE4">
      <w:start w:val="1"/>
      <w:numFmt w:val="decimal"/>
      <w:lvlText w:val="%1."/>
      <w:lvlJc w:val="left"/>
      <w:pPr>
        <w:ind w:left="720" w:hanging="360"/>
      </w:pPr>
    </w:lvl>
    <w:lvl w:ilvl="1" w:tplc="B116047C">
      <w:start w:val="1"/>
      <w:numFmt w:val="lowerLetter"/>
      <w:lvlText w:val="%2."/>
      <w:lvlJc w:val="left"/>
      <w:pPr>
        <w:ind w:left="1440" w:hanging="360"/>
      </w:pPr>
    </w:lvl>
    <w:lvl w:ilvl="2" w:tplc="72F81688">
      <w:start w:val="1"/>
      <w:numFmt w:val="lowerRoman"/>
      <w:lvlText w:val="%3."/>
      <w:lvlJc w:val="right"/>
      <w:pPr>
        <w:ind w:left="2160" w:hanging="180"/>
      </w:pPr>
    </w:lvl>
    <w:lvl w:ilvl="3" w:tplc="E1BC6F00">
      <w:start w:val="1"/>
      <w:numFmt w:val="decimal"/>
      <w:lvlText w:val="%4."/>
      <w:lvlJc w:val="left"/>
      <w:pPr>
        <w:ind w:left="2880" w:hanging="360"/>
      </w:pPr>
    </w:lvl>
    <w:lvl w:ilvl="4" w:tplc="EBBC4F92">
      <w:start w:val="1"/>
      <w:numFmt w:val="lowerLetter"/>
      <w:lvlText w:val="%5."/>
      <w:lvlJc w:val="left"/>
      <w:pPr>
        <w:ind w:left="3600" w:hanging="360"/>
      </w:pPr>
    </w:lvl>
    <w:lvl w:ilvl="5" w:tplc="2804A17E">
      <w:start w:val="1"/>
      <w:numFmt w:val="lowerRoman"/>
      <w:lvlText w:val="%6."/>
      <w:lvlJc w:val="right"/>
      <w:pPr>
        <w:ind w:left="4320" w:hanging="180"/>
      </w:pPr>
    </w:lvl>
    <w:lvl w:ilvl="6" w:tplc="FF7E091A">
      <w:start w:val="1"/>
      <w:numFmt w:val="decimal"/>
      <w:lvlText w:val="%7."/>
      <w:lvlJc w:val="left"/>
      <w:pPr>
        <w:ind w:left="5040" w:hanging="360"/>
      </w:pPr>
    </w:lvl>
    <w:lvl w:ilvl="7" w:tplc="A90A64D6">
      <w:start w:val="1"/>
      <w:numFmt w:val="lowerLetter"/>
      <w:lvlText w:val="%8."/>
      <w:lvlJc w:val="left"/>
      <w:pPr>
        <w:ind w:left="5760" w:hanging="360"/>
      </w:pPr>
    </w:lvl>
    <w:lvl w:ilvl="8" w:tplc="E398C57E">
      <w:start w:val="1"/>
      <w:numFmt w:val="lowerRoman"/>
      <w:lvlText w:val="%9."/>
      <w:lvlJc w:val="right"/>
      <w:pPr>
        <w:ind w:left="6480" w:hanging="180"/>
      </w:pPr>
    </w:lvl>
  </w:abstractNum>
  <w:abstractNum w:abstractNumId="6" w15:restartNumberingAfterBreak="0">
    <w:nsid w:val="219F14AA"/>
    <w:multiLevelType w:val="hybridMultilevel"/>
    <w:tmpl w:val="611AC0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D95286"/>
    <w:multiLevelType w:val="hybridMultilevel"/>
    <w:tmpl w:val="0E088C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0C63EE"/>
    <w:multiLevelType w:val="hybridMultilevel"/>
    <w:tmpl w:val="611AC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DA4396"/>
    <w:multiLevelType w:val="multilevel"/>
    <w:tmpl w:val="FC2CF076"/>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29125FDF"/>
    <w:multiLevelType w:val="hybridMultilevel"/>
    <w:tmpl w:val="5C4E88A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F70311"/>
    <w:multiLevelType w:val="hybridMultilevel"/>
    <w:tmpl w:val="B1F80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7757F6"/>
    <w:multiLevelType w:val="hybridMultilevel"/>
    <w:tmpl w:val="C2FA7EB0"/>
    <w:lvl w:ilvl="0" w:tplc="17160DF8">
      <w:start w:val="1"/>
      <w:numFmt w:val="decimal"/>
      <w:lvlText w:val="%1."/>
      <w:lvlJc w:val="left"/>
      <w:pPr>
        <w:ind w:left="720" w:hanging="360"/>
      </w:pPr>
      <w:rPr>
        <w:rFonts w:ascii="Arial" w:hAnsi="Arial" w:cs="Arial" w:hint="default"/>
        <w:i w:val="0"/>
        <w:iCs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84B25"/>
    <w:multiLevelType w:val="multilevel"/>
    <w:tmpl w:val="FC2CF076"/>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3C670744"/>
    <w:multiLevelType w:val="multilevel"/>
    <w:tmpl w:val="FC2CF076"/>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3FBA0A52"/>
    <w:multiLevelType w:val="hybridMultilevel"/>
    <w:tmpl w:val="B088BE3A"/>
    <w:lvl w:ilvl="0" w:tplc="4B7E8416">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A86360"/>
    <w:multiLevelType w:val="hybridMultilevel"/>
    <w:tmpl w:val="342E148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397ACE"/>
    <w:multiLevelType w:val="hybridMultilevel"/>
    <w:tmpl w:val="F0404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57274262"/>
    <w:multiLevelType w:val="multilevel"/>
    <w:tmpl w:val="FC2CF076"/>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5FF91E3B"/>
    <w:multiLevelType w:val="hybridMultilevel"/>
    <w:tmpl w:val="D7F21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0C7BB9"/>
    <w:multiLevelType w:val="hybridMultilevel"/>
    <w:tmpl w:val="0732498E"/>
    <w:lvl w:ilvl="0" w:tplc="66901B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BC450B"/>
    <w:multiLevelType w:val="hybridMultilevel"/>
    <w:tmpl w:val="37144B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6852D2"/>
    <w:multiLevelType w:val="hybridMultilevel"/>
    <w:tmpl w:val="132CF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D1F34"/>
    <w:multiLevelType w:val="hybridMultilevel"/>
    <w:tmpl w:val="4CFE3EB0"/>
    <w:lvl w:ilvl="0" w:tplc="9296140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4F7016"/>
    <w:multiLevelType w:val="hybridMultilevel"/>
    <w:tmpl w:val="4F24A2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597A55"/>
    <w:multiLevelType w:val="hybridMultilevel"/>
    <w:tmpl w:val="D474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43242"/>
    <w:multiLevelType w:val="hybridMultilevel"/>
    <w:tmpl w:val="74B2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7E52B9"/>
    <w:multiLevelType w:val="hybridMultilevel"/>
    <w:tmpl w:val="8B165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2237971"/>
    <w:multiLevelType w:val="hybridMultilevel"/>
    <w:tmpl w:val="0574872A"/>
    <w:lvl w:ilvl="0" w:tplc="CE4A91A6">
      <w:start w:val="1"/>
      <w:numFmt w:val="bullet"/>
      <w:pStyle w:val="Listlevel10"/>
      <w:lvlText w:val=""/>
      <w:lvlJc w:val="left"/>
      <w:pPr>
        <w:ind w:left="766"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3782474"/>
    <w:multiLevelType w:val="multilevel"/>
    <w:tmpl w:val="50E2816C"/>
    <w:lvl w:ilvl="0">
      <w:start w:val="1"/>
      <w:numFmt w:val="decimal"/>
      <w:lvlText w:val="%1."/>
      <w:lvlJc w:val="left"/>
      <w:pPr>
        <w:ind w:left="1155" w:hanging="7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74384A2C"/>
    <w:multiLevelType w:val="hybridMultilevel"/>
    <w:tmpl w:val="9A4CD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A77C03"/>
    <w:multiLevelType w:val="hybridMultilevel"/>
    <w:tmpl w:val="97F89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5E49C1"/>
    <w:multiLevelType w:val="hybridMultilevel"/>
    <w:tmpl w:val="707E07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632865"/>
    <w:multiLevelType w:val="hybridMultilevel"/>
    <w:tmpl w:val="FE860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8994118">
    <w:abstractNumId w:val="5"/>
  </w:num>
  <w:num w:numId="2" w16cid:durableId="753432105">
    <w:abstractNumId w:val="18"/>
  </w:num>
  <w:num w:numId="3" w16cid:durableId="840002540">
    <w:abstractNumId w:val="0"/>
  </w:num>
  <w:num w:numId="4" w16cid:durableId="469788249">
    <w:abstractNumId w:val="28"/>
  </w:num>
  <w:num w:numId="5" w16cid:durableId="1166167357">
    <w:abstractNumId w:val="14"/>
  </w:num>
  <w:num w:numId="6" w16cid:durableId="593905451">
    <w:abstractNumId w:val="2"/>
  </w:num>
  <w:num w:numId="7" w16cid:durableId="2063021440">
    <w:abstractNumId w:val="29"/>
  </w:num>
  <w:num w:numId="8" w16cid:durableId="1787112365">
    <w:abstractNumId w:val="17"/>
  </w:num>
  <w:num w:numId="9" w16cid:durableId="1364402847">
    <w:abstractNumId w:val="26"/>
  </w:num>
  <w:num w:numId="10" w16cid:durableId="608700366">
    <w:abstractNumId w:val="27"/>
  </w:num>
  <w:num w:numId="11" w16cid:durableId="1622229042">
    <w:abstractNumId w:val="16"/>
  </w:num>
  <w:num w:numId="12" w16cid:durableId="1253391530">
    <w:abstractNumId w:val="33"/>
  </w:num>
  <w:num w:numId="13" w16cid:durableId="604847841">
    <w:abstractNumId w:val="3"/>
  </w:num>
  <w:num w:numId="14" w16cid:durableId="1363244904">
    <w:abstractNumId w:val="8"/>
  </w:num>
  <w:num w:numId="15" w16cid:durableId="770199407">
    <w:abstractNumId w:val="10"/>
  </w:num>
  <w:num w:numId="16" w16cid:durableId="1361857067">
    <w:abstractNumId w:val="4"/>
  </w:num>
  <w:num w:numId="17" w16cid:durableId="1423256720">
    <w:abstractNumId w:val="7"/>
  </w:num>
  <w:num w:numId="18" w16cid:durableId="578368217">
    <w:abstractNumId w:val="34"/>
  </w:num>
  <w:num w:numId="19" w16cid:durableId="2053649795">
    <w:abstractNumId w:val="24"/>
  </w:num>
  <w:num w:numId="20" w16cid:durableId="1852639698">
    <w:abstractNumId w:val="19"/>
  </w:num>
  <w:num w:numId="21" w16cid:durableId="1771583792">
    <w:abstractNumId w:val="21"/>
  </w:num>
  <w:num w:numId="22" w16cid:durableId="1623881443">
    <w:abstractNumId w:val="6"/>
  </w:num>
  <w:num w:numId="23" w16cid:durableId="1006327360">
    <w:abstractNumId w:val="11"/>
  </w:num>
  <w:num w:numId="24" w16cid:durableId="877477383">
    <w:abstractNumId w:val="31"/>
  </w:num>
  <w:num w:numId="25" w16cid:durableId="256065622">
    <w:abstractNumId w:val="12"/>
  </w:num>
  <w:num w:numId="26" w16cid:durableId="382412377">
    <w:abstractNumId w:val="9"/>
  </w:num>
  <w:num w:numId="27" w16cid:durableId="1729453205">
    <w:abstractNumId w:val="22"/>
  </w:num>
  <w:num w:numId="28" w16cid:durableId="689792956">
    <w:abstractNumId w:val="23"/>
  </w:num>
  <w:num w:numId="29" w16cid:durableId="625083766">
    <w:abstractNumId w:val="15"/>
  </w:num>
  <w:num w:numId="30" w16cid:durableId="2043088832">
    <w:abstractNumId w:val="32"/>
  </w:num>
  <w:num w:numId="31" w16cid:durableId="2239565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98934490">
    <w:abstractNumId w:val="13"/>
  </w:num>
  <w:num w:numId="33" w16cid:durableId="703096053">
    <w:abstractNumId w:val="20"/>
  </w:num>
  <w:num w:numId="34" w16cid:durableId="373845860">
    <w:abstractNumId w:val="1"/>
  </w:num>
  <w:num w:numId="35" w16cid:durableId="1314523851">
    <w:abstractNumId w:val="30"/>
  </w:num>
  <w:num w:numId="36" w16cid:durableId="158204041">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14B3"/>
    <w:rsid w:val="00002B2F"/>
    <w:rsid w:val="00002CEA"/>
    <w:rsid w:val="00002F99"/>
    <w:rsid w:val="00004B36"/>
    <w:rsid w:val="00005E1C"/>
    <w:rsid w:val="00006324"/>
    <w:rsid w:val="00006557"/>
    <w:rsid w:val="00010DBE"/>
    <w:rsid w:val="00011181"/>
    <w:rsid w:val="00011AEC"/>
    <w:rsid w:val="00011C8A"/>
    <w:rsid w:val="000143AC"/>
    <w:rsid w:val="00014FFF"/>
    <w:rsid w:val="000158FC"/>
    <w:rsid w:val="00015FA1"/>
    <w:rsid w:val="00017B0F"/>
    <w:rsid w:val="000218ED"/>
    <w:rsid w:val="000219E4"/>
    <w:rsid w:val="0002291B"/>
    <w:rsid w:val="00023508"/>
    <w:rsid w:val="00023BE7"/>
    <w:rsid w:val="000252CB"/>
    <w:rsid w:val="00025758"/>
    <w:rsid w:val="00027183"/>
    <w:rsid w:val="00032DCC"/>
    <w:rsid w:val="00032E26"/>
    <w:rsid w:val="000355CC"/>
    <w:rsid w:val="00036FCB"/>
    <w:rsid w:val="00037196"/>
    <w:rsid w:val="00040667"/>
    <w:rsid w:val="00041C17"/>
    <w:rsid w:val="00041E95"/>
    <w:rsid w:val="00043722"/>
    <w:rsid w:val="00044845"/>
    <w:rsid w:val="00045683"/>
    <w:rsid w:val="00046420"/>
    <w:rsid w:val="00046670"/>
    <w:rsid w:val="00047170"/>
    <w:rsid w:val="00047DFE"/>
    <w:rsid w:val="00047FAD"/>
    <w:rsid w:val="0005669C"/>
    <w:rsid w:val="00057A46"/>
    <w:rsid w:val="00057E3A"/>
    <w:rsid w:val="00060589"/>
    <w:rsid w:val="0006337B"/>
    <w:rsid w:val="00063AAC"/>
    <w:rsid w:val="00065833"/>
    <w:rsid w:val="000659B8"/>
    <w:rsid w:val="000659F7"/>
    <w:rsid w:val="00065E09"/>
    <w:rsid w:val="00067BE5"/>
    <w:rsid w:val="00070859"/>
    <w:rsid w:val="00071F42"/>
    <w:rsid w:val="000727B6"/>
    <w:rsid w:val="00073944"/>
    <w:rsid w:val="00074E93"/>
    <w:rsid w:val="00077091"/>
    <w:rsid w:val="00077BCA"/>
    <w:rsid w:val="00077CF5"/>
    <w:rsid w:val="00082482"/>
    <w:rsid w:val="00082D01"/>
    <w:rsid w:val="000858FA"/>
    <w:rsid w:val="000915EE"/>
    <w:rsid w:val="00091E59"/>
    <w:rsid w:val="0009237D"/>
    <w:rsid w:val="00092BE8"/>
    <w:rsid w:val="00093725"/>
    <w:rsid w:val="00097087"/>
    <w:rsid w:val="000A162C"/>
    <w:rsid w:val="000A17F7"/>
    <w:rsid w:val="000A1964"/>
    <w:rsid w:val="000A1A9B"/>
    <w:rsid w:val="000A3605"/>
    <w:rsid w:val="000A4EAB"/>
    <w:rsid w:val="000A5CC0"/>
    <w:rsid w:val="000A659F"/>
    <w:rsid w:val="000A7B74"/>
    <w:rsid w:val="000B0B61"/>
    <w:rsid w:val="000B4F10"/>
    <w:rsid w:val="000B5951"/>
    <w:rsid w:val="000B5EAA"/>
    <w:rsid w:val="000B6256"/>
    <w:rsid w:val="000B6BBC"/>
    <w:rsid w:val="000B7C29"/>
    <w:rsid w:val="000C0B8E"/>
    <w:rsid w:val="000C18DD"/>
    <w:rsid w:val="000C246F"/>
    <w:rsid w:val="000C39D8"/>
    <w:rsid w:val="000C4E1E"/>
    <w:rsid w:val="000C502F"/>
    <w:rsid w:val="000C7F09"/>
    <w:rsid w:val="000D3ADC"/>
    <w:rsid w:val="000E043A"/>
    <w:rsid w:val="000E2299"/>
    <w:rsid w:val="000E250F"/>
    <w:rsid w:val="000E485C"/>
    <w:rsid w:val="000E67A2"/>
    <w:rsid w:val="000E73AE"/>
    <w:rsid w:val="000F0032"/>
    <w:rsid w:val="000F046A"/>
    <w:rsid w:val="000F158E"/>
    <w:rsid w:val="000F4747"/>
    <w:rsid w:val="000F5FD4"/>
    <w:rsid w:val="000F75BF"/>
    <w:rsid w:val="001007B1"/>
    <w:rsid w:val="001016BC"/>
    <w:rsid w:val="00101AC4"/>
    <w:rsid w:val="001035A0"/>
    <w:rsid w:val="001046CE"/>
    <w:rsid w:val="0010643D"/>
    <w:rsid w:val="00106B17"/>
    <w:rsid w:val="0011042C"/>
    <w:rsid w:val="0011228B"/>
    <w:rsid w:val="001147DF"/>
    <w:rsid w:val="00115614"/>
    <w:rsid w:val="00116683"/>
    <w:rsid w:val="001209D5"/>
    <w:rsid w:val="00127F7E"/>
    <w:rsid w:val="001303FE"/>
    <w:rsid w:val="00132149"/>
    <w:rsid w:val="00132716"/>
    <w:rsid w:val="00132CD5"/>
    <w:rsid w:val="00132FBE"/>
    <w:rsid w:val="00135424"/>
    <w:rsid w:val="00136877"/>
    <w:rsid w:val="001376D6"/>
    <w:rsid w:val="00137D4F"/>
    <w:rsid w:val="0014104D"/>
    <w:rsid w:val="00141C4E"/>
    <w:rsid w:val="0014432A"/>
    <w:rsid w:val="0014456B"/>
    <w:rsid w:val="00144F2A"/>
    <w:rsid w:val="00145D6B"/>
    <w:rsid w:val="00151390"/>
    <w:rsid w:val="00151E95"/>
    <w:rsid w:val="00151F8A"/>
    <w:rsid w:val="001523C7"/>
    <w:rsid w:val="001533E2"/>
    <w:rsid w:val="001542BE"/>
    <w:rsid w:val="00156AA5"/>
    <w:rsid w:val="00157840"/>
    <w:rsid w:val="00161B5C"/>
    <w:rsid w:val="00162FFA"/>
    <w:rsid w:val="00163B15"/>
    <w:rsid w:val="00163BE0"/>
    <w:rsid w:val="001646AB"/>
    <w:rsid w:val="00164723"/>
    <w:rsid w:val="001650A8"/>
    <w:rsid w:val="00165451"/>
    <w:rsid w:val="00165D3D"/>
    <w:rsid w:val="00166D8E"/>
    <w:rsid w:val="00167AD5"/>
    <w:rsid w:val="001708C2"/>
    <w:rsid w:val="00171A22"/>
    <w:rsid w:val="00174D1E"/>
    <w:rsid w:val="00175EAB"/>
    <w:rsid w:val="00177AE4"/>
    <w:rsid w:val="00181251"/>
    <w:rsid w:val="001829AA"/>
    <w:rsid w:val="00182B81"/>
    <w:rsid w:val="00183C9B"/>
    <w:rsid w:val="001872EC"/>
    <w:rsid w:val="001878EB"/>
    <w:rsid w:val="00187B3B"/>
    <w:rsid w:val="00190566"/>
    <w:rsid w:val="00192D51"/>
    <w:rsid w:val="00196B86"/>
    <w:rsid w:val="00197153"/>
    <w:rsid w:val="001A1C14"/>
    <w:rsid w:val="001A27A4"/>
    <w:rsid w:val="001A319F"/>
    <w:rsid w:val="001A7339"/>
    <w:rsid w:val="001B1755"/>
    <w:rsid w:val="001B26CB"/>
    <w:rsid w:val="001B29EE"/>
    <w:rsid w:val="001B2D0C"/>
    <w:rsid w:val="001B4500"/>
    <w:rsid w:val="001B6C6C"/>
    <w:rsid w:val="001C157C"/>
    <w:rsid w:val="001C434C"/>
    <w:rsid w:val="001C44D2"/>
    <w:rsid w:val="001C456E"/>
    <w:rsid w:val="001C5688"/>
    <w:rsid w:val="001C578B"/>
    <w:rsid w:val="001C6A03"/>
    <w:rsid w:val="001C7230"/>
    <w:rsid w:val="001C7302"/>
    <w:rsid w:val="001C787D"/>
    <w:rsid w:val="001D0AB0"/>
    <w:rsid w:val="001D5BBA"/>
    <w:rsid w:val="001D7C43"/>
    <w:rsid w:val="001D7EE8"/>
    <w:rsid w:val="001E207A"/>
    <w:rsid w:val="001E5EF4"/>
    <w:rsid w:val="001E76E9"/>
    <w:rsid w:val="001F0267"/>
    <w:rsid w:val="001F24FD"/>
    <w:rsid w:val="001F2735"/>
    <w:rsid w:val="001F34B0"/>
    <w:rsid w:val="001F4298"/>
    <w:rsid w:val="001F535A"/>
    <w:rsid w:val="001F57B4"/>
    <w:rsid w:val="001F638E"/>
    <w:rsid w:val="001F7B82"/>
    <w:rsid w:val="002002A8"/>
    <w:rsid w:val="002007E2"/>
    <w:rsid w:val="0020097B"/>
    <w:rsid w:val="00201E5E"/>
    <w:rsid w:val="00202BE4"/>
    <w:rsid w:val="002043E9"/>
    <w:rsid w:val="00210329"/>
    <w:rsid w:val="00216EDD"/>
    <w:rsid w:val="00223EE9"/>
    <w:rsid w:val="0022450C"/>
    <w:rsid w:val="00226532"/>
    <w:rsid w:val="0022791E"/>
    <w:rsid w:val="00230AFC"/>
    <w:rsid w:val="00230F07"/>
    <w:rsid w:val="00231898"/>
    <w:rsid w:val="00233D00"/>
    <w:rsid w:val="00236350"/>
    <w:rsid w:val="00236413"/>
    <w:rsid w:val="002416F5"/>
    <w:rsid w:val="00242C0D"/>
    <w:rsid w:val="00243D2E"/>
    <w:rsid w:val="002450CD"/>
    <w:rsid w:val="00245ADA"/>
    <w:rsid w:val="00245C7B"/>
    <w:rsid w:val="00246F0A"/>
    <w:rsid w:val="00250A4C"/>
    <w:rsid w:val="00251BF5"/>
    <w:rsid w:val="00252982"/>
    <w:rsid w:val="00254C22"/>
    <w:rsid w:val="00255714"/>
    <w:rsid w:val="00255D2F"/>
    <w:rsid w:val="00256964"/>
    <w:rsid w:val="00257DE9"/>
    <w:rsid w:val="00257DF2"/>
    <w:rsid w:val="00262FB3"/>
    <w:rsid w:val="00263379"/>
    <w:rsid w:val="00263EE4"/>
    <w:rsid w:val="00264D19"/>
    <w:rsid w:val="00264E2C"/>
    <w:rsid w:val="002650D1"/>
    <w:rsid w:val="002671D7"/>
    <w:rsid w:val="00267334"/>
    <w:rsid w:val="00267920"/>
    <w:rsid w:val="0027104A"/>
    <w:rsid w:val="00272529"/>
    <w:rsid w:val="00275A8D"/>
    <w:rsid w:val="00275D07"/>
    <w:rsid w:val="00276554"/>
    <w:rsid w:val="00276960"/>
    <w:rsid w:val="00277D2F"/>
    <w:rsid w:val="00280562"/>
    <w:rsid w:val="00280931"/>
    <w:rsid w:val="002827A3"/>
    <w:rsid w:val="00282CFE"/>
    <w:rsid w:val="00283353"/>
    <w:rsid w:val="00286C34"/>
    <w:rsid w:val="00290341"/>
    <w:rsid w:val="00294546"/>
    <w:rsid w:val="00295343"/>
    <w:rsid w:val="002966DE"/>
    <w:rsid w:val="00296772"/>
    <w:rsid w:val="00296FDB"/>
    <w:rsid w:val="002974FD"/>
    <w:rsid w:val="002A06CB"/>
    <w:rsid w:val="002A0DAA"/>
    <w:rsid w:val="002A0F4A"/>
    <w:rsid w:val="002A179F"/>
    <w:rsid w:val="002A2818"/>
    <w:rsid w:val="002A2E4A"/>
    <w:rsid w:val="002A4334"/>
    <w:rsid w:val="002A5D64"/>
    <w:rsid w:val="002A5EBB"/>
    <w:rsid w:val="002A64F2"/>
    <w:rsid w:val="002A72D9"/>
    <w:rsid w:val="002A77CC"/>
    <w:rsid w:val="002B077F"/>
    <w:rsid w:val="002B0F76"/>
    <w:rsid w:val="002B17D6"/>
    <w:rsid w:val="002B1B43"/>
    <w:rsid w:val="002B1CD6"/>
    <w:rsid w:val="002B2784"/>
    <w:rsid w:val="002B39CF"/>
    <w:rsid w:val="002B44DB"/>
    <w:rsid w:val="002B4C95"/>
    <w:rsid w:val="002B50C0"/>
    <w:rsid w:val="002C0834"/>
    <w:rsid w:val="002C0F7B"/>
    <w:rsid w:val="002C1C0F"/>
    <w:rsid w:val="002C5865"/>
    <w:rsid w:val="002C5FC6"/>
    <w:rsid w:val="002C7219"/>
    <w:rsid w:val="002D1363"/>
    <w:rsid w:val="002D2C32"/>
    <w:rsid w:val="002D2DF0"/>
    <w:rsid w:val="002D3019"/>
    <w:rsid w:val="002D3EEB"/>
    <w:rsid w:val="002D49F8"/>
    <w:rsid w:val="002D72C6"/>
    <w:rsid w:val="002D764D"/>
    <w:rsid w:val="002E213D"/>
    <w:rsid w:val="002E3B95"/>
    <w:rsid w:val="002E6C0A"/>
    <w:rsid w:val="002E79B4"/>
    <w:rsid w:val="002F1206"/>
    <w:rsid w:val="002F174B"/>
    <w:rsid w:val="002F3908"/>
    <w:rsid w:val="002F4668"/>
    <w:rsid w:val="002F4A5E"/>
    <w:rsid w:val="002F5E12"/>
    <w:rsid w:val="00303790"/>
    <w:rsid w:val="003047FB"/>
    <w:rsid w:val="00304E4A"/>
    <w:rsid w:val="003064A3"/>
    <w:rsid w:val="00310A3A"/>
    <w:rsid w:val="00313E10"/>
    <w:rsid w:val="0031404D"/>
    <w:rsid w:val="0031406E"/>
    <w:rsid w:val="0031428A"/>
    <w:rsid w:val="00314E8D"/>
    <w:rsid w:val="0031544A"/>
    <w:rsid w:val="00315EB0"/>
    <w:rsid w:val="003217F6"/>
    <w:rsid w:val="00321D05"/>
    <w:rsid w:val="0032358C"/>
    <w:rsid w:val="00324B5C"/>
    <w:rsid w:val="003258DF"/>
    <w:rsid w:val="0032726B"/>
    <w:rsid w:val="00331B16"/>
    <w:rsid w:val="00333DD5"/>
    <w:rsid w:val="00334E50"/>
    <w:rsid w:val="00335758"/>
    <w:rsid w:val="00337093"/>
    <w:rsid w:val="0034115E"/>
    <w:rsid w:val="00341458"/>
    <w:rsid w:val="00342160"/>
    <w:rsid w:val="0034245C"/>
    <w:rsid w:val="00343830"/>
    <w:rsid w:val="00343FA4"/>
    <w:rsid w:val="00344455"/>
    <w:rsid w:val="00345E4D"/>
    <w:rsid w:val="003463ED"/>
    <w:rsid w:val="003501A6"/>
    <w:rsid w:val="003526B5"/>
    <w:rsid w:val="00355066"/>
    <w:rsid w:val="00355ACC"/>
    <w:rsid w:val="00357282"/>
    <w:rsid w:val="00364FB3"/>
    <w:rsid w:val="003662D3"/>
    <w:rsid w:val="00366E2C"/>
    <w:rsid w:val="003674A0"/>
    <w:rsid w:val="00370BA2"/>
    <w:rsid w:val="00371EAC"/>
    <w:rsid w:val="0037310F"/>
    <w:rsid w:val="00375A98"/>
    <w:rsid w:val="00375BE7"/>
    <w:rsid w:val="00376D6E"/>
    <w:rsid w:val="003773A8"/>
    <w:rsid w:val="0038001A"/>
    <w:rsid w:val="00382099"/>
    <w:rsid w:val="00383C9C"/>
    <w:rsid w:val="00386C6B"/>
    <w:rsid w:val="003872A8"/>
    <w:rsid w:val="00390E3F"/>
    <w:rsid w:val="003919FB"/>
    <w:rsid w:val="00393FB8"/>
    <w:rsid w:val="00395434"/>
    <w:rsid w:val="003A2189"/>
    <w:rsid w:val="003A25C7"/>
    <w:rsid w:val="003A2D06"/>
    <w:rsid w:val="003A4984"/>
    <w:rsid w:val="003A6126"/>
    <w:rsid w:val="003A6854"/>
    <w:rsid w:val="003A79BC"/>
    <w:rsid w:val="003B1018"/>
    <w:rsid w:val="003B15FC"/>
    <w:rsid w:val="003B24B2"/>
    <w:rsid w:val="003B38E2"/>
    <w:rsid w:val="003C1C22"/>
    <w:rsid w:val="003C360C"/>
    <w:rsid w:val="003C3623"/>
    <w:rsid w:val="003C4256"/>
    <w:rsid w:val="003C563E"/>
    <w:rsid w:val="003C58DA"/>
    <w:rsid w:val="003C76F2"/>
    <w:rsid w:val="003D2FE3"/>
    <w:rsid w:val="003D3892"/>
    <w:rsid w:val="003D3C1D"/>
    <w:rsid w:val="003D3EC5"/>
    <w:rsid w:val="003D44B6"/>
    <w:rsid w:val="003D5218"/>
    <w:rsid w:val="003D7809"/>
    <w:rsid w:val="003D7F9A"/>
    <w:rsid w:val="003E0267"/>
    <w:rsid w:val="003E052C"/>
    <w:rsid w:val="003E1106"/>
    <w:rsid w:val="003E3BDB"/>
    <w:rsid w:val="003E53B2"/>
    <w:rsid w:val="003F0375"/>
    <w:rsid w:val="003F0CD7"/>
    <w:rsid w:val="003F2907"/>
    <w:rsid w:val="003F4E0C"/>
    <w:rsid w:val="003F6D31"/>
    <w:rsid w:val="0040087A"/>
    <w:rsid w:val="00402010"/>
    <w:rsid w:val="00407B90"/>
    <w:rsid w:val="00407D5E"/>
    <w:rsid w:val="00410C09"/>
    <w:rsid w:val="00411EB6"/>
    <w:rsid w:val="00412B9C"/>
    <w:rsid w:val="0041380C"/>
    <w:rsid w:val="004141E4"/>
    <w:rsid w:val="00414F93"/>
    <w:rsid w:val="0041514E"/>
    <w:rsid w:val="00416582"/>
    <w:rsid w:val="004166C4"/>
    <w:rsid w:val="00421EFA"/>
    <w:rsid w:val="0042536F"/>
    <w:rsid w:val="00425512"/>
    <w:rsid w:val="004278BD"/>
    <w:rsid w:val="004307E6"/>
    <w:rsid w:val="00431F79"/>
    <w:rsid w:val="00432715"/>
    <w:rsid w:val="00432E49"/>
    <w:rsid w:val="00433434"/>
    <w:rsid w:val="00434B55"/>
    <w:rsid w:val="00436231"/>
    <w:rsid w:val="004411D3"/>
    <w:rsid w:val="004468F6"/>
    <w:rsid w:val="00447EA8"/>
    <w:rsid w:val="00450B2E"/>
    <w:rsid w:val="0045122E"/>
    <w:rsid w:val="00451341"/>
    <w:rsid w:val="0045432A"/>
    <w:rsid w:val="004546CF"/>
    <w:rsid w:val="0045662F"/>
    <w:rsid w:val="00456B18"/>
    <w:rsid w:val="004579BB"/>
    <w:rsid w:val="00461A6B"/>
    <w:rsid w:val="00463A74"/>
    <w:rsid w:val="00465873"/>
    <w:rsid w:val="0046619F"/>
    <w:rsid w:val="004664C8"/>
    <w:rsid w:val="0046665F"/>
    <w:rsid w:val="0046700A"/>
    <w:rsid w:val="0047058C"/>
    <w:rsid w:val="00470838"/>
    <w:rsid w:val="004723D0"/>
    <w:rsid w:val="004739EE"/>
    <w:rsid w:val="00474A70"/>
    <w:rsid w:val="00480399"/>
    <w:rsid w:val="00480A1E"/>
    <w:rsid w:val="0048266C"/>
    <w:rsid w:val="00483280"/>
    <w:rsid w:val="00484B9E"/>
    <w:rsid w:val="004851A7"/>
    <w:rsid w:val="00491046"/>
    <w:rsid w:val="004920D2"/>
    <w:rsid w:val="00492A0C"/>
    <w:rsid w:val="004930EE"/>
    <w:rsid w:val="00493F62"/>
    <w:rsid w:val="00496D9B"/>
    <w:rsid w:val="004A3C73"/>
    <w:rsid w:val="004A4076"/>
    <w:rsid w:val="004A674D"/>
    <w:rsid w:val="004A6AA5"/>
    <w:rsid w:val="004A7A9D"/>
    <w:rsid w:val="004B0CC1"/>
    <w:rsid w:val="004B1BE0"/>
    <w:rsid w:val="004B27B7"/>
    <w:rsid w:val="004B4119"/>
    <w:rsid w:val="004C0DC8"/>
    <w:rsid w:val="004D0A2E"/>
    <w:rsid w:val="004D0A45"/>
    <w:rsid w:val="004D5257"/>
    <w:rsid w:val="004D688A"/>
    <w:rsid w:val="004D7DD4"/>
    <w:rsid w:val="004E3523"/>
    <w:rsid w:val="004E41A9"/>
    <w:rsid w:val="004E4FE0"/>
    <w:rsid w:val="004E7047"/>
    <w:rsid w:val="004E726E"/>
    <w:rsid w:val="004F0B27"/>
    <w:rsid w:val="004F6BD6"/>
    <w:rsid w:val="004F7230"/>
    <w:rsid w:val="004F7347"/>
    <w:rsid w:val="004F78E0"/>
    <w:rsid w:val="00501A53"/>
    <w:rsid w:val="00501F73"/>
    <w:rsid w:val="00502A09"/>
    <w:rsid w:val="005032EF"/>
    <w:rsid w:val="00503988"/>
    <w:rsid w:val="0050443E"/>
    <w:rsid w:val="00506A32"/>
    <w:rsid w:val="005071C2"/>
    <w:rsid w:val="00507E55"/>
    <w:rsid w:val="00511801"/>
    <w:rsid w:val="0051264B"/>
    <w:rsid w:val="00514394"/>
    <w:rsid w:val="00516B1F"/>
    <w:rsid w:val="00516BF9"/>
    <w:rsid w:val="005173B0"/>
    <w:rsid w:val="00521677"/>
    <w:rsid w:val="00522B7C"/>
    <w:rsid w:val="005231EF"/>
    <w:rsid w:val="00524891"/>
    <w:rsid w:val="00525DE8"/>
    <w:rsid w:val="00531693"/>
    <w:rsid w:val="00533156"/>
    <w:rsid w:val="00533C7D"/>
    <w:rsid w:val="0053537D"/>
    <w:rsid w:val="005358A6"/>
    <w:rsid w:val="00542514"/>
    <w:rsid w:val="00543703"/>
    <w:rsid w:val="005457EF"/>
    <w:rsid w:val="0054725A"/>
    <w:rsid w:val="005478B9"/>
    <w:rsid w:val="00547D60"/>
    <w:rsid w:val="005503D1"/>
    <w:rsid w:val="005519C8"/>
    <w:rsid w:val="005528E0"/>
    <w:rsid w:val="00552A16"/>
    <w:rsid w:val="00553DA9"/>
    <w:rsid w:val="00556413"/>
    <w:rsid w:val="00560F08"/>
    <w:rsid w:val="0056156C"/>
    <w:rsid w:val="00562B4F"/>
    <w:rsid w:val="00563989"/>
    <w:rsid w:val="005648F9"/>
    <w:rsid w:val="00564F35"/>
    <w:rsid w:val="00565DE1"/>
    <w:rsid w:val="00571EA5"/>
    <w:rsid w:val="00572451"/>
    <w:rsid w:val="00582792"/>
    <w:rsid w:val="0058302B"/>
    <w:rsid w:val="0058334E"/>
    <w:rsid w:val="00584A37"/>
    <w:rsid w:val="00585057"/>
    <w:rsid w:val="005877B4"/>
    <w:rsid w:val="00587E00"/>
    <w:rsid w:val="00590781"/>
    <w:rsid w:val="00591AE1"/>
    <w:rsid w:val="0059339C"/>
    <w:rsid w:val="005942CA"/>
    <w:rsid w:val="005943C4"/>
    <w:rsid w:val="0059460D"/>
    <w:rsid w:val="00595F45"/>
    <w:rsid w:val="00596868"/>
    <w:rsid w:val="005A0230"/>
    <w:rsid w:val="005A24F4"/>
    <w:rsid w:val="005A2523"/>
    <w:rsid w:val="005A3D03"/>
    <w:rsid w:val="005A4056"/>
    <w:rsid w:val="005A53C9"/>
    <w:rsid w:val="005A685A"/>
    <w:rsid w:val="005B1969"/>
    <w:rsid w:val="005B1EE7"/>
    <w:rsid w:val="005B2D22"/>
    <w:rsid w:val="005B5A90"/>
    <w:rsid w:val="005B639E"/>
    <w:rsid w:val="005B6E04"/>
    <w:rsid w:val="005C07D0"/>
    <w:rsid w:val="005C0BB3"/>
    <w:rsid w:val="005C211C"/>
    <w:rsid w:val="005C3054"/>
    <w:rsid w:val="005C398D"/>
    <w:rsid w:val="005D1D14"/>
    <w:rsid w:val="005D3845"/>
    <w:rsid w:val="005D48E0"/>
    <w:rsid w:val="005D50DE"/>
    <w:rsid w:val="005D5C89"/>
    <w:rsid w:val="005D5E5D"/>
    <w:rsid w:val="005D6D4A"/>
    <w:rsid w:val="005E194E"/>
    <w:rsid w:val="005E1E61"/>
    <w:rsid w:val="005E4A5B"/>
    <w:rsid w:val="005E4BEC"/>
    <w:rsid w:val="005E7B2A"/>
    <w:rsid w:val="005F1DFE"/>
    <w:rsid w:val="005F297F"/>
    <w:rsid w:val="005F7854"/>
    <w:rsid w:val="006004B1"/>
    <w:rsid w:val="0060564A"/>
    <w:rsid w:val="006058CF"/>
    <w:rsid w:val="006060C8"/>
    <w:rsid w:val="00606151"/>
    <w:rsid w:val="0061142A"/>
    <w:rsid w:val="00611B79"/>
    <w:rsid w:val="00611F23"/>
    <w:rsid w:val="0061489B"/>
    <w:rsid w:val="006153DA"/>
    <w:rsid w:val="0061621E"/>
    <w:rsid w:val="00617C32"/>
    <w:rsid w:val="006245DA"/>
    <w:rsid w:val="00624649"/>
    <w:rsid w:val="00624AE8"/>
    <w:rsid w:val="00625101"/>
    <w:rsid w:val="0062519B"/>
    <w:rsid w:val="0062760D"/>
    <w:rsid w:val="00630919"/>
    <w:rsid w:val="00631E1A"/>
    <w:rsid w:val="006328AE"/>
    <w:rsid w:val="00635FFE"/>
    <w:rsid w:val="00636846"/>
    <w:rsid w:val="00637F84"/>
    <w:rsid w:val="006408D9"/>
    <w:rsid w:val="00640A4E"/>
    <w:rsid w:val="00641079"/>
    <w:rsid w:val="006414A1"/>
    <w:rsid w:val="00641763"/>
    <w:rsid w:val="006428E3"/>
    <w:rsid w:val="00643895"/>
    <w:rsid w:val="00650F59"/>
    <w:rsid w:val="006522AC"/>
    <w:rsid w:val="00652FDD"/>
    <w:rsid w:val="0065407F"/>
    <w:rsid w:val="00655080"/>
    <w:rsid w:val="006557F8"/>
    <w:rsid w:val="00655D12"/>
    <w:rsid w:val="00655E2A"/>
    <w:rsid w:val="00661204"/>
    <w:rsid w:val="00662A51"/>
    <w:rsid w:val="00667534"/>
    <w:rsid w:val="00670CB4"/>
    <w:rsid w:val="006712C5"/>
    <w:rsid w:val="00671DA0"/>
    <w:rsid w:val="00674E80"/>
    <w:rsid w:val="006813EB"/>
    <w:rsid w:val="00682A00"/>
    <w:rsid w:val="00682CD8"/>
    <w:rsid w:val="006845FA"/>
    <w:rsid w:val="00685482"/>
    <w:rsid w:val="00685AC6"/>
    <w:rsid w:val="00685E62"/>
    <w:rsid w:val="00686C84"/>
    <w:rsid w:val="00693725"/>
    <w:rsid w:val="00693AD0"/>
    <w:rsid w:val="00695A6C"/>
    <w:rsid w:val="00696FD9"/>
    <w:rsid w:val="006A00D9"/>
    <w:rsid w:val="006A2897"/>
    <w:rsid w:val="006A51FA"/>
    <w:rsid w:val="006A690A"/>
    <w:rsid w:val="006A7CAA"/>
    <w:rsid w:val="006B1068"/>
    <w:rsid w:val="006B27B6"/>
    <w:rsid w:val="006B345A"/>
    <w:rsid w:val="006B4A11"/>
    <w:rsid w:val="006B4A4D"/>
    <w:rsid w:val="006B7D6C"/>
    <w:rsid w:val="006C00EB"/>
    <w:rsid w:val="006C12DA"/>
    <w:rsid w:val="006C162B"/>
    <w:rsid w:val="006C2AD0"/>
    <w:rsid w:val="006C657E"/>
    <w:rsid w:val="006C73F0"/>
    <w:rsid w:val="006C777B"/>
    <w:rsid w:val="006C7C51"/>
    <w:rsid w:val="006C7E16"/>
    <w:rsid w:val="006D104E"/>
    <w:rsid w:val="006D2513"/>
    <w:rsid w:val="006D3195"/>
    <w:rsid w:val="006D465E"/>
    <w:rsid w:val="006D680C"/>
    <w:rsid w:val="006D7212"/>
    <w:rsid w:val="006E0195"/>
    <w:rsid w:val="006E0537"/>
    <w:rsid w:val="006E063C"/>
    <w:rsid w:val="006E11CC"/>
    <w:rsid w:val="006E1B47"/>
    <w:rsid w:val="006E2013"/>
    <w:rsid w:val="006E351D"/>
    <w:rsid w:val="006E383C"/>
    <w:rsid w:val="006E6F20"/>
    <w:rsid w:val="006E783A"/>
    <w:rsid w:val="006F0943"/>
    <w:rsid w:val="006F2EFC"/>
    <w:rsid w:val="006F30DE"/>
    <w:rsid w:val="006F4E0B"/>
    <w:rsid w:val="006F6595"/>
    <w:rsid w:val="006F7178"/>
    <w:rsid w:val="006F7AA6"/>
    <w:rsid w:val="006F7BDF"/>
    <w:rsid w:val="007015B1"/>
    <w:rsid w:val="00704243"/>
    <w:rsid w:val="00704990"/>
    <w:rsid w:val="00706722"/>
    <w:rsid w:val="007079C8"/>
    <w:rsid w:val="00707A91"/>
    <w:rsid w:val="00707DF0"/>
    <w:rsid w:val="00713195"/>
    <w:rsid w:val="007147DA"/>
    <w:rsid w:val="0071524E"/>
    <w:rsid w:val="007156C7"/>
    <w:rsid w:val="00716A95"/>
    <w:rsid w:val="00717663"/>
    <w:rsid w:val="00717A34"/>
    <w:rsid w:val="00722B84"/>
    <w:rsid w:val="00722C50"/>
    <w:rsid w:val="00725738"/>
    <w:rsid w:val="00725F6B"/>
    <w:rsid w:val="00726393"/>
    <w:rsid w:val="007275FF"/>
    <w:rsid w:val="00731314"/>
    <w:rsid w:val="00732CF2"/>
    <w:rsid w:val="00733E73"/>
    <w:rsid w:val="00735154"/>
    <w:rsid w:val="0073517D"/>
    <w:rsid w:val="007372EF"/>
    <w:rsid w:val="00740182"/>
    <w:rsid w:val="00741FD7"/>
    <w:rsid w:val="00742372"/>
    <w:rsid w:val="00747E3B"/>
    <w:rsid w:val="00750B1F"/>
    <w:rsid w:val="00754473"/>
    <w:rsid w:val="007548AE"/>
    <w:rsid w:val="007549F7"/>
    <w:rsid w:val="00754B07"/>
    <w:rsid w:val="00754E08"/>
    <w:rsid w:val="00755443"/>
    <w:rsid w:val="00756646"/>
    <w:rsid w:val="007624A3"/>
    <w:rsid w:val="00762BA4"/>
    <w:rsid w:val="007630CF"/>
    <w:rsid w:val="00767CE0"/>
    <w:rsid w:val="0077088A"/>
    <w:rsid w:val="0077245A"/>
    <w:rsid w:val="00775E50"/>
    <w:rsid w:val="007764C1"/>
    <w:rsid w:val="00780940"/>
    <w:rsid w:val="00781814"/>
    <w:rsid w:val="00781C4F"/>
    <w:rsid w:val="007845A1"/>
    <w:rsid w:val="00784CEB"/>
    <w:rsid w:val="00784E43"/>
    <w:rsid w:val="00787D33"/>
    <w:rsid w:val="00790C87"/>
    <w:rsid w:val="0079200C"/>
    <w:rsid w:val="00792073"/>
    <w:rsid w:val="00793C9C"/>
    <w:rsid w:val="007945E1"/>
    <w:rsid w:val="00796BAB"/>
    <w:rsid w:val="007A03DA"/>
    <w:rsid w:val="007A0ED8"/>
    <w:rsid w:val="007A46CF"/>
    <w:rsid w:val="007A4F30"/>
    <w:rsid w:val="007A5A6A"/>
    <w:rsid w:val="007A71EA"/>
    <w:rsid w:val="007A71ED"/>
    <w:rsid w:val="007A7316"/>
    <w:rsid w:val="007B033E"/>
    <w:rsid w:val="007B1892"/>
    <w:rsid w:val="007B2C3A"/>
    <w:rsid w:val="007B361F"/>
    <w:rsid w:val="007B3F9D"/>
    <w:rsid w:val="007B4BCC"/>
    <w:rsid w:val="007B6354"/>
    <w:rsid w:val="007B7A50"/>
    <w:rsid w:val="007B7B34"/>
    <w:rsid w:val="007C03F1"/>
    <w:rsid w:val="007C29B2"/>
    <w:rsid w:val="007C3AEF"/>
    <w:rsid w:val="007C52BE"/>
    <w:rsid w:val="007C6664"/>
    <w:rsid w:val="007C6A6B"/>
    <w:rsid w:val="007D0AAE"/>
    <w:rsid w:val="007D0EDB"/>
    <w:rsid w:val="007D24D3"/>
    <w:rsid w:val="007D25DF"/>
    <w:rsid w:val="007D2A5A"/>
    <w:rsid w:val="007E067F"/>
    <w:rsid w:val="007E11CE"/>
    <w:rsid w:val="007E1CC0"/>
    <w:rsid w:val="007E4EBA"/>
    <w:rsid w:val="007E60B5"/>
    <w:rsid w:val="007E7374"/>
    <w:rsid w:val="007F16CC"/>
    <w:rsid w:val="007F29A1"/>
    <w:rsid w:val="007F2F4D"/>
    <w:rsid w:val="007F2F79"/>
    <w:rsid w:val="007F59A5"/>
    <w:rsid w:val="007F6C0D"/>
    <w:rsid w:val="0080007D"/>
    <w:rsid w:val="0080031B"/>
    <w:rsid w:val="0080100C"/>
    <w:rsid w:val="008010E4"/>
    <w:rsid w:val="00801B78"/>
    <w:rsid w:val="008027F8"/>
    <w:rsid w:val="00803CED"/>
    <w:rsid w:val="00804B07"/>
    <w:rsid w:val="008057B5"/>
    <w:rsid w:val="0081348D"/>
    <w:rsid w:val="0081617B"/>
    <w:rsid w:val="0082595B"/>
    <w:rsid w:val="0082632C"/>
    <w:rsid w:val="0082679F"/>
    <w:rsid w:val="008323B2"/>
    <w:rsid w:val="00833E4A"/>
    <w:rsid w:val="008344F0"/>
    <w:rsid w:val="0083480F"/>
    <w:rsid w:val="00835DE7"/>
    <w:rsid w:val="008403D9"/>
    <w:rsid w:val="00840EC1"/>
    <w:rsid w:val="0084210A"/>
    <w:rsid w:val="0084325A"/>
    <w:rsid w:val="00847BCA"/>
    <w:rsid w:val="00852710"/>
    <w:rsid w:val="00852A96"/>
    <w:rsid w:val="00856206"/>
    <w:rsid w:val="00857560"/>
    <w:rsid w:val="00861DC4"/>
    <w:rsid w:val="008624C3"/>
    <w:rsid w:val="00863EB5"/>
    <w:rsid w:val="00864CD4"/>
    <w:rsid w:val="00865DC7"/>
    <w:rsid w:val="00870585"/>
    <w:rsid w:val="00872715"/>
    <w:rsid w:val="008731A8"/>
    <w:rsid w:val="0087361A"/>
    <w:rsid w:val="008736E3"/>
    <w:rsid w:val="0087580A"/>
    <w:rsid w:val="00876309"/>
    <w:rsid w:val="00876803"/>
    <w:rsid w:val="00877E70"/>
    <w:rsid w:val="0088044C"/>
    <w:rsid w:val="00882383"/>
    <w:rsid w:val="00882A8D"/>
    <w:rsid w:val="00884850"/>
    <w:rsid w:val="008879DD"/>
    <w:rsid w:val="00891A02"/>
    <w:rsid w:val="00891F80"/>
    <w:rsid w:val="0089726A"/>
    <w:rsid w:val="008A013C"/>
    <w:rsid w:val="008A0AD0"/>
    <w:rsid w:val="008A0FF2"/>
    <w:rsid w:val="008A15AB"/>
    <w:rsid w:val="008A34F7"/>
    <w:rsid w:val="008A3968"/>
    <w:rsid w:val="008A44C3"/>
    <w:rsid w:val="008A6139"/>
    <w:rsid w:val="008A6555"/>
    <w:rsid w:val="008B113F"/>
    <w:rsid w:val="008B13E1"/>
    <w:rsid w:val="008B3549"/>
    <w:rsid w:val="008B48F7"/>
    <w:rsid w:val="008B5D5E"/>
    <w:rsid w:val="008B7C4D"/>
    <w:rsid w:val="008C4089"/>
    <w:rsid w:val="008C6256"/>
    <w:rsid w:val="008C6B02"/>
    <w:rsid w:val="008C735E"/>
    <w:rsid w:val="008D0527"/>
    <w:rsid w:val="008D2AE8"/>
    <w:rsid w:val="008D3054"/>
    <w:rsid w:val="008D35A9"/>
    <w:rsid w:val="008D37B4"/>
    <w:rsid w:val="008E1EF7"/>
    <w:rsid w:val="008E2437"/>
    <w:rsid w:val="008E3B27"/>
    <w:rsid w:val="008E452E"/>
    <w:rsid w:val="008E5DE3"/>
    <w:rsid w:val="008E6B43"/>
    <w:rsid w:val="008E7FC1"/>
    <w:rsid w:val="008F1EFA"/>
    <w:rsid w:val="008F2775"/>
    <w:rsid w:val="008F3A56"/>
    <w:rsid w:val="008F53DC"/>
    <w:rsid w:val="008F7271"/>
    <w:rsid w:val="008F79E7"/>
    <w:rsid w:val="0090506F"/>
    <w:rsid w:val="00907543"/>
    <w:rsid w:val="009076A0"/>
    <w:rsid w:val="00910297"/>
    <w:rsid w:val="009106FC"/>
    <w:rsid w:val="00910E46"/>
    <w:rsid w:val="009114DC"/>
    <w:rsid w:val="009159CF"/>
    <w:rsid w:val="00915CE0"/>
    <w:rsid w:val="00920BA6"/>
    <w:rsid w:val="00921BED"/>
    <w:rsid w:val="00922AFF"/>
    <w:rsid w:val="0092415B"/>
    <w:rsid w:val="009302A2"/>
    <w:rsid w:val="00933526"/>
    <w:rsid w:val="0093534E"/>
    <w:rsid w:val="009355A4"/>
    <w:rsid w:val="0093618D"/>
    <w:rsid w:val="00936C02"/>
    <w:rsid w:val="00940CBB"/>
    <w:rsid w:val="009432FF"/>
    <w:rsid w:val="00943701"/>
    <w:rsid w:val="009447BD"/>
    <w:rsid w:val="00944B2E"/>
    <w:rsid w:val="00944F74"/>
    <w:rsid w:val="00946099"/>
    <w:rsid w:val="00950795"/>
    <w:rsid w:val="00950968"/>
    <w:rsid w:val="00951157"/>
    <w:rsid w:val="009512BE"/>
    <w:rsid w:val="00951A94"/>
    <w:rsid w:val="0095348E"/>
    <w:rsid w:val="00953B17"/>
    <w:rsid w:val="00953C1A"/>
    <w:rsid w:val="00955719"/>
    <w:rsid w:val="00955D9D"/>
    <w:rsid w:val="00956E5A"/>
    <w:rsid w:val="00962877"/>
    <w:rsid w:val="009705EC"/>
    <w:rsid w:val="009716CC"/>
    <w:rsid w:val="009721F9"/>
    <w:rsid w:val="009726D5"/>
    <w:rsid w:val="009742F3"/>
    <w:rsid w:val="00974DB0"/>
    <w:rsid w:val="00976514"/>
    <w:rsid w:val="00976623"/>
    <w:rsid w:val="00977984"/>
    <w:rsid w:val="0098162A"/>
    <w:rsid w:val="009850CF"/>
    <w:rsid w:val="00986EE0"/>
    <w:rsid w:val="00987C59"/>
    <w:rsid w:val="0099076E"/>
    <w:rsid w:val="009912CF"/>
    <w:rsid w:val="0099184F"/>
    <w:rsid w:val="0099223E"/>
    <w:rsid w:val="00992B6C"/>
    <w:rsid w:val="009959BF"/>
    <w:rsid w:val="00995E71"/>
    <w:rsid w:val="00997D03"/>
    <w:rsid w:val="009A07A6"/>
    <w:rsid w:val="009A1F93"/>
    <w:rsid w:val="009A1FBC"/>
    <w:rsid w:val="009A5EE0"/>
    <w:rsid w:val="009A7D4F"/>
    <w:rsid w:val="009B32E3"/>
    <w:rsid w:val="009B363E"/>
    <w:rsid w:val="009B4760"/>
    <w:rsid w:val="009B69BA"/>
    <w:rsid w:val="009C30FC"/>
    <w:rsid w:val="009C6EC5"/>
    <w:rsid w:val="009D091B"/>
    <w:rsid w:val="009D1F92"/>
    <w:rsid w:val="009D2938"/>
    <w:rsid w:val="009D3F37"/>
    <w:rsid w:val="009D4000"/>
    <w:rsid w:val="009D4206"/>
    <w:rsid w:val="009D44F2"/>
    <w:rsid w:val="009D6FCC"/>
    <w:rsid w:val="009E0A1A"/>
    <w:rsid w:val="009E0B05"/>
    <w:rsid w:val="009E2CCB"/>
    <w:rsid w:val="009E2F95"/>
    <w:rsid w:val="009E386D"/>
    <w:rsid w:val="009E4230"/>
    <w:rsid w:val="009E50F0"/>
    <w:rsid w:val="009E56CE"/>
    <w:rsid w:val="009E5FB4"/>
    <w:rsid w:val="009E79B9"/>
    <w:rsid w:val="009F0A51"/>
    <w:rsid w:val="009F0C07"/>
    <w:rsid w:val="009F0F3E"/>
    <w:rsid w:val="009F2520"/>
    <w:rsid w:val="009F303C"/>
    <w:rsid w:val="009F3293"/>
    <w:rsid w:val="009F3CE0"/>
    <w:rsid w:val="009F4A40"/>
    <w:rsid w:val="009F54CA"/>
    <w:rsid w:val="00A034F7"/>
    <w:rsid w:val="00A0378D"/>
    <w:rsid w:val="00A048A1"/>
    <w:rsid w:val="00A05D1E"/>
    <w:rsid w:val="00A06843"/>
    <w:rsid w:val="00A14023"/>
    <w:rsid w:val="00A20D92"/>
    <w:rsid w:val="00A2501E"/>
    <w:rsid w:val="00A25ADE"/>
    <w:rsid w:val="00A270CA"/>
    <w:rsid w:val="00A27951"/>
    <w:rsid w:val="00A27F8F"/>
    <w:rsid w:val="00A3086F"/>
    <w:rsid w:val="00A30A6A"/>
    <w:rsid w:val="00A31817"/>
    <w:rsid w:val="00A31A39"/>
    <w:rsid w:val="00A322E9"/>
    <w:rsid w:val="00A323FC"/>
    <w:rsid w:val="00A32F06"/>
    <w:rsid w:val="00A332CA"/>
    <w:rsid w:val="00A3544B"/>
    <w:rsid w:val="00A36A90"/>
    <w:rsid w:val="00A37383"/>
    <w:rsid w:val="00A377F7"/>
    <w:rsid w:val="00A40254"/>
    <w:rsid w:val="00A40C1C"/>
    <w:rsid w:val="00A40E27"/>
    <w:rsid w:val="00A425EA"/>
    <w:rsid w:val="00A44FD5"/>
    <w:rsid w:val="00A450AB"/>
    <w:rsid w:val="00A47BBB"/>
    <w:rsid w:val="00A50E75"/>
    <w:rsid w:val="00A51EE7"/>
    <w:rsid w:val="00A526FB"/>
    <w:rsid w:val="00A5626C"/>
    <w:rsid w:val="00A62698"/>
    <w:rsid w:val="00A755B8"/>
    <w:rsid w:val="00A75D50"/>
    <w:rsid w:val="00A77B94"/>
    <w:rsid w:val="00A8305C"/>
    <w:rsid w:val="00A83325"/>
    <w:rsid w:val="00A8407A"/>
    <w:rsid w:val="00A85993"/>
    <w:rsid w:val="00A90D9E"/>
    <w:rsid w:val="00A920EF"/>
    <w:rsid w:val="00A92B05"/>
    <w:rsid w:val="00A96AB4"/>
    <w:rsid w:val="00A96B67"/>
    <w:rsid w:val="00AA07CA"/>
    <w:rsid w:val="00AA2AFE"/>
    <w:rsid w:val="00AA2EC0"/>
    <w:rsid w:val="00AA357E"/>
    <w:rsid w:val="00AA36FA"/>
    <w:rsid w:val="00AA3AB8"/>
    <w:rsid w:val="00AA59CD"/>
    <w:rsid w:val="00AB1CFC"/>
    <w:rsid w:val="00AB547F"/>
    <w:rsid w:val="00AC00C7"/>
    <w:rsid w:val="00AC0F4D"/>
    <w:rsid w:val="00AC1D2B"/>
    <w:rsid w:val="00AC2360"/>
    <w:rsid w:val="00AC2DA5"/>
    <w:rsid w:val="00AC3494"/>
    <w:rsid w:val="00AC3DF7"/>
    <w:rsid w:val="00AC4331"/>
    <w:rsid w:val="00AC5029"/>
    <w:rsid w:val="00AC5EE3"/>
    <w:rsid w:val="00AC7BCA"/>
    <w:rsid w:val="00AD22E1"/>
    <w:rsid w:val="00AD396D"/>
    <w:rsid w:val="00AD55CE"/>
    <w:rsid w:val="00AD601E"/>
    <w:rsid w:val="00AD73A5"/>
    <w:rsid w:val="00AE2366"/>
    <w:rsid w:val="00AE38C5"/>
    <w:rsid w:val="00AE66D3"/>
    <w:rsid w:val="00AF0E16"/>
    <w:rsid w:val="00AF5CC6"/>
    <w:rsid w:val="00AF784C"/>
    <w:rsid w:val="00B00183"/>
    <w:rsid w:val="00B004BB"/>
    <w:rsid w:val="00B025B5"/>
    <w:rsid w:val="00B02FA5"/>
    <w:rsid w:val="00B03263"/>
    <w:rsid w:val="00B03E66"/>
    <w:rsid w:val="00B04BDB"/>
    <w:rsid w:val="00B06C80"/>
    <w:rsid w:val="00B07CFF"/>
    <w:rsid w:val="00B07E69"/>
    <w:rsid w:val="00B10EEB"/>
    <w:rsid w:val="00B11430"/>
    <w:rsid w:val="00B11E69"/>
    <w:rsid w:val="00B12778"/>
    <w:rsid w:val="00B13675"/>
    <w:rsid w:val="00B14982"/>
    <w:rsid w:val="00B1586B"/>
    <w:rsid w:val="00B1712F"/>
    <w:rsid w:val="00B20D44"/>
    <w:rsid w:val="00B21405"/>
    <w:rsid w:val="00B228DB"/>
    <w:rsid w:val="00B25478"/>
    <w:rsid w:val="00B310EB"/>
    <w:rsid w:val="00B36E00"/>
    <w:rsid w:val="00B4045B"/>
    <w:rsid w:val="00B40478"/>
    <w:rsid w:val="00B45115"/>
    <w:rsid w:val="00B45C90"/>
    <w:rsid w:val="00B50D79"/>
    <w:rsid w:val="00B558EE"/>
    <w:rsid w:val="00B61D5A"/>
    <w:rsid w:val="00B62457"/>
    <w:rsid w:val="00B64398"/>
    <w:rsid w:val="00B651B8"/>
    <w:rsid w:val="00B65D51"/>
    <w:rsid w:val="00B67A93"/>
    <w:rsid w:val="00B67B53"/>
    <w:rsid w:val="00B7011F"/>
    <w:rsid w:val="00B701D8"/>
    <w:rsid w:val="00B7042E"/>
    <w:rsid w:val="00B70A2F"/>
    <w:rsid w:val="00B725A6"/>
    <w:rsid w:val="00B72C3F"/>
    <w:rsid w:val="00B74131"/>
    <w:rsid w:val="00B8173D"/>
    <w:rsid w:val="00B853F5"/>
    <w:rsid w:val="00B87BB7"/>
    <w:rsid w:val="00B93CCE"/>
    <w:rsid w:val="00B9402F"/>
    <w:rsid w:val="00B943A5"/>
    <w:rsid w:val="00B9503A"/>
    <w:rsid w:val="00BA0C48"/>
    <w:rsid w:val="00BA18E9"/>
    <w:rsid w:val="00BA6C67"/>
    <w:rsid w:val="00BA6C6A"/>
    <w:rsid w:val="00BB0EE6"/>
    <w:rsid w:val="00BB2F09"/>
    <w:rsid w:val="00BB63FD"/>
    <w:rsid w:val="00BB7420"/>
    <w:rsid w:val="00BB79E9"/>
    <w:rsid w:val="00BC01D2"/>
    <w:rsid w:val="00BC0F3E"/>
    <w:rsid w:val="00BC230C"/>
    <w:rsid w:val="00BC36D7"/>
    <w:rsid w:val="00BC38A9"/>
    <w:rsid w:val="00BC41A7"/>
    <w:rsid w:val="00BC5675"/>
    <w:rsid w:val="00BC644A"/>
    <w:rsid w:val="00BD22C4"/>
    <w:rsid w:val="00BD3525"/>
    <w:rsid w:val="00BD3E22"/>
    <w:rsid w:val="00BD41AE"/>
    <w:rsid w:val="00BD49C3"/>
    <w:rsid w:val="00BD78D3"/>
    <w:rsid w:val="00BE1A74"/>
    <w:rsid w:val="00BE2596"/>
    <w:rsid w:val="00BE29CD"/>
    <w:rsid w:val="00BE522A"/>
    <w:rsid w:val="00BE6962"/>
    <w:rsid w:val="00BE6F3C"/>
    <w:rsid w:val="00BE7827"/>
    <w:rsid w:val="00BF147D"/>
    <w:rsid w:val="00BF16BF"/>
    <w:rsid w:val="00BF1BAE"/>
    <w:rsid w:val="00BF6989"/>
    <w:rsid w:val="00BF6EFC"/>
    <w:rsid w:val="00C023BF"/>
    <w:rsid w:val="00C03C63"/>
    <w:rsid w:val="00C043B2"/>
    <w:rsid w:val="00C05201"/>
    <w:rsid w:val="00C06ED7"/>
    <w:rsid w:val="00C076C7"/>
    <w:rsid w:val="00C10771"/>
    <w:rsid w:val="00C1121B"/>
    <w:rsid w:val="00C11656"/>
    <w:rsid w:val="00C12F3F"/>
    <w:rsid w:val="00C15588"/>
    <w:rsid w:val="00C15AD7"/>
    <w:rsid w:val="00C17231"/>
    <w:rsid w:val="00C17A06"/>
    <w:rsid w:val="00C203D5"/>
    <w:rsid w:val="00C22163"/>
    <w:rsid w:val="00C24ECC"/>
    <w:rsid w:val="00C27CD8"/>
    <w:rsid w:val="00C2C679"/>
    <w:rsid w:val="00C3051B"/>
    <w:rsid w:val="00C32159"/>
    <w:rsid w:val="00C332FD"/>
    <w:rsid w:val="00C376A4"/>
    <w:rsid w:val="00C40A86"/>
    <w:rsid w:val="00C416CB"/>
    <w:rsid w:val="00C434C4"/>
    <w:rsid w:val="00C436A1"/>
    <w:rsid w:val="00C43EA3"/>
    <w:rsid w:val="00C44397"/>
    <w:rsid w:val="00C4675D"/>
    <w:rsid w:val="00C46A90"/>
    <w:rsid w:val="00C471F6"/>
    <w:rsid w:val="00C475F9"/>
    <w:rsid w:val="00C520E1"/>
    <w:rsid w:val="00C52412"/>
    <w:rsid w:val="00C53943"/>
    <w:rsid w:val="00C54AA8"/>
    <w:rsid w:val="00C5503B"/>
    <w:rsid w:val="00C576A0"/>
    <w:rsid w:val="00C60481"/>
    <w:rsid w:val="00C61A87"/>
    <w:rsid w:val="00C61CB6"/>
    <w:rsid w:val="00C637F1"/>
    <w:rsid w:val="00C64387"/>
    <w:rsid w:val="00C64E79"/>
    <w:rsid w:val="00C66DA7"/>
    <w:rsid w:val="00C66E61"/>
    <w:rsid w:val="00C6768B"/>
    <w:rsid w:val="00C71AC2"/>
    <w:rsid w:val="00C72A2C"/>
    <w:rsid w:val="00C73390"/>
    <w:rsid w:val="00C741F5"/>
    <w:rsid w:val="00C75E16"/>
    <w:rsid w:val="00C766ED"/>
    <w:rsid w:val="00C76C48"/>
    <w:rsid w:val="00C77CB6"/>
    <w:rsid w:val="00C84C0A"/>
    <w:rsid w:val="00C85784"/>
    <w:rsid w:val="00C86BFF"/>
    <w:rsid w:val="00C91988"/>
    <w:rsid w:val="00C9218F"/>
    <w:rsid w:val="00C928F7"/>
    <w:rsid w:val="00C929E4"/>
    <w:rsid w:val="00C93CE9"/>
    <w:rsid w:val="00C9448D"/>
    <w:rsid w:val="00C9519B"/>
    <w:rsid w:val="00C958EA"/>
    <w:rsid w:val="00C973D4"/>
    <w:rsid w:val="00C97966"/>
    <w:rsid w:val="00CA07D7"/>
    <w:rsid w:val="00CA277E"/>
    <w:rsid w:val="00CA2E2A"/>
    <w:rsid w:val="00CA50CC"/>
    <w:rsid w:val="00CA7E1F"/>
    <w:rsid w:val="00CB2553"/>
    <w:rsid w:val="00CB3869"/>
    <w:rsid w:val="00CB4D04"/>
    <w:rsid w:val="00CB657F"/>
    <w:rsid w:val="00CB6E75"/>
    <w:rsid w:val="00CC1C98"/>
    <w:rsid w:val="00CC203F"/>
    <w:rsid w:val="00CC23F8"/>
    <w:rsid w:val="00CC3108"/>
    <w:rsid w:val="00CC32DB"/>
    <w:rsid w:val="00CC36B8"/>
    <w:rsid w:val="00CC3B8E"/>
    <w:rsid w:val="00CC5C01"/>
    <w:rsid w:val="00CC719B"/>
    <w:rsid w:val="00CD2C95"/>
    <w:rsid w:val="00CD45E8"/>
    <w:rsid w:val="00CD4654"/>
    <w:rsid w:val="00CE1B16"/>
    <w:rsid w:val="00CE2480"/>
    <w:rsid w:val="00CE6208"/>
    <w:rsid w:val="00CF26C0"/>
    <w:rsid w:val="00CF2C75"/>
    <w:rsid w:val="00CF76B4"/>
    <w:rsid w:val="00CF7B19"/>
    <w:rsid w:val="00D00AA0"/>
    <w:rsid w:val="00D0228C"/>
    <w:rsid w:val="00D04068"/>
    <w:rsid w:val="00D06B5A"/>
    <w:rsid w:val="00D07260"/>
    <w:rsid w:val="00D07908"/>
    <w:rsid w:val="00D10105"/>
    <w:rsid w:val="00D10758"/>
    <w:rsid w:val="00D114AF"/>
    <w:rsid w:val="00D1238A"/>
    <w:rsid w:val="00D14712"/>
    <w:rsid w:val="00D164B7"/>
    <w:rsid w:val="00D176A3"/>
    <w:rsid w:val="00D17D14"/>
    <w:rsid w:val="00D17F61"/>
    <w:rsid w:val="00D20245"/>
    <w:rsid w:val="00D20B03"/>
    <w:rsid w:val="00D21E35"/>
    <w:rsid w:val="00D22372"/>
    <w:rsid w:val="00D22A0D"/>
    <w:rsid w:val="00D2325B"/>
    <w:rsid w:val="00D25336"/>
    <w:rsid w:val="00D2604F"/>
    <w:rsid w:val="00D40A60"/>
    <w:rsid w:val="00D40C8D"/>
    <w:rsid w:val="00D41FEC"/>
    <w:rsid w:val="00D44669"/>
    <w:rsid w:val="00D4540D"/>
    <w:rsid w:val="00D45977"/>
    <w:rsid w:val="00D4781A"/>
    <w:rsid w:val="00D47B57"/>
    <w:rsid w:val="00D50FAD"/>
    <w:rsid w:val="00D5273A"/>
    <w:rsid w:val="00D53AFB"/>
    <w:rsid w:val="00D54D47"/>
    <w:rsid w:val="00D55C78"/>
    <w:rsid w:val="00D60A37"/>
    <w:rsid w:val="00D62636"/>
    <w:rsid w:val="00D627EB"/>
    <w:rsid w:val="00D62882"/>
    <w:rsid w:val="00D63560"/>
    <w:rsid w:val="00D63B83"/>
    <w:rsid w:val="00D65108"/>
    <w:rsid w:val="00D67D69"/>
    <w:rsid w:val="00D7044F"/>
    <w:rsid w:val="00D70617"/>
    <w:rsid w:val="00D71B23"/>
    <w:rsid w:val="00D72F37"/>
    <w:rsid w:val="00D736B8"/>
    <w:rsid w:val="00D74EE2"/>
    <w:rsid w:val="00D7748C"/>
    <w:rsid w:val="00D82637"/>
    <w:rsid w:val="00D82B81"/>
    <w:rsid w:val="00D82B9C"/>
    <w:rsid w:val="00D84AF6"/>
    <w:rsid w:val="00D84ED8"/>
    <w:rsid w:val="00D8514A"/>
    <w:rsid w:val="00D8680B"/>
    <w:rsid w:val="00D87D53"/>
    <w:rsid w:val="00D9124B"/>
    <w:rsid w:val="00D917B3"/>
    <w:rsid w:val="00D92728"/>
    <w:rsid w:val="00D93B7C"/>
    <w:rsid w:val="00DA0666"/>
    <w:rsid w:val="00DA1178"/>
    <w:rsid w:val="00DA256A"/>
    <w:rsid w:val="00DA3A40"/>
    <w:rsid w:val="00DA4934"/>
    <w:rsid w:val="00DA58D6"/>
    <w:rsid w:val="00DB198E"/>
    <w:rsid w:val="00DB34BD"/>
    <w:rsid w:val="00DB5971"/>
    <w:rsid w:val="00DB7080"/>
    <w:rsid w:val="00DB7E99"/>
    <w:rsid w:val="00DC0458"/>
    <w:rsid w:val="00DC0A9B"/>
    <w:rsid w:val="00DC11EE"/>
    <w:rsid w:val="00DC1A00"/>
    <w:rsid w:val="00DC463C"/>
    <w:rsid w:val="00DC5972"/>
    <w:rsid w:val="00DC66A0"/>
    <w:rsid w:val="00DC77D2"/>
    <w:rsid w:val="00DC78C8"/>
    <w:rsid w:val="00DC7FB4"/>
    <w:rsid w:val="00DD020D"/>
    <w:rsid w:val="00DD024E"/>
    <w:rsid w:val="00DD038C"/>
    <w:rsid w:val="00DD0607"/>
    <w:rsid w:val="00DD17BE"/>
    <w:rsid w:val="00DD20C7"/>
    <w:rsid w:val="00DD280B"/>
    <w:rsid w:val="00DD4471"/>
    <w:rsid w:val="00DD4D93"/>
    <w:rsid w:val="00DE414C"/>
    <w:rsid w:val="00DE474D"/>
    <w:rsid w:val="00DE6B7C"/>
    <w:rsid w:val="00DF0ED5"/>
    <w:rsid w:val="00DF2CB4"/>
    <w:rsid w:val="00DF4AB7"/>
    <w:rsid w:val="00DF4F2E"/>
    <w:rsid w:val="00DF5CC1"/>
    <w:rsid w:val="00E0188A"/>
    <w:rsid w:val="00E01BA7"/>
    <w:rsid w:val="00E03009"/>
    <w:rsid w:val="00E03AB0"/>
    <w:rsid w:val="00E062EA"/>
    <w:rsid w:val="00E0747E"/>
    <w:rsid w:val="00E117DF"/>
    <w:rsid w:val="00E145E9"/>
    <w:rsid w:val="00E16E4A"/>
    <w:rsid w:val="00E216D3"/>
    <w:rsid w:val="00E232ED"/>
    <w:rsid w:val="00E23664"/>
    <w:rsid w:val="00E24BDD"/>
    <w:rsid w:val="00E24D0E"/>
    <w:rsid w:val="00E2573F"/>
    <w:rsid w:val="00E26E19"/>
    <w:rsid w:val="00E26FC5"/>
    <w:rsid w:val="00E30927"/>
    <w:rsid w:val="00E320D7"/>
    <w:rsid w:val="00E3452D"/>
    <w:rsid w:val="00E353BC"/>
    <w:rsid w:val="00E373F9"/>
    <w:rsid w:val="00E40CCE"/>
    <w:rsid w:val="00E417B2"/>
    <w:rsid w:val="00E41F21"/>
    <w:rsid w:val="00E426C6"/>
    <w:rsid w:val="00E443CD"/>
    <w:rsid w:val="00E506A9"/>
    <w:rsid w:val="00E52EA9"/>
    <w:rsid w:val="00E54621"/>
    <w:rsid w:val="00E54DA5"/>
    <w:rsid w:val="00E55907"/>
    <w:rsid w:val="00E55997"/>
    <w:rsid w:val="00E564DB"/>
    <w:rsid w:val="00E56650"/>
    <w:rsid w:val="00E56AD6"/>
    <w:rsid w:val="00E56F2F"/>
    <w:rsid w:val="00E66C87"/>
    <w:rsid w:val="00E670CE"/>
    <w:rsid w:val="00E703DF"/>
    <w:rsid w:val="00E712AB"/>
    <w:rsid w:val="00E72F9C"/>
    <w:rsid w:val="00E76812"/>
    <w:rsid w:val="00E80015"/>
    <w:rsid w:val="00E80A0F"/>
    <w:rsid w:val="00E83455"/>
    <w:rsid w:val="00E84B7B"/>
    <w:rsid w:val="00E85659"/>
    <w:rsid w:val="00E85805"/>
    <w:rsid w:val="00E864F0"/>
    <w:rsid w:val="00E875A9"/>
    <w:rsid w:val="00E90313"/>
    <w:rsid w:val="00E90FEB"/>
    <w:rsid w:val="00E9100B"/>
    <w:rsid w:val="00E9271F"/>
    <w:rsid w:val="00E95A01"/>
    <w:rsid w:val="00E95AD5"/>
    <w:rsid w:val="00E95AF5"/>
    <w:rsid w:val="00E961DA"/>
    <w:rsid w:val="00E96F39"/>
    <w:rsid w:val="00E97517"/>
    <w:rsid w:val="00E976B6"/>
    <w:rsid w:val="00E97A17"/>
    <w:rsid w:val="00EA070A"/>
    <w:rsid w:val="00EA48D2"/>
    <w:rsid w:val="00EA4BD2"/>
    <w:rsid w:val="00EA5B72"/>
    <w:rsid w:val="00EA67E2"/>
    <w:rsid w:val="00EB1C38"/>
    <w:rsid w:val="00EB20AD"/>
    <w:rsid w:val="00EB297F"/>
    <w:rsid w:val="00EB3ED8"/>
    <w:rsid w:val="00EB40B0"/>
    <w:rsid w:val="00EB47AA"/>
    <w:rsid w:val="00EB4FA2"/>
    <w:rsid w:val="00EB777A"/>
    <w:rsid w:val="00EB7ACD"/>
    <w:rsid w:val="00EC1DD6"/>
    <w:rsid w:val="00EC220D"/>
    <w:rsid w:val="00EC24C0"/>
    <w:rsid w:val="00EC2C4F"/>
    <w:rsid w:val="00EC3AA9"/>
    <w:rsid w:val="00EC4537"/>
    <w:rsid w:val="00EC48D0"/>
    <w:rsid w:val="00EC4CE8"/>
    <w:rsid w:val="00EC4E2B"/>
    <w:rsid w:val="00EC5A47"/>
    <w:rsid w:val="00EC6177"/>
    <w:rsid w:val="00EC6B93"/>
    <w:rsid w:val="00EC7100"/>
    <w:rsid w:val="00ED23AA"/>
    <w:rsid w:val="00ED2C11"/>
    <w:rsid w:val="00ED3D16"/>
    <w:rsid w:val="00ED3FA6"/>
    <w:rsid w:val="00ED4E11"/>
    <w:rsid w:val="00EE06D5"/>
    <w:rsid w:val="00EE5BE3"/>
    <w:rsid w:val="00EF1586"/>
    <w:rsid w:val="00EF1FB8"/>
    <w:rsid w:val="00EF26A4"/>
    <w:rsid w:val="00EF2BD9"/>
    <w:rsid w:val="00EF40AA"/>
    <w:rsid w:val="00EF73F1"/>
    <w:rsid w:val="00F016EC"/>
    <w:rsid w:val="00F01EEE"/>
    <w:rsid w:val="00F02127"/>
    <w:rsid w:val="00F031DD"/>
    <w:rsid w:val="00F03515"/>
    <w:rsid w:val="00F03AD8"/>
    <w:rsid w:val="00F04954"/>
    <w:rsid w:val="00F05443"/>
    <w:rsid w:val="00F059DA"/>
    <w:rsid w:val="00F05A54"/>
    <w:rsid w:val="00F06216"/>
    <w:rsid w:val="00F0684A"/>
    <w:rsid w:val="00F068B6"/>
    <w:rsid w:val="00F077CE"/>
    <w:rsid w:val="00F1079D"/>
    <w:rsid w:val="00F13C24"/>
    <w:rsid w:val="00F142A1"/>
    <w:rsid w:val="00F166C4"/>
    <w:rsid w:val="00F210FC"/>
    <w:rsid w:val="00F2236F"/>
    <w:rsid w:val="00F2429A"/>
    <w:rsid w:val="00F24BBB"/>
    <w:rsid w:val="00F26780"/>
    <w:rsid w:val="00F26A56"/>
    <w:rsid w:val="00F27783"/>
    <w:rsid w:val="00F32A89"/>
    <w:rsid w:val="00F32BEA"/>
    <w:rsid w:val="00F32E4C"/>
    <w:rsid w:val="00F33B19"/>
    <w:rsid w:val="00F35A7D"/>
    <w:rsid w:val="00F37166"/>
    <w:rsid w:val="00F40C2C"/>
    <w:rsid w:val="00F421C9"/>
    <w:rsid w:val="00F43B0F"/>
    <w:rsid w:val="00F45F2F"/>
    <w:rsid w:val="00F515A1"/>
    <w:rsid w:val="00F5592C"/>
    <w:rsid w:val="00F60BA1"/>
    <w:rsid w:val="00F65DF2"/>
    <w:rsid w:val="00F67821"/>
    <w:rsid w:val="00F70B6E"/>
    <w:rsid w:val="00F71D55"/>
    <w:rsid w:val="00F72C9E"/>
    <w:rsid w:val="00F7334C"/>
    <w:rsid w:val="00F7396E"/>
    <w:rsid w:val="00F74456"/>
    <w:rsid w:val="00F75552"/>
    <w:rsid w:val="00F80CF8"/>
    <w:rsid w:val="00F84061"/>
    <w:rsid w:val="00F84FCE"/>
    <w:rsid w:val="00F85F36"/>
    <w:rsid w:val="00F8792D"/>
    <w:rsid w:val="00F87F2B"/>
    <w:rsid w:val="00F87FC1"/>
    <w:rsid w:val="00F905B7"/>
    <w:rsid w:val="00F90B9D"/>
    <w:rsid w:val="00F92A20"/>
    <w:rsid w:val="00F93FA5"/>
    <w:rsid w:val="00F94E71"/>
    <w:rsid w:val="00F94F7A"/>
    <w:rsid w:val="00F95700"/>
    <w:rsid w:val="00F966ED"/>
    <w:rsid w:val="00FA0B55"/>
    <w:rsid w:val="00FA1CC5"/>
    <w:rsid w:val="00FA2D80"/>
    <w:rsid w:val="00FA56B4"/>
    <w:rsid w:val="00FA6911"/>
    <w:rsid w:val="00FA6D27"/>
    <w:rsid w:val="00FA6F72"/>
    <w:rsid w:val="00FB041B"/>
    <w:rsid w:val="00FB3AE0"/>
    <w:rsid w:val="00FB41F9"/>
    <w:rsid w:val="00FB59D8"/>
    <w:rsid w:val="00FB7905"/>
    <w:rsid w:val="00FB7F03"/>
    <w:rsid w:val="00FC0BEC"/>
    <w:rsid w:val="00FC11F8"/>
    <w:rsid w:val="00FC1922"/>
    <w:rsid w:val="00FC33FA"/>
    <w:rsid w:val="00FC3951"/>
    <w:rsid w:val="00FC4B2D"/>
    <w:rsid w:val="00FC53F4"/>
    <w:rsid w:val="00FC63F0"/>
    <w:rsid w:val="00FC6736"/>
    <w:rsid w:val="00FC7BB5"/>
    <w:rsid w:val="00FD2093"/>
    <w:rsid w:val="00FD292A"/>
    <w:rsid w:val="00FD336E"/>
    <w:rsid w:val="00FD4F6B"/>
    <w:rsid w:val="00FD54EE"/>
    <w:rsid w:val="00FD6833"/>
    <w:rsid w:val="00FD699B"/>
    <w:rsid w:val="00FE02EA"/>
    <w:rsid w:val="00FE1C95"/>
    <w:rsid w:val="00FE28A5"/>
    <w:rsid w:val="00FE29AE"/>
    <w:rsid w:val="00FE3D21"/>
    <w:rsid w:val="00FE3EFE"/>
    <w:rsid w:val="00FE4487"/>
    <w:rsid w:val="00FE44D1"/>
    <w:rsid w:val="00FE4F00"/>
    <w:rsid w:val="00FE5BF1"/>
    <w:rsid w:val="00FE6032"/>
    <w:rsid w:val="00FF13C6"/>
    <w:rsid w:val="00FF2D7D"/>
    <w:rsid w:val="00FF3CC5"/>
    <w:rsid w:val="00FF44FB"/>
    <w:rsid w:val="00FF5C15"/>
    <w:rsid w:val="010F249A"/>
    <w:rsid w:val="01885273"/>
    <w:rsid w:val="02D2B644"/>
    <w:rsid w:val="0371C504"/>
    <w:rsid w:val="050C6770"/>
    <w:rsid w:val="050DD2A7"/>
    <w:rsid w:val="05C241B0"/>
    <w:rsid w:val="06108EBE"/>
    <w:rsid w:val="076C11AD"/>
    <w:rsid w:val="07E34A3F"/>
    <w:rsid w:val="08F2FB74"/>
    <w:rsid w:val="091A8407"/>
    <w:rsid w:val="09D8251E"/>
    <w:rsid w:val="0C270800"/>
    <w:rsid w:val="0C50CC84"/>
    <w:rsid w:val="0EF60A03"/>
    <w:rsid w:val="0F3E3D29"/>
    <w:rsid w:val="0FBA8960"/>
    <w:rsid w:val="1057A261"/>
    <w:rsid w:val="11ABA734"/>
    <w:rsid w:val="13561263"/>
    <w:rsid w:val="1463104D"/>
    <w:rsid w:val="15A480FA"/>
    <w:rsid w:val="16C77716"/>
    <w:rsid w:val="16D44168"/>
    <w:rsid w:val="17AEDD31"/>
    <w:rsid w:val="18491863"/>
    <w:rsid w:val="18671B4D"/>
    <w:rsid w:val="1922062C"/>
    <w:rsid w:val="193FA703"/>
    <w:rsid w:val="1AD43C12"/>
    <w:rsid w:val="1B5EB41E"/>
    <w:rsid w:val="1C77DF35"/>
    <w:rsid w:val="1CC957B0"/>
    <w:rsid w:val="1DE7C228"/>
    <w:rsid w:val="1EA69D7B"/>
    <w:rsid w:val="1EC38D67"/>
    <w:rsid w:val="1F2FB2AB"/>
    <w:rsid w:val="1F37D521"/>
    <w:rsid w:val="1F430C1F"/>
    <w:rsid w:val="20A05F5C"/>
    <w:rsid w:val="22A1442E"/>
    <w:rsid w:val="233F2F91"/>
    <w:rsid w:val="23BD2C7D"/>
    <w:rsid w:val="24D0DC9E"/>
    <w:rsid w:val="288681AC"/>
    <w:rsid w:val="288B700A"/>
    <w:rsid w:val="2919E11F"/>
    <w:rsid w:val="29866EA7"/>
    <w:rsid w:val="2A010B73"/>
    <w:rsid w:val="2A0CCCA8"/>
    <w:rsid w:val="2AECB6FD"/>
    <w:rsid w:val="2B112767"/>
    <w:rsid w:val="2B2907C5"/>
    <w:rsid w:val="2D35B6B6"/>
    <w:rsid w:val="2D5822AC"/>
    <w:rsid w:val="2D75465F"/>
    <w:rsid w:val="2D8C801D"/>
    <w:rsid w:val="2E9F0096"/>
    <w:rsid w:val="2EB5510F"/>
    <w:rsid w:val="2ECACB55"/>
    <w:rsid w:val="2F926E8D"/>
    <w:rsid w:val="2FE82175"/>
    <w:rsid w:val="301028F5"/>
    <w:rsid w:val="30816C23"/>
    <w:rsid w:val="30A6014D"/>
    <w:rsid w:val="30C4D2B6"/>
    <w:rsid w:val="30F225EA"/>
    <w:rsid w:val="313C85CA"/>
    <w:rsid w:val="32CCC9BF"/>
    <w:rsid w:val="3373B725"/>
    <w:rsid w:val="34DCB5FD"/>
    <w:rsid w:val="3547C20C"/>
    <w:rsid w:val="359DD160"/>
    <w:rsid w:val="36D9AE4B"/>
    <w:rsid w:val="375B36B2"/>
    <w:rsid w:val="3762965E"/>
    <w:rsid w:val="3853D7CA"/>
    <w:rsid w:val="387A6296"/>
    <w:rsid w:val="38A08E49"/>
    <w:rsid w:val="399F16A0"/>
    <w:rsid w:val="39ABBBF9"/>
    <w:rsid w:val="3B13B283"/>
    <w:rsid w:val="3B522F89"/>
    <w:rsid w:val="3B9B7803"/>
    <w:rsid w:val="3B9DDB33"/>
    <w:rsid w:val="3BDFF7A8"/>
    <w:rsid w:val="3C7B94ED"/>
    <w:rsid w:val="3C8F4766"/>
    <w:rsid w:val="3CCE9F85"/>
    <w:rsid w:val="3D96489C"/>
    <w:rsid w:val="3F687D44"/>
    <w:rsid w:val="3FB41CDB"/>
    <w:rsid w:val="4020D601"/>
    <w:rsid w:val="40310C3F"/>
    <w:rsid w:val="40E3857C"/>
    <w:rsid w:val="410B4AD7"/>
    <w:rsid w:val="412E6284"/>
    <w:rsid w:val="4183FBB0"/>
    <w:rsid w:val="42CACCD2"/>
    <w:rsid w:val="43052FAB"/>
    <w:rsid w:val="4384109D"/>
    <w:rsid w:val="4425B301"/>
    <w:rsid w:val="446A8A18"/>
    <w:rsid w:val="44914D02"/>
    <w:rsid w:val="44D63E44"/>
    <w:rsid w:val="45C6187C"/>
    <w:rsid w:val="45F4B86D"/>
    <w:rsid w:val="47163A26"/>
    <w:rsid w:val="474DF1A3"/>
    <w:rsid w:val="476B1255"/>
    <w:rsid w:val="478F7A34"/>
    <w:rsid w:val="47C6351A"/>
    <w:rsid w:val="47F969E1"/>
    <w:rsid w:val="47FEDEEF"/>
    <w:rsid w:val="48DD382B"/>
    <w:rsid w:val="48EC0187"/>
    <w:rsid w:val="492F1E6B"/>
    <w:rsid w:val="4A3C663A"/>
    <w:rsid w:val="4A82DB35"/>
    <w:rsid w:val="4ACDBD45"/>
    <w:rsid w:val="4C591126"/>
    <w:rsid w:val="4D1AE7DF"/>
    <w:rsid w:val="4D2596F1"/>
    <w:rsid w:val="4D2F72CC"/>
    <w:rsid w:val="4DF4E187"/>
    <w:rsid w:val="4E41F6B0"/>
    <w:rsid w:val="4EA74BE9"/>
    <w:rsid w:val="4ED693A0"/>
    <w:rsid w:val="50F20F7E"/>
    <w:rsid w:val="51494BAB"/>
    <w:rsid w:val="522B2E07"/>
    <w:rsid w:val="52EB7870"/>
    <w:rsid w:val="53DAAE40"/>
    <w:rsid w:val="544F8EB0"/>
    <w:rsid w:val="55D96415"/>
    <w:rsid w:val="56246BC9"/>
    <w:rsid w:val="564FEF3E"/>
    <w:rsid w:val="57E5FC94"/>
    <w:rsid w:val="5851CEB9"/>
    <w:rsid w:val="58DA361D"/>
    <w:rsid w:val="59057511"/>
    <w:rsid w:val="5A143F80"/>
    <w:rsid w:val="5A168FAF"/>
    <w:rsid w:val="5A83024D"/>
    <w:rsid w:val="5AAB41E5"/>
    <w:rsid w:val="5AD48AD0"/>
    <w:rsid w:val="5B401C8A"/>
    <w:rsid w:val="5C1B9C56"/>
    <w:rsid w:val="5CF91C2D"/>
    <w:rsid w:val="5D23C14E"/>
    <w:rsid w:val="5E45F044"/>
    <w:rsid w:val="5E9A39D9"/>
    <w:rsid w:val="5EE26CFF"/>
    <w:rsid w:val="5FC14806"/>
    <w:rsid w:val="6003380C"/>
    <w:rsid w:val="61D1B658"/>
    <w:rsid w:val="628C3408"/>
    <w:rsid w:val="6291D2D8"/>
    <w:rsid w:val="63252296"/>
    <w:rsid w:val="63354C93"/>
    <w:rsid w:val="6414DD0E"/>
    <w:rsid w:val="6514B448"/>
    <w:rsid w:val="65531A47"/>
    <w:rsid w:val="65D5982A"/>
    <w:rsid w:val="66097F45"/>
    <w:rsid w:val="661C29EE"/>
    <w:rsid w:val="66D9FF0B"/>
    <w:rsid w:val="675C7487"/>
    <w:rsid w:val="688D40E3"/>
    <w:rsid w:val="688FB3CC"/>
    <w:rsid w:val="68B46249"/>
    <w:rsid w:val="69129F30"/>
    <w:rsid w:val="69403E14"/>
    <w:rsid w:val="69698914"/>
    <w:rsid w:val="6A1E2F3A"/>
    <w:rsid w:val="6A65F348"/>
    <w:rsid w:val="6AD6BA88"/>
    <w:rsid w:val="6B72B65F"/>
    <w:rsid w:val="6C599F09"/>
    <w:rsid w:val="6CB047D3"/>
    <w:rsid w:val="6CE31142"/>
    <w:rsid w:val="6D04A2C3"/>
    <w:rsid w:val="6D0E86C0"/>
    <w:rsid w:val="6D7D4A4B"/>
    <w:rsid w:val="6E3B9C00"/>
    <w:rsid w:val="6EAA5721"/>
    <w:rsid w:val="6FEC53BC"/>
    <w:rsid w:val="7051C75D"/>
    <w:rsid w:val="707B38CD"/>
    <w:rsid w:val="7189E10D"/>
    <w:rsid w:val="71E010FC"/>
    <w:rsid w:val="72129E07"/>
    <w:rsid w:val="72289098"/>
    <w:rsid w:val="722F9A13"/>
    <w:rsid w:val="725C766B"/>
    <w:rsid w:val="72830952"/>
    <w:rsid w:val="73174DA5"/>
    <w:rsid w:val="7380E501"/>
    <w:rsid w:val="74DC4A5D"/>
    <w:rsid w:val="7517DB10"/>
    <w:rsid w:val="7573925C"/>
    <w:rsid w:val="7594F9DD"/>
    <w:rsid w:val="768EAA85"/>
    <w:rsid w:val="76D5887D"/>
    <w:rsid w:val="770485BE"/>
    <w:rsid w:val="7797FFB1"/>
    <w:rsid w:val="7806B71B"/>
    <w:rsid w:val="79AF5621"/>
    <w:rsid w:val="79C8CDD9"/>
    <w:rsid w:val="7A81A2B0"/>
    <w:rsid w:val="7AFCD452"/>
    <w:rsid w:val="7DA4F772"/>
    <w:rsid w:val="7E9605A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BE312CD1-A137-42E2-83A9-308315A9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922062C"/>
    <w:rPr>
      <w:rFonts w:ascii="Arial" w:hAnsi="Arial"/>
      <w:color w:val="15272F" w:themeColor="accent1"/>
      <w:lang w:val="en-AU"/>
    </w:rPr>
  </w:style>
  <w:style w:type="paragraph" w:styleId="Heading1">
    <w:name w:val="heading 1"/>
    <w:basedOn w:val="Normal"/>
    <w:next w:val="Normal"/>
    <w:link w:val="Heading1Char"/>
    <w:uiPriority w:val="9"/>
    <w:qFormat/>
    <w:rsid w:val="1922062C"/>
    <w:pPr>
      <w:keepNext/>
      <w:keepLines/>
      <w:spacing w:after="480"/>
      <w:outlineLvl w:val="0"/>
    </w:pPr>
    <w:rPr>
      <w:rFonts w:eastAsiaTheme="majorEastAsia" w:cstheme="majorBidi"/>
      <w:b/>
      <w:bCs/>
      <w:sz w:val="72"/>
      <w:szCs w:val="72"/>
    </w:rPr>
  </w:style>
  <w:style w:type="paragraph" w:styleId="Heading2">
    <w:name w:val="heading 2"/>
    <w:basedOn w:val="Normal"/>
    <w:next w:val="Normal"/>
    <w:link w:val="Heading2Char"/>
    <w:uiPriority w:val="9"/>
    <w:unhideWhenUsed/>
    <w:qFormat/>
    <w:rsid w:val="1922062C"/>
    <w:pPr>
      <w:keepNext/>
      <w:keepLines/>
      <w:spacing w:before="120" w:after="240"/>
      <w:outlineLvl w:val="1"/>
    </w:pPr>
    <w:rPr>
      <w:rFonts w:eastAsiaTheme="majorEastAsia" w:cstheme="majorBidi"/>
      <w:b/>
      <w:bCs/>
      <w:color w:val="104F99" w:themeColor="accent2"/>
      <w:sz w:val="36"/>
      <w:szCs w:val="36"/>
    </w:rPr>
  </w:style>
  <w:style w:type="paragraph" w:styleId="Heading3">
    <w:name w:val="heading 3"/>
    <w:basedOn w:val="Normal"/>
    <w:next w:val="Normal"/>
    <w:link w:val="Heading3Char"/>
    <w:uiPriority w:val="9"/>
    <w:unhideWhenUsed/>
    <w:qFormat/>
    <w:rsid w:val="1922062C"/>
    <w:pPr>
      <w:keepNext/>
      <w:keepLines/>
      <w:spacing w:before="120" w:after="240"/>
      <w:outlineLvl w:val="2"/>
    </w:pPr>
    <w:rPr>
      <w:rFonts w:eastAsiaTheme="majorEastAsia" w:cstheme="majorBidi"/>
      <w:b/>
      <w:bCs/>
      <w:color w:val="008F55" w:themeColor="accent4"/>
      <w:sz w:val="26"/>
      <w:szCs w:val="26"/>
    </w:rPr>
  </w:style>
  <w:style w:type="paragraph" w:styleId="Heading4">
    <w:name w:val="heading 4"/>
    <w:basedOn w:val="Normal"/>
    <w:next w:val="Normal"/>
    <w:link w:val="Heading4Char"/>
    <w:uiPriority w:val="9"/>
    <w:unhideWhenUsed/>
    <w:qFormat/>
    <w:rsid w:val="1922062C"/>
    <w:pPr>
      <w:keepNext/>
      <w:keepLines/>
      <w:spacing w:before="120" w:after="240"/>
      <w:outlineLvl w:val="3"/>
    </w:pPr>
    <w:rPr>
      <w:rFonts w:eastAsiaTheme="majorEastAsia" w:cstheme="majorBidi"/>
      <w:b/>
      <w:bCs/>
    </w:rPr>
  </w:style>
  <w:style w:type="paragraph" w:styleId="Heading5">
    <w:name w:val="heading 5"/>
    <w:basedOn w:val="Normal"/>
    <w:next w:val="Normal"/>
    <w:link w:val="Heading5Char"/>
    <w:uiPriority w:val="9"/>
    <w:semiHidden/>
    <w:unhideWhenUsed/>
    <w:rsid w:val="1922062C"/>
    <w:pPr>
      <w:keepNext/>
      <w:keepLines/>
      <w:spacing w:before="40" w:after="0"/>
      <w:outlineLvl w:val="4"/>
    </w:pPr>
    <w:rPr>
      <w:rFonts w:eastAsiaTheme="majorEastAsia" w:cstheme="majorBidi"/>
      <w:b/>
      <w:bCs/>
      <w:color w:val="0F1D23"/>
    </w:rPr>
  </w:style>
  <w:style w:type="paragraph" w:styleId="Heading6">
    <w:name w:val="heading 6"/>
    <w:basedOn w:val="Normal"/>
    <w:next w:val="Normal"/>
    <w:link w:val="Heading6Char"/>
    <w:uiPriority w:val="9"/>
    <w:unhideWhenUsed/>
    <w:qFormat/>
    <w:rsid w:val="1922062C"/>
    <w:pPr>
      <w:keepNext/>
      <w:keepLines/>
      <w:spacing w:before="40" w:after="0"/>
      <w:outlineLvl w:val="5"/>
    </w:pPr>
    <w:rPr>
      <w:rFonts w:asciiTheme="majorHAnsi" w:eastAsiaTheme="majorEastAsia" w:hAnsiTheme="majorHAnsi" w:cstheme="majorBidi"/>
      <w:color w:val="0A1317"/>
    </w:rPr>
  </w:style>
  <w:style w:type="paragraph" w:styleId="Heading7">
    <w:name w:val="heading 7"/>
    <w:basedOn w:val="Normal"/>
    <w:next w:val="Normal"/>
    <w:link w:val="Heading7Char"/>
    <w:uiPriority w:val="9"/>
    <w:unhideWhenUsed/>
    <w:qFormat/>
    <w:rsid w:val="1922062C"/>
    <w:pPr>
      <w:keepNext/>
      <w:keepLines/>
      <w:spacing w:before="40" w:after="0"/>
      <w:outlineLvl w:val="6"/>
    </w:pPr>
    <w:rPr>
      <w:rFonts w:asciiTheme="majorHAnsi" w:eastAsiaTheme="majorEastAsia" w:hAnsiTheme="majorHAnsi" w:cstheme="majorBidi"/>
      <w:i/>
      <w:iCs/>
      <w:color w:val="0A1317"/>
    </w:rPr>
  </w:style>
  <w:style w:type="paragraph" w:styleId="Heading8">
    <w:name w:val="heading 8"/>
    <w:basedOn w:val="Normal"/>
    <w:next w:val="Normal"/>
    <w:link w:val="Heading8Char"/>
    <w:uiPriority w:val="9"/>
    <w:unhideWhenUsed/>
    <w:qFormat/>
    <w:rsid w:val="1922062C"/>
    <w:pPr>
      <w:keepNext/>
      <w:keepLines/>
      <w:spacing w:before="40" w:after="0"/>
      <w:outlineLvl w:val="7"/>
    </w:pPr>
    <w:rPr>
      <w:rFonts w:asciiTheme="majorHAnsi" w:eastAsiaTheme="majorEastAsia" w:hAnsiTheme="majorHAnsi" w:cstheme="majorBidi"/>
      <w:color w:val="294D5D"/>
      <w:sz w:val="21"/>
      <w:szCs w:val="21"/>
    </w:rPr>
  </w:style>
  <w:style w:type="paragraph" w:styleId="Heading9">
    <w:name w:val="heading 9"/>
    <w:basedOn w:val="Normal"/>
    <w:next w:val="Normal"/>
    <w:link w:val="Heading9Char"/>
    <w:uiPriority w:val="9"/>
    <w:unhideWhenUsed/>
    <w:qFormat/>
    <w:rsid w:val="1922062C"/>
    <w:pPr>
      <w:keepNext/>
      <w:keepLines/>
      <w:spacing w:before="40" w:after="0"/>
      <w:outlineLvl w:val="8"/>
    </w:pPr>
    <w:rPr>
      <w:rFonts w:asciiTheme="majorHAnsi" w:eastAsiaTheme="majorEastAsia" w:hAnsiTheme="majorHAnsi" w:cstheme="majorBidi"/>
      <w:i/>
      <w:iCs/>
      <w:color w:val="294D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1922062C"/>
    <w:rPr>
      <w:rFonts w:ascii="Arial" w:eastAsiaTheme="majorEastAsia" w:hAnsi="Arial" w:cstheme="majorBidi"/>
      <w:b/>
      <w:bCs/>
      <w:noProof w:val="0"/>
      <w:color w:val="15272F" w:themeColor="accent1"/>
      <w:sz w:val="72"/>
      <w:szCs w:val="72"/>
      <w:lang w:val="en-AU"/>
    </w:rPr>
  </w:style>
  <w:style w:type="paragraph" w:styleId="Title">
    <w:name w:val="Title"/>
    <w:basedOn w:val="Normal"/>
    <w:next w:val="Normal"/>
    <w:link w:val="TitleChar"/>
    <w:uiPriority w:val="10"/>
    <w:qFormat/>
    <w:rsid w:val="1922062C"/>
    <w:pPr>
      <w:spacing w:after="840"/>
      <w:contextualSpacing/>
    </w:pPr>
    <w:rPr>
      <w:rFonts w:eastAsiaTheme="majorEastAsia" w:cstheme="majorBidi"/>
      <w:b/>
      <w:bCs/>
      <w:sz w:val="84"/>
      <w:szCs w:val="84"/>
    </w:rPr>
  </w:style>
  <w:style w:type="character" w:customStyle="1" w:styleId="TitleChar">
    <w:name w:val="Title Char"/>
    <w:basedOn w:val="DefaultParagraphFont"/>
    <w:link w:val="Title"/>
    <w:uiPriority w:val="10"/>
    <w:rsid w:val="1922062C"/>
    <w:rPr>
      <w:rFonts w:ascii="Arial" w:eastAsiaTheme="majorEastAsia" w:hAnsi="Arial" w:cstheme="majorBidi"/>
      <w:b/>
      <w:bCs/>
      <w:noProof w:val="0"/>
      <w:color w:val="15272F" w:themeColor="accent1"/>
      <w:sz w:val="84"/>
      <w:szCs w:val="84"/>
      <w:lang w:val="en-AU"/>
    </w:rPr>
  </w:style>
  <w:style w:type="character" w:customStyle="1" w:styleId="Heading2Char">
    <w:name w:val="Heading 2 Char"/>
    <w:basedOn w:val="DefaultParagraphFont"/>
    <w:link w:val="Heading2"/>
    <w:uiPriority w:val="9"/>
    <w:rsid w:val="1922062C"/>
    <w:rPr>
      <w:rFonts w:ascii="Arial" w:eastAsiaTheme="majorEastAsia" w:hAnsi="Arial" w:cstheme="majorBidi"/>
      <w:b/>
      <w:bCs/>
      <w:noProof w:val="0"/>
      <w:color w:val="104F99" w:themeColor="accent2"/>
      <w:sz w:val="36"/>
      <w:szCs w:val="36"/>
      <w:lang w:val="en-AU"/>
    </w:rPr>
  </w:style>
  <w:style w:type="character" w:customStyle="1" w:styleId="Heading3Char">
    <w:name w:val="Heading 3 Char"/>
    <w:basedOn w:val="DefaultParagraphFont"/>
    <w:link w:val="Heading3"/>
    <w:uiPriority w:val="9"/>
    <w:rsid w:val="1922062C"/>
    <w:rPr>
      <w:rFonts w:ascii="Arial" w:eastAsiaTheme="majorEastAsia" w:hAnsi="Arial" w:cstheme="majorBidi"/>
      <w:b/>
      <w:bCs/>
      <w:noProof w:val="0"/>
      <w:color w:val="008F55" w:themeColor="accent4"/>
      <w:sz w:val="26"/>
      <w:szCs w:val="26"/>
      <w:lang w:val="en-AU"/>
    </w:rPr>
  </w:style>
  <w:style w:type="character" w:customStyle="1" w:styleId="Heading4Char">
    <w:name w:val="Heading 4 Char"/>
    <w:basedOn w:val="DefaultParagraphFont"/>
    <w:link w:val="Heading4"/>
    <w:uiPriority w:val="9"/>
    <w:rsid w:val="1922062C"/>
    <w:rPr>
      <w:rFonts w:ascii="Arial" w:eastAsiaTheme="majorEastAsia" w:hAnsi="Arial" w:cstheme="majorBidi"/>
      <w:b/>
      <w:bCs/>
      <w:noProof w:val="0"/>
      <w:color w:val="15272F" w:themeColor="accent1"/>
      <w:lang w:val="en-AU"/>
    </w:rPr>
  </w:style>
  <w:style w:type="paragraph" w:customStyle="1" w:styleId="ListLevel1">
    <w:name w:val="List Level 1"/>
    <w:basedOn w:val="ListLevel2"/>
    <w:link w:val="ListLevel1Char"/>
    <w:uiPriority w:val="1"/>
    <w:qFormat/>
    <w:rsid w:val="1922062C"/>
    <w:pPr>
      <w:numPr>
        <w:numId w:val="3"/>
      </w:numPr>
    </w:pPr>
  </w:style>
  <w:style w:type="paragraph" w:customStyle="1" w:styleId="ListLevel2">
    <w:name w:val="List Level 2"/>
    <w:basedOn w:val="Normal"/>
    <w:link w:val="ListLevel2Char"/>
    <w:uiPriority w:val="1"/>
    <w:qFormat/>
    <w:rsid w:val="1922062C"/>
    <w:pPr>
      <w:numPr>
        <w:ilvl w:val="1"/>
        <w:numId w:val="2"/>
      </w:numPr>
      <w:contextualSpacing/>
    </w:pPr>
  </w:style>
  <w:style w:type="paragraph" w:styleId="Header">
    <w:name w:val="header"/>
    <w:basedOn w:val="Normal"/>
    <w:link w:val="HeaderChar"/>
    <w:uiPriority w:val="99"/>
    <w:unhideWhenUsed/>
    <w:rsid w:val="1922062C"/>
    <w:pPr>
      <w:tabs>
        <w:tab w:val="center" w:pos="4680"/>
        <w:tab w:val="right" w:pos="9360"/>
      </w:tabs>
      <w:spacing w:after="0"/>
    </w:pPr>
  </w:style>
  <w:style w:type="character" w:customStyle="1" w:styleId="ListLevel1Char">
    <w:name w:val="List Level 1 Char"/>
    <w:basedOn w:val="ListLevel2Char"/>
    <w:link w:val="ListLevel1"/>
    <w:uiPriority w:val="1"/>
    <w:rsid w:val="1922062C"/>
    <w:rPr>
      <w:rFonts w:ascii="Arial" w:eastAsiaTheme="minorEastAsia" w:hAnsi="Arial" w:cstheme="minorBidi"/>
      <w:noProof w:val="0"/>
      <w:color w:val="15272F" w:themeColor="accent1"/>
      <w:lang w:val="en-AU"/>
    </w:rPr>
  </w:style>
  <w:style w:type="character" w:customStyle="1" w:styleId="ListLevel2Char">
    <w:name w:val="List Level 2 Char"/>
    <w:basedOn w:val="DefaultParagraphFont"/>
    <w:link w:val="ListLevel2"/>
    <w:uiPriority w:val="1"/>
    <w:rsid w:val="1922062C"/>
    <w:rPr>
      <w:rFonts w:ascii="Arial" w:eastAsiaTheme="minorEastAsia" w:hAnsi="Arial" w:cstheme="minorBidi"/>
      <w:noProof w:val="0"/>
      <w:color w:val="15272F" w:themeColor="accent1"/>
      <w:lang w:val="en-AU"/>
    </w:rPr>
  </w:style>
  <w:style w:type="character" w:customStyle="1" w:styleId="HeaderChar">
    <w:name w:val="Header Char"/>
    <w:basedOn w:val="DefaultParagraphFont"/>
    <w:link w:val="Header"/>
    <w:uiPriority w:val="99"/>
    <w:rsid w:val="1922062C"/>
    <w:rPr>
      <w:rFonts w:ascii="Arial" w:eastAsiaTheme="minorEastAsia" w:hAnsi="Arial" w:cstheme="minorBidi"/>
      <w:noProof w:val="0"/>
      <w:color w:val="15272F" w:themeColor="accent1"/>
      <w:lang w:val="en-AU"/>
    </w:rPr>
  </w:style>
  <w:style w:type="paragraph" w:styleId="Footer">
    <w:name w:val="footer"/>
    <w:basedOn w:val="Normal"/>
    <w:link w:val="FooterChar"/>
    <w:uiPriority w:val="99"/>
    <w:unhideWhenUsed/>
    <w:rsid w:val="1922062C"/>
    <w:pPr>
      <w:tabs>
        <w:tab w:val="center" w:pos="4680"/>
        <w:tab w:val="right" w:pos="9360"/>
      </w:tabs>
      <w:spacing w:after="0"/>
    </w:pPr>
  </w:style>
  <w:style w:type="character" w:customStyle="1" w:styleId="FooterChar">
    <w:name w:val="Footer Char"/>
    <w:basedOn w:val="DefaultParagraphFont"/>
    <w:link w:val="Footer"/>
    <w:uiPriority w:val="99"/>
    <w:rsid w:val="1922062C"/>
    <w:rPr>
      <w:rFonts w:ascii="Arial" w:eastAsiaTheme="minorEastAsia" w:hAnsi="Arial" w:cstheme="minorBidi"/>
      <w:noProof w:val="0"/>
      <w:color w:val="15272F" w:themeColor="accent1"/>
      <w:lang w:val="en-AU"/>
    </w:rPr>
  </w:style>
  <w:style w:type="paragraph" w:styleId="ListParagraph">
    <w:name w:val="List Paragraph"/>
    <w:aliases w:val="Recommendation,List Paragraph1,Bullet L1,List Paragraph11,Bullet point,Figure_name,Numbered Indented Text,Bullet- First level,List NUmber,Listenabsatz1,lp1,Body text,NAST Quote,standard lewis,List Number1,Body Text1,List Number11,L"/>
    <w:basedOn w:val="Normal"/>
    <w:link w:val="ListParagraphChar"/>
    <w:uiPriority w:val="34"/>
    <w:qFormat/>
    <w:rsid w:val="1922062C"/>
    <w:pPr>
      <w:ind w:left="720"/>
      <w:contextualSpacing/>
    </w:pPr>
  </w:style>
  <w:style w:type="paragraph" w:customStyle="1" w:styleId="TableFigureheading">
    <w:name w:val="Table/Figure heading"/>
    <w:basedOn w:val="Heading4"/>
    <w:link w:val="TableFigureheadingChar"/>
    <w:uiPriority w:val="1"/>
    <w:qFormat/>
    <w:rsid w:val="1922062C"/>
    <w:pPr>
      <w:spacing w:before="240"/>
    </w:pPr>
    <w:rPr>
      <w:b w:val="0"/>
      <w:bCs w:val="0"/>
      <w:color w:val="008F55" w:themeColor="accent4"/>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uiPriority w:val="1"/>
    <w:rsid w:val="1922062C"/>
    <w:rPr>
      <w:rFonts w:ascii="Arial" w:eastAsiaTheme="majorEastAsia" w:hAnsi="Arial" w:cstheme="majorBidi"/>
      <w:b w:val="0"/>
      <w:bCs w:val="0"/>
      <w:noProof w:val="0"/>
      <w:color w:val="008F55" w:themeColor="accent4"/>
      <w:lang w:val="en-AU"/>
    </w:rPr>
  </w:style>
  <w:style w:type="table" w:styleId="TableGrid">
    <w:name w:val="Table Grid"/>
    <w:basedOn w:val="TableNormal"/>
    <w:uiPriority w:val="59"/>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uiPriority w:val="1"/>
    <w:qFormat/>
    <w:rsid w:val="1922062C"/>
    <w:pPr>
      <w:spacing w:after="120"/>
    </w:pPr>
    <w:rPr>
      <w:sz w:val="16"/>
      <w:szCs w:val="16"/>
    </w:rPr>
  </w:style>
  <w:style w:type="character" w:customStyle="1" w:styleId="FootnoteChar">
    <w:name w:val="Footnote Char"/>
    <w:basedOn w:val="DefaultParagraphFont"/>
    <w:link w:val="Footnote"/>
    <w:uiPriority w:val="1"/>
    <w:rsid w:val="1922062C"/>
    <w:rPr>
      <w:rFonts w:ascii="Arial" w:eastAsiaTheme="minorEastAsia" w:hAnsi="Arial" w:cstheme="minorBidi"/>
      <w:noProof w:val="0"/>
      <w:color w:val="15272F" w:themeColor="accent1"/>
      <w:sz w:val="16"/>
      <w:szCs w:val="16"/>
      <w:lang w:val="en-AU"/>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uiPriority w:val="39"/>
    <w:unhideWhenUsed/>
    <w:rsid w:val="1922062C"/>
    <w:pPr>
      <w:spacing w:after="360"/>
    </w:pPr>
    <w:rPr>
      <w:b/>
      <w:bCs/>
      <w:sz w:val="28"/>
      <w:szCs w:val="28"/>
    </w:rPr>
  </w:style>
  <w:style w:type="paragraph" w:customStyle="1" w:styleId="CoverTitle">
    <w:name w:val="Cover Title"/>
    <w:basedOn w:val="Title"/>
    <w:link w:val="CoverTitleChar"/>
    <w:uiPriority w:val="1"/>
    <w:qFormat/>
    <w:rsid w:val="1922062C"/>
    <w:pPr>
      <w:spacing w:after="720"/>
      <w:ind w:right="1242"/>
    </w:pPr>
    <w:rPr>
      <w:color w:val="FFFFFF" w:themeColor="accent6"/>
      <w:sz w:val="96"/>
      <w:szCs w:val="96"/>
    </w:rPr>
  </w:style>
  <w:style w:type="paragraph" w:customStyle="1" w:styleId="Coversubtitle">
    <w:name w:val="Cover subtitle"/>
    <w:basedOn w:val="CoverTitle"/>
    <w:link w:val="CoversubtitleChar"/>
    <w:uiPriority w:val="1"/>
    <w:qFormat/>
    <w:rsid w:val="1922062C"/>
    <w:rPr>
      <w:color w:val="54C1AF" w:themeColor="accent5"/>
      <w:sz w:val="48"/>
      <w:szCs w:val="48"/>
    </w:rPr>
  </w:style>
  <w:style w:type="character" w:customStyle="1" w:styleId="CoverTitleChar">
    <w:name w:val="Cover Title Char"/>
    <w:basedOn w:val="TitleChar"/>
    <w:link w:val="CoverTitle"/>
    <w:uiPriority w:val="1"/>
    <w:rsid w:val="1922062C"/>
    <w:rPr>
      <w:rFonts w:ascii="Arial" w:eastAsiaTheme="majorEastAsia" w:hAnsi="Arial" w:cstheme="majorBidi"/>
      <w:b/>
      <w:bCs/>
      <w:noProof w:val="0"/>
      <w:color w:val="FFFFFF" w:themeColor="accent6"/>
      <w:sz w:val="96"/>
      <w:szCs w:val="96"/>
      <w:lang w:val="en-AU"/>
    </w:rPr>
  </w:style>
  <w:style w:type="character" w:styleId="UnresolvedMention">
    <w:name w:val="Unresolved Mention"/>
    <w:basedOn w:val="DefaultParagraphFont"/>
    <w:uiPriority w:val="99"/>
    <w:semiHidden/>
    <w:unhideWhenUsed/>
    <w:rsid w:val="009355A4"/>
    <w:rPr>
      <w:color w:val="605E5C"/>
      <w:shd w:val="clear" w:color="auto" w:fill="E1DFDD"/>
    </w:rPr>
  </w:style>
  <w:style w:type="character" w:customStyle="1" w:styleId="CoversubtitleChar">
    <w:name w:val="Cover subtitle Char"/>
    <w:basedOn w:val="CoverTitleChar"/>
    <w:link w:val="Coversubtitle"/>
    <w:uiPriority w:val="1"/>
    <w:rsid w:val="1922062C"/>
    <w:rPr>
      <w:rFonts w:ascii="Arial" w:eastAsiaTheme="majorEastAsia" w:hAnsi="Arial" w:cstheme="majorBidi"/>
      <w:b/>
      <w:bCs/>
      <w:noProof w:val="0"/>
      <w:color w:val="54C1AF" w:themeColor="accent5"/>
      <w:sz w:val="48"/>
      <w:szCs w:val="48"/>
      <w:lang w:val="en-AU"/>
    </w:rPr>
  </w:style>
  <w:style w:type="paragraph" w:customStyle="1" w:styleId="Copyrightcopy">
    <w:name w:val="Copyright copy"/>
    <w:basedOn w:val="Normal"/>
    <w:next w:val="Normal"/>
    <w:uiPriority w:val="1"/>
    <w:qFormat/>
    <w:rsid w:val="1922062C"/>
    <w:pPr>
      <w:ind w:right="4064"/>
    </w:pPr>
    <w:rPr>
      <w:sz w:val="18"/>
      <w:szCs w:val="18"/>
    </w:rPr>
  </w:style>
  <w:style w:type="paragraph" w:customStyle="1" w:styleId="Copyrightheading">
    <w:name w:val="Copyright heading"/>
    <w:basedOn w:val="Heading4"/>
    <w:next w:val="Normal"/>
    <w:uiPriority w:val="1"/>
    <w:qFormat/>
    <w:rsid w:val="1922062C"/>
  </w:style>
  <w:style w:type="character" w:customStyle="1" w:styleId="Heading5Char">
    <w:name w:val="Heading 5 Char"/>
    <w:basedOn w:val="DefaultParagraphFont"/>
    <w:link w:val="Heading5"/>
    <w:uiPriority w:val="9"/>
    <w:semiHidden/>
    <w:rsid w:val="1922062C"/>
    <w:rPr>
      <w:rFonts w:ascii="Arial" w:eastAsiaTheme="majorEastAsia" w:hAnsi="Arial" w:cstheme="majorBidi"/>
      <w:b/>
      <w:bCs/>
      <w:noProof w:val="0"/>
      <w:color w:val="0F1D23"/>
      <w:lang w:val="en-AU"/>
    </w:rPr>
  </w:style>
  <w:style w:type="paragraph" w:styleId="NoSpacing">
    <w:name w:val="No Spacing"/>
    <w:uiPriority w:val="1"/>
    <w:qFormat/>
    <w:rsid w:val="009355A4"/>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1922062C"/>
    <w:rPr>
      <w:rFonts w:eastAsiaTheme="minorEastAsia"/>
      <w:color w:val="45809A"/>
    </w:rPr>
  </w:style>
  <w:style w:type="character" w:customStyle="1" w:styleId="SubtitleChar">
    <w:name w:val="Subtitle Char"/>
    <w:basedOn w:val="DefaultParagraphFont"/>
    <w:link w:val="Subtitle"/>
    <w:uiPriority w:val="11"/>
    <w:rsid w:val="1922062C"/>
    <w:rPr>
      <w:rFonts w:ascii="Arial" w:eastAsiaTheme="minorEastAsia" w:hAnsi="Arial" w:cstheme="minorBidi"/>
      <w:noProof w:val="0"/>
      <w:color w:val="45809A"/>
      <w:lang w:val="en-AU"/>
    </w:rPr>
  </w:style>
  <w:style w:type="character" w:styleId="FollowedHyperlink">
    <w:name w:val="FollowedHyperlink"/>
    <w:basedOn w:val="DefaultParagraphFont"/>
    <w:uiPriority w:val="99"/>
    <w:semiHidden/>
    <w:unhideWhenUsed/>
    <w:rsid w:val="00DF2CB4"/>
    <w:rPr>
      <w:color w:val="104F99" w:themeColor="followedHyperlink"/>
      <w:u w:val="single"/>
    </w:rPr>
  </w:style>
  <w:style w:type="paragraph" w:styleId="TOC2">
    <w:name w:val="toc 2"/>
    <w:basedOn w:val="Normal"/>
    <w:next w:val="Normal"/>
    <w:uiPriority w:val="39"/>
    <w:unhideWhenUsed/>
    <w:rsid w:val="1922062C"/>
    <w:pPr>
      <w:spacing w:after="100"/>
      <w:ind w:left="220"/>
    </w:pPr>
  </w:style>
  <w:style w:type="character" w:styleId="CommentReference">
    <w:name w:val="annotation reference"/>
    <w:basedOn w:val="DefaultParagraphFont"/>
    <w:uiPriority w:val="99"/>
    <w:semiHidden/>
    <w:unhideWhenUsed/>
    <w:rsid w:val="00C06ED7"/>
    <w:rPr>
      <w:sz w:val="16"/>
      <w:szCs w:val="16"/>
    </w:rPr>
  </w:style>
  <w:style w:type="paragraph" w:styleId="CommentText">
    <w:name w:val="annotation text"/>
    <w:basedOn w:val="Normal"/>
    <w:link w:val="CommentTextChar"/>
    <w:uiPriority w:val="99"/>
    <w:unhideWhenUsed/>
    <w:rsid w:val="1922062C"/>
    <w:rPr>
      <w:sz w:val="20"/>
      <w:szCs w:val="20"/>
    </w:rPr>
  </w:style>
  <w:style w:type="character" w:customStyle="1" w:styleId="CommentTextChar">
    <w:name w:val="Comment Text Char"/>
    <w:basedOn w:val="DefaultParagraphFont"/>
    <w:link w:val="CommentText"/>
    <w:uiPriority w:val="99"/>
    <w:rsid w:val="1922062C"/>
    <w:rPr>
      <w:rFonts w:ascii="Arial" w:eastAsiaTheme="minorEastAsia" w:hAnsi="Arial" w:cstheme="minorBidi"/>
      <w:noProof w:val="0"/>
      <w:color w:val="15272F" w:themeColor="accent1"/>
      <w:sz w:val="20"/>
      <w:szCs w:val="20"/>
      <w:lang w:val="en-AU"/>
    </w:rPr>
  </w:style>
  <w:style w:type="paragraph" w:styleId="CommentSubject">
    <w:name w:val="annotation subject"/>
    <w:basedOn w:val="CommentText"/>
    <w:next w:val="CommentText"/>
    <w:link w:val="CommentSubjectChar"/>
    <w:uiPriority w:val="99"/>
    <w:semiHidden/>
    <w:unhideWhenUsed/>
    <w:rsid w:val="1922062C"/>
    <w:rPr>
      <w:b/>
      <w:bCs/>
    </w:rPr>
  </w:style>
  <w:style w:type="character" w:customStyle="1" w:styleId="CommentSubjectChar">
    <w:name w:val="Comment Subject Char"/>
    <w:basedOn w:val="CommentTextChar"/>
    <w:link w:val="CommentSubject"/>
    <w:uiPriority w:val="99"/>
    <w:semiHidden/>
    <w:rsid w:val="1922062C"/>
    <w:rPr>
      <w:rFonts w:ascii="Arial" w:eastAsiaTheme="minorEastAsia" w:hAnsi="Arial" w:cstheme="minorBidi"/>
      <w:b/>
      <w:bCs/>
      <w:noProof w:val="0"/>
      <w:color w:val="15272F" w:themeColor="accent1"/>
      <w:sz w:val="20"/>
      <w:szCs w:val="20"/>
      <w:lang w:val="en-AU"/>
    </w:rPr>
  </w:style>
  <w:style w:type="character" w:customStyle="1" w:styleId="ListParagraphChar">
    <w:name w:val="List Paragraph Char"/>
    <w:aliases w:val="Recommendation Char,List Paragraph1 Char,Bullet L1 Char,List Paragraph11 Char,Bullet point Char,Figure_name Char,Numbered Indented Text Char,Bullet- First level Char,List NUmber Char,Listenabsatz1 Char,lp1 Char,Body text Char,L Char"/>
    <w:link w:val="ListParagraph"/>
    <w:uiPriority w:val="34"/>
    <w:rsid w:val="1922062C"/>
    <w:rPr>
      <w:rFonts w:ascii="Arial" w:hAnsi="Arial"/>
      <w:noProof w:val="0"/>
      <w:color w:val="15272F" w:themeColor="accent1"/>
      <w:lang w:val="en-AU"/>
    </w:rPr>
  </w:style>
  <w:style w:type="character" w:customStyle="1" w:styleId="Listlevel1Char0">
    <w:name w:val="List level 1 Char"/>
    <w:basedOn w:val="DefaultParagraphFont"/>
    <w:link w:val="Listlevel10"/>
    <w:uiPriority w:val="1"/>
    <w:rsid w:val="1922062C"/>
    <w:rPr>
      <w:rFonts w:ascii="Arial" w:eastAsiaTheme="minorEastAsia" w:hAnsi="Arial" w:cs="Arial"/>
      <w:noProof w:val="0"/>
      <w:lang w:val="en-AU"/>
    </w:rPr>
  </w:style>
  <w:style w:type="paragraph" w:customStyle="1" w:styleId="Listlevel10">
    <w:name w:val="List level 1"/>
    <w:basedOn w:val="Normal"/>
    <w:link w:val="Listlevel1Char0"/>
    <w:uiPriority w:val="1"/>
    <w:qFormat/>
    <w:rsid w:val="1922062C"/>
    <w:pPr>
      <w:numPr>
        <w:numId w:val="7"/>
      </w:numPr>
      <w:spacing w:before="120" w:after="120" w:line="260" w:lineRule="atLeast"/>
    </w:pPr>
    <w:rPr>
      <w:rFonts w:cs="Arial"/>
      <w:color w:val="auto"/>
    </w:rPr>
  </w:style>
  <w:style w:type="character" w:styleId="PlaceholderText">
    <w:name w:val="Placeholder Text"/>
    <w:basedOn w:val="DefaultParagraphFont"/>
    <w:uiPriority w:val="99"/>
    <w:semiHidden/>
    <w:rsid w:val="00CF7B19"/>
    <w:rPr>
      <w:color w:val="808080"/>
    </w:rPr>
  </w:style>
  <w:style w:type="paragraph" w:styleId="Revision">
    <w:name w:val="Revision"/>
    <w:hidden/>
    <w:uiPriority w:val="99"/>
    <w:semiHidden/>
    <w:rsid w:val="00D917B3"/>
    <w:pPr>
      <w:spacing w:after="0" w:line="240" w:lineRule="auto"/>
    </w:pPr>
    <w:rPr>
      <w:rFonts w:ascii="Arial" w:hAnsi="Arial"/>
      <w:color w:val="15272F" w:themeColor="text1"/>
    </w:rPr>
  </w:style>
  <w:style w:type="paragraph" w:styleId="FootnoteText">
    <w:name w:val="footnote text"/>
    <w:basedOn w:val="Normal"/>
    <w:link w:val="FootnoteTextChar"/>
    <w:uiPriority w:val="99"/>
    <w:semiHidden/>
    <w:unhideWhenUsed/>
    <w:rsid w:val="1922062C"/>
    <w:pPr>
      <w:spacing w:after="0"/>
    </w:pPr>
    <w:rPr>
      <w:sz w:val="20"/>
      <w:szCs w:val="20"/>
    </w:rPr>
  </w:style>
  <w:style w:type="character" w:customStyle="1" w:styleId="FootnoteTextChar">
    <w:name w:val="Footnote Text Char"/>
    <w:basedOn w:val="DefaultParagraphFont"/>
    <w:link w:val="FootnoteText"/>
    <w:uiPriority w:val="99"/>
    <w:semiHidden/>
    <w:rsid w:val="1922062C"/>
    <w:rPr>
      <w:rFonts w:ascii="Arial" w:eastAsiaTheme="minorEastAsia" w:hAnsi="Arial" w:cstheme="minorBidi"/>
      <w:noProof w:val="0"/>
      <w:color w:val="15272F" w:themeColor="accent1"/>
      <w:sz w:val="20"/>
      <w:szCs w:val="20"/>
      <w:lang w:val="en-AU"/>
    </w:rPr>
  </w:style>
  <w:style w:type="character" w:styleId="FootnoteReference">
    <w:name w:val="footnote reference"/>
    <w:basedOn w:val="DefaultParagraphFont"/>
    <w:uiPriority w:val="99"/>
    <w:semiHidden/>
    <w:unhideWhenUsed/>
    <w:rsid w:val="00FC7BB5"/>
    <w:rPr>
      <w:vertAlign w:val="superscript"/>
    </w:rPr>
  </w:style>
  <w:style w:type="paragraph" w:styleId="Quote">
    <w:name w:val="Quote"/>
    <w:basedOn w:val="Normal"/>
    <w:next w:val="Normal"/>
    <w:link w:val="QuoteChar"/>
    <w:uiPriority w:val="29"/>
    <w:qFormat/>
    <w:rsid w:val="1922062C"/>
    <w:pPr>
      <w:spacing w:before="200"/>
      <w:ind w:left="864" w:right="864"/>
      <w:jc w:val="center"/>
    </w:pPr>
    <w:rPr>
      <w:i/>
      <w:iCs/>
      <w:color w:val="37667B" w:themeColor="accent1" w:themeTint="BF"/>
    </w:rPr>
  </w:style>
  <w:style w:type="paragraph" w:styleId="IntenseQuote">
    <w:name w:val="Intense Quote"/>
    <w:basedOn w:val="Normal"/>
    <w:next w:val="Normal"/>
    <w:link w:val="IntenseQuoteChar"/>
    <w:uiPriority w:val="30"/>
    <w:qFormat/>
    <w:rsid w:val="1922062C"/>
    <w:pPr>
      <w:spacing w:before="360" w:after="360"/>
      <w:ind w:left="864" w:right="864"/>
      <w:jc w:val="center"/>
    </w:pPr>
    <w:rPr>
      <w:i/>
      <w:iCs/>
    </w:rPr>
  </w:style>
  <w:style w:type="character" w:customStyle="1" w:styleId="Heading6Char">
    <w:name w:val="Heading 6 Char"/>
    <w:basedOn w:val="DefaultParagraphFont"/>
    <w:link w:val="Heading6"/>
    <w:uiPriority w:val="9"/>
    <w:rsid w:val="1922062C"/>
    <w:rPr>
      <w:rFonts w:asciiTheme="majorHAnsi" w:eastAsiaTheme="majorEastAsia" w:hAnsiTheme="majorHAnsi" w:cstheme="majorBidi"/>
      <w:noProof w:val="0"/>
      <w:color w:val="0A1317"/>
      <w:lang w:val="en-AU"/>
    </w:rPr>
  </w:style>
  <w:style w:type="character" w:customStyle="1" w:styleId="Heading7Char">
    <w:name w:val="Heading 7 Char"/>
    <w:basedOn w:val="DefaultParagraphFont"/>
    <w:link w:val="Heading7"/>
    <w:uiPriority w:val="9"/>
    <w:rsid w:val="1922062C"/>
    <w:rPr>
      <w:rFonts w:asciiTheme="majorHAnsi" w:eastAsiaTheme="majorEastAsia" w:hAnsiTheme="majorHAnsi" w:cstheme="majorBidi"/>
      <w:i/>
      <w:iCs/>
      <w:noProof w:val="0"/>
      <w:color w:val="0A1317"/>
      <w:lang w:val="en-AU"/>
    </w:rPr>
  </w:style>
  <w:style w:type="character" w:customStyle="1" w:styleId="Heading8Char">
    <w:name w:val="Heading 8 Char"/>
    <w:basedOn w:val="DefaultParagraphFont"/>
    <w:link w:val="Heading8"/>
    <w:uiPriority w:val="9"/>
    <w:rsid w:val="1922062C"/>
    <w:rPr>
      <w:rFonts w:asciiTheme="majorHAnsi" w:eastAsiaTheme="majorEastAsia" w:hAnsiTheme="majorHAnsi" w:cstheme="majorBidi"/>
      <w:noProof w:val="0"/>
      <w:color w:val="294D5D"/>
      <w:sz w:val="21"/>
      <w:szCs w:val="21"/>
      <w:lang w:val="en-AU"/>
    </w:rPr>
  </w:style>
  <w:style w:type="character" w:customStyle="1" w:styleId="Heading9Char">
    <w:name w:val="Heading 9 Char"/>
    <w:basedOn w:val="DefaultParagraphFont"/>
    <w:link w:val="Heading9"/>
    <w:uiPriority w:val="9"/>
    <w:rsid w:val="1922062C"/>
    <w:rPr>
      <w:rFonts w:asciiTheme="majorHAnsi" w:eastAsiaTheme="majorEastAsia" w:hAnsiTheme="majorHAnsi" w:cstheme="majorBidi"/>
      <w:i/>
      <w:iCs/>
      <w:noProof w:val="0"/>
      <w:color w:val="294D5D"/>
      <w:sz w:val="21"/>
      <w:szCs w:val="21"/>
      <w:lang w:val="en-AU"/>
    </w:rPr>
  </w:style>
  <w:style w:type="character" w:customStyle="1" w:styleId="QuoteChar">
    <w:name w:val="Quote Char"/>
    <w:basedOn w:val="DefaultParagraphFont"/>
    <w:link w:val="Quote"/>
    <w:uiPriority w:val="29"/>
    <w:rsid w:val="1922062C"/>
    <w:rPr>
      <w:i/>
      <w:iCs/>
      <w:noProof w:val="0"/>
      <w:color w:val="37667B" w:themeColor="accent1" w:themeTint="BF"/>
      <w:lang w:val="en-AU"/>
    </w:rPr>
  </w:style>
  <w:style w:type="character" w:customStyle="1" w:styleId="IntenseQuoteChar">
    <w:name w:val="Intense Quote Char"/>
    <w:basedOn w:val="DefaultParagraphFont"/>
    <w:link w:val="IntenseQuote"/>
    <w:uiPriority w:val="30"/>
    <w:rsid w:val="1922062C"/>
    <w:rPr>
      <w:i/>
      <w:iCs/>
      <w:noProof w:val="0"/>
      <w:color w:val="15272F" w:themeColor="accent1"/>
      <w:lang w:val="en-AU"/>
    </w:rPr>
  </w:style>
  <w:style w:type="paragraph" w:styleId="TOC3">
    <w:name w:val="toc 3"/>
    <w:basedOn w:val="Normal"/>
    <w:next w:val="Normal"/>
    <w:uiPriority w:val="39"/>
    <w:unhideWhenUsed/>
    <w:rsid w:val="1922062C"/>
    <w:pPr>
      <w:spacing w:after="100"/>
      <w:ind w:left="440"/>
    </w:pPr>
  </w:style>
  <w:style w:type="paragraph" w:styleId="TOC4">
    <w:name w:val="toc 4"/>
    <w:basedOn w:val="Normal"/>
    <w:next w:val="Normal"/>
    <w:uiPriority w:val="39"/>
    <w:unhideWhenUsed/>
    <w:rsid w:val="1922062C"/>
    <w:pPr>
      <w:spacing w:after="100"/>
      <w:ind w:left="660"/>
    </w:pPr>
  </w:style>
  <w:style w:type="paragraph" w:styleId="TOC5">
    <w:name w:val="toc 5"/>
    <w:basedOn w:val="Normal"/>
    <w:next w:val="Normal"/>
    <w:uiPriority w:val="39"/>
    <w:unhideWhenUsed/>
    <w:rsid w:val="1922062C"/>
    <w:pPr>
      <w:spacing w:after="100"/>
      <w:ind w:left="880"/>
    </w:pPr>
  </w:style>
  <w:style w:type="paragraph" w:styleId="TOC6">
    <w:name w:val="toc 6"/>
    <w:basedOn w:val="Normal"/>
    <w:next w:val="Normal"/>
    <w:uiPriority w:val="39"/>
    <w:unhideWhenUsed/>
    <w:rsid w:val="1922062C"/>
    <w:pPr>
      <w:spacing w:after="100"/>
      <w:ind w:left="1100"/>
    </w:pPr>
  </w:style>
  <w:style w:type="paragraph" w:styleId="TOC7">
    <w:name w:val="toc 7"/>
    <w:basedOn w:val="Normal"/>
    <w:next w:val="Normal"/>
    <w:uiPriority w:val="39"/>
    <w:unhideWhenUsed/>
    <w:rsid w:val="1922062C"/>
    <w:pPr>
      <w:spacing w:after="100"/>
      <w:ind w:left="1320"/>
    </w:pPr>
  </w:style>
  <w:style w:type="paragraph" w:styleId="TOC8">
    <w:name w:val="toc 8"/>
    <w:basedOn w:val="Normal"/>
    <w:next w:val="Normal"/>
    <w:uiPriority w:val="39"/>
    <w:unhideWhenUsed/>
    <w:rsid w:val="1922062C"/>
    <w:pPr>
      <w:spacing w:after="100"/>
      <w:ind w:left="1540"/>
    </w:pPr>
  </w:style>
  <w:style w:type="paragraph" w:styleId="TOC9">
    <w:name w:val="toc 9"/>
    <w:basedOn w:val="Normal"/>
    <w:next w:val="Normal"/>
    <w:uiPriority w:val="39"/>
    <w:unhideWhenUsed/>
    <w:rsid w:val="1922062C"/>
    <w:pPr>
      <w:spacing w:after="100"/>
      <w:ind w:left="1760"/>
    </w:pPr>
  </w:style>
  <w:style w:type="paragraph" w:styleId="EndnoteText">
    <w:name w:val="endnote text"/>
    <w:basedOn w:val="Normal"/>
    <w:link w:val="EndnoteTextChar"/>
    <w:uiPriority w:val="99"/>
    <w:semiHidden/>
    <w:unhideWhenUsed/>
    <w:rsid w:val="1922062C"/>
    <w:pPr>
      <w:spacing w:after="0"/>
    </w:pPr>
    <w:rPr>
      <w:sz w:val="20"/>
      <w:szCs w:val="20"/>
    </w:rPr>
  </w:style>
  <w:style w:type="character" w:customStyle="1" w:styleId="EndnoteTextChar">
    <w:name w:val="Endnote Text Char"/>
    <w:basedOn w:val="DefaultParagraphFont"/>
    <w:link w:val="EndnoteText"/>
    <w:uiPriority w:val="99"/>
    <w:semiHidden/>
    <w:rsid w:val="1922062C"/>
    <w:rPr>
      <w:noProof w:val="0"/>
      <w:sz w:val="20"/>
      <w:szCs w:val="20"/>
      <w:lang w:val="en-AU"/>
    </w:rPr>
  </w:style>
  <w:style w:type="paragraph" w:styleId="NormalWeb">
    <w:name w:val="Normal (Web)"/>
    <w:basedOn w:val="Normal"/>
    <w:uiPriority w:val="99"/>
    <w:semiHidden/>
    <w:unhideWhenUsed/>
    <w:rsid w:val="00BD78D3"/>
    <w:rPr>
      <w:rFonts w:ascii="Times New Roman" w:hAnsi="Times New Roman" w:cs="Times New Roman"/>
      <w:sz w:val="24"/>
      <w:szCs w:val="24"/>
    </w:rPr>
  </w:style>
  <w:style w:type="paragraph" w:styleId="TOCHeading">
    <w:name w:val="TOC Heading"/>
    <w:basedOn w:val="Heading1"/>
    <w:next w:val="Normal"/>
    <w:uiPriority w:val="39"/>
    <w:unhideWhenUsed/>
    <w:qFormat/>
    <w:rsid w:val="00DF4F2E"/>
    <w:pPr>
      <w:spacing w:before="240" w:after="0"/>
      <w:outlineLvl w:val="9"/>
    </w:pPr>
    <w:rPr>
      <w:rFonts w:asciiTheme="majorHAnsi" w:hAnsiTheme="majorHAnsi"/>
      <w:b w:val="0"/>
      <w:bCs w:val="0"/>
      <w:color w:val="0F1D23"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449">
      <w:bodyDiv w:val="1"/>
      <w:marLeft w:val="0"/>
      <w:marRight w:val="0"/>
      <w:marTop w:val="0"/>
      <w:marBottom w:val="0"/>
      <w:divBdr>
        <w:top w:val="none" w:sz="0" w:space="0" w:color="auto"/>
        <w:left w:val="none" w:sz="0" w:space="0" w:color="auto"/>
        <w:bottom w:val="none" w:sz="0" w:space="0" w:color="auto"/>
        <w:right w:val="none" w:sz="0" w:space="0" w:color="auto"/>
      </w:divBdr>
    </w:div>
    <w:div w:id="28729142">
      <w:bodyDiv w:val="1"/>
      <w:marLeft w:val="0"/>
      <w:marRight w:val="0"/>
      <w:marTop w:val="0"/>
      <w:marBottom w:val="0"/>
      <w:divBdr>
        <w:top w:val="none" w:sz="0" w:space="0" w:color="auto"/>
        <w:left w:val="none" w:sz="0" w:space="0" w:color="auto"/>
        <w:bottom w:val="none" w:sz="0" w:space="0" w:color="auto"/>
        <w:right w:val="none" w:sz="0" w:space="0" w:color="auto"/>
      </w:divBdr>
    </w:div>
    <w:div w:id="72355568">
      <w:bodyDiv w:val="1"/>
      <w:marLeft w:val="0"/>
      <w:marRight w:val="0"/>
      <w:marTop w:val="0"/>
      <w:marBottom w:val="0"/>
      <w:divBdr>
        <w:top w:val="none" w:sz="0" w:space="0" w:color="auto"/>
        <w:left w:val="none" w:sz="0" w:space="0" w:color="auto"/>
        <w:bottom w:val="none" w:sz="0" w:space="0" w:color="auto"/>
        <w:right w:val="none" w:sz="0" w:space="0" w:color="auto"/>
      </w:divBdr>
    </w:div>
    <w:div w:id="130024626">
      <w:bodyDiv w:val="1"/>
      <w:marLeft w:val="0"/>
      <w:marRight w:val="0"/>
      <w:marTop w:val="0"/>
      <w:marBottom w:val="0"/>
      <w:divBdr>
        <w:top w:val="none" w:sz="0" w:space="0" w:color="auto"/>
        <w:left w:val="none" w:sz="0" w:space="0" w:color="auto"/>
        <w:bottom w:val="none" w:sz="0" w:space="0" w:color="auto"/>
        <w:right w:val="none" w:sz="0" w:space="0" w:color="auto"/>
      </w:divBdr>
    </w:div>
    <w:div w:id="232355078">
      <w:bodyDiv w:val="1"/>
      <w:marLeft w:val="0"/>
      <w:marRight w:val="0"/>
      <w:marTop w:val="0"/>
      <w:marBottom w:val="0"/>
      <w:divBdr>
        <w:top w:val="none" w:sz="0" w:space="0" w:color="auto"/>
        <w:left w:val="none" w:sz="0" w:space="0" w:color="auto"/>
        <w:bottom w:val="none" w:sz="0" w:space="0" w:color="auto"/>
        <w:right w:val="none" w:sz="0" w:space="0" w:color="auto"/>
      </w:divBdr>
    </w:div>
    <w:div w:id="378552598">
      <w:bodyDiv w:val="1"/>
      <w:marLeft w:val="0"/>
      <w:marRight w:val="0"/>
      <w:marTop w:val="0"/>
      <w:marBottom w:val="0"/>
      <w:divBdr>
        <w:top w:val="none" w:sz="0" w:space="0" w:color="auto"/>
        <w:left w:val="none" w:sz="0" w:space="0" w:color="auto"/>
        <w:bottom w:val="none" w:sz="0" w:space="0" w:color="auto"/>
        <w:right w:val="none" w:sz="0" w:space="0" w:color="auto"/>
      </w:divBdr>
    </w:div>
    <w:div w:id="406851568">
      <w:bodyDiv w:val="1"/>
      <w:marLeft w:val="0"/>
      <w:marRight w:val="0"/>
      <w:marTop w:val="0"/>
      <w:marBottom w:val="0"/>
      <w:divBdr>
        <w:top w:val="none" w:sz="0" w:space="0" w:color="auto"/>
        <w:left w:val="none" w:sz="0" w:space="0" w:color="auto"/>
        <w:bottom w:val="none" w:sz="0" w:space="0" w:color="auto"/>
        <w:right w:val="none" w:sz="0" w:space="0" w:color="auto"/>
      </w:divBdr>
    </w:div>
    <w:div w:id="424350058">
      <w:bodyDiv w:val="1"/>
      <w:marLeft w:val="0"/>
      <w:marRight w:val="0"/>
      <w:marTop w:val="0"/>
      <w:marBottom w:val="0"/>
      <w:divBdr>
        <w:top w:val="none" w:sz="0" w:space="0" w:color="auto"/>
        <w:left w:val="none" w:sz="0" w:space="0" w:color="auto"/>
        <w:bottom w:val="none" w:sz="0" w:space="0" w:color="auto"/>
        <w:right w:val="none" w:sz="0" w:space="0" w:color="auto"/>
      </w:divBdr>
    </w:div>
    <w:div w:id="541796259">
      <w:bodyDiv w:val="1"/>
      <w:marLeft w:val="0"/>
      <w:marRight w:val="0"/>
      <w:marTop w:val="0"/>
      <w:marBottom w:val="0"/>
      <w:divBdr>
        <w:top w:val="none" w:sz="0" w:space="0" w:color="auto"/>
        <w:left w:val="none" w:sz="0" w:space="0" w:color="auto"/>
        <w:bottom w:val="none" w:sz="0" w:space="0" w:color="auto"/>
        <w:right w:val="none" w:sz="0" w:space="0" w:color="auto"/>
      </w:divBdr>
    </w:div>
    <w:div w:id="566840267">
      <w:bodyDiv w:val="1"/>
      <w:marLeft w:val="0"/>
      <w:marRight w:val="0"/>
      <w:marTop w:val="0"/>
      <w:marBottom w:val="0"/>
      <w:divBdr>
        <w:top w:val="none" w:sz="0" w:space="0" w:color="auto"/>
        <w:left w:val="none" w:sz="0" w:space="0" w:color="auto"/>
        <w:bottom w:val="none" w:sz="0" w:space="0" w:color="auto"/>
        <w:right w:val="none" w:sz="0" w:space="0" w:color="auto"/>
      </w:divBdr>
    </w:div>
    <w:div w:id="605432881">
      <w:bodyDiv w:val="1"/>
      <w:marLeft w:val="0"/>
      <w:marRight w:val="0"/>
      <w:marTop w:val="0"/>
      <w:marBottom w:val="0"/>
      <w:divBdr>
        <w:top w:val="none" w:sz="0" w:space="0" w:color="auto"/>
        <w:left w:val="none" w:sz="0" w:space="0" w:color="auto"/>
        <w:bottom w:val="none" w:sz="0" w:space="0" w:color="auto"/>
        <w:right w:val="none" w:sz="0" w:space="0" w:color="auto"/>
      </w:divBdr>
    </w:div>
    <w:div w:id="672418412">
      <w:bodyDiv w:val="1"/>
      <w:marLeft w:val="0"/>
      <w:marRight w:val="0"/>
      <w:marTop w:val="0"/>
      <w:marBottom w:val="0"/>
      <w:divBdr>
        <w:top w:val="none" w:sz="0" w:space="0" w:color="auto"/>
        <w:left w:val="none" w:sz="0" w:space="0" w:color="auto"/>
        <w:bottom w:val="none" w:sz="0" w:space="0" w:color="auto"/>
        <w:right w:val="none" w:sz="0" w:space="0" w:color="auto"/>
      </w:divBdr>
    </w:div>
    <w:div w:id="712537954">
      <w:bodyDiv w:val="1"/>
      <w:marLeft w:val="0"/>
      <w:marRight w:val="0"/>
      <w:marTop w:val="0"/>
      <w:marBottom w:val="0"/>
      <w:divBdr>
        <w:top w:val="none" w:sz="0" w:space="0" w:color="auto"/>
        <w:left w:val="none" w:sz="0" w:space="0" w:color="auto"/>
        <w:bottom w:val="none" w:sz="0" w:space="0" w:color="auto"/>
        <w:right w:val="none" w:sz="0" w:space="0" w:color="auto"/>
      </w:divBdr>
    </w:div>
    <w:div w:id="749499827">
      <w:bodyDiv w:val="1"/>
      <w:marLeft w:val="0"/>
      <w:marRight w:val="0"/>
      <w:marTop w:val="0"/>
      <w:marBottom w:val="0"/>
      <w:divBdr>
        <w:top w:val="none" w:sz="0" w:space="0" w:color="auto"/>
        <w:left w:val="none" w:sz="0" w:space="0" w:color="auto"/>
        <w:bottom w:val="none" w:sz="0" w:space="0" w:color="auto"/>
        <w:right w:val="none" w:sz="0" w:space="0" w:color="auto"/>
      </w:divBdr>
    </w:div>
    <w:div w:id="750544532">
      <w:bodyDiv w:val="1"/>
      <w:marLeft w:val="0"/>
      <w:marRight w:val="0"/>
      <w:marTop w:val="0"/>
      <w:marBottom w:val="0"/>
      <w:divBdr>
        <w:top w:val="none" w:sz="0" w:space="0" w:color="auto"/>
        <w:left w:val="none" w:sz="0" w:space="0" w:color="auto"/>
        <w:bottom w:val="none" w:sz="0" w:space="0" w:color="auto"/>
        <w:right w:val="none" w:sz="0" w:space="0" w:color="auto"/>
      </w:divBdr>
    </w:div>
    <w:div w:id="798260378">
      <w:bodyDiv w:val="1"/>
      <w:marLeft w:val="0"/>
      <w:marRight w:val="0"/>
      <w:marTop w:val="0"/>
      <w:marBottom w:val="0"/>
      <w:divBdr>
        <w:top w:val="none" w:sz="0" w:space="0" w:color="auto"/>
        <w:left w:val="none" w:sz="0" w:space="0" w:color="auto"/>
        <w:bottom w:val="none" w:sz="0" w:space="0" w:color="auto"/>
        <w:right w:val="none" w:sz="0" w:space="0" w:color="auto"/>
      </w:divBdr>
    </w:div>
    <w:div w:id="1011368953">
      <w:bodyDiv w:val="1"/>
      <w:marLeft w:val="0"/>
      <w:marRight w:val="0"/>
      <w:marTop w:val="0"/>
      <w:marBottom w:val="0"/>
      <w:divBdr>
        <w:top w:val="none" w:sz="0" w:space="0" w:color="auto"/>
        <w:left w:val="none" w:sz="0" w:space="0" w:color="auto"/>
        <w:bottom w:val="none" w:sz="0" w:space="0" w:color="auto"/>
        <w:right w:val="none" w:sz="0" w:space="0" w:color="auto"/>
      </w:divBdr>
    </w:div>
    <w:div w:id="1139689869">
      <w:bodyDiv w:val="1"/>
      <w:marLeft w:val="0"/>
      <w:marRight w:val="0"/>
      <w:marTop w:val="0"/>
      <w:marBottom w:val="0"/>
      <w:divBdr>
        <w:top w:val="none" w:sz="0" w:space="0" w:color="auto"/>
        <w:left w:val="none" w:sz="0" w:space="0" w:color="auto"/>
        <w:bottom w:val="none" w:sz="0" w:space="0" w:color="auto"/>
        <w:right w:val="none" w:sz="0" w:space="0" w:color="auto"/>
      </w:divBdr>
    </w:div>
    <w:div w:id="1151555553">
      <w:bodyDiv w:val="1"/>
      <w:marLeft w:val="0"/>
      <w:marRight w:val="0"/>
      <w:marTop w:val="0"/>
      <w:marBottom w:val="0"/>
      <w:divBdr>
        <w:top w:val="none" w:sz="0" w:space="0" w:color="auto"/>
        <w:left w:val="none" w:sz="0" w:space="0" w:color="auto"/>
        <w:bottom w:val="none" w:sz="0" w:space="0" w:color="auto"/>
        <w:right w:val="none" w:sz="0" w:space="0" w:color="auto"/>
      </w:divBdr>
    </w:div>
    <w:div w:id="1157497841">
      <w:bodyDiv w:val="1"/>
      <w:marLeft w:val="0"/>
      <w:marRight w:val="0"/>
      <w:marTop w:val="0"/>
      <w:marBottom w:val="0"/>
      <w:divBdr>
        <w:top w:val="none" w:sz="0" w:space="0" w:color="auto"/>
        <w:left w:val="none" w:sz="0" w:space="0" w:color="auto"/>
        <w:bottom w:val="none" w:sz="0" w:space="0" w:color="auto"/>
        <w:right w:val="none" w:sz="0" w:space="0" w:color="auto"/>
      </w:divBdr>
    </w:div>
    <w:div w:id="1185905340">
      <w:bodyDiv w:val="1"/>
      <w:marLeft w:val="0"/>
      <w:marRight w:val="0"/>
      <w:marTop w:val="0"/>
      <w:marBottom w:val="0"/>
      <w:divBdr>
        <w:top w:val="none" w:sz="0" w:space="0" w:color="auto"/>
        <w:left w:val="none" w:sz="0" w:space="0" w:color="auto"/>
        <w:bottom w:val="none" w:sz="0" w:space="0" w:color="auto"/>
        <w:right w:val="none" w:sz="0" w:space="0" w:color="auto"/>
      </w:divBdr>
    </w:div>
    <w:div w:id="1232739608">
      <w:bodyDiv w:val="1"/>
      <w:marLeft w:val="0"/>
      <w:marRight w:val="0"/>
      <w:marTop w:val="0"/>
      <w:marBottom w:val="0"/>
      <w:divBdr>
        <w:top w:val="none" w:sz="0" w:space="0" w:color="auto"/>
        <w:left w:val="none" w:sz="0" w:space="0" w:color="auto"/>
        <w:bottom w:val="none" w:sz="0" w:space="0" w:color="auto"/>
        <w:right w:val="none" w:sz="0" w:space="0" w:color="auto"/>
      </w:divBdr>
    </w:div>
    <w:div w:id="1292176537">
      <w:bodyDiv w:val="1"/>
      <w:marLeft w:val="0"/>
      <w:marRight w:val="0"/>
      <w:marTop w:val="0"/>
      <w:marBottom w:val="0"/>
      <w:divBdr>
        <w:top w:val="none" w:sz="0" w:space="0" w:color="auto"/>
        <w:left w:val="none" w:sz="0" w:space="0" w:color="auto"/>
        <w:bottom w:val="none" w:sz="0" w:space="0" w:color="auto"/>
        <w:right w:val="none" w:sz="0" w:space="0" w:color="auto"/>
      </w:divBdr>
    </w:div>
    <w:div w:id="1307583811">
      <w:bodyDiv w:val="1"/>
      <w:marLeft w:val="0"/>
      <w:marRight w:val="0"/>
      <w:marTop w:val="0"/>
      <w:marBottom w:val="0"/>
      <w:divBdr>
        <w:top w:val="none" w:sz="0" w:space="0" w:color="auto"/>
        <w:left w:val="none" w:sz="0" w:space="0" w:color="auto"/>
        <w:bottom w:val="none" w:sz="0" w:space="0" w:color="auto"/>
        <w:right w:val="none" w:sz="0" w:space="0" w:color="auto"/>
      </w:divBdr>
    </w:div>
    <w:div w:id="1309942341">
      <w:bodyDiv w:val="1"/>
      <w:marLeft w:val="0"/>
      <w:marRight w:val="0"/>
      <w:marTop w:val="0"/>
      <w:marBottom w:val="0"/>
      <w:divBdr>
        <w:top w:val="none" w:sz="0" w:space="0" w:color="auto"/>
        <w:left w:val="none" w:sz="0" w:space="0" w:color="auto"/>
        <w:bottom w:val="none" w:sz="0" w:space="0" w:color="auto"/>
        <w:right w:val="none" w:sz="0" w:space="0" w:color="auto"/>
      </w:divBdr>
    </w:div>
    <w:div w:id="1425150794">
      <w:bodyDiv w:val="1"/>
      <w:marLeft w:val="0"/>
      <w:marRight w:val="0"/>
      <w:marTop w:val="0"/>
      <w:marBottom w:val="0"/>
      <w:divBdr>
        <w:top w:val="none" w:sz="0" w:space="0" w:color="auto"/>
        <w:left w:val="none" w:sz="0" w:space="0" w:color="auto"/>
        <w:bottom w:val="none" w:sz="0" w:space="0" w:color="auto"/>
        <w:right w:val="none" w:sz="0" w:space="0" w:color="auto"/>
      </w:divBdr>
    </w:div>
    <w:div w:id="1551460227">
      <w:bodyDiv w:val="1"/>
      <w:marLeft w:val="0"/>
      <w:marRight w:val="0"/>
      <w:marTop w:val="0"/>
      <w:marBottom w:val="0"/>
      <w:divBdr>
        <w:top w:val="none" w:sz="0" w:space="0" w:color="auto"/>
        <w:left w:val="none" w:sz="0" w:space="0" w:color="auto"/>
        <w:bottom w:val="none" w:sz="0" w:space="0" w:color="auto"/>
        <w:right w:val="none" w:sz="0" w:space="0" w:color="auto"/>
      </w:divBdr>
    </w:div>
    <w:div w:id="1558274018">
      <w:bodyDiv w:val="1"/>
      <w:marLeft w:val="0"/>
      <w:marRight w:val="0"/>
      <w:marTop w:val="0"/>
      <w:marBottom w:val="0"/>
      <w:divBdr>
        <w:top w:val="none" w:sz="0" w:space="0" w:color="auto"/>
        <w:left w:val="none" w:sz="0" w:space="0" w:color="auto"/>
        <w:bottom w:val="none" w:sz="0" w:space="0" w:color="auto"/>
        <w:right w:val="none" w:sz="0" w:space="0" w:color="auto"/>
      </w:divBdr>
    </w:div>
    <w:div w:id="1602836120">
      <w:bodyDiv w:val="1"/>
      <w:marLeft w:val="0"/>
      <w:marRight w:val="0"/>
      <w:marTop w:val="0"/>
      <w:marBottom w:val="0"/>
      <w:divBdr>
        <w:top w:val="none" w:sz="0" w:space="0" w:color="auto"/>
        <w:left w:val="none" w:sz="0" w:space="0" w:color="auto"/>
        <w:bottom w:val="none" w:sz="0" w:space="0" w:color="auto"/>
        <w:right w:val="none" w:sz="0" w:space="0" w:color="auto"/>
      </w:divBdr>
    </w:div>
    <w:div w:id="1646930185">
      <w:bodyDiv w:val="1"/>
      <w:marLeft w:val="0"/>
      <w:marRight w:val="0"/>
      <w:marTop w:val="0"/>
      <w:marBottom w:val="0"/>
      <w:divBdr>
        <w:top w:val="none" w:sz="0" w:space="0" w:color="auto"/>
        <w:left w:val="none" w:sz="0" w:space="0" w:color="auto"/>
        <w:bottom w:val="none" w:sz="0" w:space="0" w:color="auto"/>
        <w:right w:val="none" w:sz="0" w:space="0" w:color="auto"/>
      </w:divBdr>
    </w:div>
    <w:div w:id="1780684869">
      <w:bodyDiv w:val="1"/>
      <w:marLeft w:val="0"/>
      <w:marRight w:val="0"/>
      <w:marTop w:val="0"/>
      <w:marBottom w:val="0"/>
      <w:divBdr>
        <w:top w:val="none" w:sz="0" w:space="0" w:color="auto"/>
        <w:left w:val="none" w:sz="0" w:space="0" w:color="auto"/>
        <w:bottom w:val="none" w:sz="0" w:space="0" w:color="auto"/>
        <w:right w:val="none" w:sz="0" w:space="0" w:color="auto"/>
      </w:divBdr>
    </w:div>
    <w:div w:id="1781149310">
      <w:bodyDiv w:val="1"/>
      <w:marLeft w:val="0"/>
      <w:marRight w:val="0"/>
      <w:marTop w:val="0"/>
      <w:marBottom w:val="0"/>
      <w:divBdr>
        <w:top w:val="none" w:sz="0" w:space="0" w:color="auto"/>
        <w:left w:val="none" w:sz="0" w:space="0" w:color="auto"/>
        <w:bottom w:val="none" w:sz="0" w:space="0" w:color="auto"/>
        <w:right w:val="none" w:sz="0" w:space="0" w:color="auto"/>
      </w:divBdr>
    </w:div>
    <w:div w:id="1781490414">
      <w:bodyDiv w:val="1"/>
      <w:marLeft w:val="0"/>
      <w:marRight w:val="0"/>
      <w:marTop w:val="0"/>
      <w:marBottom w:val="0"/>
      <w:divBdr>
        <w:top w:val="none" w:sz="0" w:space="0" w:color="auto"/>
        <w:left w:val="none" w:sz="0" w:space="0" w:color="auto"/>
        <w:bottom w:val="none" w:sz="0" w:space="0" w:color="auto"/>
        <w:right w:val="none" w:sz="0" w:space="0" w:color="auto"/>
      </w:divBdr>
    </w:div>
    <w:div w:id="1789858036">
      <w:bodyDiv w:val="1"/>
      <w:marLeft w:val="0"/>
      <w:marRight w:val="0"/>
      <w:marTop w:val="0"/>
      <w:marBottom w:val="0"/>
      <w:divBdr>
        <w:top w:val="none" w:sz="0" w:space="0" w:color="auto"/>
        <w:left w:val="none" w:sz="0" w:space="0" w:color="auto"/>
        <w:bottom w:val="none" w:sz="0" w:space="0" w:color="auto"/>
        <w:right w:val="none" w:sz="0" w:space="0" w:color="auto"/>
      </w:divBdr>
    </w:div>
    <w:div w:id="1896817658">
      <w:bodyDiv w:val="1"/>
      <w:marLeft w:val="0"/>
      <w:marRight w:val="0"/>
      <w:marTop w:val="0"/>
      <w:marBottom w:val="0"/>
      <w:divBdr>
        <w:top w:val="none" w:sz="0" w:space="0" w:color="auto"/>
        <w:left w:val="none" w:sz="0" w:space="0" w:color="auto"/>
        <w:bottom w:val="none" w:sz="0" w:space="0" w:color="auto"/>
        <w:right w:val="none" w:sz="0" w:space="0" w:color="auto"/>
      </w:divBdr>
    </w:div>
    <w:div w:id="1937008885">
      <w:bodyDiv w:val="1"/>
      <w:marLeft w:val="0"/>
      <w:marRight w:val="0"/>
      <w:marTop w:val="0"/>
      <w:marBottom w:val="0"/>
      <w:divBdr>
        <w:top w:val="none" w:sz="0" w:space="0" w:color="auto"/>
        <w:left w:val="none" w:sz="0" w:space="0" w:color="auto"/>
        <w:bottom w:val="none" w:sz="0" w:space="0" w:color="auto"/>
        <w:right w:val="none" w:sz="0" w:space="0" w:color="auto"/>
      </w:divBdr>
    </w:div>
    <w:div w:id="2013099450">
      <w:bodyDiv w:val="1"/>
      <w:marLeft w:val="0"/>
      <w:marRight w:val="0"/>
      <w:marTop w:val="0"/>
      <w:marBottom w:val="0"/>
      <w:divBdr>
        <w:top w:val="none" w:sz="0" w:space="0" w:color="auto"/>
        <w:left w:val="none" w:sz="0" w:space="0" w:color="auto"/>
        <w:bottom w:val="none" w:sz="0" w:space="0" w:color="auto"/>
        <w:right w:val="none" w:sz="0" w:space="0" w:color="auto"/>
      </w:divBdr>
    </w:div>
    <w:div w:id="2027099765">
      <w:bodyDiv w:val="1"/>
      <w:marLeft w:val="0"/>
      <w:marRight w:val="0"/>
      <w:marTop w:val="0"/>
      <w:marBottom w:val="0"/>
      <w:divBdr>
        <w:top w:val="none" w:sz="0" w:space="0" w:color="auto"/>
        <w:left w:val="none" w:sz="0" w:space="0" w:color="auto"/>
        <w:bottom w:val="none" w:sz="0" w:space="0" w:color="auto"/>
        <w:right w:val="none" w:sz="0" w:space="0" w:color="auto"/>
      </w:divBdr>
    </w:div>
    <w:div w:id="206105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ihacpa.gov.au/resources/mental-health-costing-study" TargetMode="External"/><Relationship Id="rId26" Type="http://schemas.openxmlformats.org/officeDocument/2006/relationships/chart" Target="charts/chart1.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chart" Target="charts/chart6.xml"/><Relationship Id="rId42" Type="http://schemas.openxmlformats.org/officeDocument/2006/relationships/hyperlink" Target="mailto:enquiries.ihacpa@ihacpa.gov.au" TargetMode="External"/><Relationship Id="rId47"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1.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hacpa.gov.au/resources/mental-health-phase-care-clinical-refinement-project-final-report" TargetMode="External"/><Relationship Id="rId31" Type="http://schemas.openxmlformats.org/officeDocument/2006/relationships/hyperlink" Target="https://www.ihacpa.gov.au/resources/shadow-pricing-guidelines-version-20"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hyperlink" Target="https://www.ihacpa.gov.au/publications/national-pricing-model-consultation-policy-v2" TargetMode="External"/><Relationship Id="rId35" Type="http://schemas.openxmlformats.org/officeDocument/2006/relationships/chart" Target="charts/chart7.xml"/><Relationship Id="rId43" Type="http://schemas.openxmlformats.org/officeDocument/2006/relationships/hyperlink" Target="http://www.ihacpa.gov.au/"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1\LIEUAM\Documents\00%20AMHCC%20v1.1%20refinement\03%20TAC\TAC_11_April_2023_Attachment_A_unlinked%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ieuam\AppData\Local\Hewlett-Packard\HP%20TRIM\TEMP\HPTRIM.9628\t0S1DMMU.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userenv\Users\User_01\LIEUAM\Documents\00%20AMHCC%20v1.1%20refinement\03%20TAC\TAC_11_April_2023_Attachment_A_unlinked%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01\LIEUAM\Documents\00%20AMHCC%20v1.1%20refinement\03%20TAC\TAC_11_April_2023_Attachment_A_unlinked%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euam\AppData\Local\Hewlett-Packard\HP%20TRIM\TEMP\HPTRIM.4448\t0RZ78G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euam\AppData\Local\Hewlett-Packard\HP%20TRIM\TEMP\HPTRIM.4448\t0RZ78G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euam\AppData\Local\Hewlett-Packard\HP%20TRIM\TEMP\HPTRIM.4448\t0RZ78G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euam\AppData\Local\Hewlett-Packard\HP%20TRIM\TEMP\HPTRIM.4448\t0RZ78G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ieuam\AppData\Local\Hewlett-Packard\HP%20TRIM\TEMP\HPTRIM.9628\t0S1DMM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ieuam\AppData\Local\Hewlett-Packard\HP%20TRIM\TEMP\HPTRIM.9628\t0S1DMMU.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Admitted</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a:noFill/>
            </a:ln>
          </c:spPr>
          <c:explosion val="2"/>
          <c:dPt>
            <c:idx val="0"/>
            <c:bubble3D val="0"/>
            <c:spPr>
              <a:solidFill>
                <a:srgbClr val="0080C4"/>
              </a:solidFill>
              <a:ln w="19050">
                <a:noFill/>
              </a:ln>
              <a:effectLst/>
            </c:spPr>
            <c:extLst>
              <c:ext xmlns:c16="http://schemas.microsoft.com/office/drawing/2014/chart" uri="{C3380CC4-5D6E-409C-BE32-E72D297353CC}">
                <c16:uniqueId val="{00000001-F9D5-426F-B0A0-2F1DF893D6B6}"/>
              </c:ext>
            </c:extLst>
          </c:dPt>
          <c:dPt>
            <c:idx val="1"/>
            <c:bubble3D val="0"/>
            <c:spPr>
              <a:solidFill>
                <a:srgbClr val="54C1AF"/>
              </a:solidFill>
              <a:ln w="19050">
                <a:noFill/>
              </a:ln>
              <a:effectLst/>
            </c:spPr>
            <c:extLst>
              <c:ext xmlns:c16="http://schemas.microsoft.com/office/drawing/2014/chart" uri="{C3380CC4-5D6E-409C-BE32-E72D297353CC}">
                <c16:uniqueId val="{00000003-F9D5-426F-B0A0-2F1DF893D6B6}"/>
              </c:ext>
            </c:extLst>
          </c:dPt>
          <c:dPt>
            <c:idx val="2"/>
            <c:bubble3D val="0"/>
            <c:spPr>
              <a:solidFill>
                <a:srgbClr val="009055"/>
              </a:solidFill>
              <a:ln w="19050">
                <a:noFill/>
              </a:ln>
              <a:effectLst/>
            </c:spPr>
            <c:extLst>
              <c:ext xmlns:c16="http://schemas.microsoft.com/office/drawing/2014/chart" uri="{C3380CC4-5D6E-409C-BE32-E72D297353CC}">
                <c16:uniqueId val="{00000005-F9D5-426F-B0A0-2F1DF893D6B6}"/>
              </c:ext>
            </c:extLst>
          </c:dPt>
          <c:dLbls>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'Change in complexity grouping'!$C$5:$E$5</c:f>
              <c:strCache>
                <c:ptCount val="3"/>
                <c:pt idx="0">
                  <c:v>Complexity unchanged</c:v>
                </c:pt>
                <c:pt idx="1">
                  <c:v>Moderate -&gt; High</c:v>
                </c:pt>
                <c:pt idx="2">
                  <c:v>High -&gt; Moderate</c:v>
                </c:pt>
              </c:strCache>
            </c:strRef>
          </c:cat>
          <c:val>
            <c:numRef>
              <c:f>'Change in complexity grouping'!$C$6:$E$6</c:f>
              <c:numCache>
                <c:formatCode>0%</c:formatCode>
                <c:ptCount val="3"/>
                <c:pt idx="0">
                  <c:v>0.7580049644066742</c:v>
                </c:pt>
                <c:pt idx="1">
                  <c:v>8.7764829610028322E-2</c:v>
                </c:pt>
                <c:pt idx="2">
                  <c:v>0.15413973843570303</c:v>
                </c:pt>
              </c:numCache>
            </c:numRef>
          </c:val>
          <c:extLst>
            <c:ext xmlns:c16="http://schemas.microsoft.com/office/drawing/2014/chart" uri="{C3380CC4-5D6E-409C-BE32-E72D297353CC}">
              <c16:uniqueId val="{00000006-F9D5-426F-B0A0-2F1DF893D6B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Community setting</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146616058194033"/>
          <c:y val="0.14270833333333333"/>
          <c:w val="0.79065571101762444"/>
          <c:h val="0.63573381452318456"/>
        </c:manualLayout>
      </c:layout>
      <c:barChart>
        <c:barDir val="col"/>
        <c:grouping val="clustered"/>
        <c:varyColors val="0"/>
        <c:ser>
          <c:idx val="0"/>
          <c:order val="0"/>
          <c:tx>
            <c:strRef>
              <c:f>Values!$C$12</c:f>
              <c:strCache>
                <c:ptCount val="1"/>
                <c:pt idx="0">
                  <c:v>2 year data (1819 &amp; 1920)</c:v>
                </c:pt>
              </c:strCache>
            </c:strRef>
          </c:tx>
          <c:spPr>
            <a:solidFill>
              <a:srgbClr val="009055"/>
            </a:solidFill>
            <a:ln>
              <a:noFill/>
            </a:ln>
            <a:effectLst/>
          </c:spPr>
          <c:invertIfNegative val="0"/>
          <c:cat>
            <c:strRef>
              <c:f>Values!$B$13:$B$15</c:f>
              <c:strCache>
                <c:ptCount val="3"/>
                <c:pt idx="0">
                  <c:v>0-17 years</c:v>
                </c:pt>
                <c:pt idx="1">
                  <c:v>18-64 years</c:v>
                </c:pt>
                <c:pt idx="2">
                  <c:v>65+ years</c:v>
                </c:pt>
              </c:strCache>
            </c:strRef>
          </c:cat>
          <c:val>
            <c:numRef>
              <c:f>Values!$C$13:$C$15</c:f>
              <c:numCache>
                <c:formatCode>_-"$"* #,##0_-;\-"$"* #,##0_-;_-"$"* "-"??_-;_-@_-</c:formatCode>
                <c:ptCount val="3"/>
                <c:pt idx="0">
                  <c:v>4247.1087093639726</c:v>
                </c:pt>
                <c:pt idx="1">
                  <c:v>3887.3732754662083</c:v>
                </c:pt>
                <c:pt idx="2">
                  <c:v>3214.2995147879942</c:v>
                </c:pt>
              </c:numCache>
            </c:numRef>
          </c:val>
          <c:extLst>
            <c:ext xmlns:c16="http://schemas.microsoft.com/office/drawing/2014/chart" uri="{C3380CC4-5D6E-409C-BE32-E72D297353CC}">
              <c16:uniqueId val="{00000000-027A-49D7-8DF4-7DD3A31E5212}"/>
            </c:ext>
          </c:extLst>
        </c:ser>
        <c:ser>
          <c:idx val="1"/>
          <c:order val="1"/>
          <c:tx>
            <c:strRef>
              <c:f>Values!$D$12</c:f>
              <c:strCache>
                <c:ptCount val="1"/>
                <c:pt idx="0">
                  <c:v>3 year data (1819, 1920 &amp; 2021)</c:v>
                </c:pt>
              </c:strCache>
            </c:strRef>
          </c:tx>
          <c:spPr>
            <a:solidFill>
              <a:srgbClr val="0080C4"/>
            </a:solidFill>
            <a:ln>
              <a:noFill/>
            </a:ln>
            <a:effectLst/>
          </c:spPr>
          <c:invertIfNegative val="0"/>
          <c:dLbls>
            <c:dLbl>
              <c:idx val="0"/>
              <c:tx>
                <c:rich>
                  <a:bodyPr/>
                  <a:lstStyle/>
                  <a:p>
                    <a:fld id="{A5F5203E-6FC0-42CA-8E27-65A7BE4059B7}"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27A-49D7-8DF4-7DD3A31E5212}"/>
                </c:ext>
              </c:extLst>
            </c:dLbl>
            <c:dLbl>
              <c:idx val="1"/>
              <c:tx>
                <c:rich>
                  <a:bodyPr/>
                  <a:lstStyle/>
                  <a:p>
                    <a:fld id="{2567A16B-0F9B-41EF-8B6C-FBB12D3E3C3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27A-49D7-8DF4-7DD3A31E5212}"/>
                </c:ext>
              </c:extLst>
            </c:dLbl>
            <c:dLbl>
              <c:idx val="2"/>
              <c:tx>
                <c:rich>
                  <a:bodyPr/>
                  <a:lstStyle/>
                  <a:p>
                    <a:fld id="{C8251E3A-C048-4BBB-BD4B-712FA76A4CA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27A-49D7-8DF4-7DD3A31E5212}"/>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Values!$B$13:$B$15</c:f>
              <c:strCache>
                <c:ptCount val="3"/>
                <c:pt idx="0">
                  <c:v>0-17 years</c:v>
                </c:pt>
                <c:pt idx="1">
                  <c:v>18-64 years</c:v>
                </c:pt>
                <c:pt idx="2">
                  <c:v>65+ years</c:v>
                </c:pt>
              </c:strCache>
            </c:strRef>
          </c:cat>
          <c:val>
            <c:numRef>
              <c:f>Values!$D$13:$D$15</c:f>
              <c:numCache>
                <c:formatCode>_-"$"* #,##0_-;\-"$"* #,##0_-;_-"$"* "-"??_-;_-@_-</c:formatCode>
                <c:ptCount val="3"/>
                <c:pt idx="0">
                  <c:v>4204.4791030721954</c:v>
                </c:pt>
                <c:pt idx="1">
                  <c:v>3886.3154737468699</c:v>
                </c:pt>
                <c:pt idx="2">
                  <c:v>3288.6245286636417</c:v>
                </c:pt>
              </c:numCache>
            </c:numRef>
          </c:val>
          <c:extLst>
            <c:ext xmlns:c15="http://schemas.microsoft.com/office/drawing/2012/chart" uri="{02D57815-91ED-43cb-92C2-25804820EDAC}">
              <c15:datalabelsRange>
                <c15:f>Values!$E$13:$E$15</c15:f>
                <c15:dlblRangeCache>
                  <c:ptCount val="3"/>
                  <c:pt idx="0">
                    <c:v>-1%</c:v>
                  </c:pt>
                  <c:pt idx="1">
                    <c:v>-0%</c:v>
                  </c:pt>
                  <c:pt idx="2">
                    <c:v>+2%</c:v>
                  </c:pt>
                </c15:dlblRangeCache>
              </c15:datalabelsRange>
            </c:ext>
            <c:ext xmlns:c16="http://schemas.microsoft.com/office/drawing/2014/chart" uri="{C3380CC4-5D6E-409C-BE32-E72D297353CC}">
              <c16:uniqueId val="{00000004-027A-49D7-8DF4-7DD3A31E5212}"/>
            </c:ext>
          </c:extLst>
        </c:ser>
        <c:dLbls>
          <c:showLegendKey val="0"/>
          <c:showVal val="0"/>
          <c:showCatName val="0"/>
          <c:showSerName val="0"/>
          <c:showPercent val="0"/>
          <c:showBubbleSize val="0"/>
        </c:dLbls>
        <c:gapWidth val="219"/>
        <c:overlap val="-27"/>
        <c:axId val="345977407"/>
        <c:axId val="345974495"/>
      </c:barChart>
      <c:catAx>
        <c:axId val="34597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4495"/>
        <c:crosses val="autoZero"/>
        <c:auto val="1"/>
        <c:lblAlgn val="ctr"/>
        <c:lblOffset val="100"/>
        <c:noMultiLvlLbl val="0"/>
      </c:catAx>
      <c:valAx>
        <c:axId val="34597449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phase cost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Community</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a:noFill/>
            </a:ln>
          </c:spPr>
          <c:explosion val="2"/>
          <c:dPt>
            <c:idx val="0"/>
            <c:bubble3D val="0"/>
            <c:spPr>
              <a:solidFill>
                <a:srgbClr val="0080C4"/>
              </a:solidFill>
              <a:ln w="19050">
                <a:noFill/>
              </a:ln>
              <a:effectLst/>
            </c:spPr>
            <c:extLst>
              <c:ext xmlns:c16="http://schemas.microsoft.com/office/drawing/2014/chart" uri="{C3380CC4-5D6E-409C-BE32-E72D297353CC}">
                <c16:uniqueId val="{00000001-F260-465B-ACFC-971AFB5A3891}"/>
              </c:ext>
            </c:extLst>
          </c:dPt>
          <c:dPt>
            <c:idx val="1"/>
            <c:bubble3D val="0"/>
            <c:spPr>
              <a:solidFill>
                <a:srgbClr val="54C1AF"/>
              </a:solidFill>
              <a:ln w="19050">
                <a:noFill/>
              </a:ln>
              <a:effectLst/>
            </c:spPr>
            <c:extLst>
              <c:ext xmlns:c16="http://schemas.microsoft.com/office/drawing/2014/chart" uri="{C3380CC4-5D6E-409C-BE32-E72D297353CC}">
                <c16:uniqueId val="{00000003-F260-465B-ACFC-971AFB5A3891}"/>
              </c:ext>
            </c:extLst>
          </c:dPt>
          <c:dPt>
            <c:idx val="2"/>
            <c:bubble3D val="0"/>
            <c:spPr>
              <a:solidFill>
                <a:srgbClr val="009055"/>
              </a:solidFill>
              <a:ln w="19050">
                <a:noFill/>
              </a:ln>
              <a:effectLst/>
            </c:spPr>
            <c:extLst>
              <c:ext xmlns:c16="http://schemas.microsoft.com/office/drawing/2014/chart" uri="{C3380CC4-5D6E-409C-BE32-E72D297353CC}">
                <c16:uniqueId val="{00000005-F260-465B-ACFC-971AFB5A3891}"/>
              </c:ext>
            </c:extLst>
          </c:dPt>
          <c:dLbls>
            <c:dLbl>
              <c:idx val="2"/>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260-465B-ACFC-971AFB5A3891}"/>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'Change in complexity grouping'!$C$5:$E$5</c:f>
              <c:strCache>
                <c:ptCount val="3"/>
                <c:pt idx="0">
                  <c:v>Complexity unchanged</c:v>
                </c:pt>
                <c:pt idx="1">
                  <c:v>Moderate -&gt; High</c:v>
                </c:pt>
                <c:pt idx="2">
                  <c:v>High -&gt; Moderate</c:v>
                </c:pt>
              </c:strCache>
            </c:strRef>
          </c:cat>
          <c:val>
            <c:numRef>
              <c:f>'Change in complexity grouping'!$C$7:$E$7</c:f>
              <c:numCache>
                <c:formatCode>0%</c:formatCode>
                <c:ptCount val="3"/>
                <c:pt idx="0">
                  <c:v>0.65029891760003555</c:v>
                </c:pt>
                <c:pt idx="1">
                  <c:v>0.33788810523542112</c:v>
                </c:pt>
                <c:pt idx="2">
                  <c:v>1.1812977164543274E-2</c:v>
                </c:pt>
              </c:numCache>
            </c:numRef>
          </c:val>
          <c:extLst>
            <c:ext xmlns:c16="http://schemas.microsoft.com/office/drawing/2014/chart" uri="{C3380CC4-5D6E-409C-BE32-E72D297353CC}">
              <c16:uniqueId val="{00000006-F260-465B-ACFC-971AFB5A389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Overall</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a:noFill/>
            </a:ln>
          </c:spPr>
          <c:explosion val="2"/>
          <c:dPt>
            <c:idx val="0"/>
            <c:bubble3D val="0"/>
            <c:spPr>
              <a:solidFill>
                <a:srgbClr val="0080C4"/>
              </a:solidFill>
              <a:ln w="19050">
                <a:noFill/>
              </a:ln>
              <a:effectLst/>
            </c:spPr>
            <c:extLst>
              <c:ext xmlns:c16="http://schemas.microsoft.com/office/drawing/2014/chart" uri="{C3380CC4-5D6E-409C-BE32-E72D297353CC}">
                <c16:uniqueId val="{00000001-432E-4E14-B047-68F24D04ED8B}"/>
              </c:ext>
            </c:extLst>
          </c:dPt>
          <c:dPt>
            <c:idx val="1"/>
            <c:bubble3D val="0"/>
            <c:spPr>
              <a:solidFill>
                <a:srgbClr val="54C1AF"/>
              </a:solidFill>
              <a:ln w="19050">
                <a:noFill/>
              </a:ln>
              <a:effectLst/>
            </c:spPr>
            <c:extLst>
              <c:ext xmlns:c16="http://schemas.microsoft.com/office/drawing/2014/chart" uri="{C3380CC4-5D6E-409C-BE32-E72D297353CC}">
                <c16:uniqueId val="{00000003-432E-4E14-B047-68F24D04ED8B}"/>
              </c:ext>
            </c:extLst>
          </c:dPt>
          <c:dPt>
            <c:idx val="2"/>
            <c:bubble3D val="0"/>
            <c:spPr>
              <a:solidFill>
                <a:srgbClr val="009055"/>
              </a:solidFill>
              <a:ln w="19050">
                <a:noFill/>
              </a:ln>
              <a:effectLst/>
            </c:spPr>
            <c:extLst>
              <c:ext xmlns:c16="http://schemas.microsoft.com/office/drawing/2014/chart" uri="{C3380CC4-5D6E-409C-BE32-E72D297353CC}">
                <c16:uniqueId val="{00000005-432E-4E14-B047-68F24D04ED8B}"/>
              </c:ext>
            </c:extLst>
          </c:dPt>
          <c:dLbls>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'Change in complexity grouping'!$C$5:$E$5</c:f>
              <c:strCache>
                <c:ptCount val="3"/>
                <c:pt idx="0">
                  <c:v>Complexity unchanged</c:v>
                </c:pt>
                <c:pt idx="1">
                  <c:v>Moderate -&gt; High</c:v>
                </c:pt>
                <c:pt idx="2">
                  <c:v>High -&gt; Moderate</c:v>
                </c:pt>
              </c:strCache>
            </c:strRef>
          </c:cat>
          <c:val>
            <c:numRef>
              <c:f>'Change in complexity grouping'!$C$8:$E$8</c:f>
              <c:numCache>
                <c:formatCode>0%</c:formatCode>
                <c:ptCount val="3"/>
                <c:pt idx="0">
                  <c:v>0.69090773428839425</c:v>
                </c:pt>
                <c:pt idx="1">
                  <c:v>0.24358318410505669</c:v>
                </c:pt>
                <c:pt idx="2">
                  <c:v>6.5474972286177199E-2</c:v>
                </c:pt>
              </c:numCache>
            </c:numRef>
          </c:val>
          <c:extLst>
            <c:ext xmlns:c16="http://schemas.microsoft.com/office/drawing/2014/chart" uri="{C3380CC4-5D6E-409C-BE32-E72D297353CC}">
              <c16:uniqueId val="{00000006-432E-4E14-B047-68F24D04ED8B}"/>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Setting</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Values!$H$4</c:f>
              <c:strCache>
                <c:ptCount val="1"/>
                <c:pt idx="0">
                  <c:v>Admitted</c:v>
                </c:pt>
              </c:strCache>
            </c:strRef>
          </c:tx>
          <c:spPr>
            <a:solidFill>
              <a:srgbClr val="0080C4"/>
            </a:solidFill>
            <a:ln>
              <a:noFill/>
            </a:ln>
            <a:effectLst/>
          </c:spPr>
          <c:invertIfNegative val="0"/>
          <c:dLbls>
            <c:dLbl>
              <c:idx val="0"/>
              <c:tx>
                <c:rich>
                  <a:bodyPr/>
                  <a:lstStyle/>
                  <a:p>
                    <a:fld id="{0ABCEA58-B593-46A1-8D0E-5B43A899CDD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B2D-4E99-BF30-7929522E66F7}"/>
                </c:ext>
              </c:extLst>
            </c:dLbl>
            <c:dLbl>
              <c:idx val="1"/>
              <c:tx>
                <c:rich>
                  <a:bodyPr/>
                  <a:lstStyle/>
                  <a:p>
                    <a:fld id="{750DC3A1-4B01-4D12-B98D-2F0E5E13EFF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B2D-4E99-BF30-7929522E66F7}"/>
                </c:ext>
              </c:extLst>
            </c:dLbl>
            <c:dLbl>
              <c:idx val="2"/>
              <c:tx>
                <c:rich>
                  <a:bodyPr/>
                  <a:lstStyle/>
                  <a:p>
                    <a:fld id="{078D929F-A124-4BE8-A224-E222AF58D684}"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B2D-4E99-BF30-7929522E66F7}"/>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Values!$I$4:$K$4</c:f>
              <c:numCache>
                <c:formatCode>##,</c:formatCode>
                <c:ptCount val="3"/>
                <c:pt idx="0">
                  <c:v>77674</c:v>
                </c:pt>
                <c:pt idx="1">
                  <c:v>71568</c:v>
                </c:pt>
                <c:pt idx="2">
                  <c:v>72098</c:v>
                </c:pt>
              </c:numCache>
            </c:numRef>
          </c:val>
          <c:extLst>
            <c:ext xmlns:c15="http://schemas.microsoft.com/office/drawing/2012/chart" uri="{02D57815-91ED-43cb-92C2-25804820EDAC}">
              <c15:datalabelsRange>
                <c15:f>Values!$L$4:$N$4</c15:f>
                <c15:dlblRangeCache>
                  <c:ptCount val="3"/>
                  <c:pt idx="0">
                    <c:v>39%</c:v>
                  </c:pt>
                  <c:pt idx="1">
                    <c:v>24%</c:v>
                  </c:pt>
                  <c:pt idx="2">
                    <c:v>26%</c:v>
                  </c:pt>
                </c15:dlblRangeCache>
              </c15:datalabelsRange>
            </c:ext>
            <c:ext xmlns:c16="http://schemas.microsoft.com/office/drawing/2014/chart" uri="{C3380CC4-5D6E-409C-BE32-E72D297353CC}">
              <c16:uniqueId val="{00000003-1B2D-4E99-BF30-7929522E66F7}"/>
            </c:ext>
          </c:extLst>
        </c:ser>
        <c:ser>
          <c:idx val="1"/>
          <c:order val="1"/>
          <c:tx>
            <c:strRef>
              <c:f>Values!$H$5</c:f>
              <c:strCache>
                <c:ptCount val="1"/>
                <c:pt idx="0">
                  <c:v>Community</c:v>
                </c:pt>
              </c:strCache>
            </c:strRef>
          </c:tx>
          <c:spPr>
            <a:solidFill>
              <a:srgbClr val="009055"/>
            </a:solidFill>
            <a:ln>
              <a:noFill/>
            </a:ln>
            <a:effectLst/>
          </c:spPr>
          <c:invertIfNegative val="0"/>
          <c:dLbls>
            <c:dLbl>
              <c:idx val="0"/>
              <c:tx>
                <c:rich>
                  <a:bodyPr/>
                  <a:lstStyle/>
                  <a:p>
                    <a:fld id="{A42A5097-3574-46EA-9264-A04FA8DCB15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B2D-4E99-BF30-7929522E66F7}"/>
                </c:ext>
              </c:extLst>
            </c:dLbl>
            <c:dLbl>
              <c:idx val="1"/>
              <c:tx>
                <c:rich>
                  <a:bodyPr/>
                  <a:lstStyle/>
                  <a:p>
                    <a:fld id="{8FCDD870-6172-48F0-AD94-237E215067E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B2D-4E99-BF30-7929522E66F7}"/>
                </c:ext>
              </c:extLst>
            </c:dLbl>
            <c:dLbl>
              <c:idx val="2"/>
              <c:tx>
                <c:rich>
                  <a:bodyPr/>
                  <a:lstStyle/>
                  <a:p>
                    <a:fld id="{69AC6A82-3BBD-4F4F-AFC6-576B7D2354C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B2D-4E99-BF30-7929522E66F7}"/>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Values!$I$5:$K$5</c:f>
              <c:numCache>
                <c:formatCode>##,</c:formatCode>
                <c:ptCount val="3"/>
                <c:pt idx="0">
                  <c:v>120020</c:v>
                </c:pt>
                <c:pt idx="1">
                  <c:v>225735</c:v>
                </c:pt>
                <c:pt idx="2">
                  <c:v>203218</c:v>
                </c:pt>
              </c:numCache>
            </c:numRef>
          </c:val>
          <c:extLst>
            <c:ext xmlns:c15="http://schemas.microsoft.com/office/drawing/2012/chart" uri="{02D57815-91ED-43cb-92C2-25804820EDAC}">
              <c15:datalabelsRange>
                <c15:f>Values!$L$5:$N$5</c15:f>
                <c15:dlblRangeCache>
                  <c:ptCount val="3"/>
                  <c:pt idx="0">
                    <c:v>61%</c:v>
                  </c:pt>
                  <c:pt idx="1">
                    <c:v>76%</c:v>
                  </c:pt>
                  <c:pt idx="2">
                    <c:v>74%</c:v>
                  </c:pt>
                </c15:dlblRangeCache>
              </c15:datalabelsRange>
            </c:ext>
            <c:ext xmlns:c16="http://schemas.microsoft.com/office/drawing/2014/chart" uri="{C3380CC4-5D6E-409C-BE32-E72D297353CC}">
              <c16:uniqueId val="{00000007-1B2D-4E99-BF30-7929522E66F7}"/>
            </c:ext>
          </c:extLst>
        </c:ser>
        <c:dLbls>
          <c:showLegendKey val="0"/>
          <c:showVal val="0"/>
          <c:showCatName val="0"/>
          <c:showSerName val="0"/>
          <c:showPercent val="0"/>
          <c:showBubbleSize val="0"/>
        </c:dLbls>
        <c:gapWidth val="150"/>
        <c:overlap val="100"/>
        <c:axId val="345975327"/>
        <c:axId val="345973663"/>
        <c:extLst>
          <c:ext xmlns:c15="http://schemas.microsoft.com/office/drawing/2012/chart" uri="{02D57815-91ED-43cb-92C2-25804820EDAC}">
            <c15:filteredBarSeries>
              <c15:ser>
                <c:idx val="2"/>
                <c:order val="2"/>
                <c:tx>
                  <c:strRef>
                    <c:extLst>
                      <c:ext uri="{02D57815-91ED-43cb-92C2-25804820EDAC}">
                        <c15:formulaRef>
                          <c15:sqref>Values!$H$6</c15:sqref>
                        </c15:formulaRef>
                      </c:ext>
                    </c:extLst>
                    <c:strCache>
                      <c:ptCount val="1"/>
                      <c:pt idx="0">
                        <c:v>Acute</c:v>
                      </c:pt>
                    </c:strCache>
                  </c:strRef>
                </c:tx>
                <c:spPr>
                  <a:solidFill>
                    <a:schemeClr val="accent3"/>
                  </a:solidFill>
                  <a:ln>
                    <a:noFill/>
                  </a:ln>
                  <a:effectLst/>
                </c:spPr>
                <c:invertIfNegative val="0"/>
                <c:cat>
                  <c:strRef>
                    <c:extLst>
                      <c:ext uri="{02D57815-91ED-43cb-92C2-25804820EDAC}">
                        <c15:formulaRef>
                          <c15:sqref>Values!$I$3:$K$3</c15:sqref>
                        </c15:formulaRef>
                      </c:ext>
                    </c:extLst>
                    <c:strCache>
                      <c:ptCount val="3"/>
                      <c:pt idx="0">
                        <c:v>2018-19</c:v>
                      </c:pt>
                      <c:pt idx="1">
                        <c:v>2019-20</c:v>
                      </c:pt>
                      <c:pt idx="2">
                        <c:v>2020-21</c:v>
                      </c:pt>
                    </c:strCache>
                  </c:strRef>
                </c:cat>
                <c:val>
                  <c:numRef>
                    <c:extLst>
                      <c:ext uri="{02D57815-91ED-43cb-92C2-25804820EDAC}">
                        <c15:formulaRef>
                          <c15:sqref>Values!$I$6:$K$6</c15:sqref>
                        </c15:formulaRef>
                      </c:ext>
                    </c:extLst>
                    <c:numCache>
                      <c:formatCode>##,</c:formatCode>
                      <c:ptCount val="3"/>
                      <c:pt idx="0">
                        <c:v>110232</c:v>
                      </c:pt>
                      <c:pt idx="1">
                        <c:v>132045</c:v>
                      </c:pt>
                      <c:pt idx="2">
                        <c:v>133284</c:v>
                      </c:pt>
                    </c:numCache>
                  </c:numRef>
                </c:val>
                <c:extLst>
                  <c:ext xmlns:c16="http://schemas.microsoft.com/office/drawing/2014/chart" uri="{C3380CC4-5D6E-409C-BE32-E72D297353CC}">
                    <c16:uniqueId val="{00000008-1B2D-4E99-BF30-7929522E66F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Values!$H$7</c15:sqref>
                        </c15:formulaRef>
                      </c:ext>
                    </c:extLst>
                    <c:strCache>
                      <c:ptCount val="1"/>
                      <c:pt idx="0">
                        <c:v>Consolidating gain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Values!$I$7:$K$7</c15:sqref>
                        </c15:formulaRef>
                      </c:ext>
                    </c:extLst>
                    <c:numCache>
                      <c:formatCode>##,</c:formatCode>
                      <c:ptCount val="3"/>
                      <c:pt idx="0">
                        <c:v>35344</c:v>
                      </c:pt>
                      <c:pt idx="1">
                        <c:v>94948</c:v>
                      </c:pt>
                      <c:pt idx="2">
                        <c:v>82692</c:v>
                      </c:pt>
                    </c:numCache>
                  </c:numRef>
                </c:val>
                <c:extLst xmlns:c15="http://schemas.microsoft.com/office/drawing/2012/chart">
                  <c:ext xmlns:c16="http://schemas.microsoft.com/office/drawing/2014/chart" uri="{C3380CC4-5D6E-409C-BE32-E72D297353CC}">
                    <c16:uniqueId val="{00000009-1B2D-4E99-BF30-7929522E66F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Values!$H$8</c15:sqref>
                        </c15:formulaRef>
                      </c:ext>
                    </c:extLst>
                    <c:strCache>
                      <c:ptCount val="1"/>
                      <c:pt idx="0">
                        <c:v>Functional gain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Values!$I$8:$K$8</c15:sqref>
                        </c15:formulaRef>
                      </c:ext>
                    </c:extLst>
                    <c:numCache>
                      <c:formatCode>##,</c:formatCode>
                      <c:ptCount val="3"/>
                      <c:pt idx="0">
                        <c:v>42249</c:v>
                      </c:pt>
                      <c:pt idx="1">
                        <c:v>53064</c:v>
                      </c:pt>
                      <c:pt idx="2">
                        <c:v>44391</c:v>
                      </c:pt>
                    </c:numCache>
                  </c:numRef>
                </c:val>
                <c:extLst xmlns:c15="http://schemas.microsoft.com/office/drawing/2012/chart">
                  <c:ext xmlns:c16="http://schemas.microsoft.com/office/drawing/2014/chart" uri="{C3380CC4-5D6E-409C-BE32-E72D297353CC}">
                    <c16:uniqueId val="{0000000A-1B2D-4E99-BF30-7929522E66F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Values!$H$9</c15:sqref>
                        </c15:formulaRef>
                      </c:ext>
                    </c:extLst>
                    <c:strCache>
                      <c:ptCount val="1"/>
                      <c:pt idx="0">
                        <c:v>Intensive extended</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Values!$I$9:$K$9</c15:sqref>
                        </c15:formulaRef>
                      </c:ext>
                    </c:extLst>
                    <c:numCache>
                      <c:formatCode>##,</c:formatCode>
                      <c:ptCount val="3"/>
                      <c:pt idx="0">
                        <c:v>9869</c:v>
                      </c:pt>
                      <c:pt idx="1">
                        <c:v>17246</c:v>
                      </c:pt>
                      <c:pt idx="2">
                        <c:v>14949</c:v>
                      </c:pt>
                    </c:numCache>
                  </c:numRef>
                </c:val>
                <c:extLst xmlns:c15="http://schemas.microsoft.com/office/drawing/2012/chart">
                  <c:ext xmlns:c16="http://schemas.microsoft.com/office/drawing/2014/chart" uri="{C3380CC4-5D6E-409C-BE32-E72D297353CC}">
                    <c16:uniqueId val="{0000000B-1B2D-4E99-BF30-7929522E66F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Values!$H$10</c15:sqref>
                        </c15:formulaRef>
                      </c:ext>
                    </c:extLst>
                    <c:strCache>
                      <c:ptCount val="1"/>
                      <c:pt idx="0">
                        <c:v>0-17 years</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Values!$I$10:$K$10</c15:sqref>
                        </c15:formulaRef>
                      </c:ext>
                    </c:extLst>
                    <c:numCache>
                      <c:formatCode>##,</c:formatCode>
                      <c:ptCount val="3"/>
                      <c:pt idx="0">
                        <c:v>26423</c:v>
                      </c:pt>
                      <c:pt idx="1">
                        <c:v>41129</c:v>
                      </c:pt>
                      <c:pt idx="2">
                        <c:v>43722</c:v>
                      </c:pt>
                    </c:numCache>
                  </c:numRef>
                </c:val>
                <c:extLst xmlns:c15="http://schemas.microsoft.com/office/drawing/2012/chart">
                  <c:ext xmlns:c16="http://schemas.microsoft.com/office/drawing/2014/chart" uri="{C3380CC4-5D6E-409C-BE32-E72D297353CC}">
                    <c16:uniqueId val="{0000000C-1B2D-4E99-BF30-7929522E66F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Values!$H$11</c15:sqref>
                        </c15:formulaRef>
                      </c:ext>
                    </c:extLst>
                    <c:strCache>
                      <c:ptCount val="1"/>
                      <c:pt idx="0">
                        <c:v>18-64 years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Values!$I$11:$K$11</c15:sqref>
                        </c15:formulaRef>
                      </c:ext>
                    </c:extLst>
                    <c:numCache>
                      <c:formatCode>##,</c:formatCode>
                      <c:ptCount val="3"/>
                      <c:pt idx="0">
                        <c:v>150732</c:v>
                      </c:pt>
                      <c:pt idx="1">
                        <c:v>223008</c:v>
                      </c:pt>
                      <c:pt idx="2">
                        <c:v>203830</c:v>
                      </c:pt>
                    </c:numCache>
                  </c:numRef>
                </c:val>
                <c:extLst xmlns:c15="http://schemas.microsoft.com/office/drawing/2012/chart">
                  <c:ext xmlns:c16="http://schemas.microsoft.com/office/drawing/2014/chart" uri="{C3380CC4-5D6E-409C-BE32-E72D297353CC}">
                    <c16:uniqueId val="{0000000D-1B2D-4E99-BF30-7929522E66F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Values!$H$12</c15:sqref>
                        </c15:formulaRef>
                      </c:ext>
                    </c:extLst>
                    <c:strCache>
                      <c:ptCount val="1"/>
                      <c:pt idx="0">
                        <c:v>65+ years</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Values!$I$12:$K$12</c15:sqref>
                        </c15:formulaRef>
                      </c:ext>
                    </c:extLst>
                    <c:numCache>
                      <c:formatCode>##,</c:formatCode>
                      <c:ptCount val="3"/>
                      <c:pt idx="0">
                        <c:v>20539</c:v>
                      </c:pt>
                      <c:pt idx="1">
                        <c:v>33166</c:v>
                      </c:pt>
                      <c:pt idx="2">
                        <c:v>27764</c:v>
                      </c:pt>
                    </c:numCache>
                  </c:numRef>
                </c:val>
                <c:extLst xmlns:c15="http://schemas.microsoft.com/office/drawing/2012/chart">
                  <c:ext xmlns:c16="http://schemas.microsoft.com/office/drawing/2014/chart" uri="{C3380CC4-5D6E-409C-BE32-E72D297353CC}">
                    <c16:uniqueId val="{0000000E-1B2D-4E99-BF30-7929522E66F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Values!$H$13</c15:sqref>
                        </c15:formulaRef>
                      </c:ext>
                    </c:extLst>
                    <c:strCache>
                      <c:ptCount val="1"/>
                      <c:pt idx="0">
                        <c:v>Voluntary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Values!$I$13:$K$13</c15:sqref>
                        </c15:formulaRef>
                      </c:ext>
                    </c:extLst>
                    <c:numCache>
                      <c:formatCode>##,</c:formatCode>
                      <c:ptCount val="3"/>
                      <c:pt idx="0">
                        <c:v>40362</c:v>
                      </c:pt>
                      <c:pt idx="1">
                        <c:v>36186</c:v>
                      </c:pt>
                      <c:pt idx="2">
                        <c:v>36743</c:v>
                      </c:pt>
                    </c:numCache>
                  </c:numRef>
                </c:val>
                <c:extLst xmlns:c15="http://schemas.microsoft.com/office/drawing/2012/chart">
                  <c:ext xmlns:c16="http://schemas.microsoft.com/office/drawing/2014/chart" uri="{C3380CC4-5D6E-409C-BE32-E72D297353CC}">
                    <c16:uniqueId val="{0000000F-1B2D-4E99-BF30-7929522E66F7}"/>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Values!$H$14</c15:sqref>
                        </c15:formulaRef>
                      </c:ext>
                    </c:extLst>
                    <c:strCache>
                      <c:ptCount val="1"/>
                      <c:pt idx="0">
                        <c:v>Involuntary</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Values!$I$14:$K$14</c15:sqref>
                        </c15:formulaRef>
                      </c:ext>
                    </c:extLst>
                    <c:numCache>
                      <c:formatCode>##,</c:formatCode>
                      <c:ptCount val="3"/>
                      <c:pt idx="0">
                        <c:v>36161</c:v>
                      </c:pt>
                      <c:pt idx="1">
                        <c:v>35294</c:v>
                      </c:pt>
                      <c:pt idx="2">
                        <c:v>35220</c:v>
                      </c:pt>
                    </c:numCache>
                  </c:numRef>
                </c:val>
                <c:extLst xmlns:c15="http://schemas.microsoft.com/office/drawing/2012/chart">
                  <c:ext xmlns:c16="http://schemas.microsoft.com/office/drawing/2014/chart" uri="{C3380CC4-5D6E-409C-BE32-E72D297353CC}">
                    <c16:uniqueId val="{00000010-1B2D-4E99-BF30-7929522E66F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Values!$H$15</c15:sqref>
                        </c15:formulaRef>
                      </c:ext>
                    </c:extLst>
                    <c:strCache>
                      <c:ptCount val="1"/>
                      <c:pt idx="0">
                        <c:v>Unknown</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Values!$I$15:$K$15</c15:sqref>
                        </c15:formulaRef>
                      </c:ext>
                    </c:extLst>
                    <c:numCache>
                      <c:formatCode>##,</c:formatCode>
                      <c:ptCount val="3"/>
                      <c:pt idx="0">
                        <c:v>1151</c:v>
                      </c:pt>
                      <c:pt idx="1">
                        <c:v>88</c:v>
                      </c:pt>
                      <c:pt idx="2">
                        <c:v>135</c:v>
                      </c:pt>
                    </c:numCache>
                  </c:numRef>
                </c:val>
                <c:extLst xmlns:c15="http://schemas.microsoft.com/office/drawing/2012/chart">
                  <c:ext xmlns:c16="http://schemas.microsoft.com/office/drawing/2014/chart" uri="{C3380CC4-5D6E-409C-BE32-E72D297353CC}">
                    <c16:uniqueId val="{00000011-1B2D-4E99-BF30-7929522E66F7}"/>
                  </c:ext>
                </c:extLst>
              </c15:ser>
            </c15:filteredBarSeries>
          </c:ext>
        </c:extLst>
      </c:barChart>
      <c:catAx>
        <c:axId val="3459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3663"/>
        <c:crosses val="autoZero"/>
        <c:auto val="1"/>
        <c:lblAlgn val="ctr"/>
        <c:lblOffset val="100"/>
        <c:noMultiLvlLbl val="0"/>
      </c:catAx>
      <c:valAx>
        <c:axId val="34597366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Records ('000)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Age group</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6"/>
          <c:order val="6"/>
          <c:tx>
            <c:strRef>
              <c:f>Values!$H$10</c:f>
              <c:strCache>
                <c:ptCount val="1"/>
                <c:pt idx="0">
                  <c:v>0-17 years</c:v>
                </c:pt>
              </c:strCache>
            </c:strRef>
          </c:tx>
          <c:spPr>
            <a:solidFill>
              <a:srgbClr val="0080C4"/>
            </a:solidFill>
            <a:ln>
              <a:noFill/>
            </a:ln>
            <a:effectLst/>
          </c:spPr>
          <c:invertIfNegative val="0"/>
          <c:dLbls>
            <c:dLbl>
              <c:idx val="0"/>
              <c:tx>
                <c:rich>
                  <a:bodyPr/>
                  <a:lstStyle/>
                  <a:p>
                    <a:fld id="{3BE7FB7F-4C2C-4232-A2F2-0CF9CDAE9B1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A88-4A89-9704-5E114E13E659}"/>
                </c:ext>
              </c:extLst>
            </c:dLbl>
            <c:dLbl>
              <c:idx val="1"/>
              <c:tx>
                <c:rich>
                  <a:bodyPr/>
                  <a:lstStyle/>
                  <a:p>
                    <a:fld id="{C6FC4B5F-7C84-4265-A938-64029A8B924B}"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A88-4A89-9704-5E114E13E659}"/>
                </c:ext>
              </c:extLst>
            </c:dLbl>
            <c:dLbl>
              <c:idx val="2"/>
              <c:tx>
                <c:rich>
                  <a:bodyPr/>
                  <a:lstStyle/>
                  <a:p>
                    <a:fld id="{386C4187-9F29-4F5E-B164-93FD915072F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A88-4A89-9704-5E114E13E659}"/>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Values!$I$10:$K$10</c:f>
              <c:numCache>
                <c:formatCode>##,</c:formatCode>
                <c:ptCount val="3"/>
                <c:pt idx="0">
                  <c:v>26423</c:v>
                </c:pt>
                <c:pt idx="1">
                  <c:v>41129</c:v>
                </c:pt>
                <c:pt idx="2">
                  <c:v>43722</c:v>
                </c:pt>
              </c:numCache>
            </c:numRef>
          </c:val>
          <c:extLst>
            <c:ext xmlns:c15="http://schemas.microsoft.com/office/drawing/2012/chart" uri="{02D57815-91ED-43cb-92C2-25804820EDAC}">
              <c15:datalabelsRange>
                <c15:f>Values!$L$10:$N$10</c15:f>
                <c15:dlblRangeCache>
                  <c:ptCount val="3"/>
                  <c:pt idx="0">
                    <c:v>13%</c:v>
                  </c:pt>
                  <c:pt idx="1">
                    <c:v>14%</c:v>
                  </c:pt>
                  <c:pt idx="2">
                    <c:v>16%</c:v>
                  </c:pt>
                </c15:dlblRangeCache>
              </c15:datalabelsRange>
            </c:ext>
            <c:ext xmlns:c16="http://schemas.microsoft.com/office/drawing/2014/chart" uri="{C3380CC4-5D6E-409C-BE32-E72D297353CC}">
              <c16:uniqueId val="{00000003-5A88-4A89-9704-5E114E13E659}"/>
            </c:ext>
          </c:extLst>
        </c:ser>
        <c:ser>
          <c:idx val="7"/>
          <c:order val="7"/>
          <c:tx>
            <c:strRef>
              <c:f>Values!$H$11</c:f>
              <c:strCache>
                <c:ptCount val="1"/>
                <c:pt idx="0">
                  <c:v>18-64 years</c:v>
                </c:pt>
              </c:strCache>
            </c:strRef>
          </c:tx>
          <c:spPr>
            <a:solidFill>
              <a:srgbClr val="009055"/>
            </a:solidFill>
            <a:ln>
              <a:noFill/>
            </a:ln>
            <a:effectLst/>
          </c:spPr>
          <c:invertIfNegative val="0"/>
          <c:dLbls>
            <c:dLbl>
              <c:idx val="0"/>
              <c:tx>
                <c:rich>
                  <a:bodyPr/>
                  <a:lstStyle/>
                  <a:p>
                    <a:fld id="{2423DDBA-9291-4E67-85A5-CEEC665853F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A88-4A89-9704-5E114E13E659}"/>
                </c:ext>
              </c:extLst>
            </c:dLbl>
            <c:dLbl>
              <c:idx val="1"/>
              <c:tx>
                <c:rich>
                  <a:bodyPr/>
                  <a:lstStyle/>
                  <a:p>
                    <a:fld id="{315F405A-5A63-4D38-AE20-6E0467F3CC1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A88-4A89-9704-5E114E13E659}"/>
                </c:ext>
              </c:extLst>
            </c:dLbl>
            <c:dLbl>
              <c:idx val="2"/>
              <c:tx>
                <c:rich>
                  <a:bodyPr/>
                  <a:lstStyle/>
                  <a:p>
                    <a:fld id="{077F3ED4-6E2A-4CD1-8362-A1E6AF15A7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A88-4A89-9704-5E114E13E659}"/>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Values!$I$11:$K$11</c:f>
              <c:numCache>
                <c:formatCode>##,</c:formatCode>
                <c:ptCount val="3"/>
                <c:pt idx="0">
                  <c:v>150732</c:v>
                </c:pt>
                <c:pt idx="1">
                  <c:v>223008</c:v>
                </c:pt>
                <c:pt idx="2">
                  <c:v>203830</c:v>
                </c:pt>
              </c:numCache>
            </c:numRef>
          </c:val>
          <c:extLst>
            <c:ext xmlns:c15="http://schemas.microsoft.com/office/drawing/2012/chart" uri="{02D57815-91ED-43cb-92C2-25804820EDAC}">
              <c15:datalabelsRange>
                <c15:f>Values!$L$11:$N$11</c15:f>
                <c15:dlblRangeCache>
                  <c:ptCount val="3"/>
                  <c:pt idx="0">
                    <c:v>76%</c:v>
                  </c:pt>
                  <c:pt idx="1">
                    <c:v>75%</c:v>
                  </c:pt>
                  <c:pt idx="2">
                    <c:v>74%</c:v>
                  </c:pt>
                </c15:dlblRangeCache>
              </c15:datalabelsRange>
            </c:ext>
            <c:ext xmlns:c16="http://schemas.microsoft.com/office/drawing/2014/chart" uri="{C3380CC4-5D6E-409C-BE32-E72D297353CC}">
              <c16:uniqueId val="{00000007-5A88-4A89-9704-5E114E13E659}"/>
            </c:ext>
          </c:extLst>
        </c:ser>
        <c:ser>
          <c:idx val="8"/>
          <c:order val="8"/>
          <c:tx>
            <c:strRef>
              <c:f>Values!$H$12</c:f>
              <c:strCache>
                <c:ptCount val="1"/>
                <c:pt idx="0">
                  <c:v>65+ years</c:v>
                </c:pt>
              </c:strCache>
            </c:strRef>
          </c:tx>
          <c:spPr>
            <a:solidFill>
              <a:srgbClr val="104F99"/>
            </a:solidFill>
            <a:ln>
              <a:noFill/>
            </a:ln>
            <a:effectLst/>
          </c:spPr>
          <c:invertIfNegative val="0"/>
          <c:dLbls>
            <c:dLbl>
              <c:idx val="0"/>
              <c:tx>
                <c:rich>
                  <a:bodyPr/>
                  <a:lstStyle/>
                  <a:p>
                    <a:fld id="{475140CF-B9B2-4182-BF9E-46D82CECC01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A88-4A89-9704-5E114E13E659}"/>
                </c:ext>
              </c:extLst>
            </c:dLbl>
            <c:dLbl>
              <c:idx val="1"/>
              <c:tx>
                <c:rich>
                  <a:bodyPr/>
                  <a:lstStyle/>
                  <a:p>
                    <a:fld id="{C75B84ED-FFCF-4901-8202-C7D483E5EA1D}"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A88-4A89-9704-5E114E13E659}"/>
                </c:ext>
              </c:extLst>
            </c:dLbl>
            <c:dLbl>
              <c:idx val="2"/>
              <c:tx>
                <c:rich>
                  <a:bodyPr/>
                  <a:lstStyle/>
                  <a:p>
                    <a:fld id="{BA31C0D4-31E3-4A39-A2D9-7500F6B254F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A88-4A89-9704-5E114E13E659}"/>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Values!$I$12:$K$12</c:f>
              <c:numCache>
                <c:formatCode>##,</c:formatCode>
                <c:ptCount val="3"/>
                <c:pt idx="0">
                  <c:v>20539</c:v>
                </c:pt>
                <c:pt idx="1">
                  <c:v>33166</c:v>
                </c:pt>
                <c:pt idx="2">
                  <c:v>27764</c:v>
                </c:pt>
              </c:numCache>
            </c:numRef>
          </c:val>
          <c:extLst>
            <c:ext xmlns:c15="http://schemas.microsoft.com/office/drawing/2012/chart" uri="{02D57815-91ED-43cb-92C2-25804820EDAC}">
              <c15:datalabelsRange>
                <c15:f>Values!$L$12:$N$12</c15:f>
                <c15:dlblRangeCache>
                  <c:ptCount val="3"/>
                  <c:pt idx="0">
                    <c:v>10%</c:v>
                  </c:pt>
                  <c:pt idx="1">
                    <c:v>11%</c:v>
                  </c:pt>
                  <c:pt idx="2">
                    <c:v>10%</c:v>
                  </c:pt>
                </c15:dlblRangeCache>
              </c15:datalabelsRange>
            </c:ext>
            <c:ext xmlns:c16="http://schemas.microsoft.com/office/drawing/2014/chart" uri="{C3380CC4-5D6E-409C-BE32-E72D297353CC}">
              <c16:uniqueId val="{0000000B-5A88-4A89-9704-5E114E13E659}"/>
            </c:ext>
          </c:extLst>
        </c:ser>
        <c:dLbls>
          <c:showLegendKey val="0"/>
          <c:showVal val="0"/>
          <c:showCatName val="0"/>
          <c:showSerName val="0"/>
          <c:showPercent val="0"/>
          <c:showBubbleSize val="0"/>
        </c:dLbls>
        <c:gapWidth val="150"/>
        <c:overlap val="100"/>
        <c:axId val="345975327"/>
        <c:axId val="345973663"/>
        <c:extLst>
          <c:ext xmlns:c15="http://schemas.microsoft.com/office/drawing/2012/chart" uri="{02D57815-91ED-43cb-92C2-25804820EDAC}">
            <c15:filteredBarSeries>
              <c15:ser>
                <c:idx val="0"/>
                <c:order val="0"/>
                <c:tx>
                  <c:strRef>
                    <c:extLst>
                      <c:ext uri="{02D57815-91ED-43cb-92C2-25804820EDAC}">
                        <c15:formulaRef>
                          <c15:sqref>Values!$H$4</c15:sqref>
                        </c15:formulaRef>
                      </c:ext>
                    </c:extLst>
                    <c:strCache>
                      <c:ptCount val="1"/>
                      <c:pt idx="0">
                        <c:v>Admitted</c:v>
                      </c:pt>
                    </c:strCache>
                  </c:strRef>
                </c:tx>
                <c:spPr>
                  <a:solidFill>
                    <a:schemeClr val="accent1"/>
                  </a:solidFill>
                  <a:ln>
                    <a:noFill/>
                  </a:ln>
                  <a:effectLst/>
                </c:spPr>
                <c:invertIfNegative val="0"/>
                <c:cat>
                  <c:strRef>
                    <c:extLst>
                      <c:ext uri="{02D57815-91ED-43cb-92C2-25804820EDAC}">
                        <c15:formulaRef>
                          <c15:sqref>Values!$I$3:$K$3</c15:sqref>
                        </c15:formulaRef>
                      </c:ext>
                    </c:extLst>
                    <c:strCache>
                      <c:ptCount val="3"/>
                      <c:pt idx="0">
                        <c:v>2018-19</c:v>
                      </c:pt>
                      <c:pt idx="1">
                        <c:v>2019-20</c:v>
                      </c:pt>
                      <c:pt idx="2">
                        <c:v>2020-21</c:v>
                      </c:pt>
                    </c:strCache>
                  </c:strRef>
                </c:cat>
                <c:val>
                  <c:numRef>
                    <c:extLst>
                      <c:ext uri="{02D57815-91ED-43cb-92C2-25804820EDAC}">
                        <c15:formulaRef>
                          <c15:sqref>Values!$I$4:$K$4</c15:sqref>
                        </c15:formulaRef>
                      </c:ext>
                    </c:extLst>
                    <c:numCache>
                      <c:formatCode>##,</c:formatCode>
                      <c:ptCount val="3"/>
                      <c:pt idx="0">
                        <c:v>77674</c:v>
                      </c:pt>
                      <c:pt idx="1">
                        <c:v>71568</c:v>
                      </c:pt>
                      <c:pt idx="2">
                        <c:v>72098</c:v>
                      </c:pt>
                    </c:numCache>
                  </c:numRef>
                </c:val>
                <c:extLst>
                  <c:ext xmlns:c16="http://schemas.microsoft.com/office/drawing/2014/chart" uri="{C3380CC4-5D6E-409C-BE32-E72D297353CC}">
                    <c16:uniqueId val="{0000000C-5A88-4A89-9704-5E114E13E6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Values!$H$5</c15:sqref>
                        </c15:formulaRef>
                      </c:ext>
                    </c:extLst>
                    <c:strCache>
                      <c:ptCount val="1"/>
                      <c:pt idx="0">
                        <c:v>Community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Values!$I$5:$K$5</c15:sqref>
                        </c15:formulaRef>
                      </c:ext>
                    </c:extLst>
                    <c:numCache>
                      <c:formatCode>##,</c:formatCode>
                      <c:ptCount val="3"/>
                      <c:pt idx="0">
                        <c:v>120020</c:v>
                      </c:pt>
                      <c:pt idx="1">
                        <c:v>225735</c:v>
                      </c:pt>
                      <c:pt idx="2">
                        <c:v>203218</c:v>
                      </c:pt>
                    </c:numCache>
                  </c:numRef>
                </c:val>
                <c:extLst xmlns:c15="http://schemas.microsoft.com/office/drawing/2012/chart">
                  <c:ext xmlns:c16="http://schemas.microsoft.com/office/drawing/2014/chart" uri="{C3380CC4-5D6E-409C-BE32-E72D297353CC}">
                    <c16:uniqueId val="{0000000D-5A88-4A89-9704-5E114E13E65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Values!$H$6</c15:sqref>
                        </c15:formulaRef>
                      </c:ext>
                    </c:extLst>
                    <c:strCache>
                      <c:ptCount val="1"/>
                      <c:pt idx="0">
                        <c:v>Acute</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Values!$I$6:$K$6</c15:sqref>
                        </c15:formulaRef>
                      </c:ext>
                    </c:extLst>
                    <c:numCache>
                      <c:formatCode>##,</c:formatCode>
                      <c:ptCount val="3"/>
                      <c:pt idx="0">
                        <c:v>110232</c:v>
                      </c:pt>
                      <c:pt idx="1">
                        <c:v>132045</c:v>
                      </c:pt>
                      <c:pt idx="2">
                        <c:v>133284</c:v>
                      </c:pt>
                    </c:numCache>
                  </c:numRef>
                </c:val>
                <c:extLst xmlns:c15="http://schemas.microsoft.com/office/drawing/2012/chart">
                  <c:ext xmlns:c16="http://schemas.microsoft.com/office/drawing/2014/chart" uri="{C3380CC4-5D6E-409C-BE32-E72D297353CC}">
                    <c16:uniqueId val="{0000000E-5A88-4A89-9704-5E114E13E65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Values!$H$7</c15:sqref>
                        </c15:formulaRef>
                      </c:ext>
                    </c:extLst>
                    <c:strCache>
                      <c:ptCount val="1"/>
                      <c:pt idx="0">
                        <c:v>Consolidating gain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Values!$I$7:$K$7</c15:sqref>
                        </c15:formulaRef>
                      </c:ext>
                    </c:extLst>
                    <c:numCache>
                      <c:formatCode>##,</c:formatCode>
                      <c:ptCount val="3"/>
                      <c:pt idx="0">
                        <c:v>35344</c:v>
                      </c:pt>
                      <c:pt idx="1">
                        <c:v>94948</c:v>
                      </c:pt>
                      <c:pt idx="2">
                        <c:v>82692</c:v>
                      </c:pt>
                    </c:numCache>
                  </c:numRef>
                </c:val>
                <c:extLst xmlns:c15="http://schemas.microsoft.com/office/drawing/2012/chart">
                  <c:ext xmlns:c16="http://schemas.microsoft.com/office/drawing/2014/chart" uri="{C3380CC4-5D6E-409C-BE32-E72D297353CC}">
                    <c16:uniqueId val="{0000000F-5A88-4A89-9704-5E114E13E6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Values!$H$8</c15:sqref>
                        </c15:formulaRef>
                      </c:ext>
                    </c:extLst>
                    <c:strCache>
                      <c:ptCount val="1"/>
                      <c:pt idx="0">
                        <c:v>Functional gain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Values!$I$8:$K$8</c15:sqref>
                        </c15:formulaRef>
                      </c:ext>
                    </c:extLst>
                    <c:numCache>
                      <c:formatCode>##,</c:formatCode>
                      <c:ptCount val="3"/>
                      <c:pt idx="0">
                        <c:v>42249</c:v>
                      </c:pt>
                      <c:pt idx="1">
                        <c:v>53064</c:v>
                      </c:pt>
                      <c:pt idx="2">
                        <c:v>44391</c:v>
                      </c:pt>
                    </c:numCache>
                  </c:numRef>
                </c:val>
                <c:extLst xmlns:c15="http://schemas.microsoft.com/office/drawing/2012/chart">
                  <c:ext xmlns:c16="http://schemas.microsoft.com/office/drawing/2014/chart" uri="{C3380CC4-5D6E-409C-BE32-E72D297353CC}">
                    <c16:uniqueId val="{00000010-5A88-4A89-9704-5E114E13E65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Values!$H$9</c15:sqref>
                        </c15:formulaRef>
                      </c:ext>
                    </c:extLst>
                    <c:strCache>
                      <c:ptCount val="1"/>
                      <c:pt idx="0">
                        <c:v>Intensive extended</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Values!$I$9:$K$9</c15:sqref>
                        </c15:formulaRef>
                      </c:ext>
                    </c:extLst>
                    <c:numCache>
                      <c:formatCode>##,</c:formatCode>
                      <c:ptCount val="3"/>
                      <c:pt idx="0">
                        <c:v>9869</c:v>
                      </c:pt>
                      <c:pt idx="1">
                        <c:v>17246</c:v>
                      </c:pt>
                      <c:pt idx="2">
                        <c:v>14949</c:v>
                      </c:pt>
                    </c:numCache>
                  </c:numRef>
                </c:val>
                <c:extLst xmlns:c15="http://schemas.microsoft.com/office/drawing/2012/chart">
                  <c:ext xmlns:c16="http://schemas.microsoft.com/office/drawing/2014/chart" uri="{C3380CC4-5D6E-409C-BE32-E72D297353CC}">
                    <c16:uniqueId val="{00000011-5A88-4A89-9704-5E114E13E659}"/>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Values!$H$13</c15:sqref>
                        </c15:formulaRef>
                      </c:ext>
                    </c:extLst>
                    <c:strCache>
                      <c:ptCount val="1"/>
                      <c:pt idx="0">
                        <c:v>Voluntary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Values!$I$13:$K$13</c15:sqref>
                        </c15:formulaRef>
                      </c:ext>
                    </c:extLst>
                    <c:numCache>
                      <c:formatCode>##,</c:formatCode>
                      <c:ptCount val="3"/>
                      <c:pt idx="0">
                        <c:v>40362</c:v>
                      </c:pt>
                      <c:pt idx="1">
                        <c:v>36186</c:v>
                      </c:pt>
                      <c:pt idx="2">
                        <c:v>36743</c:v>
                      </c:pt>
                    </c:numCache>
                  </c:numRef>
                </c:val>
                <c:extLst xmlns:c15="http://schemas.microsoft.com/office/drawing/2012/chart">
                  <c:ext xmlns:c16="http://schemas.microsoft.com/office/drawing/2014/chart" uri="{C3380CC4-5D6E-409C-BE32-E72D297353CC}">
                    <c16:uniqueId val="{00000012-5A88-4A89-9704-5E114E13E659}"/>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Values!$H$14</c15:sqref>
                        </c15:formulaRef>
                      </c:ext>
                    </c:extLst>
                    <c:strCache>
                      <c:ptCount val="1"/>
                      <c:pt idx="0">
                        <c:v>Involuntary</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Values!$I$14:$K$14</c15:sqref>
                        </c15:formulaRef>
                      </c:ext>
                    </c:extLst>
                    <c:numCache>
                      <c:formatCode>##,</c:formatCode>
                      <c:ptCount val="3"/>
                      <c:pt idx="0">
                        <c:v>36161</c:v>
                      </c:pt>
                      <c:pt idx="1">
                        <c:v>35294</c:v>
                      </c:pt>
                      <c:pt idx="2">
                        <c:v>35220</c:v>
                      </c:pt>
                    </c:numCache>
                  </c:numRef>
                </c:val>
                <c:extLst xmlns:c15="http://schemas.microsoft.com/office/drawing/2012/chart">
                  <c:ext xmlns:c16="http://schemas.microsoft.com/office/drawing/2014/chart" uri="{C3380CC4-5D6E-409C-BE32-E72D297353CC}">
                    <c16:uniqueId val="{00000013-5A88-4A89-9704-5E114E13E659}"/>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Values!$H$15</c15:sqref>
                        </c15:formulaRef>
                      </c:ext>
                    </c:extLst>
                    <c:strCache>
                      <c:ptCount val="1"/>
                      <c:pt idx="0">
                        <c:v>Unknown</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Values!$I$15:$K$15</c15:sqref>
                        </c15:formulaRef>
                      </c:ext>
                    </c:extLst>
                    <c:numCache>
                      <c:formatCode>##,</c:formatCode>
                      <c:ptCount val="3"/>
                      <c:pt idx="0">
                        <c:v>1151</c:v>
                      </c:pt>
                      <c:pt idx="1">
                        <c:v>88</c:v>
                      </c:pt>
                      <c:pt idx="2">
                        <c:v>135</c:v>
                      </c:pt>
                    </c:numCache>
                  </c:numRef>
                </c:val>
                <c:extLst xmlns:c15="http://schemas.microsoft.com/office/drawing/2012/chart">
                  <c:ext xmlns:c16="http://schemas.microsoft.com/office/drawing/2014/chart" uri="{C3380CC4-5D6E-409C-BE32-E72D297353CC}">
                    <c16:uniqueId val="{00000014-5A88-4A89-9704-5E114E13E659}"/>
                  </c:ext>
                </c:extLst>
              </c15:ser>
            </c15:filteredBarSeries>
          </c:ext>
        </c:extLst>
      </c:barChart>
      <c:catAx>
        <c:axId val="3459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3663"/>
        <c:crosses val="autoZero"/>
        <c:auto val="1"/>
        <c:lblAlgn val="ctr"/>
        <c:lblOffset val="100"/>
        <c:noMultiLvlLbl val="0"/>
      </c:catAx>
      <c:valAx>
        <c:axId val="34597366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Records ('000)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MHPoC</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2"/>
          <c:order val="2"/>
          <c:tx>
            <c:strRef>
              <c:f>Values!$H$6</c:f>
              <c:strCache>
                <c:ptCount val="1"/>
                <c:pt idx="0">
                  <c:v>Acute</c:v>
                </c:pt>
              </c:strCache>
            </c:strRef>
          </c:tx>
          <c:spPr>
            <a:solidFill>
              <a:srgbClr val="0080C4"/>
            </a:solidFill>
            <a:ln>
              <a:noFill/>
            </a:ln>
            <a:effectLst/>
          </c:spPr>
          <c:invertIfNegative val="0"/>
          <c:dLbls>
            <c:dLbl>
              <c:idx val="0"/>
              <c:tx>
                <c:rich>
                  <a:bodyPr/>
                  <a:lstStyle/>
                  <a:p>
                    <a:fld id="{51FFE2F6-DB98-4D0F-9BE4-ED5681B0B62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D7D-4EF0-876A-A360F1C893C5}"/>
                </c:ext>
              </c:extLst>
            </c:dLbl>
            <c:dLbl>
              <c:idx val="1"/>
              <c:tx>
                <c:rich>
                  <a:bodyPr/>
                  <a:lstStyle/>
                  <a:p>
                    <a:fld id="{A23788F8-60E6-4CC5-B6BB-8674E9C22BB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7D-4EF0-876A-A360F1C893C5}"/>
                </c:ext>
              </c:extLst>
            </c:dLbl>
            <c:dLbl>
              <c:idx val="2"/>
              <c:tx>
                <c:rich>
                  <a:bodyPr/>
                  <a:lstStyle/>
                  <a:p>
                    <a:fld id="{C410A3CB-6FB9-4818-BBC5-934E6FDA253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D7D-4EF0-876A-A360F1C893C5}"/>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Values!$I$6:$K$6</c:f>
              <c:numCache>
                <c:formatCode>##,</c:formatCode>
                <c:ptCount val="3"/>
                <c:pt idx="0">
                  <c:v>110232</c:v>
                </c:pt>
                <c:pt idx="1">
                  <c:v>132045</c:v>
                </c:pt>
                <c:pt idx="2">
                  <c:v>133284</c:v>
                </c:pt>
              </c:numCache>
            </c:numRef>
          </c:val>
          <c:extLst>
            <c:ext xmlns:c15="http://schemas.microsoft.com/office/drawing/2012/chart" uri="{02D57815-91ED-43cb-92C2-25804820EDAC}">
              <c15:datalabelsRange>
                <c15:f>Values!$L$6:$N$6</c15:f>
                <c15:dlblRangeCache>
                  <c:ptCount val="3"/>
                  <c:pt idx="0">
                    <c:v>56%</c:v>
                  </c:pt>
                  <c:pt idx="1">
                    <c:v>44%</c:v>
                  </c:pt>
                  <c:pt idx="2">
                    <c:v>48%</c:v>
                  </c:pt>
                </c15:dlblRangeCache>
              </c15:datalabelsRange>
            </c:ext>
            <c:ext xmlns:c16="http://schemas.microsoft.com/office/drawing/2014/chart" uri="{C3380CC4-5D6E-409C-BE32-E72D297353CC}">
              <c16:uniqueId val="{00000003-7D7D-4EF0-876A-A360F1C893C5}"/>
            </c:ext>
          </c:extLst>
        </c:ser>
        <c:ser>
          <c:idx val="3"/>
          <c:order val="3"/>
          <c:tx>
            <c:strRef>
              <c:f>Values!$H$7</c:f>
              <c:strCache>
                <c:ptCount val="1"/>
                <c:pt idx="0">
                  <c:v>Consolidating gain</c:v>
                </c:pt>
              </c:strCache>
            </c:strRef>
          </c:tx>
          <c:spPr>
            <a:solidFill>
              <a:srgbClr val="009055"/>
            </a:solidFill>
            <a:ln>
              <a:noFill/>
            </a:ln>
            <a:effectLst/>
          </c:spPr>
          <c:invertIfNegative val="0"/>
          <c:dLbls>
            <c:dLbl>
              <c:idx val="0"/>
              <c:tx>
                <c:rich>
                  <a:bodyPr/>
                  <a:lstStyle/>
                  <a:p>
                    <a:fld id="{FDF4D32D-D2E5-47E4-8E5E-B1D4B0B4760B}"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D7D-4EF0-876A-A360F1C893C5}"/>
                </c:ext>
              </c:extLst>
            </c:dLbl>
            <c:dLbl>
              <c:idx val="1"/>
              <c:tx>
                <c:rich>
                  <a:bodyPr/>
                  <a:lstStyle/>
                  <a:p>
                    <a:fld id="{CAE69620-5127-4EA0-9FE3-9922F94FB70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D7D-4EF0-876A-A360F1C893C5}"/>
                </c:ext>
              </c:extLst>
            </c:dLbl>
            <c:dLbl>
              <c:idx val="2"/>
              <c:tx>
                <c:rich>
                  <a:bodyPr/>
                  <a:lstStyle/>
                  <a:p>
                    <a:fld id="{AEB464A9-6773-480A-8A1F-CD1F7480FE9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D7D-4EF0-876A-A360F1C893C5}"/>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Values!$I$7:$K$7</c:f>
              <c:numCache>
                <c:formatCode>##,</c:formatCode>
                <c:ptCount val="3"/>
                <c:pt idx="0">
                  <c:v>35344</c:v>
                </c:pt>
                <c:pt idx="1">
                  <c:v>94948</c:v>
                </c:pt>
                <c:pt idx="2">
                  <c:v>82692</c:v>
                </c:pt>
              </c:numCache>
            </c:numRef>
          </c:val>
          <c:extLst>
            <c:ext xmlns:c15="http://schemas.microsoft.com/office/drawing/2012/chart" uri="{02D57815-91ED-43cb-92C2-25804820EDAC}">
              <c15:datalabelsRange>
                <c15:f>Values!$L$7:$N$7</c15:f>
                <c15:dlblRangeCache>
                  <c:ptCount val="3"/>
                  <c:pt idx="0">
                    <c:v>18%</c:v>
                  </c:pt>
                  <c:pt idx="1">
                    <c:v>32%</c:v>
                  </c:pt>
                  <c:pt idx="2">
                    <c:v>30%</c:v>
                  </c:pt>
                </c15:dlblRangeCache>
              </c15:datalabelsRange>
            </c:ext>
            <c:ext xmlns:c16="http://schemas.microsoft.com/office/drawing/2014/chart" uri="{C3380CC4-5D6E-409C-BE32-E72D297353CC}">
              <c16:uniqueId val="{00000007-7D7D-4EF0-876A-A360F1C893C5}"/>
            </c:ext>
          </c:extLst>
        </c:ser>
        <c:ser>
          <c:idx val="4"/>
          <c:order val="4"/>
          <c:tx>
            <c:strRef>
              <c:f>Values!$H$8</c:f>
              <c:strCache>
                <c:ptCount val="1"/>
                <c:pt idx="0">
                  <c:v>Functional gain</c:v>
                </c:pt>
              </c:strCache>
            </c:strRef>
          </c:tx>
          <c:spPr>
            <a:solidFill>
              <a:srgbClr val="104F99"/>
            </a:solidFill>
            <a:ln>
              <a:noFill/>
            </a:ln>
            <a:effectLst/>
          </c:spPr>
          <c:invertIfNegative val="0"/>
          <c:dLbls>
            <c:dLbl>
              <c:idx val="0"/>
              <c:tx>
                <c:rich>
                  <a:bodyPr/>
                  <a:lstStyle/>
                  <a:p>
                    <a:fld id="{D693E422-0482-4ACE-8019-FCC2399DEB3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D7D-4EF0-876A-A360F1C893C5}"/>
                </c:ext>
              </c:extLst>
            </c:dLbl>
            <c:dLbl>
              <c:idx val="1"/>
              <c:tx>
                <c:rich>
                  <a:bodyPr/>
                  <a:lstStyle/>
                  <a:p>
                    <a:fld id="{5BD647AF-87FC-43BE-9AD8-217D0663917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D7D-4EF0-876A-A360F1C893C5}"/>
                </c:ext>
              </c:extLst>
            </c:dLbl>
            <c:dLbl>
              <c:idx val="2"/>
              <c:tx>
                <c:rich>
                  <a:bodyPr/>
                  <a:lstStyle/>
                  <a:p>
                    <a:fld id="{09DD3C6C-9518-4431-B4A0-6300F4D8A4F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D7D-4EF0-876A-A360F1C893C5}"/>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Values!$I$8:$K$8</c:f>
              <c:numCache>
                <c:formatCode>##,</c:formatCode>
                <c:ptCount val="3"/>
                <c:pt idx="0">
                  <c:v>42249</c:v>
                </c:pt>
                <c:pt idx="1">
                  <c:v>53064</c:v>
                </c:pt>
                <c:pt idx="2">
                  <c:v>44391</c:v>
                </c:pt>
              </c:numCache>
            </c:numRef>
          </c:val>
          <c:extLst>
            <c:ext xmlns:c15="http://schemas.microsoft.com/office/drawing/2012/chart" uri="{02D57815-91ED-43cb-92C2-25804820EDAC}">
              <c15:datalabelsRange>
                <c15:f>Values!$L$8:$N$8</c15:f>
                <c15:dlblRangeCache>
                  <c:ptCount val="3"/>
                  <c:pt idx="0">
                    <c:v>21%</c:v>
                  </c:pt>
                  <c:pt idx="1">
                    <c:v>18%</c:v>
                  </c:pt>
                  <c:pt idx="2">
                    <c:v>16%</c:v>
                  </c:pt>
                </c15:dlblRangeCache>
              </c15:datalabelsRange>
            </c:ext>
            <c:ext xmlns:c16="http://schemas.microsoft.com/office/drawing/2014/chart" uri="{C3380CC4-5D6E-409C-BE32-E72D297353CC}">
              <c16:uniqueId val="{0000000B-7D7D-4EF0-876A-A360F1C893C5}"/>
            </c:ext>
          </c:extLst>
        </c:ser>
        <c:ser>
          <c:idx val="5"/>
          <c:order val="5"/>
          <c:tx>
            <c:strRef>
              <c:f>Values!$H$9</c:f>
              <c:strCache>
                <c:ptCount val="1"/>
                <c:pt idx="0">
                  <c:v>Intensive extended</c:v>
                </c:pt>
              </c:strCache>
            </c:strRef>
          </c:tx>
          <c:spPr>
            <a:solidFill>
              <a:srgbClr val="54C1AF"/>
            </a:solidFill>
            <a:ln>
              <a:noFill/>
            </a:ln>
            <a:effectLst/>
          </c:spPr>
          <c:invertIfNegative val="0"/>
          <c:dLbls>
            <c:dLbl>
              <c:idx val="0"/>
              <c:tx>
                <c:rich>
                  <a:bodyPr/>
                  <a:lstStyle/>
                  <a:p>
                    <a:fld id="{98EF3AB9-6C0A-4723-973D-8A98583BE37F}"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D7D-4EF0-876A-A360F1C893C5}"/>
                </c:ext>
              </c:extLst>
            </c:dLbl>
            <c:dLbl>
              <c:idx val="1"/>
              <c:tx>
                <c:rich>
                  <a:bodyPr/>
                  <a:lstStyle/>
                  <a:p>
                    <a:fld id="{DC35818C-262A-44FB-8567-74C1847BCF82}"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D7D-4EF0-876A-A360F1C893C5}"/>
                </c:ext>
              </c:extLst>
            </c:dLbl>
            <c:dLbl>
              <c:idx val="2"/>
              <c:tx>
                <c:rich>
                  <a:bodyPr/>
                  <a:lstStyle/>
                  <a:p>
                    <a:fld id="{D46732AA-E97D-4F3B-8D6F-06F88D1D7612}"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D7D-4EF0-876A-A360F1C893C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Values!$I$9:$K$9</c:f>
              <c:numCache>
                <c:formatCode>##,</c:formatCode>
                <c:ptCount val="3"/>
                <c:pt idx="0">
                  <c:v>9869</c:v>
                </c:pt>
                <c:pt idx="1">
                  <c:v>17246</c:v>
                </c:pt>
                <c:pt idx="2">
                  <c:v>14949</c:v>
                </c:pt>
              </c:numCache>
            </c:numRef>
          </c:val>
          <c:extLst>
            <c:ext xmlns:c15="http://schemas.microsoft.com/office/drawing/2012/chart" uri="{02D57815-91ED-43cb-92C2-25804820EDAC}">
              <c15:datalabelsRange>
                <c15:f>Values!$L$9:$N$9</c15:f>
                <c15:dlblRangeCache>
                  <c:ptCount val="3"/>
                  <c:pt idx="0">
                    <c:v>5%</c:v>
                  </c:pt>
                  <c:pt idx="1">
                    <c:v>6%</c:v>
                  </c:pt>
                  <c:pt idx="2">
                    <c:v>5%</c:v>
                  </c:pt>
                </c15:dlblRangeCache>
              </c15:datalabelsRange>
            </c:ext>
            <c:ext xmlns:c16="http://schemas.microsoft.com/office/drawing/2014/chart" uri="{C3380CC4-5D6E-409C-BE32-E72D297353CC}">
              <c16:uniqueId val="{0000000F-7D7D-4EF0-876A-A360F1C893C5}"/>
            </c:ext>
          </c:extLst>
        </c:ser>
        <c:dLbls>
          <c:showLegendKey val="0"/>
          <c:showVal val="0"/>
          <c:showCatName val="0"/>
          <c:showSerName val="0"/>
          <c:showPercent val="0"/>
          <c:showBubbleSize val="0"/>
        </c:dLbls>
        <c:gapWidth val="150"/>
        <c:overlap val="100"/>
        <c:axId val="345975327"/>
        <c:axId val="345973663"/>
        <c:extLst>
          <c:ext xmlns:c15="http://schemas.microsoft.com/office/drawing/2012/chart" uri="{02D57815-91ED-43cb-92C2-25804820EDAC}">
            <c15:filteredBarSeries>
              <c15:ser>
                <c:idx val="0"/>
                <c:order val="0"/>
                <c:tx>
                  <c:strRef>
                    <c:extLst>
                      <c:ext uri="{02D57815-91ED-43cb-92C2-25804820EDAC}">
                        <c15:formulaRef>
                          <c15:sqref>Values!$H$4</c15:sqref>
                        </c15:formulaRef>
                      </c:ext>
                    </c:extLst>
                    <c:strCache>
                      <c:ptCount val="1"/>
                      <c:pt idx="0">
                        <c:v>Admitted</c:v>
                      </c:pt>
                    </c:strCache>
                  </c:strRef>
                </c:tx>
                <c:spPr>
                  <a:solidFill>
                    <a:schemeClr val="accent1"/>
                  </a:solidFill>
                  <a:ln>
                    <a:noFill/>
                  </a:ln>
                  <a:effectLst/>
                </c:spPr>
                <c:invertIfNegative val="0"/>
                <c:cat>
                  <c:strRef>
                    <c:extLst>
                      <c:ext uri="{02D57815-91ED-43cb-92C2-25804820EDAC}">
                        <c15:formulaRef>
                          <c15:sqref>Values!$I$3:$K$3</c15:sqref>
                        </c15:formulaRef>
                      </c:ext>
                    </c:extLst>
                    <c:strCache>
                      <c:ptCount val="3"/>
                      <c:pt idx="0">
                        <c:v>2018-19</c:v>
                      </c:pt>
                      <c:pt idx="1">
                        <c:v>2019-20</c:v>
                      </c:pt>
                      <c:pt idx="2">
                        <c:v>2020-21</c:v>
                      </c:pt>
                    </c:strCache>
                  </c:strRef>
                </c:cat>
                <c:val>
                  <c:numRef>
                    <c:extLst>
                      <c:ext uri="{02D57815-91ED-43cb-92C2-25804820EDAC}">
                        <c15:formulaRef>
                          <c15:sqref>Values!$I$4:$K$4</c15:sqref>
                        </c15:formulaRef>
                      </c:ext>
                    </c:extLst>
                    <c:numCache>
                      <c:formatCode>##,</c:formatCode>
                      <c:ptCount val="3"/>
                      <c:pt idx="0">
                        <c:v>77674</c:v>
                      </c:pt>
                      <c:pt idx="1">
                        <c:v>71568</c:v>
                      </c:pt>
                      <c:pt idx="2">
                        <c:v>72098</c:v>
                      </c:pt>
                    </c:numCache>
                  </c:numRef>
                </c:val>
                <c:extLst>
                  <c:ext xmlns:c16="http://schemas.microsoft.com/office/drawing/2014/chart" uri="{C3380CC4-5D6E-409C-BE32-E72D297353CC}">
                    <c16:uniqueId val="{00000010-7D7D-4EF0-876A-A360F1C893C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Values!$H$5</c15:sqref>
                        </c15:formulaRef>
                      </c:ext>
                    </c:extLst>
                    <c:strCache>
                      <c:ptCount val="1"/>
                      <c:pt idx="0">
                        <c:v>Community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Values!$I$5:$K$5</c15:sqref>
                        </c15:formulaRef>
                      </c:ext>
                    </c:extLst>
                    <c:numCache>
                      <c:formatCode>##,</c:formatCode>
                      <c:ptCount val="3"/>
                      <c:pt idx="0">
                        <c:v>120020</c:v>
                      </c:pt>
                      <c:pt idx="1">
                        <c:v>225735</c:v>
                      </c:pt>
                      <c:pt idx="2">
                        <c:v>203218</c:v>
                      </c:pt>
                    </c:numCache>
                  </c:numRef>
                </c:val>
                <c:extLst xmlns:c15="http://schemas.microsoft.com/office/drawing/2012/chart">
                  <c:ext xmlns:c16="http://schemas.microsoft.com/office/drawing/2014/chart" uri="{C3380CC4-5D6E-409C-BE32-E72D297353CC}">
                    <c16:uniqueId val="{00000011-7D7D-4EF0-876A-A360F1C893C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Values!$H$10</c15:sqref>
                        </c15:formulaRef>
                      </c:ext>
                    </c:extLst>
                    <c:strCache>
                      <c:ptCount val="1"/>
                      <c:pt idx="0">
                        <c:v>0-17 years</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Values!$I$10:$K$10</c15:sqref>
                        </c15:formulaRef>
                      </c:ext>
                    </c:extLst>
                    <c:numCache>
                      <c:formatCode>##,</c:formatCode>
                      <c:ptCount val="3"/>
                      <c:pt idx="0">
                        <c:v>26423</c:v>
                      </c:pt>
                      <c:pt idx="1">
                        <c:v>41129</c:v>
                      </c:pt>
                      <c:pt idx="2">
                        <c:v>43722</c:v>
                      </c:pt>
                    </c:numCache>
                  </c:numRef>
                </c:val>
                <c:extLst xmlns:c15="http://schemas.microsoft.com/office/drawing/2012/chart">
                  <c:ext xmlns:c16="http://schemas.microsoft.com/office/drawing/2014/chart" uri="{C3380CC4-5D6E-409C-BE32-E72D297353CC}">
                    <c16:uniqueId val="{00000012-7D7D-4EF0-876A-A360F1C893C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Values!$H$11</c15:sqref>
                        </c15:formulaRef>
                      </c:ext>
                    </c:extLst>
                    <c:strCache>
                      <c:ptCount val="1"/>
                      <c:pt idx="0">
                        <c:v>18-64 years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Values!$I$11:$K$11</c15:sqref>
                        </c15:formulaRef>
                      </c:ext>
                    </c:extLst>
                    <c:numCache>
                      <c:formatCode>##,</c:formatCode>
                      <c:ptCount val="3"/>
                      <c:pt idx="0">
                        <c:v>150732</c:v>
                      </c:pt>
                      <c:pt idx="1">
                        <c:v>223008</c:v>
                      </c:pt>
                      <c:pt idx="2">
                        <c:v>203830</c:v>
                      </c:pt>
                    </c:numCache>
                  </c:numRef>
                </c:val>
                <c:extLst xmlns:c15="http://schemas.microsoft.com/office/drawing/2012/chart">
                  <c:ext xmlns:c16="http://schemas.microsoft.com/office/drawing/2014/chart" uri="{C3380CC4-5D6E-409C-BE32-E72D297353CC}">
                    <c16:uniqueId val="{00000013-7D7D-4EF0-876A-A360F1C893C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Values!$H$12</c15:sqref>
                        </c15:formulaRef>
                      </c:ext>
                    </c:extLst>
                    <c:strCache>
                      <c:ptCount val="1"/>
                      <c:pt idx="0">
                        <c:v>65+ years</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Values!$I$12:$K$12</c15:sqref>
                        </c15:formulaRef>
                      </c:ext>
                    </c:extLst>
                    <c:numCache>
                      <c:formatCode>##,</c:formatCode>
                      <c:ptCount val="3"/>
                      <c:pt idx="0">
                        <c:v>20539</c:v>
                      </c:pt>
                      <c:pt idx="1">
                        <c:v>33166</c:v>
                      </c:pt>
                      <c:pt idx="2">
                        <c:v>27764</c:v>
                      </c:pt>
                    </c:numCache>
                  </c:numRef>
                </c:val>
                <c:extLst xmlns:c15="http://schemas.microsoft.com/office/drawing/2012/chart">
                  <c:ext xmlns:c16="http://schemas.microsoft.com/office/drawing/2014/chart" uri="{C3380CC4-5D6E-409C-BE32-E72D297353CC}">
                    <c16:uniqueId val="{00000014-7D7D-4EF0-876A-A360F1C893C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Values!$H$13</c15:sqref>
                        </c15:formulaRef>
                      </c:ext>
                    </c:extLst>
                    <c:strCache>
                      <c:ptCount val="1"/>
                      <c:pt idx="0">
                        <c:v>Voluntary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Values!$I$13:$K$13</c15:sqref>
                        </c15:formulaRef>
                      </c:ext>
                    </c:extLst>
                    <c:numCache>
                      <c:formatCode>##,</c:formatCode>
                      <c:ptCount val="3"/>
                      <c:pt idx="0">
                        <c:v>40362</c:v>
                      </c:pt>
                      <c:pt idx="1">
                        <c:v>36186</c:v>
                      </c:pt>
                      <c:pt idx="2">
                        <c:v>36743</c:v>
                      </c:pt>
                    </c:numCache>
                  </c:numRef>
                </c:val>
                <c:extLst xmlns:c15="http://schemas.microsoft.com/office/drawing/2012/chart">
                  <c:ext xmlns:c16="http://schemas.microsoft.com/office/drawing/2014/chart" uri="{C3380CC4-5D6E-409C-BE32-E72D297353CC}">
                    <c16:uniqueId val="{00000015-7D7D-4EF0-876A-A360F1C893C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Values!$H$14</c15:sqref>
                        </c15:formulaRef>
                      </c:ext>
                    </c:extLst>
                    <c:strCache>
                      <c:ptCount val="1"/>
                      <c:pt idx="0">
                        <c:v>Involuntary</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Values!$I$14:$K$14</c15:sqref>
                        </c15:formulaRef>
                      </c:ext>
                    </c:extLst>
                    <c:numCache>
                      <c:formatCode>##,</c:formatCode>
                      <c:ptCount val="3"/>
                      <c:pt idx="0">
                        <c:v>36161</c:v>
                      </c:pt>
                      <c:pt idx="1">
                        <c:v>35294</c:v>
                      </c:pt>
                      <c:pt idx="2">
                        <c:v>35220</c:v>
                      </c:pt>
                    </c:numCache>
                  </c:numRef>
                </c:val>
                <c:extLst xmlns:c15="http://schemas.microsoft.com/office/drawing/2012/chart">
                  <c:ext xmlns:c16="http://schemas.microsoft.com/office/drawing/2014/chart" uri="{C3380CC4-5D6E-409C-BE32-E72D297353CC}">
                    <c16:uniqueId val="{00000016-7D7D-4EF0-876A-A360F1C893C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Values!$H$15</c15:sqref>
                        </c15:formulaRef>
                      </c:ext>
                    </c:extLst>
                    <c:strCache>
                      <c:ptCount val="1"/>
                      <c:pt idx="0">
                        <c:v>Unknown</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Values!$I$15:$K$15</c15:sqref>
                        </c15:formulaRef>
                      </c:ext>
                    </c:extLst>
                    <c:numCache>
                      <c:formatCode>##,</c:formatCode>
                      <c:ptCount val="3"/>
                      <c:pt idx="0">
                        <c:v>1151</c:v>
                      </c:pt>
                      <c:pt idx="1">
                        <c:v>88</c:v>
                      </c:pt>
                      <c:pt idx="2">
                        <c:v>135</c:v>
                      </c:pt>
                    </c:numCache>
                  </c:numRef>
                </c:val>
                <c:extLst xmlns:c15="http://schemas.microsoft.com/office/drawing/2012/chart">
                  <c:ext xmlns:c16="http://schemas.microsoft.com/office/drawing/2014/chart" uri="{C3380CC4-5D6E-409C-BE32-E72D297353CC}">
                    <c16:uniqueId val="{00000017-7D7D-4EF0-876A-A360F1C893C5}"/>
                  </c:ext>
                </c:extLst>
              </c15:ser>
            </c15:filteredBarSeries>
          </c:ext>
        </c:extLst>
      </c:barChart>
      <c:catAx>
        <c:axId val="3459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3663"/>
        <c:crosses val="autoZero"/>
        <c:auto val="1"/>
        <c:lblAlgn val="ctr"/>
        <c:lblOffset val="100"/>
        <c:noMultiLvlLbl val="0"/>
      </c:catAx>
      <c:valAx>
        <c:axId val="34597366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Records ('000)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Admitted MHLS</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9"/>
          <c:order val="9"/>
          <c:tx>
            <c:strRef>
              <c:f>Values!$H$13</c:f>
              <c:strCache>
                <c:ptCount val="1"/>
                <c:pt idx="0">
                  <c:v>Voluntary</c:v>
                </c:pt>
              </c:strCache>
            </c:strRef>
          </c:tx>
          <c:spPr>
            <a:solidFill>
              <a:srgbClr val="0080C4"/>
            </a:solidFill>
            <a:ln>
              <a:noFill/>
            </a:ln>
            <a:effectLst/>
          </c:spPr>
          <c:invertIfNegative val="0"/>
          <c:dLbls>
            <c:dLbl>
              <c:idx val="0"/>
              <c:tx>
                <c:rich>
                  <a:bodyPr/>
                  <a:lstStyle/>
                  <a:p>
                    <a:fld id="{63BECEB2-2F98-4B49-8AFD-A0B6BDB25682}"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F09-479D-B042-BE1177ACF103}"/>
                </c:ext>
              </c:extLst>
            </c:dLbl>
            <c:dLbl>
              <c:idx val="1"/>
              <c:tx>
                <c:rich>
                  <a:bodyPr/>
                  <a:lstStyle/>
                  <a:p>
                    <a:fld id="{FCF7A82A-56CA-43DB-A192-974845F2D09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F09-479D-B042-BE1177ACF103}"/>
                </c:ext>
              </c:extLst>
            </c:dLbl>
            <c:dLbl>
              <c:idx val="2"/>
              <c:tx>
                <c:rich>
                  <a:bodyPr/>
                  <a:lstStyle/>
                  <a:p>
                    <a:fld id="{6EF809AC-ECCA-40B4-935E-4464AC23F59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F09-479D-B042-BE1177ACF103}"/>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Values!$I$13:$K$13</c:f>
              <c:numCache>
                <c:formatCode>##,</c:formatCode>
                <c:ptCount val="3"/>
                <c:pt idx="0">
                  <c:v>40362</c:v>
                </c:pt>
                <c:pt idx="1">
                  <c:v>36186</c:v>
                </c:pt>
                <c:pt idx="2">
                  <c:v>36743</c:v>
                </c:pt>
              </c:numCache>
            </c:numRef>
          </c:val>
          <c:extLst>
            <c:ext xmlns:c15="http://schemas.microsoft.com/office/drawing/2012/chart" uri="{02D57815-91ED-43cb-92C2-25804820EDAC}">
              <c15:datalabelsRange>
                <c15:f>Values!$L$13:$N$13</c15:f>
                <c15:dlblRangeCache>
                  <c:ptCount val="3"/>
                  <c:pt idx="0">
                    <c:v>52%</c:v>
                  </c:pt>
                  <c:pt idx="1">
                    <c:v>51%</c:v>
                  </c:pt>
                  <c:pt idx="2">
                    <c:v>51%</c:v>
                  </c:pt>
                </c15:dlblRangeCache>
              </c15:datalabelsRange>
            </c:ext>
            <c:ext xmlns:c16="http://schemas.microsoft.com/office/drawing/2014/chart" uri="{C3380CC4-5D6E-409C-BE32-E72D297353CC}">
              <c16:uniqueId val="{00000003-4F09-479D-B042-BE1177ACF103}"/>
            </c:ext>
          </c:extLst>
        </c:ser>
        <c:ser>
          <c:idx val="10"/>
          <c:order val="10"/>
          <c:tx>
            <c:strRef>
              <c:f>Values!$H$14</c:f>
              <c:strCache>
                <c:ptCount val="1"/>
                <c:pt idx="0">
                  <c:v>Involuntary</c:v>
                </c:pt>
              </c:strCache>
            </c:strRef>
          </c:tx>
          <c:spPr>
            <a:solidFill>
              <a:srgbClr val="009055"/>
            </a:solidFill>
            <a:ln>
              <a:noFill/>
            </a:ln>
            <a:effectLst/>
          </c:spPr>
          <c:invertIfNegative val="0"/>
          <c:dLbls>
            <c:dLbl>
              <c:idx val="0"/>
              <c:tx>
                <c:rich>
                  <a:bodyPr/>
                  <a:lstStyle/>
                  <a:p>
                    <a:fld id="{BDBF9E4B-D273-414F-9A8C-93BBD365773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F09-479D-B042-BE1177ACF103}"/>
                </c:ext>
              </c:extLst>
            </c:dLbl>
            <c:dLbl>
              <c:idx val="1"/>
              <c:tx>
                <c:rich>
                  <a:bodyPr/>
                  <a:lstStyle/>
                  <a:p>
                    <a:fld id="{96D98798-E3B8-40C8-8070-3A30C5009632}"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F09-479D-B042-BE1177ACF103}"/>
                </c:ext>
              </c:extLst>
            </c:dLbl>
            <c:dLbl>
              <c:idx val="2"/>
              <c:tx>
                <c:rich>
                  <a:bodyPr/>
                  <a:lstStyle/>
                  <a:p>
                    <a:fld id="{6A25DAA6-9A99-4CD9-8133-2CDC1D6D68E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F09-479D-B042-BE1177ACF103}"/>
                </c:ext>
              </c:extLst>
            </c:dLbl>
            <c:spPr>
              <a:noFill/>
              <a:ln>
                <a:noFill/>
              </a:ln>
              <a:effectLst/>
            </c:spPr>
            <c:txPr>
              <a:bodyPr rot="0" spcFirstLastPara="1" vertOverflow="ellipsis" vert="horz" wrap="square" anchor="ctr" anchorCtr="1"/>
              <a:lstStyle/>
              <a:p>
                <a:pPr>
                  <a:defRPr sz="700" b="0" i="0" u="none" strike="noStrike" kern="1200" baseline="0">
                    <a:solidFill>
                      <a:schemeClr val="bg2"/>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Values!$I$14:$K$14</c:f>
              <c:numCache>
                <c:formatCode>##,</c:formatCode>
                <c:ptCount val="3"/>
                <c:pt idx="0">
                  <c:v>36161</c:v>
                </c:pt>
                <c:pt idx="1">
                  <c:v>35294</c:v>
                </c:pt>
                <c:pt idx="2">
                  <c:v>35220</c:v>
                </c:pt>
              </c:numCache>
            </c:numRef>
          </c:val>
          <c:extLst>
            <c:ext xmlns:c15="http://schemas.microsoft.com/office/drawing/2012/chart" uri="{02D57815-91ED-43cb-92C2-25804820EDAC}">
              <c15:datalabelsRange>
                <c15:f>Values!$L$14:$N$14</c15:f>
                <c15:dlblRangeCache>
                  <c:ptCount val="3"/>
                  <c:pt idx="0">
                    <c:v>47%</c:v>
                  </c:pt>
                  <c:pt idx="1">
                    <c:v>49%</c:v>
                  </c:pt>
                  <c:pt idx="2">
                    <c:v>49%</c:v>
                  </c:pt>
                </c15:dlblRangeCache>
              </c15:datalabelsRange>
            </c:ext>
            <c:ext xmlns:c16="http://schemas.microsoft.com/office/drawing/2014/chart" uri="{C3380CC4-5D6E-409C-BE32-E72D297353CC}">
              <c16:uniqueId val="{00000007-4F09-479D-B042-BE1177ACF103}"/>
            </c:ext>
          </c:extLst>
        </c:ser>
        <c:ser>
          <c:idx val="11"/>
          <c:order val="11"/>
          <c:tx>
            <c:strRef>
              <c:f>Values!$H$15</c:f>
              <c:strCache>
                <c:ptCount val="1"/>
                <c:pt idx="0">
                  <c:v>Unknown</c:v>
                </c:pt>
              </c:strCache>
            </c:strRef>
          </c:tx>
          <c:spPr>
            <a:solidFill>
              <a:srgbClr val="104F99"/>
            </a:solidFill>
            <a:ln>
              <a:noFill/>
            </a:ln>
            <a:effectLst/>
          </c:spPr>
          <c:invertIfNegative val="0"/>
          <c:dLbls>
            <c:dLbl>
              <c:idx val="0"/>
              <c:tx>
                <c:rich>
                  <a:bodyPr/>
                  <a:lstStyle/>
                  <a:p>
                    <a:fld id="{B5436398-B6FB-4EEE-8B81-46140B45DF5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F09-479D-B042-BE1177ACF103}"/>
                </c:ext>
              </c:extLst>
            </c:dLbl>
            <c:dLbl>
              <c:idx val="1"/>
              <c:tx>
                <c:rich>
                  <a:bodyPr/>
                  <a:lstStyle/>
                  <a:p>
                    <a:fld id="{40D6E003-A8BC-4618-BC32-4FF35F81D4DD}"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F09-479D-B042-BE1177ACF103}"/>
                </c:ext>
              </c:extLst>
            </c:dLbl>
            <c:dLbl>
              <c:idx val="2"/>
              <c:tx>
                <c:rich>
                  <a:bodyPr/>
                  <a:lstStyle/>
                  <a:p>
                    <a:fld id="{BDA5EDB2-6B46-40B8-8D1A-1D171FA575B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F09-479D-B042-BE1177ACF10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Values!$I$3:$K$3</c:f>
              <c:strCache>
                <c:ptCount val="3"/>
                <c:pt idx="0">
                  <c:v>2018-19</c:v>
                </c:pt>
                <c:pt idx="1">
                  <c:v>2019-20</c:v>
                </c:pt>
                <c:pt idx="2">
                  <c:v>2020-21</c:v>
                </c:pt>
              </c:strCache>
            </c:strRef>
          </c:cat>
          <c:val>
            <c:numRef>
              <c:f>Values!$I$15:$K$15</c:f>
              <c:numCache>
                <c:formatCode>##,</c:formatCode>
                <c:ptCount val="3"/>
                <c:pt idx="0">
                  <c:v>1151</c:v>
                </c:pt>
                <c:pt idx="1">
                  <c:v>88</c:v>
                </c:pt>
                <c:pt idx="2">
                  <c:v>135</c:v>
                </c:pt>
              </c:numCache>
            </c:numRef>
          </c:val>
          <c:extLst>
            <c:ext xmlns:c15="http://schemas.microsoft.com/office/drawing/2012/chart" uri="{02D57815-91ED-43cb-92C2-25804820EDAC}">
              <c15:datalabelsRange>
                <c15:f>Values!$L$15:$N$15</c15:f>
                <c15:dlblRangeCache>
                  <c:ptCount val="3"/>
                  <c:pt idx="0">
                    <c:v>1%</c:v>
                  </c:pt>
                  <c:pt idx="1">
                    <c:v>0%</c:v>
                  </c:pt>
                  <c:pt idx="2">
                    <c:v>0%</c:v>
                  </c:pt>
                </c15:dlblRangeCache>
              </c15:datalabelsRange>
            </c:ext>
            <c:ext xmlns:c16="http://schemas.microsoft.com/office/drawing/2014/chart" uri="{C3380CC4-5D6E-409C-BE32-E72D297353CC}">
              <c16:uniqueId val="{0000000B-4F09-479D-B042-BE1177ACF103}"/>
            </c:ext>
          </c:extLst>
        </c:ser>
        <c:dLbls>
          <c:showLegendKey val="0"/>
          <c:showVal val="0"/>
          <c:showCatName val="0"/>
          <c:showSerName val="0"/>
          <c:showPercent val="0"/>
          <c:showBubbleSize val="0"/>
        </c:dLbls>
        <c:gapWidth val="150"/>
        <c:overlap val="100"/>
        <c:axId val="345975327"/>
        <c:axId val="345973663"/>
        <c:extLst>
          <c:ext xmlns:c15="http://schemas.microsoft.com/office/drawing/2012/chart" uri="{02D57815-91ED-43cb-92C2-25804820EDAC}">
            <c15:filteredBarSeries>
              <c15:ser>
                <c:idx val="0"/>
                <c:order val="0"/>
                <c:tx>
                  <c:strRef>
                    <c:extLst>
                      <c:ext uri="{02D57815-91ED-43cb-92C2-25804820EDAC}">
                        <c15:formulaRef>
                          <c15:sqref>Values!$H$4</c15:sqref>
                        </c15:formulaRef>
                      </c:ext>
                    </c:extLst>
                    <c:strCache>
                      <c:ptCount val="1"/>
                      <c:pt idx="0">
                        <c:v>Admitted</c:v>
                      </c:pt>
                    </c:strCache>
                  </c:strRef>
                </c:tx>
                <c:spPr>
                  <a:solidFill>
                    <a:schemeClr val="accent1"/>
                  </a:solidFill>
                  <a:ln>
                    <a:noFill/>
                  </a:ln>
                  <a:effectLst/>
                </c:spPr>
                <c:invertIfNegative val="0"/>
                <c:cat>
                  <c:strRef>
                    <c:extLst>
                      <c:ext uri="{02D57815-91ED-43cb-92C2-25804820EDAC}">
                        <c15:formulaRef>
                          <c15:sqref>Values!$I$3:$K$3</c15:sqref>
                        </c15:formulaRef>
                      </c:ext>
                    </c:extLst>
                    <c:strCache>
                      <c:ptCount val="3"/>
                      <c:pt idx="0">
                        <c:v>2018-19</c:v>
                      </c:pt>
                      <c:pt idx="1">
                        <c:v>2019-20</c:v>
                      </c:pt>
                      <c:pt idx="2">
                        <c:v>2020-21</c:v>
                      </c:pt>
                    </c:strCache>
                  </c:strRef>
                </c:cat>
                <c:val>
                  <c:numRef>
                    <c:extLst>
                      <c:ext uri="{02D57815-91ED-43cb-92C2-25804820EDAC}">
                        <c15:formulaRef>
                          <c15:sqref>Values!$I$4:$K$4</c15:sqref>
                        </c15:formulaRef>
                      </c:ext>
                    </c:extLst>
                    <c:numCache>
                      <c:formatCode>##,</c:formatCode>
                      <c:ptCount val="3"/>
                      <c:pt idx="0">
                        <c:v>77674</c:v>
                      </c:pt>
                      <c:pt idx="1">
                        <c:v>71568</c:v>
                      </c:pt>
                      <c:pt idx="2">
                        <c:v>72098</c:v>
                      </c:pt>
                    </c:numCache>
                  </c:numRef>
                </c:val>
                <c:extLst>
                  <c:ext xmlns:c16="http://schemas.microsoft.com/office/drawing/2014/chart" uri="{C3380CC4-5D6E-409C-BE32-E72D297353CC}">
                    <c16:uniqueId val="{0000000C-4F09-479D-B042-BE1177ACF10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Values!$H$5</c15:sqref>
                        </c15:formulaRef>
                      </c:ext>
                    </c:extLst>
                    <c:strCache>
                      <c:ptCount val="1"/>
                      <c:pt idx="0">
                        <c:v>Community</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Values!$I$5:$K$5</c15:sqref>
                        </c15:formulaRef>
                      </c:ext>
                    </c:extLst>
                    <c:numCache>
                      <c:formatCode>##,</c:formatCode>
                      <c:ptCount val="3"/>
                      <c:pt idx="0">
                        <c:v>120020</c:v>
                      </c:pt>
                      <c:pt idx="1">
                        <c:v>225735</c:v>
                      </c:pt>
                      <c:pt idx="2">
                        <c:v>203218</c:v>
                      </c:pt>
                    </c:numCache>
                  </c:numRef>
                </c:val>
                <c:extLst xmlns:c15="http://schemas.microsoft.com/office/drawing/2012/chart">
                  <c:ext xmlns:c16="http://schemas.microsoft.com/office/drawing/2014/chart" uri="{C3380CC4-5D6E-409C-BE32-E72D297353CC}">
                    <c16:uniqueId val="{0000000D-4F09-479D-B042-BE1177ACF10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Values!$H$6</c15:sqref>
                        </c15:formulaRef>
                      </c:ext>
                    </c:extLst>
                    <c:strCache>
                      <c:ptCount val="1"/>
                      <c:pt idx="0">
                        <c:v>Acute</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Values!$I$6:$K$6</c15:sqref>
                        </c15:formulaRef>
                      </c:ext>
                    </c:extLst>
                    <c:numCache>
                      <c:formatCode>##,</c:formatCode>
                      <c:ptCount val="3"/>
                      <c:pt idx="0">
                        <c:v>110232</c:v>
                      </c:pt>
                      <c:pt idx="1">
                        <c:v>132045</c:v>
                      </c:pt>
                      <c:pt idx="2">
                        <c:v>133284</c:v>
                      </c:pt>
                    </c:numCache>
                  </c:numRef>
                </c:val>
                <c:extLst xmlns:c15="http://schemas.microsoft.com/office/drawing/2012/chart">
                  <c:ext xmlns:c16="http://schemas.microsoft.com/office/drawing/2014/chart" uri="{C3380CC4-5D6E-409C-BE32-E72D297353CC}">
                    <c16:uniqueId val="{0000000E-4F09-479D-B042-BE1177ACF10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Values!$H$7</c15:sqref>
                        </c15:formulaRef>
                      </c:ext>
                    </c:extLst>
                    <c:strCache>
                      <c:ptCount val="1"/>
                      <c:pt idx="0">
                        <c:v>Consolidating gain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Values!$I$7:$K$7</c15:sqref>
                        </c15:formulaRef>
                      </c:ext>
                    </c:extLst>
                    <c:numCache>
                      <c:formatCode>##,</c:formatCode>
                      <c:ptCount val="3"/>
                      <c:pt idx="0">
                        <c:v>35344</c:v>
                      </c:pt>
                      <c:pt idx="1">
                        <c:v>94948</c:v>
                      </c:pt>
                      <c:pt idx="2">
                        <c:v>82692</c:v>
                      </c:pt>
                    </c:numCache>
                  </c:numRef>
                </c:val>
                <c:extLst xmlns:c15="http://schemas.microsoft.com/office/drawing/2012/chart">
                  <c:ext xmlns:c16="http://schemas.microsoft.com/office/drawing/2014/chart" uri="{C3380CC4-5D6E-409C-BE32-E72D297353CC}">
                    <c16:uniqueId val="{0000000F-4F09-479D-B042-BE1177ACF10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Values!$H$8</c15:sqref>
                        </c15:formulaRef>
                      </c:ext>
                    </c:extLst>
                    <c:strCache>
                      <c:ptCount val="1"/>
                      <c:pt idx="0">
                        <c:v>Functional gain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Values!$I$8:$K$8</c15:sqref>
                        </c15:formulaRef>
                      </c:ext>
                    </c:extLst>
                    <c:numCache>
                      <c:formatCode>##,</c:formatCode>
                      <c:ptCount val="3"/>
                      <c:pt idx="0">
                        <c:v>42249</c:v>
                      </c:pt>
                      <c:pt idx="1">
                        <c:v>53064</c:v>
                      </c:pt>
                      <c:pt idx="2">
                        <c:v>44391</c:v>
                      </c:pt>
                    </c:numCache>
                  </c:numRef>
                </c:val>
                <c:extLst xmlns:c15="http://schemas.microsoft.com/office/drawing/2012/chart">
                  <c:ext xmlns:c16="http://schemas.microsoft.com/office/drawing/2014/chart" uri="{C3380CC4-5D6E-409C-BE32-E72D297353CC}">
                    <c16:uniqueId val="{00000010-4F09-479D-B042-BE1177ACF10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Values!$H$9</c15:sqref>
                        </c15:formulaRef>
                      </c:ext>
                    </c:extLst>
                    <c:strCache>
                      <c:ptCount val="1"/>
                      <c:pt idx="0">
                        <c:v>Intensive extended</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Values!$I$9:$K$9</c15:sqref>
                        </c15:formulaRef>
                      </c:ext>
                    </c:extLst>
                    <c:numCache>
                      <c:formatCode>##,</c:formatCode>
                      <c:ptCount val="3"/>
                      <c:pt idx="0">
                        <c:v>9869</c:v>
                      </c:pt>
                      <c:pt idx="1">
                        <c:v>17246</c:v>
                      </c:pt>
                      <c:pt idx="2">
                        <c:v>14949</c:v>
                      </c:pt>
                    </c:numCache>
                  </c:numRef>
                </c:val>
                <c:extLst xmlns:c15="http://schemas.microsoft.com/office/drawing/2012/chart">
                  <c:ext xmlns:c16="http://schemas.microsoft.com/office/drawing/2014/chart" uri="{C3380CC4-5D6E-409C-BE32-E72D297353CC}">
                    <c16:uniqueId val="{00000011-4F09-479D-B042-BE1177ACF10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Values!$H$10</c15:sqref>
                        </c15:formulaRef>
                      </c:ext>
                    </c:extLst>
                    <c:strCache>
                      <c:ptCount val="1"/>
                      <c:pt idx="0">
                        <c:v>0-17 years</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Values!$I$10:$K$10</c15:sqref>
                        </c15:formulaRef>
                      </c:ext>
                    </c:extLst>
                    <c:numCache>
                      <c:formatCode>##,</c:formatCode>
                      <c:ptCount val="3"/>
                      <c:pt idx="0">
                        <c:v>26423</c:v>
                      </c:pt>
                      <c:pt idx="1">
                        <c:v>41129</c:v>
                      </c:pt>
                      <c:pt idx="2">
                        <c:v>43722</c:v>
                      </c:pt>
                    </c:numCache>
                  </c:numRef>
                </c:val>
                <c:extLst xmlns:c15="http://schemas.microsoft.com/office/drawing/2012/chart">
                  <c:ext xmlns:c16="http://schemas.microsoft.com/office/drawing/2014/chart" uri="{C3380CC4-5D6E-409C-BE32-E72D297353CC}">
                    <c16:uniqueId val="{00000012-4F09-479D-B042-BE1177ACF10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Values!$H$11</c15:sqref>
                        </c15:formulaRef>
                      </c:ext>
                    </c:extLst>
                    <c:strCache>
                      <c:ptCount val="1"/>
                      <c:pt idx="0">
                        <c:v>18-64 years</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Values!$I$11:$K$11</c15:sqref>
                        </c15:formulaRef>
                      </c:ext>
                    </c:extLst>
                    <c:numCache>
                      <c:formatCode>##,</c:formatCode>
                      <c:ptCount val="3"/>
                      <c:pt idx="0">
                        <c:v>150732</c:v>
                      </c:pt>
                      <c:pt idx="1">
                        <c:v>223008</c:v>
                      </c:pt>
                      <c:pt idx="2">
                        <c:v>203830</c:v>
                      </c:pt>
                    </c:numCache>
                  </c:numRef>
                </c:val>
                <c:extLst xmlns:c15="http://schemas.microsoft.com/office/drawing/2012/chart">
                  <c:ext xmlns:c16="http://schemas.microsoft.com/office/drawing/2014/chart" uri="{C3380CC4-5D6E-409C-BE32-E72D297353CC}">
                    <c16:uniqueId val="{00000013-4F09-479D-B042-BE1177ACF10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Values!$H$12</c15:sqref>
                        </c15:formulaRef>
                      </c:ext>
                    </c:extLst>
                    <c:strCache>
                      <c:ptCount val="1"/>
                      <c:pt idx="0">
                        <c:v>65+ years</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Values!$I$3:$K$3</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Values!$I$12:$K$12</c15:sqref>
                        </c15:formulaRef>
                      </c:ext>
                    </c:extLst>
                    <c:numCache>
                      <c:formatCode>##,</c:formatCode>
                      <c:ptCount val="3"/>
                      <c:pt idx="0">
                        <c:v>20539</c:v>
                      </c:pt>
                      <c:pt idx="1">
                        <c:v>33166</c:v>
                      </c:pt>
                      <c:pt idx="2">
                        <c:v>27764</c:v>
                      </c:pt>
                    </c:numCache>
                  </c:numRef>
                </c:val>
                <c:extLst xmlns:c15="http://schemas.microsoft.com/office/drawing/2012/chart">
                  <c:ext xmlns:c16="http://schemas.microsoft.com/office/drawing/2014/chart" uri="{C3380CC4-5D6E-409C-BE32-E72D297353CC}">
                    <c16:uniqueId val="{00000014-4F09-479D-B042-BE1177ACF103}"/>
                  </c:ext>
                </c:extLst>
              </c15:ser>
            </c15:filteredBarSeries>
          </c:ext>
        </c:extLst>
      </c:barChart>
      <c:catAx>
        <c:axId val="3459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3663"/>
        <c:crosses val="autoZero"/>
        <c:auto val="1"/>
        <c:lblAlgn val="ctr"/>
        <c:lblOffset val="100"/>
        <c:noMultiLvlLbl val="0"/>
      </c:catAx>
      <c:valAx>
        <c:axId val="34597366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Records ('000)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sourceLinked="1"/>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Values!$C$3</c:f>
              <c:strCache>
                <c:ptCount val="1"/>
                <c:pt idx="0">
                  <c:v>2 year data (1819 &amp; 1920)</c:v>
                </c:pt>
              </c:strCache>
            </c:strRef>
          </c:tx>
          <c:spPr>
            <a:solidFill>
              <a:srgbClr val="246164"/>
            </a:solidFill>
            <a:ln>
              <a:noFill/>
            </a:ln>
            <a:effectLst/>
          </c:spPr>
          <c:invertIfNegative val="0"/>
          <c:cat>
            <c:strRef>
              <c:f>Values!$B$4:$B$5</c:f>
              <c:strCache>
                <c:ptCount val="2"/>
                <c:pt idx="0">
                  <c:v>Admitted</c:v>
                </c:pt>
                <c:pt idx="1">
                  <c:v>Community</c:v>
                </c:pt>
              </c:strCache>
            </c:strRef>
          </c:cat>
          <c:val>
            <c:numRef>
              <c:f>Values!$C$4:$C$5</c:f>
              <c:numCache>
                <c:formatCode>_-"$"* #,##0_-;\-"$"* #,##0_-;_-"$"* "-"??_-;_-@_-</c:formatCode>
                <c:ptCount val="2"/>
                <c:pt idx="0">
                  <c:v>21593.192378820975</c:v>
                </c:pt>
                <c:pt idx="1">
                  <c:v>3868.5670807363595</c:v>
                </c:pt>
              </c:numCache>
            </c:numRef>
          </c:val>
          <c:extLst>
            <c:ext xmlns:c16="http://schemas.microsoft.com/office/drawing/2014/chart" uri="{C3380CC4-5D6E-409C-BE32-E72D297353CC}">
              <c16:uniqueId val="{00000000-9B83-436A-BB42-5C16C36C1395}"/>
            </c:ext>
          </c:extLst>
        </c:ser>
        <c:ser>
          <c:idx val="1"/>
          <c:order val="1"/>
          <c:tx>
            <c:strRef>
              <c:f>Values!$D$3</c:f>
              <c:strCache>
                <c:ptCount val="1"/>
                <c:pt idx="0">
                  <c:v>3 year data (1819, 1920 &amp; 2021)</c:v>
                </c:pt>
              </c:strCache>
            </c:strRef>
          </c:tx>
          <c:spPr>
            <a:solidFill>
              <a:srgbClr val="5FB2BE"/>
            </a:solidFill>
            <a:ln>
              <a:noFill/>
            </a:ln>
            <a:effectLst/>
          </c:spPr>
          <c:invertIfNegative val="0"/>
          <c:dLbls>
            <c:dLbl>
              <c:idx val="0"/>
              <c:tx>
                <c:rich>
                  <a:bodyPr/>
                  <a:lstStyle/>
                  <a:p>
                    <a:fld id="{73B74F40-182F-4681-907B-75071FFA55A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B83-436A-BB42-5C16C36C1395}"/>
                </c:ext>
              </c:extLst>
            </c:dLbl>
            <c:dLbl>
              <c:idx val="1"/>
              <c:tx>
                <c:rich>
                  <a:bodyPr/>
                  <a:lstStyle/>
                  <a:p>
                    <a:fld id="{79C5ED03-FD26-4D4D-AB3E-7DF8089C445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B83-436A-BB42-5C16C36C1395}"/>
                </c:ext>
              </c:extLst>
            </c:dLbl>
            <c:numFmt formatCode="0.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Values!$B$4:$B$5</c:f>
              <c:strCache>
                <c:ptCount val="2"/>
                <c:pt idx="0">
                  <c:v>Admitted</c:v>
                </c:pt>
                <c:pt idx="1">
                  <c:v>Community</c:v>
                </c:pt>
              </c:strCache>
            </c:strRef>
          </c:cat>
          <c:val>
            <c:numRef>
              <c:f>Values!$D$4:$D$5</c:f>
              <c:numCache>
                <c:formatCode>_-"$"* #,##0_-;\-"$"* #,##0_-;_-"$"* "-"??_-;_-@_-</c:formatCode>
                <c:ptCount val="2"/>
                <c:pt idx="0">
                  <c:v>21992.54117647059</c:v>
                </c:pt>
                <c:pt idx="1">
                  <c:v>3874.182579106805</c:v>
                </c:pt>
              </c:numCache>
            </c:numRef>
          </c:val>
          <c:extLst>
            <c:ext xmlns:c15="http://schemas.microsoft.com/office/drawing/2012/chart" uri="{02D57815-91ED-43cb-92C2-25804820EDAC}">
              <c15:datalabelsRange>
                <c15:f>Values!$E$4:$E$5</c15:f>
                <c15:dlblRangeCache>
                  <c:ptCount val="2"/>
                  <c:pt idx="0">
                    <c:v>+2%</c:v>
                  </c:pt>
                  <c:pt idx="1">
                    <c:v>+0%</c:v>
                  </c:pt>
                </c15:dlblRangeCache>
              </c15:datalabelsRange>
            </c:ext>
            <c:ext xmlns:c16="http://schemas.microsoft.com/office/drawing/2014/chart" uri="{C3380CC4-5D6E-409C-BE32-E72D297353CC}">
              <c16:uniqueId val="{00000003-9B83-436A-BB42-5C16C36C1395}"/>
            </c:ext>
          </c:extLst>
        </c:ser>
        <c:dLbls>
          <c:showLegendKey val="0"/>
          <c:showVal val="0"/>
          <c:showCatName val="0"/>
          <c:showSerName val="0"/>
          <c:showPercent val="0"/>
          <c:showBubbleSize val="0"/>
        </c:dLbls>
        <c:gapWidth val="219"/>
        <c:overlap val="-27"/>
        <c:axId val="429261407"/>
        <c:axId val="429267231"/>
      </c:barChart>
      <c:catAx>
        <c:axId val="42926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9267231"/>
        <c:crosses val="autoZero"/>
        <c:auto val="1"/>
        <c:lblAlgn val="ctr"/>
        <c:lblOffset val="100"/>
        <c:noMultiLvlLbl val="0"/>
      </c:catAx>
      <c:valAx>
        <c:axId val="429267231"/>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r>
                  <a:rPr lang="en-US">
                    <a:solidFill>
                      <a:schemeClr val="tx2"/>
                    </a:solidFill>
                  </a:rPr>
                  <a:t>Average phase cost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42926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Admitted</a:t>
            </a:r>
            <a:r>
              <a:rPr lang="en-AU" baseline="0"/>
              <a:t> setting</a:t>
            </a:r>
            <a:endParaRPr lang="en-AU"/>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225449397300673"/>
          <c:y val="0.1748305334512231"/>
          <c:w val="0.79076707339833641"/>
          <c:h val="0.59949780813207376"/>
        </c:manualLayout>
      </c:layout>
      <c:barChart>
        <c:barDir val="col"/>
        <c:grouping val="clustered"/>
        <c:varyColors val="0"/>
        <c:ser>
          <c:idx val="0"/>
          <c:order val="0"/>
          <c:tx>
            <c:strRef>
              <c:f>Values!$C$7</c:f>
              <c:strCache>
                <c:ptCount val="1"/>
                <c:pt idx="0">
                  <c:v>2 year data (1819 &amp; 1920)</c:v>
                </c:pt>
              </c:strCache>
            </c:strRef>
          </c:tx>
          <c:spPr>
            <a:solidFill>
              <a:srgbClr val="009055"/>
            </a:solidFill>
            <a:ln>
              <a:noFill/>
            </a:ln>
            <a:effectLst/>
          </c:spPr>
          <c:invertIfNegative val="0"/>
          <c:cat>
            <c:strRef>
              <c:f>Values!$B$8:$B$10</c:f>
              <c:strCache>
                <c:ptCount val="3"/>
                <c:pt idx="0">
                  <c:v>0-17 years</c:v>
                </c:pt>
                <c:pt idx="1">
                  <c:v>18-64 years</c:v>
                </c:pt>
                <c:pt idx="2">
                  <c:v>65+ years</c:v>
                </c:pt>
              </c:strCache>
            </c:strRef>
          </c:cat>
          <c:val>
            <c:numRef>
              <c:f>Values!$C$8:$C$10</c:f>
              <c:numCache>
                <c:formatCode>_-"$"* #,##0_-;\-"$"* #,##0_-;_-"$"* "-"??_-;_-@_-</c:formatCode>
                <c:ptCount val="3"/>
                <c:pt idx="0">
                  <c:v>19635.07670678214</c:v>
                </c:pt>
                <c:pt idx="1">
                  <c:v>20120.968564691873</c:v>
                </c:pt>
                <c:pt idx="2">
                  <c:v>37772.850929719505</c:v>
                </c:pt>
              </c:numCache>
            </c:numRef>
          </c:val>
          <c:extLst>
            <c:ext xmlns:c16="http://schemas.microsoft.com/office/drawing/2014/chart" uri="{C3380CC4-5D6E-409C-BE32-E72D297353CC}">
              <c16:uniqueId val="{00000000-604F-4018-9D8D-2A691B03B49D}"/>
            </c:ext>
          </c:extLst>
        </c:ser>
        <c:ser>
          <c:idx val="1"/>
          <c:order val="1"/>
          <c:tx>
            <c:strRef>
              <c:f>Values!$D$7</c:f>
              <c:strCache>
                <c:ptCount val="1"/>
                <c:pt idx="0">
                  <c:v>3 year data (1819, 1920 &amp; 2021)</c:v>
                </c:pt>
              </c:strCache>
            </c:strRef>
          </c:tx>
          <c:spPr>
            <a:solidFill>
              <a:srgbClr val="0080C4"/>
            </a:solidFill>
            <a:ln>
              <a:noFill/>
            </a:ln>
            <a:effectLst/>
          </c:spPr>
          <c:invertIfNegative val="0"/>
          <c:dLbls>
            <c:dLbl>
              <c:idx val="0"/>
              <c:tx>
                <c:rich>
                  <a:bodyPr/>
                  <a:lstStyle/>
                  <a:p>
                    <a:fld id="{2D63D9B5-E02C-44AC-A0D3-BB98212A4CF3}"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04F-4018-9D8D-2A691B03B49D}"/>
                </c:ext>
              </c:extLst>
            </c:dLbl>
            <c:dLbl>
              <c:idx val="1"/>
              <c:tx>
                <c:rich>
                  <a:bodyPr/>
                  <a:lstStyle/>
                  <a:p>
                    <a:fld id="{9ACBBC38-CCDE-4EAE-96D8-A62AB70803C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04F-4018-9D8D-2A691B03B49D}"/>
                </c:ext>
              </c:extLst>
            </c:dLbl>
            <c:dLbl>
              <c:idx val="2"/>
              <c:tx>
                <c:rich>
                  <a:bodyPr/>
                  <a:lstStyle/>
                  <a:p>
                    <a:fld id="{CECB6AB3-0E15-4984-AE6D-C839744FC1D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04F-4018-9D8D-2A691B03B49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Values!$B$8:$B$10</c:f>
              <c:strCache>
                <c:ptCount val="3"/>
                <c:pt idx="0">
                  <c:v>0-17 years</c:v>
                </c:pt>
                <c:pt idx="1">
                  <c:v>18-64 years</c:v>
                </c:pt>
                <c:pt idx="2">
                  <c:v>65+ years</c:v>
                </c:pt>
              </c:strCache>
            </c:strRef>
          </c:cat>
          <c:val>
            <c:numRef>
              <c:f>Values!$D$8:$D$10</c:f>
              <c:numCache>
                <c:formatCode>_-"$"* #,##0_-;\-"$"* #,##0_-;_-"$"* "-"??_-;_-@_-</c:formatCode>
                <c:ptCount val="3"/>
                <c:pt idx="0">
                  <c:v>19037.557370327344</c:v>
                </c:pt>
                <c:pt idx="1">
                  <c:v>20552.364177483414</c:v>
                </c:pt>
                <c:pt idx="2">
                  <c:v>38609.402679942803</c:v>
                </c:pt>
              </c:numCache>
            </c:numRef>
          </c:val>
          <c:extLst>
            <c:ext xmlns:c15="http://schemas.microsoft.com/office/drawing/2012/chart" uri="{02D57815-91ED-43cb-92C2-25804820EDAC}">
              <c15:datalabelsRange>
                <c15:f>Values!$E$8:$E$10</c15:f>
                <c15:dlblRangeCache>
                  <c:ptCount val="3"/>
                  <c:pt idx="0">
                    <c:v>-3%</c:v>
                  </c:pt>
                  <c:pt idx="1">
                    <c:v>+2%</c:v>
                  </c:pt>
                  <c:pt idx="2">
                    <c:v>+2%</c:v>
                  </c:pt>
                </c15:dlblRangeCache>
              </c15:datalabelsRange>
            </c:ext>
            <c:ext xmlns:c16="http://schemas.microsoft.com/office/drawing/2014/chart" uri="{C3380CC4-5D6E-409C-BE32-E72D297353CC}">
              <c16:uniqueId val="{00000004-604F-4018-9D8D-2A691B03B49D}"/>
            </c:ext>
          </c:extLst>
        </c:ser>
        <c:dLbls>
          <c:showLegendKey val="0"/>
          <c:showVal val="0"/>
          <c:showCatName val="0"/>
          <c:showSerName val="0"/>
          <c:showPercent val="0"/>
          <c:showBubbleSize val="0"/>
        </c:dLbls>
        <c:gapWidth val="219"/>
        <c:overlap val="-27"/>
        <c:axId val="345977407"/>
        <c:axId val="345974495"/>
      </c:barChart>
      <c:catAx>
        <c:axId val="34597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4495"/>
        <c:crosses val="autoZero"/>
        <c:auto val="1"/>
        <c:lblAlgn val="ctr"/>
        <c:lblOffset val="100"/>
        <c:noMultiLvlLbl val="0"/>
      </c:catAx>
      <c:valAx>
        <c:axId val="345974495"/>
        <c:scaling>
          <c:orientation val="minMax"/>
          <c:max val="4000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phase cost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accent6">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597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2.xml><?xml version="1.0" encoding="utf-8"?>
<ds:datastoreItem xmlns:ds="http://schemas.openxmlformats.org/officeDocument/2006/customXml" ds:itemID="{2FB3FA2D-728E-4328-B3E5-5D3573DC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F6AF46-2F71-4EE0-A628-4C8AAD51F3C9}">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customXml/itemProps4.xml><?xml version="1.0" encoding="utf-8"?>
<ds:datastoreItem xmlns:ds="http://schemas.openxmlformats.org/officeDocument/2006/customXml" ds:itemID="{FA7622C8-06DD-4FEC-B4D6-D47C2D23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11018</Words>
  <Characters>62806</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OHLSSON, Rosie</cp:lastModifiedBy>
  <cp:revision>9</cp:revision>
  <cp:lastPrinted>2023-09-10T23:30:00Z</cp:lastPrinted>
  <dcterms:created xsi:type="dcterms:W3CDTF">2023-12-13T03:52:00Z</dcterms:created>
  <dcterms:modified xsi:type="dcterms:W3CDTF">2023-12-14T23:58:00Z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