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AEBC3" w14:textId="6E44261B" w:rsidR="00707A91" w:rsidRPr="00B36103" w:rsidRDefault="00707A91" w:rsidP="00AD22E1">
      <w:pPr>
        <w:spacing w:after="1320"/>
        <w:rPr>
          <w:rFonts w:cs="Arial"/>
          <w:lang w:val="en-AU"/>
        </w:rPr>
      </w:pPr>
      <w:r w:rsidRPr="00B36103">
        <w:rPr>
          <w:rFonts w:cs="Arial"/>
          <w:noProof/>
          <w:lang w:val="en-AU"/>
        </w:rPr>
        <w:drawing>
          <wp:inline distT="0" distB="0" distL="0" distR="0" wp14:anchorId="7E5C6FDC" wp14:editId="2A5DD90C">
            <wp:extent cx="1791651" cy="1122098"/>
            <wp:effectExtent l="0" t="0" r="0" b="190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bwMode="auto">
                    <a:xfrm>
                      <a:off x="0" y="0"/>
                      <a:ext cx="1791651" cy="1122098"/>
                    </a:xfrm>
                    <a:prstGeom prst="rect">
                      <a:avLst/>
                    </a:prstGeom>
                  </pic:spPr>
                </pic:pic>
              </a:graphicData>
            </a:graphic>
          </wp:inline>
        </w:drawing>
      </w:r>
    </w:p>
    <w:p w14:paraId="3126E457" w14:textId="74A073D3" w:rsidR="00707A91" w:rsidRPr="00B36103" w:rsidRDefault="0056645F" w:rsidP="00723269">
      <w:pPr>
        <w:pStyle w:val="CoverTitle"/>
        <w:ind w:right="107"/>
        <w:rPr>
          <w:rFonts w:cs="Arial"/>
          <w:lang w:val="en-AU"/>
        </w:rPr>
      </w:pPr>
      <w:r w:rsidRPr="00B36103">
        <w:rPr>
          <w:rFonts w:cs="Arial"/>
          <w:lang w:val="en-AU"/>
        </w:rPr>
        <w:t>Confidential Data Management Policy</w:t>
      </w:r>
    </w:p>
    <w:p w14:paraId="5867E2AE" w14:textId="6A187497" w:rsidR="00493FE8" w:rsidRPr="00436AC4" w:rsidRDefault="004A725E" w:rsidP="004606DD">
      <w:pPr>
        <w:pStyle w:val="Coversubtitle"/>
        <w:rPr>
          <w:rFonts w:cs="Arial"/>
          <w:sz w:val="40"/>
          <w:szCs w:val="40"/>
          <w:lang w:val="en-AU"/>
        </w:rPr>
        <w:sectPr w:rsidR="00493FE8" w:rsidRPr="00436AC4" w:rsidSect="00E426C6">
          <w:headerReference w:type="default" r:id="rId10"/>
          <w:type w:val="continuous"/>
          <w:pgSz w:w="11906" w:h="16838" w:code="9"/>
          <w:pgMar w:top="1440" w:right="1080" w:bottom="1440" w:left="1080" w:header="708" w:footer="708" w:gutter="0"/>
          <w:cols w:space="720"/>
          <w:docGrid w:linePitch="360"/>
        </w:sectPr>
      </w:pPr>
      <w:r w:rsidRPr="00436AC4">
        <w:rPr>
          <w:rFonts w:cs="Arial"/>
          <w:sz w:val="40"/>
          <w:szCs w:val="40"/>
          <w:lang w:val="en-AU"/>
        </w:rPr>
        <w:t xml:space="preserve">September </w:t>
      </w:r>
      <w:r w:rsidR="00737B50" w:rsidRPr="00436AC4">
        <w:rPr>
          <w:rFonts w:cs="Arial"/>
          <w:sz w:val="40"/>
          <w:szCs w:val="40"/>
          <w:lang w:val="en-AU"/>
        </w:rPr>
        <w:t>2023</w:t>
      </w:r>
    </w:p>
    <w:p w14:paraId="20BF2D79" w14:textId="25B844DE" w:rsidR="00276510" w:rsidRPr="00436AC4" w:rsidRDefault="0056645F" w:rsidP="00276510">
      <w:pPr>
        <w:pStyle w:val="Copyrightheading"/>
        <w:rPr>
          <w:rFonts w:cs="Arial"/>
          <w:lang w:val="en-AU"/>
        </w:rPr>
      </w:pPr>
      <w:r w:rsidRPr="00B36103">
        <w:rPr>
          <w:rFonts w:cs="Arial"/>
          <w:lang w:val="en-AU"/>
        </w:rPr>
        <w:lastRenderedPageBreak/>
        <w:t xml:space="preserve">Confidential Data Management Policy – Version </w:t>
      </w:r>
      <w:r w:rsidR="00737B50" w:rsidRPr="00436AC4">
        <w:rPr>
          <w:rFonts w:cs="Arial"/>
          <w:lang w:val="en-AU"/>
        </w:rPr>
        <w:t xml:space="preserve">5.0 </w:t>
      </w:r>
      <w:r w:rsidR="004A725E" w:rsidRPr="00436AC4">
        <w:rPr>
          <w:rFonts w:cs="Arial"/>
          <w:lang w:val="en-AU"/>
        </w:rPr>
        <w:t>September</w:t>
      </w:r>
      <w:r w:rsidR="00737B50" w:rsidRPr="00436AC4">
        <w:rPr>
          <w:rFonts w:cs="Arial"/>
          <w:lang w:val="en-AU"/>
        </w:rPr>
        <w:t xml:space="preserve"> 2023</w:t>
      </w:r>
    </w:p>
    <w:p w14:paraId="61404F53" w14:textId="321FB1AB" w:rsidR="00276510" w:rsidRPr="00436AC4" w:rsidRDefault="00276510" w:rsidP="00276510">
      <w:pPr>
        <w:pStyle w:val="Copyrightcopy"/>
        <w:rPr>
          <w:rFonts w:cs="Arial"/>
          <w:lang w:val="en-AU"/>
        </w:rPr>
      </w:pPr>
      <w:r w:rsidRPr="00436AC4">
        <w:rPr>
          <w:rFonts w:cs="Arial"/>
          <w:lang w:val="en-AU"/>
        </w:rPr>
        <w:t xml:space="preserve">© </w:t>
      </w:r>
      <w:r w:rsidR="00737B50" w:rsidRPr="00436AC4">
        <w:rPr>
          <w:rFonts w:cs="Arial"/>
          <w:lang w:val="en-AU"/>
        </w:rPr>
        <w:t>Independent Health and Aged Care Pricing Authority</w:t>
      </w:r>
      <w:r w:rsidRPr="00436AC4">
        <w:rPr>
          <w:rFonts w:cs="Arial"/>
          <w:lang w:val="en-AU"/>
        </w:rPr>
        <w:t xml:space="preserve"> </w:t>
      </w:r>
      <w:r w:rsidR="00737B50" w:rsidRPr="00436AC4">
        <w:rPr>
          <w:rFonts w:cs="Arial"/>
          <w:lang w:val="en-AU"/>
        </w:rPr>
        <w:t>2023</w:t>
      </w:r>
    </w:p>
    <w:p w14:paraId="7B301138" w14:textId="04EFB98D" w:rsidR="00276510" w:rsidRPr="00436AC4" w:rsidRDefault="00276510" w:rsidP="00276510">
      <w:pPr>
        <w:pStyle w:val="Copyrightcopy"/>
        <w:rPr>
          <w:rFonts w:cs="Arial"/>
          <w:lang w:val="en-AU"/>
        </w:rPr>
      </w:pPr>
      <w:r w:rsidRPr="00436AC4">
        <w:rPr>
          <w:rFonts w:cs="Arial"/>
          <w:lang w:val="en-AU"/>
        </w:rPr>
        <w:t xml:space="preserve">This publication is available for your use under a Creative Commons BY Attribution 3.0 Australia licence, </w:t>
      </w:r>
      <w:proofErr w:type="gramStart"/>
      <w:r w:rsidRPr="00436AC4">
        <w:rPr>
          <w:rFonts w:cs="Arial"/>
          <w:lang w:val="en-AU"/>
        </w:rPr>
        <w:t>with the exception of</w:t>
      </w:r>
      <w:proofErr w:type="gramEnd"/>
      <w:r w:rsidRPr="00436AC4">
        <w:rPr>
          <w:rFonts w:cs="Arial"/>
          <w:lang w:val="en-AU"/>
        </w:rPr>
        <w:t xml:space="preserve"> the </w:t>
      </w:r>
      <w:r w:rsidR="00737B50" w:rsidRPr="00436AC4">
        <w:rPr>
          <w:rFonts w:cs="Arial"/>
          <w:lang w:val="en-AU"/>
        </w:rPr>
        <w:t>Independent Health and Aged Care Pricing Authority</w:t>
      </w:r>
      <w:r w:rsidRPr="00436AC4">
        <w:rPr>
          <w:rFonts w:cs="Arial"/>
          <w:lang w:val="en-AU"/>
        </w:rPr>
        <w:t xml:space="preserve"> logo, photographs, images, signatures and where otherwise stated. The full licence terms are available from the Creative Commons website.</w:t>
      </w:r>
    </w:p>
    <w:p w14:paraId="7E118B06" w14:textId="77777777" w:rsidR="00276510" w:rsidRPr="00B36103" w:rsidRDefault="00276510" w:rsidP="00276510">
      <w:pPr>
        <w:pStyle w:val="Copyrightcopy"/>
        <w:rPr>
          <w:rFonts w:cs="Arial"/>
          <w:lang w:val="en-AU"/>
        </w:rPr>
      </w:pPr>
      <w:r w:rsidRPr="00B36103">
        <w:rPr>
          <w:rFonts w:cs="Arial"/>
          <w:noProof/>
          <w:lang w:val="en-AU"/>
        </w:rPr>
        <w:drawing>
          <wp:inline distT="0" distB="0" distL="0" distR="0" wp14:anchorId="5FA88F40" wp14:editId="608C8548">
            <wp:extent cx="1175004" cy="411480"/>
            <wp:effectExtent l="0" t="0" r="6350" b="7620"/>
            <wp:docPr id="54" name="Picture 54" descr="Creative Commons Attribution 3.0 Australia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reative Commons Attribution 3.0 Australia licence"/>
                    <pic:cNvPicPr/>
                  </pic:nvPicPr>
                  <pic:blipFill>
                    <a:blip r:embed="rId11">
                      <a:extLst>
                        <a:ext uri="{28A0092B-C50C-407E-A947-70E740481C1C}">
                          <a14:useLocalDpi xmlns:a14="http://schemas.microsoft.com/office/drawing/2010/main" val="0"/>
                        </a:ext>
                      </a:extLst>
                    </a:blip>
                    <a:stretch>
                      <a:fillRect/>
                    </a:stretch>
                  </pic:blipFill>
                  <pic:spPr>
                    <a:xfrm>
                      <a:off x="0" y="0"/>
                      <a:ext cx="1175004" cy="411480"/>
                    </a:xfrm>
                    <a:prstGeom prst="rect">
                      <a:avLst/>
                    </a:prstGeom>
                  </pic:spPr>
                </pic:pic>
              </a:graphicData>
            </a:graphic>
          </wp:inline>
        </w:drawing>
      </w:r>
      <w:r w:rsidRPr="00B36103">
        <w:rPr>
          <w:rFonts w:cs="Arial"/>
          <w:lang w:val="en-AU"/>
        </w:rPr>
        <w:t xml:space="preserve"> </w:t>
      </w:r>
    </w:p>
    <w:p w14:paraId="020F64C9" w14:textId="60495798" w:rsidR="00276510" w:rsidRPr="00436AC4" w:rsidRDefault="00276510" w:rsidP="00276510">
      <w:pPr>
        <w:pStyle w:val="Copyrightcopy"/>
        <w:rPr>
          <w:rFonts w:cs="Arial"/>
          <w:lang w:val="en-AU"/>
        </w:rPr>
      </w:pPr>
      <w:r w:rsidRPr="00436AC4">
        <w:rPr>
          <w:rFonts w:cs="Arial"/>
          <w:lang w:val="en-AU"/>
        </w:rPr>
        <w:t xml:space="preserve">Use of </w:t>
      </w:r>
      <w:r w:rsidR="00737B50" w:rsidRPr="00436AC4">
        <w:rPr>
          <w:rFonts w:cs="Arial"/>
          <w:lang w:val="en-AU"/>
        </w:rPr>
        <w:t>Independent Health and Aged Care Pricing Authority</w:t>
      </w:r>
      <w:r w:rsidRPr="00436AC4">
        <w:rPr>
          <w:rFonts w:cs="Arial"/>
          <w:lang w:val="en-AU"/>
        </w:rPr>
        <w:t xml:space="preserve"> material under a Creative Commons BY Attribution 3.0 Australia licence requires you to attribute the work (but not in any way that suggests that the </w:t>
      </w:r>
      <w:r w:rsidR="00737B50" w:rsidRPr="00436AC4">
        <w:rPr>
          <w:rFonts w:cs="Arial"/>
          <w:lang w:val="en-AU"/>
        </w:rPr>
        <w:t>Independent Health and Aged Care Pricing Authority</w:t>
      </w:r>
      <w:r w:rsidRPr="00436AC4">
        <w:rPr>
          <w:rFonts w:cs="Arial"/>
          <w:lang w:val="en-AU"/>
        </w:rPr>
        <w:t xml:space="preserve"> endorses you or your use of the work).</w:t>
      </w:r>
    </w:p>
    <w:p w14:paraId="239A3363" w14:textId="78B23A42" w:rsidR="00276510" w:rsidRPr="00436AC4" w:rsidRDefault="00737B50" w:rsidP="00276510">
      <w:pPr>
        <w:pStyle w:val="Copyrightcopy"/>
        <w:rPr>
          <w:rFonts w:cs="Arial"/>
          <w:lang w:val="en-AU"/>
        </w:rPr>
      </w:pPr>
      <w:r w:rsidRPr="00436AC4">
        <w:rPr>
          <w:rFonts w:cs="Arial"/>
          <w:lang w:val="en-AU"/>
        </w:rPr>
        <w:t>Independent Health and Aged Care Pricing Authority</w:t>
      </w:r>
      <w:r w:rsidR="00276510" w:rsidRPr="00436AC4">
        <w:rPr>
          <w:rFonts w:cs="Arial"/>
          <w:lang w:val="en-AU"/>
        </w:rPr>
        <w:t xml:space="preserve"> material used </w:t>
      </w:r>
      <w:r w:rsidR="006D0BA2" w:rsidRPr="00436AC4">
        <w:rPr>
          <w:rFonts w:cs="Arial"/>
          <w:lang w:val="en-AU"/>
        </w:rPr>
        <w:t>‘</w:t>
      </w:r>
      <w:r w:rsidR="00276510" w:rsidRPr="00436AC4">
        <w:rPr>
          <w:rFonts w:cs="Arial"/>
          <w:lang w:val="en-AU"/>
        </w:rPr>
        <w:t>as supplied</w:t>
      </w:r>
      <w:r w:rsidR="006D0BA2" w:rsidRPr="00436AC4">
        <w:rPr>
          <w:rFonts w:cs="Arial"/>
          <w:lang w:val="en-AU"/>
        </w:rPr>
        <w:t>’</w:t>
      </w:r>
      <w:r w:rsidR="00276510" w:rsidRPr="00436AC4">
        <w:rPr>
          <w:rFonts w:cs="Arial"/>
          <w:lang w:val="en-AU"/>
        </w:rPr>
        <w:t>.</w:t>
      </w:r>
    </w:p>
    <w:p w14:paraId="6DB21190" w14:textId="55CF5AC4" w:rsidR="00276510" w:rsidRPr="00436AC4" w:rsidRDefault="00276510" w:rsidP="00276510">
      <w:pPr>
        <w:pStyle w:val="Copyrightcopy"/>
        <w:rPr>
          <w:rFonts w:cs="Arial"/>
          <w:lang w:val="en-AU"/>
        </w:rPr>
      </w:pPr>
      <w:r w:rsidRPr="00436AC4">
        <w:rPr>
          <w:rFonts w:cs="Arial"/>
          <w:lang w:val="en-AU"/>
        </w:rPr>
        <w:t xml:space="preserve">Provided you have not modified or transformed </w:t>
      </w:r>
      <w:r w:rsidR="00737B50" w:rsidRPr="00436AC4">
        <w:rPr>
          <w:rFonts w:cs="Arial"/>
          <w:lang w:val="en-AU"/>
        </w:rPr>
        <w:t>Independent Health and Aged Care Pricing Authority</w:t>
      </w:r>
      <w:r w:rsidRPr="00436AC4">
        <w:rPr>
          <w:rFonts w:cs="Arial"/>
          <w:lang w:val="en-AU"/>
        </w:rPr>
        <w:t xml:space="preserve"> material in any way including, for example, by changing </w:t>
      </w:r>
      <w:r w:rsidR="00737B50" w:rsidRPr="00436AC4">
        <w:rPr>
          <w:rFonts w:cs="Arial"/>
          <w:lang w:val="en-AU"/>
        </w:rPr>
        <w:t>Independent Health and Aged Care Pricing Authority</w:t>
      </w:r>
      <w:r w:rsidRPr="00436AC4">
        <w:rPr>
          <w:rFonts w:cs="Arial"/>
          <w:lang w:val="en-AU"/>
        </w:rPr>
        <w:t xml:space="preserve"> text – then the </w:t>
      </w:r>
      <w:r w:rsidR="00737B50" w:rsidRPr="00436AC4">
        <w:rPr>
          <w:rFonts w:cs="Arial"/>
          <w:lang w:val="en-AU"/>
        </w:rPr>
        <w:t>Independent Health and Aged Care Pricing Authority</w:t>
      </w:r>
      <w:r w:rsidRPr="00436AC4">
        <w:rPr>
          <w:rFonts w:cs="Arial"/>
          <w:lang w:val="en-AU"/>
        </w:rPr>
        <w:t xml:space="preserve"> prefers the following attribution:</w:t>
      </w:r>
    </w:p>
    <w:p w14:paraId="18AA2E10" w14:textId="0EDA0306" w:rsidR="00276510" w:rsidRPr="00436AC4" w:rsidRDefault="00276510" w:rsidP="00276510">
      <w:pPr>
        <w:pStyle w:val="Copyrightcopy"/>
        <w:rPr>
          <w:rFonts w:cs="Arial"/>
          <w:lang w:val="en-AU"/>
        </w:rPr>
        <w:sectPr w:rsidR="00276510" w:rsidRPr="00436AC4" w:rsidSect="00276510">
          <w:headerReference w:type="default" r:id="rId12"/>
          <w:footerReference w:type="default" r:id="rId13"/>
          <w:pgSz w:w="11906" w:h="16838" w:code="9"/>
          <w:pgMar w:top="7371" w:right="1077" w:bottom="1440" w:left="1077" w:header="709" w:footer="709" w:gutter="0"/>
          <w:cols w:space="720"/>
          <w:docGrid w:linePitch="360"/>
        </w:sectPr>
      </w:pPr>
      <w:r w:rsidRPr="00436AC4">
        <w:rPr>
          <w:rFonts w:cs="Arial"/>
          <w:lang w:val="en-AU"/>
        </w:rPr>
        <w:t xml:space="preserve">Source: The </w:t>
      </w:r>
      <w:r w:rsidR="00737B50" w:rsidRPr="00436AC4">
        <w:rPr>
          <w:rFonts w:cs="Arial"/>
          <w:lang w:val="en-AU"/>
        </w:rPr>
        <w:t>Independent Health and Aged Care Pricing Authority</w:t>
      </w:r>
    </w:p>
    <w:p w14:paraId="0DB615F4" w14:textId="7632D75A" w:rsidR="00723269" w:rsidRPr="00436AC4" w:rsidRDefault="00723269" w:rsidP="0056645F">
      <w:pPr>
        <w:pStyle w:val="Heading1"/>
        <w:numPr>
          <w:ilvl w:val="0"/>
          <w:numId w:val="0"/>
        </w:numPr>
      </w:pPr>
      <w:bookmarkStart w:id="0" w:name="_Toc113568509"/>
      <w:bookmarkStart w:id="1" w:name="_Toc113579393"/>
      <w:bookmarkStart w:id="2" w:name="_Toc113632745"/>
      <w:bookmarkStart w:id="3" w:name="_Toc114170121"/>
      <w:bookmarkStart w:id="4" w:name="_Toc114236946"/>
      <w:bookmarkStart w:id="5" w:name="_Toc114498844"/>
      <w:bookmarkStart w:id="6" w:name="_Toc116550297"/>
      <w:bookmarkStart w:id="7" w:name="_Toc116558925"/>
      <w:bookmarkStart w:id="8" w:name="_Toc116559442"/>
      <w:bookmarkStart w:id="9" w:name="_Toc116634281"/>
      <w:bookmarkStart w:id="10" w:name="_Toc116641559"/>
      <w:r w:rsidRPr="00B36103">
        <w:lastRenderedPageBreak/>
        <w:t>Table of contents</w:t>
      </w:r>
      <w:bookmarkEnd w:id="0"/>
      <w:bookmarkEnd w:id="1"/>
      <w:bookmarkEnd w:id="2"/>
      <w:bookmarkEnd w:id="3"/>
      <w:bookmarkEnd w:id="4"/>
      <w:bookmarkEnd w:id="5"/>
      <w:bookmarkEnd w:id="6"/>
      <w:bookmarkEnd w:id="7"/>
      <w:bookmarkEnd w:id="8"/>
      <w:bookmarkEnd w:id="9"/>
      <w:bookmarkEnd w:id="10"/>
    </w:p>
    <w:p w14:paraId="177C9042" w14:textId="77777777" w:rsidR="00BF41F8" w:rsidRPr="00436AC4" w:rsidRDefault="00BF41F8" w:rsidP="00BF41F8">
      <w:pPr>
        <w:rPr>
          <w:rFonts w:cs="Arial"/>
          <w:lang w:val="en-AU"/>
        </w:rPr>
      </w:pPr>
    </w:p>
    <w:p w14:paraId="7E6DA9DC" w14:textId="15E63D58" w:rsidR="00070D12" w:rsidRPr="00B36103" w:rsidRDefault="00CA1505">
      <w:pPr>
        <w:pStyle w:val="TOC1"/>
        <w:tabs>
          <w:tab w:val="right" w:leader="dot" w:pos="9736"/>
        </w:tabs>
        <w:rPr>
          <w:rFonts w:asciiTheme="minorHAnsi" w:eastAsiaTheme="minorEastAsia" w:hAnsiTheme="minorHAnsi"/>
          <w:b w:val="0"/>
          <w:noProof/>
          <w:color w:val="auto"/>
          <w:sz w:val="22"/>
          <w:lang w:val="en-AU" w:eastAsia="en-AU"/>
        </w:rPr>
      </w:pPr>
      <w:r w:rsidRPr="00B36103">
        <w:rPr>
          <w:rFonts w:cs="Arial"/>
          <w:b w:val="0"/>
          <w:lang w:val="en-AU"/>
        </w:rPr>
        <w:fldChar w:fldCharType="begin"/>
      </w:r>
      <w:r w:rsidRPr="00436AC4">
        <w:rPr>
          <w:rFonts w:cs="Arial"/>
          <w:b w:val="0"/>
          <w:lang w:val="en-AU"/>
        </w:rPr>
        <w:instrText xml:space="preserve"> TOC \o "1-1" \u </w:instrText>
      </w:r>
      <w:r w:rsidRPr="00B36103">
        <w:rPr>
          <w:rFonts w:cs="Arial"/>
          <w:b w:val="0"/>
          <w:lang w:val="en-AU"/>
        </w:rPr>
        <w:fldChar w:fldCharType="separate"/>
      </w:r>
      <w:r w:rsidR="00070D12" w:rsidRPr="00B36103">
        <w:rPr>
          <w:noProof/>
        </w:rPr>
        <w:t>Acronyms and abbreviations</w:t>
      </w:r>
      <w:r w:rsidR="00070D12" w:rsidRPr="00B36103">
        <w:rPr>
          <w:noProof/>
        </w:rPr>
        <w:tab/>
      </w:r>
      <w:r w:rsidR="00070D12" w:rsidRPr="00B36103">
        <w:rPr>
          <w:noProof/>
        </w:rPr>
        <w:fldChar w:fldCharType="begin"/>
      </w:r>
      <w:r w:rsidR="00070D12" w:rsidRPr="00436AC4">
        <w:rPr>
          <w:noProof/>
        </w:rPr>
        <w:instrText xml:space="preserve"> PAGEREF _Toc116641560 \h </w:instrText>
      </w:r>
      <w:r w:rsidR="00070D12" w:rsidRPr="00B36103">
        <w:rPr>
          <w:noProof/>
        </w:rPr>
      </w:r>
      <w:r w:rsidR="00070D12" w:rsidRPr="00B36103">
        <w:rPr>
          <w:noProof/>
        </w:rPr>
        <w:fldChar w:fldCharType="separate"/>
      </w:r>
      <w:r w:rsidR="00D32922" w:rsidRPr="00B36103">
        <w:rPr>
          <w:noProof/>
        </w:rPr>
        <w:t>5</w:t>
      </w:r>
      <w:r w:rsidR="00070D12" w:rsidRPr="00B36103">
        <w:rPr>
          <w:noProof/>
        </w:rPr>
        <w:fldChar w:fldCharType="end"/>
      </w:r>
    </w:p>
    <w:p w14:paraId="501A45D2" w14:textId="7A3FEC02" w:rsidR="00070D12" w:rsidRPr="00436AC4" w:rsidRDefault="00070D12">
      <w:pPr>
        <w:pStyle w:val="TOC1"/>
        <w:tabs>
          <w:tab w:val="right" w:leader="dot" w:pos="9736"/>
        </w:tabs>
        <w:rPr>
          <w:rFonts w:asciiTheme="minorHAnsi" w:eastAsiaTheme="minorEastAsia" w:hAnsiTheme="minorHAnsi"/>
          <w:b w:val="0"/>
          <w:noProof/>
          <w:color w:val="auto"/>
          <w:sz w:val="22"/>
          <w:lang w:val="en-AU" w:eastAsia="en-AU"/>
        </w:rPr>
      </w:pPr>
      <w:r w:rsidRPr="00436AC4">
        <w:rPr>
          <w:noProof/>
        </w:rPr>
        <w:t>Definitions</w:t>
      </w:r>
      <w:r w:rsidRPr="00436AC4">
        <w:rPr>
          <w:noProof/>
        </w:rPr>
        <w:tab/>
      </w:r>
      <w:r w:rsidRPr="00755DC3">
        <w:rPr>
          <w:noProof/>
        </w:rPr>
        <w:fldChar w:fldCharType="begin"/>
      </w:r>
      <w:r w:rsidRPr="00436AC4">
        <w:rPr>
          <w:noProof/>
        </w:rPr>
        <w:instrText xml:space="preserve"> PAGEREF _Toc116641561 \h </w:instrText>
      </w:r>
      <w:r w:rsidRPr="00755DC3">
        <w:rPr>
          <w:noProof/>
        </w:rPr>
      </w:r>
      <w:r w:rsidRPr="00755DC3">
        <w:rPr>
          <w:noProof/>
        </w:rPr>
        <w:fldChar w:fldCharType="separate"/>
      </w:r>
      <w:r w:rsidR="00D32922" w:rsidRPr="00436AC4">
        <w:rPr>
          <w:noProof/>
        </w:rPr>
        <w:t>6</w:t>
      </w:r>
      <w:r w:rsidRPr="00755DC3">
        <w:rPr>
          <w:noProof/>
        </w:rPr>
        <w:fldChar w:fldCharType="end"/>
      </w:r>
    </w:p>
    <w:p w14:paraId="1AF56E85" w14:textId="2646EBD6" w:rsidR="00070D12" w:rsidRPr="00436AC4" w:rsidRDefault="00070D12">
      <w:pPr>
        <w:pStyle w:val="TOC1"/>
        <w:tabs>
          <w:tab w:val="left" w:pos="440"/>
          <w:tab w:val="right" w:leader="dot" w:pos="9736"/>
        </w:tabs>
        <w:rPr>
          <w:rFonts w:asciiTheme="minorHAnsi" w:eastAsiaTheme="minorEastAsia" w:hAnsiTheme="minorHAnsi"/>
          <w:b w:val="0"/>
          <w:noProof/>
          <w:color w:val="auto"/>
          <w:sz w:val="22"/>
          <w:lang w:val="en-AU" w:eastAsia="en-AU"/>
        </w:rPr>
      </w:pPr>
      <w:r w:rsidRPr="00436AC4">
        <w:rPr>
          <w:noProof/>
        </w:rPr>
        <w:t>1.</w:t>
      </w:r>
      <w:r w:rsidRPr="00436AC4">
        <w:rPr>
          <w:rFonts w:asciiTheme="minorHAnsi" w:eastAsiaTheme="minorEastAsia" w:hAnsiTheme="minorHAnsi"/>
          <w:b w:val="0"/>
          <w:noProof/>
          <w:color w:val="auto"/>
          <w:sz w:val="22"/>
          <w:lang w:val="en-AU" w:eastAsia="en-AU"/>
        </w:rPr>
        <w:tab/>
      </w:r>
      <w:r w:rsidRPr="00436AC4">
        <w:rPr>
          <w:noProof/>
        </w:rPr>
        <w:t>Executive summary</w:t>
      </w:r>
      <w:r w:rsidRPr="00436AC4">
        <w:rPr>
          <w:noProof/>
        </w:rPr>
        <w:tab/>
      </w:r>
      <w:r w:rsidRPr="00755DC3">
        <w:rPr>
          <w:noProof/>
        </w:rPr>
        <w:fldChar w:fldCharType="begin"/>
      </w:r>
      <w:r w:rsidRPr="00436AC4">
        <w:rPr>
          <w:noProof/>
        </w:rPr>
        <w:instrText xml:space="preserve"> PAGEREF _Toc116641562 \h </w:instrText>
      </w:r>
      <w:r w:rsidRPr="00755DC3">
        <w:rPr>
          <w:noProof/>
        </w:rPr>
      </w:r>
      <w:r w:rsidRPr="00755DC3">
        <w:rPr>
          <w:noProof/>
        </w:rPr>
        <w:fldChar w:fldCharType="separate"/>
      </w:r>
      <w:r w:rsidR="00D32922" w:rsidRPr="00436AC4">
        <w:rPr>
          <w:noProof/>
        </w:rPr>
        <w:t>7</w:t>
      </w:r>
      <w:r w:rsidRPr="00755DC3">
        <w:rPr>
          <w:noProof/>
        </w:rPr>
        <w:fldChar w:fldCharType="end"/>
      </w:r>
    </w:p>
    <w:p w14:paraId="549DA700" w14:textId="63533580" w:rsidR="00070D12" w:rsidRPr="00436AC4" w:rsidRDefault="00070D12">
      <w:pPr>
        <w:pStyle w:val="TOC1"/>
        <w:tabs>
          <w:tab w:val="left" w:pos="440"/>
          <w:tab w:val="right" w:leader="dot" w:pos="9736"/>
        </w:tabs>
        <w:rPr>
          <w:rFonts w:asciiTheme="minorHAnsi" w:eastAsiaTheme="minorEastAsia" w:hAnsiTheme="minorHAnsi"/>
          <w:b w:val="0"/>
          <w:noProof/>
          <w:color w:val="auto"/>
          <w:sz w:val="22"/>
          <w:lang w:val="en-AU" w:eastAsia="en-AU"/>
        </w:rPr>
      </w:pPr>
      <w:r w:rsidRPr="00436AC4">
        <w:rPr>
          <w:noProof/>
        </w:rPr>
        <w:t>2.</w:t>
      </w:r>
      <w:r w:rsidRPr="00436AC4">
        <w:rPr>
          <w:rFonts w:asciiTheme="minorHAnsi" w:eastAsiaTheme="minorEastAsia" w:hAnsiTheme="minorHAnsi"/>
          <w:b w:val="0"/>
          <w:noProof/>
          <w:color w:val="auto"/>
          <w:sz w:val="22"/>
          <w:lang w:val="en-AU" w:eastAsia="en-AU"/>
        </w:rPr>
        <w:tab/>
      </w:r>
      <w:r w:rsidRPr="00436AC4">
        <w:rPr>
          <w:noProof/>
        </w:rPr>
        <w:t>Management of confidential jurisdictional information</w:t>
      </w:r>
      <w:r w:rsidRPr="00436AC4">
        <w:rPr>
          <w:noProof/>
        </w:rPr>
        <w:tab/>
      </w:r>
      <w:r w:rsidRPr="00755DC3">
        <w:rPr>
          <w:noProof/>
        </w:rPr>
        <w:fldChar w:fldCharType="begin"/>
      </w:r>
      <w:r w:rsidRPr="00436AC4">
        <w:rPr>
          <w:noProof/>
        </w:rPr>
        <w:instrText xml:space="preserve"> PAGEREF _Toc116641563 \h </w:instrText>
      </w:r>
      <w:r w:rsidRPr="00755DC3">
        <w:rPr>
          <w:noProof/>
        </w:rPr>
      </w:r>
      <w:r w:rsidRPr="00755DC3">
        <w:rPr>
          <w:noProof/>
        </w:rPr>
        <w:fldChar w:fldCharType="separate"/>
      </w:r>
      <w:r w:rsidR="00D32922" w:rsidRPr="00436AC4">
        <w:rPr>
          <w:noProof/>
        </w:rPr>
        <w:t>9</w:t>
      </w:r>
      <w:r w:rsidRPr="00755DC3">
        <w:rPr>
          <w:noProof/>
        </w:rPr>
        <w:fldChar w:fldCharType="end"/>
      </w:r>
    </w:p>
    <w:p w14:paraId="3F1C9E2A" w14:textId="2D83433E" w:rsidR="00070D12" w:rsidRPr="00436AC4" w:rsidRDefault="00070D12">
      <w:pPr>
        <w:pStyle w:val="TOC1"/>
        <w:tabs>
          <w:tab w:val="left" w:pos="440"/>
          <w:tab w:val="right" w:leader="dot" w:pos="9736"/>
        </w:tabs>
        <w:rPr>
          <w:rFonts w:asciiTheme="minorHAnsi" w:eastAsiaTheme="minorEastAsia" w:hAnsiTheme="minorHAnsi"/>
          <w:b w:val="0"/>
          <w:noProof/>
          <w:color w:val="auto"/>
          <w:sz w:val="22"/>
          <w:lang w:val="en-AU" w:eastAsia="en-AU"/>
        </w:rPr>
      </w:pPr>
      <w:r w:rsidRPr="00436AC4">
        <w:rPr>
          <w:noProof/>
        </w:rPr>
        <w:t>3.</w:t>
      </w:r>
      <w:r w:rsidRPr="00436AC4">
        <w:rPr>
          <w:rFonts w:asciiTheme="minorHAnsi" w:eastAsiaTheme="minorEastAsia" w:hAnsiTheme="minorHAnsi"/>
          <w:b w:val="0"/>
          <w:noProof/>
          <w:color w:val="auto"/>
          <w:sz w:val="22"/>
          <w:lang w:val="en-AU" w:eastAsia="en-AU"/>
        </w:rPr>
        <w:tab/>
      </w:r>
      <w:r w:rsidRPr="00436AC4">
        <w:rPr>
          <w:noProof/>
        </w:rPr>
        <w:t>Compliance</w:t>
      </w:r>
      <w:r w:rsidRPr="00436AC4">
        <w:rPr>
          <w:noProof/>
        </w:rPr>
        <w:tab/>
      </w:r>
      <w:r w:rsidRPr="00755DC3">
        <w:rPr>
          <w:noProof/>
        </w:rPr>
        <w:fldChar w:fldCharType="begin"/>
      </w:r>
      <w:r w:rsidRPr="00436AC4">
        <w:rPr>
          <w:noProof/>
        </w:rPr>
        <w:instrText xml:space="preserve"> PAGEREF _Toc116641564 \h </w:instrText>
      </w:r>
      <w:r w:rsidRPr="00755DC3">
        <w:rPr>
          <w:noProof/>
        </w:rPr>
      </w:r>
      <w:r w:rsidRPr="00755DC3">
        <w:rPr>
          <w:noProof/>
        </w:rPr>
        <w:fldChar w:fldCharType="separate"/>
      </w:r>
      <w:r w:rsidR="00D32922" w:rsidRPr="00436AC4">
        <w:rPr>
          <w:noProof/>
        </w:rPr>
        <w:t>12</w:t>
      </w:r>
      <w:r w:rsidRPr="00755DC3">
        <w:rPr>
          <w:noProof/>
        </w:rPr>
        <w:fldChar w:fldCharType="end"/>
      </w:r>
    </w:p>
    <w:p w14:paraId="03E9E655" w14:textId="4C93A599" w:rsidR="00723269" w:rsidRPr="00B36103" w:rsidRDefault="00CA1505" w:rsidP="00FB7003">
      <w:pPr>
        <w:rPr>
          <w:rFonts w:eastAsiaTheme="majorEastAsia" w:cs="Arial"/>
          <w:b/>
          <w:sz w:val="72"/>
          <w:szCs w:val="32"/>
          <w:lang w:val="en-AU"/>
        </w:rPr>
      </w:pPr>
      <w:r w:rsidRPr="00B36103">
        <w:rPr>
          <w:rFonts w:cs="Arial"/>
          <w:b/>
          <w:sz w:val="24"/>
          <w:lang w:val="en-AU"/>
        </w:rPr>
        <w:fldChar w:fldCharType="end"/>
      </w:r>
      <w:r w:rsidR="00723269" w:rsidRPr="00B36103">
        <w:rPr>
          <w:rFonts w:cs="Arial"/>
          <w:lang w:val="en-AU"/>
        </w:rPr>
        <w:br w:type="page"/>
      </w:r>
    </w:p>
    <w:p w14:paraId="7E24FFFB" w14:textId="4E4302F1" w:rsidR="00723269" w:rsidRPr="00436AC4" w:rsidRDefault="004606DD" w:rsidP="0056645F">
      <w:pPr>
        <w:pStyle w:val="Heading1"/>
        <w:numPr>
          <w:ilvl w:val="0"/>
          <w:numId w:val="0"/>
        </w:numPr>
      </w:pPr>
      <w:bookmarkStart w:id="11" w:name="_Toc116641560"/>
      <w:r w:rsidRPr="00436AC4">
        <w:lastRenderedPageBreak/>
        <w:t>Acronyms and abbreviations</w:t>
      </w:r>
      <w:bookmarkEnd w:id="11"/>
    </w:p>
    <w:p w14:paraId="7BD4BEE0" w14:textId="660C1200" w:rsidR="00BF41F8" w:rsidRPr="00436AC4" w:rsidRDefault="00BF41F8" w:rsidP="00BF41F8">
      <w:pPr>
        <w:rPr>
          <w:rFonts w:cs="Arial"/>
          <w:lang w:val="en-AU"/>
        </w:rPr>
      </w:pPr>
    </w:p>
    <w:tbl>
      <w:tblPr>
        <w:tblW w:w="8798" w:type="dxa"/>
        <w:tblLook w:val="01E0" w:firstRow="1" w:lastRow="1" w:firstColumn="1" w:lastColumn="1" w:noHBand="0" w:noVBand="0"/>
        <w:tblDescription w:val="list of acronyms and abbreviations which appear in the Dispute Resolution Framework, version 2.0."/>
      </w:tblPr>
      <w:tblGrid>
        <w:gridCol w:w="1868"/>
        <w:gridCol w:w="6930"/>
      </w:tblGrid>
      <w:tr w:rsidR="0056645F" w:rsidRPr="00436AC4" w14:paraId="0C89C4AE" w14:textId="77777777" w:rsidTr="007B11FA">
        <w:tc>
          <w:tcPr>
            <w:tcW w:w="1868" w:type="dxa"/>
          </w:tcPr>
          <w:p w14:paraId="355B9D2F" w14:textId="77777777" w:rsidR="0056645F" w:rsidRPr="00436AC4" w:rsidRDefault="0056645F" w:rsidP="0056645F">
            <w:pPr>
              <w:adjustRightInd w:val="0"/>
              <w:snapToGrid w:val="0"/>
              <w:spacing w:before="160"/>
              <w:rPr>
                <w:rFonts w:cs="Arial"/>
                <w:b/>
              </w:rPr>
            </w:pPr>
            <w:r w:rsidRPr="00436AC4">
              <w:rPr>
                <w:rFonts w:cs="Arial"/>
                <w:b/>
              </w:rPr>
              <w:t>CEO</w:t>
            </w:r>
          </w:p>
        </w:tc>
        <w:tc>
          <w:tcPr>
            <w:tcW w:w="6930" w:type="dxa"/>
          </w:tcPr>
          <w:p w14:paraId="16A9D62A" w14:textId="77777777" w:rsidR="0056645F" w:rsidRPr="00436AC4" w:rsidRDefault="0056645F" w:rsidP="0056645F">
            <w:pPr>
              <w:spacing w:before="160"/>
            </w:pPr>
            <w:r w:rsidRPr="00436AC4">
              <w:t>Chief Executive Officer</w:t>
            </w:r>
          </w:p>
        </w:tc>
      </w:tr>
      <w:tr w:rsidR="0056645F" w:rsidRPr="00436AC4" w14:paraId="6CDE00C3" w14:textId="77777777" w:rsidTr="007B11FA">
        <w:tc>
          <w:tcPr>
            <w:tcW w:w="1868" w:type="dxa"/>
          </w:tcPr>
          <w:p w14:paraId="1C4AFC43" w14:textId="77777777" w:rsidR="0056645F" w:rsidRPr="00436AC4" w:rsidRDefault="0056645F" w:rsidP="0056645F">
            <w:pPr>
              <w:adjustRightInd w:val="0"/>
              <w:snapToGrid w:val="0"/>
              <w:spacing w:before="160"/>
              <w:rPr>
                <w:rFonts w:cs="Arial"/>
                <w:b/>
              </w:rPr>
            </w:pPr>
            <w:r w:rsidRPr="00436AC4">
              <w:rPr>
                <w:rFonts w:cs="Arial"/>
                <w:b/>
              </w:rPr>
              <w:t>DLM</w:t>
            </w:r>
          </w:p>
        </w:tc>
        <w:tc>
          <w:tcPr>
            <w:tcW w:w="6930" w:type="dxa"/>
          </w:tcPr>
          <w:p w14:paraId="03BC60E6" w14:textId="77777777" w:rsidR="0056645F" w:rsidRPr="00436AC4" w:rsidRDefault="0056645F" w:rsidP="0056645F">
            <w:pPr>
              <w:spacing w:before="160"/>
            </w:pPr>
            <w:r w:rsidRPr="00436AC4">
              <w:t>Dissemination Limiting Marker</w:t>
            </w:r>
          </w:p>
        </w:tc>
      </w:tr>
      <w:tr w:rsidR="005C4CD9" w:rsidRPr="00436AC4" w14:paraId="4E8EB69B" w14:textId="77777777" w:rsidTr="007B11FA">
        <w:tc>
          <w:tcPr>
            <w:tcW w:w="1868" w:type="dxa"/>
          </w:tcPr>
          <w:p w14:paraId="43104B7E" w14:textId="432209D1" w:rsidR="005C4CD9" w:rsidRPr="00436AC4" w:rsidRDefault="00737B50" w:rsidP="0056645F">
            <w:pPr>
              <w:adjustRightInd w:val="0"/>
              <w:snapToGrid w:val="0"/>
              <w:spacing w:before="160"/>
              <w:rPr>
                <w:rFonts w:cs="Arial"/>
                <w:b/>
              </w:rPr>
            </w:pPr>
            <w:r w:rsidRPr="00436AC4">
              <w:rPr>
                <w:rFonts w:cs="Arial"/>
                <w:b/>
              </w:rPr>
              <w:t>IHACPA</w:t>
            </w:r>
          </w:p>
        </w:tc>
        <w:tc>
          <w:tcPr>
            <w:tcW w:w="6930" w:type="dxa"/>
          </w:tcPr>
          <w:p w14:paraId="632CF3B8" w14:textId="0BDF7F61" w:rsidR="005C4CD9" w:rsidRPr="00436AC4" w:rsidRDefault="00737B50" w:rsidP="0056645F">
            <w:pPr>
              <w:spacing w:before="160"/>
            </w:pPr>
            <w:r w:rsidRPr="00436AC4">
              <w:t>Independent Health and Aged Care Pricing Authority</w:t>
            </w:r>
          </w:p>
        </w:tc>
      </w:tr>
      <w:tr w:rsidR="0056645F" w:rsidRPr="00436AC4" w14:paraId="7A269E3B" w14:textId="77777777" w:rsidTr="007B11FA">
        <w:tc>
          <w:tcPr>
            <w:tcW w:w="1868" w:type="dxa"/>
          </w:tcPr>
          <w:p w14:paraId="5F3EB091" w14:textId="77777777" w:rsidR="0056645F" w:rsidRPr="00436AC4" w:rsidRDefault="0056645F" w:rsidP="0056645F">
            <w:pPr>
              <w:adjustRightInd w:val="0"/>
              <w:snapToGrid w:val="0"/>
              <w:spacing w:before="160"/>
              <w:rPr>
                <w:rFonts w:cs="Arial"/>
                <w:b/>
              </w:rPr>
            </w:pPr>
            <w:r w:rsidRPr="00436AC4">
              <w:rPr>
                <w:rFonts w:cs="Arial"/>
                <w:b/>
              </w:rPr>
              <w:t>The Addendum</w:t>
            </w:r>
          </w:p>
        </w:tc>
        <w:tc>
          <w:tcPr>
            <w:tcW w:w="6930" w:type="dxa"/>
          </w:tcPr>
          <w:p w14:paraId="03088D6F" w14:textId="77777777" w:rsidR="0056645F" w:rsidRPr="00436AC4" w:rsidRDefault="0056645F" w:rsidP="0056645F">
            <w:pPr>
              <w:spacing w:before="160"/>
              <w:rPr>
                <w:i/>
              </w:rPr>
            </w:pPr>
            <w:r w:rsidRPr="00436AC4">
              <w:t>Addendum to the National Health Reform Agreement 2020–25</w:t>
            </w:r>
          </w:p>
        </w:tc>
      </w:tr>
      <w:tr w:rsidR="0056645F" w:rsidRPr="00436AC4" w14:paraId="52530F8A" w14:textId="77777777" w:rsidTr="007B11FA">
        <w:tc>
          <w:tcPr>
            <w:tcW w:w="1868" w:type="dxa"/>
          </w:tcPr>
          <w:p w14:paraId="36914582" w14:textId="77777777" w:rsidR="0056645F" w:rsidRPr="00436AC4" w:rsidRDefault="0056645F" w:rsidP="0056645F">
            <w:pPr>
              <w:adjustRightInd w:val="0"/>
              <w:snapToGrid w:val="0"/>
              <w:spacing w:before="160"/>
              <w:rPr>
                <w:rFonts w:cs="Arial"/>
                <w:b/>
              </w:rPr>
            </w:pPr>
            <w:r w:rsidRPr="00436AC4">
              <w:rPr>
                <w:rFonts w:cs="Arial"/>
                <w:b/>
              </w:rPr>
              <w:t>The NHR Act</w:t>
            </w:r>
          </w:p>
        </w:tc>
        <w:tc>
          <w:tcPr>
            <w:tcW w:w="6930" w:type="dxa"/>
          </w:tcPr>
          <w:p w14:paraId="7E245162" w14:textId="77777777" w:rsidR="0056645F" w:rsidRPr="00436AC4" w:rsidRDefault="0056645F" w:rsidP="0056645F">
            <w:pPr>
              <w:spacing w:before="160"/>
              <w:rPr>
                <w:i/>
              </w:rPr>
            </w:pPr>
            <w:r w:rsidRPr="00436AC4">
              <w:rPr>
                <w:i/>
              </w:rPr>
              <w:t xml:space="preserve">National Health Reform Act 2011 </w:t>
            </w:r>
            <w:r w:rsidRPr="00436AC4">
              <w:t>(Cwlth)</w:t>
            </w:r>
          </w:p>
        </w:tc>
      </w:tr>
      <w:tr w:rsidR="0056645F" w:rsidRPr="00436AC4" w14:paraId="5AE11B84" w14:textId="77777777" w:rsidTr="007B11FA">
        <w:tc>
          <w:tcPr>
            <w:tcW w:w="1868" w:type="dxa"/>
          </w:tcPr>
          <w:p w14:paraId="5788138C" w14:textId="77777777" w:rsidR="0056645F" w:rsidRPr="00436AC4" w:rsidRDefault="0056645F" w:rsidP="0056645F">
            <w:pPr>
              <w:adjustRightInd w:val="0"/>
              <w:snapToGrid w:val="0"/>
              <w:spacing w:before="160"/>
              <w:rPr>
                <w:rFonts w:cs="Arial"/>
                <w:b/>
              </w:rPr>
            </w:pPr>
            <w:r w:rsidRPr="00436AC4">
              <w:rPr>
                <w:rFonts w:cs="Arial"/>
                <w:b/>
              </w:rPr>
              <w:t>This Policy</w:t>
            </w:r>
          </w:p>
        </w:tc>
        <w:tc>
          <w:tcPr>
            <w:tcW w:w="6930" w:type="dxa"/>
          </w:tcPr>
          <w:p w14:paraId="1A62C9B6" w14:textId="77777777" w:rsidR="0056645F" w:rsidRPr="00436AC4" w:rsidRDefault="0056645F" w:rsidP="0056645F">
            <w:pPr>
              <w:spacing w:before="160"/>
            </w:pPr>
            <w:r w:rsidRPr="00436AC4">
              <w:rPr>
                <w:i/>
              </w:rPr>
              <w:t>Confidential Data Management Policy</w:t>
            </w:r>
          </w:p>
        </w:tc>
      </w:tr>
    </w:tbl>
    <w:p w14:paraId="255B4D7C" w14:textId="3AB8584D" w:rsidR="00BF41F8" w:rsidRPr="00436AC4" w:rsidRDefault="00BF41F8">
      <w:pPr>
        <w:spacing w:line="259" w:lineRule="auto"/>
        <w:rPr>
          <w:rFonts w:cs="Arial"/>
          <w:lang w:val="en-AU"/>
        </w:rPr>
      </w:pPr>
      <w:r w:rsidRPr="00436AC4">
        <w:rPr>
          <w:rFonts w:cs="Arial"/>
          <w:lang w:val="en-AU"/>
        </w:rPr>
        <w:br w:type="page"/>
      </w:r>
    </w:p>
    <w:p w14:paraId="15DE7746" w14:textId="4E93EEA8" w:rsidR="00BF41F8" w:rsidRPr="00436AC4" w:rsidRDefault="00BF41F8" w:rsidP="0056645F">
      <w:pPr>
        <w:pStyle w:val="Heading1"/>
        <w:numPr>
          <w:ilvl w:val="0"/>
          <w:numId w:val="0"/>
        </w:numPr>
      </w:pPr>
      <w:bookmarkStart w:id="12" w:name="_Toc116641561"/>
      <w:r w:rsidRPr="00436AC4">
        <w:lastRenderedPageBreak/>
        <w:t>Definitions</w:t>
      </w:r>
      <w:bookmarkEnd w:id="12"/>
    </w:p>
    <w:tbl>
      <w:tblPr>
        <w:tblW w:w="9464" w:type="dxa"/>
        <w:tblLook w:val="01E0" w:firstRow="1" w:lastRow="1" w:firstColumn="1" w:lastColumn="1" w:noHBand="0" w:noVBand="0"/>
        <w:tblDescription w:val="list of definitions which appear in the Dispute Resolution Framework, version 2.0."/>
      </w:tblPr>
      <w:tblGrid>
        <w:gridCol w:w="2235"/>
        <w:gridCol w:w="7229"/>
      </w:tblGrid>
      <w:tr w:rsidR="0056645F" w:rsidRPr="00436AC4" w14:paraId="0570BC6A" w14:textId="77777777" w:rsidTr="007B11FA">
        <w:tc>
          <w:tcPr>
            <w:tcW w:w="2235" w:type="dxa"/>
          </w:tcPr>
          <w:p w14:paraId="1CD99DF9" w14:textId="39F2A1AE" w:rsidR="0056645F" w:rsidRPr="00436AC4" w:rsidRDefault="0056645F" w:rsidP="0056645F">
            <w:pPr>
              <w:spacing w:before="160"/>
              <w:rPr>
                <w:b/>
              </w:rPr>
            </w:pPr>
            <w:r w:rsidRPr="00436AC4">
              <w:rPr>
                <w:b/>
              </w:rPr>
              <w:t>Confidential jurisdictional information</w:t>
            </w:r>
          </w:p>
        </w:tc>
        <w:tc>
          <w:tcPr>
            <w:tcW w:w="7229" w:type="dxa"/>
          </w:tcPr>
          <w:p w14:paraId="638E1F83" w14:textId="39DA452F" w:rsidR="0056645F" w:rsidRPr="00436AC4" w:rsidRDefault="0056645F" w:rsidP="0056645F">
            <w:pPr>
              <w:spacing w:before="160"/>
            </w:pPr>
            <w:r w:rsidRPr="00436AC4">
              <w:t xml:space="preserve">Any economic </w:t>
            </w:r>
            <w:r w:rsidR="004A725E" w:rsidRPr="00450177">
              <w:t>and financial</w:t>
            </w:r>
            <w:r w:rsidR="004A725E" w:rsidRPr="00436AC4">
              <w:t xml:space="preserve"> </w:t>
            </w:r>
            <w:r w:rsidRPr="00436AC4">
              <w:t>projections of jurisdictions</w:t>
            </w:r>
            <w:r w:rsidR="00622139" w:rsidRPr="00436AC4">
              <w:t xml:space="preserve"> </w:t>
            </w:r>
            <w:r w:rsidR="00AB5FB9" w:rsidRPr="00436AC4">
              <w:t xml:space="preserve">related to </w:t>
            </w:r>
            <w:r w:rsidR="00600574" w:rsidRPr="00436AC4">
              <w:t xml:space="preserve">Australian </w:t>
            </w:r>
            <w:r w:rsidR="00AB5FB9" w:rsidRPr="00436AC4">
              <w:t>public hospital</w:t>
            </w:r>
            <w:r w:rsidR="00600574" w:rsidRPr="00436AC4">
              <w:t xml:space="preserve"> service</w:t>
            </w:r>
            <w:r w:rsidR="00AB5FB9" w:rsidRPr="00436AC4">
              <w:t xml:space="preserve">s </w:t>
            </w:r>
            <w:r w:rsidR="006E1CD3" w:rsidRPr="00436AC4">
              <w:t xml:space="preserve">or aged care services </w:t>
            </w:r>
            <w:r w:rsidR="00AB5FB9" w:rsidRPr="00436AC4">
              <w:t xml:space="preserve">and </w:t>
            </w:r>
            <w:r w:rsidR="00622139" w:rsidRPr="00436AC4">
              <w:t>provided to the Independent Health and Aged Care Pricing Authority (IHACPA)</w:t>
            </w:r>
            <w:r w:rsidR="006E1CD3" w:rsidRPr="00436AC4">
              <w:t xml:space="preserve"> by the Commonwealth or a state or territory (a jurisdiction)</w:t>
            </w:r>
            <w:r w:rsidRPr="00436AC4">
              <w:t xml:space="preserve">; or where there is mutual understanding and agreement between </w:t>
            </w:r>
            <w:r w:rsidR="00622139" w:rsidRPr="00436AC4">
              <w:t>IHACPA</w:t>
            </w:r>
            <w:r w:rsidRPr="00436AC4">
              <w:t xml:space="preserve"> and the jurisdiction that the information has been provided in confidence.</w:t>
            </w:r>
          </w:p>
          <w:p w14:paraId="06DA4158" w14:textId="059CFC83" w:rsidR="00C779D0" w:rsidRPr="00436AC4" w:rsidRDefault="0056645F" w:rsidP="0056645F">
            <w:pPr>
              <w:spacing w:before="160"/>
            </w:pPr>
            <w:r w:rsidRPr="00436AC4">
              <w:t xml:space="preserve">If confidential jurisdictional information is delivered orally, such as through discussions, there should be mutual understanding and agreement between </w:t>
            </w:r>
            <w:r w:rsidR="00737B50" w:rsidRPr="00436AC4">
              <w:t>IHACPA</w:t>
            </w:r>
            <w:r w:rsidRPr="00436AC4">
              <w:t xml:space="preserve"> representatives and the jurisdictional representative that the information is being provided in confidence.</w:t>
            </w:r>
          </w:p>
          <w:p w14:paraId="5E5BDE6C" w14:textId="716A3A40" w:rsidR="006E1CD3" w:rsidRPr="00436AC4" w:rsidRDefault="006E1CD3" w:rsidP="0056645F">
            <w:pPr>
              <w:spacing w:before="160"/>
            </w:pPr>
            <w:r w:rsidRPr="00436AC4">
              <w:t xml:space="preserve">This excludes data relating to </w:t>
            </w:r>
            <w:r w:rsidR="00B910B3" w:rsidRPr="00436AC4">
              <w:t xml:space="preserve">applications regarding </w:t>
            </w:r>
            <w:r w:rsidRPr="00436AC4">
              <w:t>refundable accommodation deposits and extra service fee</w:t>
            </w:r>
            <w:r w:rsidR="00B910B3" w:rsidRPr="00436AC4">
              <w:t>s for residential aged care</w:t>
            </w:r>
            <w:r w:rsidRPr="00436AC4">
              <w:t xml:space="preserve">, which is </w:t>
            </w:r>
            <w:r w:rsidR="006325D6" w:rsidRPr="00436AC4">
              <w:t xml:space="preserve">classified as </w:t>
            </w:r>
            <w:r w:rsidRPr="00436AC4">
              <w:t xml:space="preserve">protected information under the </w:t>
            </w:r>
            <w:r w:rsidRPr="00436AC4">
              <w:rPr>
                <w:i/>
                <w:iCs/>
              </w:rPr>
              <w:t>Aged Care Act 1997</w:t>
            </w:r>
            <w:r w:rsidRPr="00436AC4">
              <w:t xml:space="preserve"> </w:t>
            </w:r>
            <w:r w:rsidR="00030FD6" w:rsidRPr="00436AC4">
              <w:t xml:space="preserve">and is not in-scope for this Policy. </w:t>
            </w:r>
          </w:p>
        </w:tc>
      </w:tr>
      <w:tr w:rsidR="00BB0E36" w:rsidRPr="00436AC4" w14:paraId="3D1564D6" w14:textId="77777777" w:rsidTr="00450177">
        <w:tc>
          <w:tcPr>
            <w:tcW w:w="2235" w:type="dxa"/>
            <w:shd w:val="clear" w:color="auto" w:fill="auto"/>
          </w:tcPr>
          <w:p w14:paraId="7363F7FE" w14:textId="601EFE5A" w:rsidR="00BB0E36" w:rsidRPr="00450177" w:rsidRDefault="00BB0E36" w:rsidP="00BB0E36">
            <w:pPr>
              <w:spacing w:before="160"/>
              <w:rPr>
                <w:b/>
              </w:rPr>
            </w:pPr>
            <w:r w:rsidRPr="00450177">
              <w:rPr>
                <w:rFonts w:cs="Arial"/>
                <w:b/>
              </w:rPr>
              <w:t xml:space="preserve">Economic </w:t>
            </w:r>
            <w:r w:rsidR="004A725E" w:rsidRPr="00450177">
              <w:rPr>
                <w:rFonts w:cs="Arial"/>
                <w:b/>
              </w:rPr>
              <w:t xml:space="preserve">and financial </w:t>
            </w:r>
            <w:r w:rsidRPr="00450177">
              <w:rPr>
                <w:rFonts w:cs="Arial"/>
                <w:b/>
              </w:rPr>
              <w:t>projections</w:t>
            </w:r>
          </w:p>
        </w:tc>
        <w:tc>
          <w:tcPr>
            <w:tcW w:w="7229" w:type="dxa"/>
            <w:shd w:val="clear" w:color="auto" w:fill="auto"/>
          </w:tcPr>
          <w:p w14:paraId="1B9D6316" w14:textId="3063C177" w:rsidR="00BB0E36" w:rsidRPr="00450177" w:rsidRDefault="004A725E" w:rsidP="00BB0E36">
            <w:pPr>
              <w:spacing w:before="160"/>
            </w:pPr>
            <w:r w:rsidRPr="00450177">
              <w:t xml:space="preserve">Forward financial data relating to jurisdictional policies regarding the delivery of public hospital and residential aged care services, for example: </w:t>
            </w:r>
          </w:p>
          <w:p w14:paraId="7FEEF9D6" w14:textId="58EA524A" w:rsidR="00BB0E36" w:rsidRPr="00450177" w:rsidRDefault="00BB0E36" w:rsidP="00BB0E36">
            <w:pPr>
              <w:pStyle w:val="ListParagraph"/>
              <w:numPr>
                <w:ilvl w:val="0"/>
                <w:numId w:val="48"/>
              </w:numPr>
              <w:spacing w:before="160"/>
            </w:pPr>
            <w:r w:rsidRPr="00450177">
              <w:t xml:space="preserve">block-funding expenditure amounts </w:t>
            </w:r>
            <w:r w:rsidR="004A725E" w:rsidRPr="00450177">
              <w:t xml:space="preserve">required to determine </w:t>
            </w:r>
            <w:r w:rsidRPr="00450177">
              <w:t>the National Efficient Cost</w:t>
            </w:r>
          </w:p>
          <w:p w14:paraId="6CFAA6DD" w14:textId="728FD84C" w:rsidR="00BB0E36" w:rsidRPr="00450177" w:rsidRDefault="004A725E" w:rsidP="00BB0E36">
            <w:pPr>
              <w:pStyle w:val="ListParagraph"/>
              <w:numPr>
                <w:ilvl w:val="0"/>
                <w:numId w:val="48"/>
              </w:numPr>
              <w:spacing w:before="160"/>
            </w:pPr>
            <w:r w:rsidRPr="00450177">
              <w:t xml:space="preserve">proposed expenditure amounts required to </w:t>
            </w:r>
            <w:r w:rsidR="00BB0E36" w:rsidRPr="00450177">
              <w:t xml:space="preserve">assess innovative models of care and innovative funding </w:t>
            </w:r>
            <w:proofErr w:type="gramStart"/>
            <w:r w:rsidR="00BB0E36" w:rsidRPr="00450177">
              <w:t>models</w:t>
            </w:r>
            <w:proofErr w:type="gramEnd"/>
          </w:p>
          <w:p w14:paraId="5D2DB213" w14:textId="73BDBEEC" w:rsidR="00BB0E36" w:rsidRPr="00450177" w:rsidRDefault="00BB0E36" w:rsidP="00BB0E36">
            <w:pPr>
              <w:pStyle w:val="ListParagraph"/>
              <w:numPr>
                <w:ilvl w:val="0"/>
                <w:numId w:val="48"/>
              </w:numPr>
              <w:spacing w:before="160"/>
            </w:pPr>
            <w:r w:rsidRPr="00450177">
              <w:t xml:space="preserve">aged care </w:t>
            </w:r>
            <w:r w:rsidR="004A725E" w:rsidRPr="00450177">
              <w:t xml:space="preserve">data required to develop residential aged care </w:t>
            </w:r>
            <w:r w:rsidRPr="00450177">
              <w:t>costing and pricing advice.</w:t>
            </w:r>
          </w:p>
        </w:tc>
      </w:tr>
      <w:tr w:rsidR="00BB0E36" w:rsidRPr="00436AC4" w14:paraId="75E04310" w14:textId="77777777" w:rsidTr="007B11FA">
        <w:tc>
          <w:tcPr>
            <w:tcW w:w="2235" w:type="dxa"/>
          </w:tcPr>
          <w:p w14:paraId="50F8E68E" w14:textId="34BCE04C" w:rsidR="00BB0E36" w:rsidRPr="00436AC4" w:rsidRDefault="00BB0E36" w:rsidP="00BB0E36">
            <w:pPr>
              <w:spacing w:before="160"/>
              <w:rPr>
                <w:rFonts w:cs="Arial"/>
                <w:b/>
              </w:rPr>
            </w:pPr>
            <w:r w:rsidRPr="00436AC4">
              <w:rPr>
                <w:rFonts w:cs="Arial"/>
                <w:b/>
              </w:rPr>
              <w:t>IHACPA representatives</w:t>
            </w:r>
          </w:p>
        </w:tc>
        <w:tc>
          <w:tcPr>
            <w:tcW w:w="7229" w:type="dxa"/>
          </w:tcPr>
          <w:p w14:paraId="77B1AA54" w14:textId="61EE1DB4" w:rsidR="00BB0E36" w:rsidRPr="00436AC4" w:rsidRDefault="00BB0E36" w:rsidP="00BB0E36">
            <w:pPr>
              <w:spacing w:before="160"/>
            </w:pPr>
            <w:r w:rsidRPr="00436AC4">
              <w:t>The Chief Executive Officer of IHACPA, members of the Pricing Authority, IHACPA staff, contractors and consultants.</w:t>
            </w:r>
          </w:p>
        </w:tc>
      </w:tr>
      <w:tr w:rsidR="00BB0E36" w:rsidRPr="00436AC4" w14:paraId="608DABCE" w14:textId="77777777" w:rsidTr="007B11FA">
        <w:tc>
          <w:tcPr>
            <w:tcW w:w="2235" w:type="dxa"/>
          </w:tcPr>
          <w:p w14:paraId="39C9DE6F" w14:textId="68FE72DA" w:rsidR="00BB0E36" w:rsidRPr="00436AC4" w:rsidRDefault="00BB0E36" w:rsidP="00BB0E36">
            <w:pPr>
              <w:spacing w:before="160"/>
              <w:rPr>
                <w:rFonts w:cs="Arial"/>
                <w:b/>
              </w:rPr>
            </w:pPr>
            <w:r w:rsidRPr="00436AC4">
              <w:rPr>
                <w:rFonts w:cs="Arial"/>
                <w:b/>
              </w:rPr>
              <w:t>Jurisdictions</w:t>
            </w:r>
          </w:p>
        </w:tc>
        <w:tc>
          <w:tcPr>
            <w:tcW w:w="7229" w:type="dxa"/>
          </w:tcPr>
          <w:p w14:paraId="1067289C" w14:textId="23CF95A7" w:rsidR="00BB0E36" w:rsidRPr="00436AC4" w:rsidRDefault="00BB0E36" w:rsidP="00BB0E36">
            <w:pPr>
              <w:spacing w:before="160"/>
            </w:pPr>
            <w:r w:rsidRPr="00436AC4">
              <w:rPr>
                <w:rFonts w:cs="Arial"/>
                <w:lang w:val="en-AU"/>
              </w:rPr>
              <w:t>The Commonwealth and states and territories.</w:t>
            </w:r>
          </w:p>
        </w:tc>
      </w:tr>
      <w:tr w:rsidR="00BB0E36" w:rsidRPr="00436AC4" w14:paraId="4BEFE03F" w14:textId="77777777" w:rsidTr="007B11FA">
        <w:tc>
          <w:tcPr>
            <w:tcW w:w="2235" w:type="dxa"/>
          </w:tcPr>
          <w:p w14:paraId="3779A20B" w14:textId="77777777" w:rsidR="00BB0E36" w:rsidRPr="00436AC4" w:rsidRDefault="00BB0E36" w:rsidP="00BB0E36">
            <w:pPr>
              <w:spacing w:before="160"/>
              <w:rPr>
                <w:rFonts w:cs="Arial"/>
                <w:b/>
              </w:rPr>
            </w:pPr>
            <w:r w:rsidRPr="00436AC4">
              <w:rPr>
                <w:rFonts w:cs="Arial"/>
                <w:b/>
              </w:rPr>
              <w:t>Pricing Authority</w:t>
            </w:r>
          </w:p>
        </w:tc>
        <w:tc>
          <w:tcPr>
            <w:tcW w:w="7229" w:type="dxa"/>
          </w:tcPr>
          <w:p w14:paraId="504A42C2" w14:textId="72C4EC98" w:rsidR="00BB0E36" w:rsidRPr="00436AC4" w:rsidRDefault="00BB0E36" w:rsidP="00BB0E36">
            <w:pPr>
              <w:spacing w:before="160"/>
            </w:pPr>
            <w:r w:rsidRPr="00436AC4">
              <w:t xml:space="preserve">The governing body of IHACPA established under the </w:t>
            </w:r>
            <w:r w:rsidRPr="00436AC4">
              <w:rPr>
                <w:i/>
              </w:rPr>
              <w:t xml:space="preserve">National Health Reform Act 2011 </w:t>
            </w:r>
            <w:r w:rsidRPr="00436AC4">
              <w:t>(Cwlth).</w:t>
            </w:r>
          </w:p>
        </w:tc>
      </w:tr>
    </w:tbl>
    <w:p w14:paraId="1C37778E" w14:textId="46033FBE" w:rsidR="0056645F" w:rsidRPr="00436AC4" w:rsidRDefault="0056645F" w:rsidP="00BF41F8">
      <w:pPr>
        <w:rPr>
          <w:rFonts w:cs="Arial"/>
          <w:lang w:val="en-AU"/>
        </w:rPr>
      </w:pPr>
    </w:p>
    <w:p w14:paraId="05B12FDF" w14:textId="77777777" w:rsidR="0056645F" w:rsidRPr="00436AC4" w:rsidRDefault="0056645F">
      <w:pPr>
        <w:spacing w:line="259" w:lineRule="auto"/>
        <w:rPr>
          <w:rFonts w:cs="Arial"/>
          <w:lang w:val="en-AU"/>
        </w:rPr>
      </w:pPr>
      <w:r w:rsidRPr="00436AC4">
        <w:rPr>
          <w:rFonts w:cs="Arial"/>
          <w:lang w:val="en-AU"/>
        </w:rPr>
        <w:br w:type="page"/>
      </w:r>
    </w:p>
    <w:p w14:paraId="38B1A695" w14:textId="0AD27DCE" w:rsidR="009721F9" w:rsidRPr="00436AC4" w:rsidRDefault="00BF41F8" w:rsidP="0056645F">
      <w:pPr>
        <w:pStyle w:val="Heading1"/>
      </w:pPr>
      <w:bookmarkStart w:id="13" w:name="_Toc116641562"/>
      <w:r w:rsidRPr="00436AC4">
        <w:lastRenderedPageBreak/>
        <w:t>Executive summary</w:t>
      </w:r>
      <w:bookmarkEnd w:id="13"/>
    </w:p>
    <w:p w14:paraId="28741C29" w14:textId="18B9B045" w:rsidR="0013544E" w:rsidRPr="00436AC4" w:rsidRDefault="00BF41F8" w:rsidP="0013544E">
      <w:pPr>
        <w:pStyle w:val="Heading2"/>
        <w:rPr>
          <w:rFonts w:cs="Arial"/>
        </w:rPr>
      </w:pPr>
      <w:r w:rsidRPr="00436AC4">
        <w:rPr>
          <w:rFonts w:cs="Arial"/>
        </w:rPr>
        <w:t>Background</w:t>
      </w:r>
    </w:p>
    <w:p w14:paraId="61FFA9F7" w14:textId="602D0BDB" w:rsidR="00622139" w:rsidRPr="00436AC4" w:rsidRDefault="00622139" w:rsidP="00622139">
      <w:pPr>
        <w:rPr>
          <w:rFonts w:cs="Arial"/>
          <w:lang w:val="en-AU"/>
        </w:rPr>
      </w:pPr>
      <w:r w:rsidRPr="00436AC4">
        <w:rPr>
          <w:rFonts w:cs="Arial"/>
          <w:lang w:val="en-AU"/>
        </w:rPr>
        <w:t xml:space="preserve">The </w:t>
      </w:r>
      <w:r w:rsidRPr="00436AC4">
        <w:rPr>
          <w:i/>
        </w:rPr>
        <w:t xml:space="preserve">National Health Reform Act 2011 </w:t>
      </w:r>
      <w:r w:rsidRPr="00436AC4">
        <w:t xml:space="preserve">(Cwlth) (the NHR Act) and the </w:t>
      </w:r>
      <w:r w:rsidRPr="00436AC4">
        <w:rPr>
          <w:rFonts w:cs="Arial"/>
          <w:lang w:val="en-AU"/>
        </w:rPr>
        <w:t>Addendum to the National Health Reform Agreement 2020–25 (the Addendum) outline the Independent Health and Aged Care Pricing Authority’s (IHACPA) functions</w:t>
      </w:r>
      <w:r w:rsidR="00C779D0" w:rsidRPr="00436AC4">
        <w:rPr>
          <w:rFonts w:cs="Arial"/>
          <w:lang w:val="en-AU"/>
        </w:rPr>
        <w:t xml:space="preserve"> as they relate to public hospital</w:t>
      </w:r>
      <w:r w:rsidR="006325D6" w:rsidRPr="00436AC4">
        <w:rPr>
          <w:rFonts w:cs="Arial"/>
          <w:lang w:val="en-AU"/>
        </w:rPr>
        <w:t xml:space="preserve"> services, health care pricing or costing matters</w:t>
      </w:r>
      <w:r w:rsidR="000725E4" w:rsidRPr="00436AC4">
        <w:rPr>
          <w:rFonts w:cs="Arial"/>
          <w:lang w:val="en-AU"/>
        </w:rPr>
        <w:t xml:space="preserve"> and aged care services</w:t>
      </w:r>
      <w:r w:rsidR="006325D6" w:rsidRPr="00436AC4">
        <w:rPr>
          <w:rFonts w:cs="Arial"/>
          <w:lang w:val="en-AU"/>
        </w:rPr>
        <w:t>.</w:t>
      </w:r>
      <w:r w:rsidRPr="00436AC4">
        <w:rPr>
          <w:rFonts w:cs="Arial"/>
          <w:lang w:val="en-AU"/>
        </w:rPr>
        <w:t xml:space="preserve"> </w:t>
      </w:r>
      <w:r w:rsidR="006325D6" w:rsidRPr="00436AC4">
        <w:rPr>
          <w:rFonts w:cs="Arial"/>
          <w:lang w:val="en-AU"/>
        </w:rPr>
        <w:t xml:space="preserve">These </w:t>
      </w:r>
      <w:r w:rsidRPr="00436AC4">
        <w:rPr>
          <w:rFonts w:cs="Arial"/>
          <w:lang w:val="en-AU"/>
        </w:rPr>
        <w:t>includ</w:t>
      </w:r>
      <w:r w:rsidR="006325D6" w:rsidRPr="00436AC4">
        <w:rPr>
          <w:rFonts w:cs="Arial"/>
          <w:lang w:val="en-AU"/>
        </w:rPr>
        <w:t>e</w:t>
      </w:r>
      <w:r w:rsidRPr="00436AC4">
        <w:rPr>
          <w:rFonts w:cs="Arial"/>
          <w:lang w:val="en-AU"/>
        </w:rPr>
        <w:t xml:space="preserve"> determining the national efficient price (NEP) and national efficient cost (NEC) for public hospital services, developing projections of the NEP for a four year period on an annual basis and </w:t>
      </w:r>
      <w:r w:rsidR="00C779D0" w:rsidRPr="00436AC4">
        <w:rPr>
          <w:rFonts w:cs="Arial"/>
          <w:lang w:val="en-AU"/>
        </w:rPr>
        <w:t xml:space="preserve">providing </w:t>
      </w:r>
      <w:r w:rsidRPr="00436AC4">
        <w:rPr>
          <w:rFonts w:cs="Arial"/>
          <w:lang w:val="en-AU"/>
        </w:rPr>
        <w:t>confidential reports on these projections to the jurisdictions</w:t>
      </w:r>
      <w:r w:rsidR="000725E4" w:rsidRPr="00436AC4">
        <w:rPr>
          <w:rFonts w:cs="Arial"/>
          <w:lang w:val="en-AU"/>
        </w:rPr>
        <w:t xml:space="preserve">, and the provision of advice on </w:t>
      </w:r>
      <w:r w:rsidR="006325D6" w:rsidRPr="00436AC4">
        <w:rPr>
          <w:rFonts w:cs="Arial"/>
          <w:lang w:val="en-AU"/>
        </w:rPr>
        <w:t xml:space="preserve">health care pricing and </w:t>
      </w:r>
      <w:r w:rsidR="000725E4" w:rsidRPr="00436AC4">
        <w:rPr>
          <w:rFonts w:cs="Arial"/>
          <w:lang w:val="en-AU"/>
        </w:rPr>
        <w:t>aged care pricing</w:t>
      </w:r>
      <w:r w:rsidR="007F1699" w:rsidRPr="00436AC4">
        <w:rPr>
          <w:rFonts w:cs="Arial"/>
          <w:lang w:val="en-AU"/>
        </w:rPr>
        <w:t xml:space="preserve"> and costing</w:t>
      </w:r>
      <w:r w:rsidRPr="00436AC4">
        <w:rPr>
          <w:rFonts w:cs="Arial"/>
          <w:lang w:val="en-AU"/>
        </w:rPr>
        <w:t xml:space="preserve">. To undertake </w:t>
      </w:r>
      <w:r w:rsidR="00AB5FB9" w:rsidRPr="00436AC4">
        <w:rPr>
          <w:rFonts w:cs="Arial"/>
          <w:lang w:val="en-AU"/>
        </w:rPr>
        <w:t xml:space="preserve">these </w:t>
      </w:r>
      <w:r w:rsidRPr="00436AC4">
        <w:rPr>
          <w:rFonts w:cs="Arial"/>
          <w:lang w:val="en-AU"/>
        </w:rPr>
        <w:t>functions, IH</w:t>
      </w:r>
      <w:r w:rsidR="00C779D0" w:rsidRPr="00436AC4">
        <w:rPr>
          <w:rFonts w:cs="Arial"/>
          <w:lang w:val="en-AU"/>
        </w:rPr>
        <w:t>AC</w:t>
      </w:r>
      <w:r w:rsidRPr="00436AC4">
        <w:rPr>
          <w:rFonts w:cs="Arial"/>
          <w:lang w:val="en-AU"/>
        </w:rPr>
        <w:t>PA relies on the provision of confidential jurisdictional information from the Commonwealth and states and territories.</w:t>
      </w:r>
    </w:p>
    <w:p w14:paraId="28284113" w14:textId="7A9C96E1" w:rsidR="00622139" w:rsidRPr="00436AC4" w:rsidRDefault="00622139" w:rsidP="00622139">
      <w:pPr>
        <w:rPr>
          <w:rFonts w:cs="Arial"/>
          <w:lang w:val="en-AU"/>
        </w:rPr>
      </w:pPr>
      <w:r w:rsidRPr="00436AC4">
        <w:rPr>
          <w:rFonts w:cs="Arial"/>
          <w:lang w:val="en-AU"/>
        </w:rPr>
        <w:t>Clauses B66–B81 of the Addendum stipulate that IH</w:t>
      </w:r>
      <w:r w:rsidR="00C779D0" w:rsidRPr="00436AC4">
        <w:rPr>
          <w:rFonts w:cs="Arial"/>
          <w:lang w:val="en-AU"/>
        </w:rPr>
        <w:t>AC</w:t>
      </w:r>
      <w:r w:rsidRPr="00436AC4">
        <w:rPr>
          <w:rFonts w:cs="Arial"/>
          <w:lang w:val="en-AU"/>
        </w:rPr>
        <w:t>PA will develop rolling three year data plans to indicate its future data needs, and that jurisdictions must provide IH</w:t>
      </w:r>
      <w:r w:rsidR="00C779D0" w:rsidRPr="00436AC4">
        <w:rPr>
          <w:rFonts w:cs="Arial"/>
          <w:lang w:val="en-AU"/>
        </w:rPr>
        <w:t>AC</w:t>
      </w:r>
      <w:r w:rsidRPr="00436AC4">
        <w:rPr>
          <w:rFonts w:cs="Arial"/>
          <w:lang w:val="en-AU"/>
        </w:rPr>
        <w:t>PA with the data required to carry out its functions in accordance with its data plans.</w:t>
      </w:r>
    </w:p>
    <w:p w14:paraId="662F7310" w14:textId="77777777" w:rsidR="006325D6" w:rsidRPr="00436AC4" w:rsidRDefault="00622139" w:rsidP="00622139">
      <w:pPr>
        <w:rPr>
          <w:rFonts w:cs="Arial"/>
          <w:lang w:val="en-AU"/>
        </w:rPr>
      </w:pPr>
      <w:r w:rsidRPr="00436AC4">
        <w:rPr>
          <w:rFonts w:cs="Arial"/>
          <w:lang w:val="en-AU"/>
        </w:rPr>
        <w:t>IH</w:t>
      </w:r>
      <w:r w:rsidR="00C779D0" w:rsidRPr="00436AC4">
        <w:rPr>
          <w:rFonts w:cs="Arial"/>
          <w:lang w:val="en-AU"/>
        </w:rPr>
        <w:t>AC</w:t>
      </w:r>
      <w:r w:rsidRPr="00436AC4">
        <w:rPr>
          <w:rFonts w:cs="Arial"/>
          <w:lang w:val="en-AU"/>
        </w:rPr>
        <w:t>PA has a comprehensive approach to data and information protection informed by national and international standards and best practice, and advances in technology. This approach ensures</w:t>
      </w:r>
      <w:r w:rsidR="006325D6" w:rsidRPr="00436AC4">
        <w:rPr>
          <w:rFonts w:cs="Arial"/>
          <w:lang w:val="en-AU"/>
        </w:rPr>
        <w:t>:</w:t>
      </w:r>
    </w:p>
    <w:p w14:paraId="643D122E" w14:textId="77777777" w:rsidR="006325D6" w:rsidRPr="00436AC4" w:rsidRDefault="00622139" w:rsidP="000166A0">
      <w:pPr>
        <w:pStyle w:val="ListParagraph"/>
        <w:numPr>
          <w:ilvl w:val="0"/>
          <w:numId w:val="47"/>
        </w:numPr>
        <w:rPr>
          <w:rFonts w:cs="Arial"/>
          <w:lang w:val="en-AU"/>
        </w:rPr>
      </w:pPr>
      <w:r w:rsidRPr="00436AC4">
        <w:rPr>
          <w:rFonts w:cs="Arial"/>
          <w:lang w:val="en-AU"/>
        </w:rPr>
        <w:t xml:space="preserve">compliance with legislation and contractual arrangements </w:t>
      </w:r>
    </w:p>
    <w:p w14:paraId="4B69935B" w14:textId="3F912EB0" w:rsidR="006325D6" w:rsidRPr="00450177" w:rsidRDefault="00622139" w:rsidP="000166A0">
      <w:pPr>
        <w:pStyle w:val="ListParagraph"/>
        <w:numPr>
          <w:ilvl w:val="0"/>
          <w:numId w:val="47"/>
        </w:numPr>
        <w:rPr>
          <w:rFonts w:cs="Arial"/>
          <w:lang w:val="en-AU"/>
        </w:rPr>
      </w:pPr>
      <w:r w:rsidRPr="00450177">
        <w:rPr>
          <w:rFonts w:cs="Arial"/>
          <w:lang w:val="en-AU"/>
        </w:rPr>
        <w:t xml:space="preserve">that personnel are screened and </w:t>
      </w:r>
      <w:proofErr w:type="gramStart"/>
      <w:r w:rsidRPr="00450177">
        <w:rPr>
          <w:rFonts w:cs="Arial"/>
          <w:lang w:val="en-AU"/>
        </w:rPr>
        <w:t>trained</w:t>
      </w:r>
      <w:proofErr w:type="gramEnd"/>
      <w:r w:rsidRPr="00450177">
        <w:rPr>
          <w:rFonts w:cs="Arial"/>
          <w:lang w:val="en-AU"/>
        </w:rPr>
        <w:t xml:space="preserve"> </w:t>
      </w:r>
    </w:p>
    <w:p w14:paraId="36850185" w14:textId="335DC7C7" w:rsidR="006325D6" w:rsidRPr="00450177" w:rsidRDefault="00622139" w:rsidP="000166A0">
      <w:pPr>
        <w:pStyle w:val="ListParagraph"/>
        <w:numPr>
          <w:ilvl w:val="0"/>
          <w:numId w:val="47"/>
        </w:numPr>
        <w:rPr>
          <w:rFonts w:cs="Arial"/>
          <w:lang w:val="en-AU"/>
        </w:rPr>
      </w:pPr>
      <w:r w:rsidRPr="00450177">
        <w:rPr>
          <w:rFonts w:cs="Arial"/>
          <w:lang w:val="en-AU"/>
        </w:rPr>
        <w:t xml:space="preserve">processes </w:t>
      </w:r>
      <w:r w:rsidR="000A637B" w:rsidRPr="00450177">
        <w:rPr>
          <w:rFonts w:cs="Arial"/>
          <w:lang w:val="en-AU"/>
        </w:rPr>
        <w:t>and analysis methods a</w:t>
      </w:r>
      <w:r w:rsidR="00B4468B" w:rsidRPr="00450177">
        <w:rPr>
          <w:rFonts w:cs="Arial"/>
          <w:lang w:val="en-AU"/>
        </w:rPr>
        <w:t>re</w:t>
      </w:r>
      <w:r w:rsidR="000A637B" w:rsidRPr="00450177">
        <w:rPr>
          <w:rFonts w:cs="Arial"/>
          <w:lang w:val="en-AU"/>
        </w:rPr>
        <w:t xml:space="preserve"> </w:t>
      </w:r>
      <w:proofErr w:type="gramStart"/>
      <w:r w:rsidR="000A637B" w:rsidRPr="00450177">
        <w:rPr>
          <w:rFonts w:cs="Arial"/>
          <w:lang w:val="en-AU"/>
        </w:rPr>
        <w:t>robust</w:t>
      </w:r>
      <w:proofErr w:type="gramEnd"/>
    </w:p>
    <w:p w14:paraId="62AF3BDE" w14:textId="5861A820" w:rsidR="006325D6" w:rsidRPr="00B36103" w:rsidRDefault="00622139" w:rsidP="006A0FFE">
      <w:pPr>
        <w:pStyle w:val="ListParagraph"/>
        <w:numPr>
          <w:ilvl w:val="0"/>
          <w:numId w:val="47"/>
        </w:numPr>
        <w:rPr>
          <w:rFonts w:cs="Arial"/>
          <w:lang w:val="en-AU"/>
        </w:rPr>
      </w:pPr>
      <w:r w:rsidRPr="00450177">
        <w:rPr>
          <w:rFonts w:cs="Arial"/>
          <w:lang w:val="en-AU"/>
        </w:rPr>
        <w:t>data and information management</w:t>
      </w:r>
      <w:r w:rsidRPr="00B36103">
        <w:rPr>
          <w:rFonts w:cs="Arial"/>
          <w:lang w:val="en-AU"/>
        </w:rPr>
        <w:t xml:space="preserve"> </w:t>
      </w:r>
      <w:proofErr w:type="gramStart"/>
      <w:r w:rsidRPr="00B36103">
        <w:rPr>
          <w:rFonts w:cs="Arial"/>
          <w:lang w:val="en-AU"/>
        </w:rPr>
        <w:t>is</w:t>
      </w:r>
      <w:proofErr w:type="gramEnd"/>
      <w:r w:rsidRPr="00B36103">
        <w:rPr>
          <w:rFonts w:cs="Arial"/>
          <w:lang w:val="en-AU"/>
        </w:rPr>
        <w:t xml:space="preserve"> safe and secure</w:t>
      </w:r>
    </w:p>
    <w:p w14:paraId="3678180B" w14:textId="357BC332" w:rsidR="006325D6" w:rsidRPr="00436AC4" w:rsidRDefault="00622139" w:rsidP="000166A0">
      <w:pPr>
        <w:pStyle w:val="ListParagraph"/>
        <w:numPr>
          <w:ilvl w:val="0"/>
          <w:numId w:val="47"/>
        </w:numPr>
        <w:rPr>
          <w:rFonts w:cs="Arial"/>
          <w:lang w:val="en-AU"/>
        </w:rPr>
      </w:pPr>
      <w:r w:rsidRPr="00436AC4">
        <w:rPr>
          <w:rFonts w:cs="Arial"/>
          <w:lang w:val="en-AU"/>
        </w:rPr>
        <w:t xml:space="preserve">de-identified data is used within the scope of the legislative </w:t>
      </w:r>
      <w:proofErr w:type="gramStart"/>
      <w:r w:rsidRPr="00436AC4">
        <w:rPr>
          <w:rFonts w:cs="Arial"/>
          <w:lang w:val="en-AU"/>
        </w:rPr>
        <w:t>requirements</w:t>
      </w:r>
      <w:proofErr w:type="gramEnd"/>
    </w:p>
    <w:p w14:paraId="5F256FE4" w14:textId="67FC1A65" w:rsidR="006325D6" w:rsidRPr="00436AC4" w:rsidRDefault="00622139" w:rsidP="000166A0">
      <w:pPr>
        <w:pStyle w:val="ListParagraph"/>
        <w:numPr>
          <w:ilvl w:val="0"/>
          <w:numId w:val="47"/>
        </w:numPr>
        <w:rPr>
          <w:rFonts w:cs="Arial"/>
          <w:lang w:val="en-AU"/>
        </w:rPr>
      </w:pPr>
      <w:r w:rsidRPr="00436AC4">
        <w:rPr>
          <w:rFonts w:cs="Arial"/>
          <w:lang w:val="en-AU"/>
        </w:rPr>
        <w:t xml:space="preserve">output is safe. </w:t>
      </w:r>
    </w:p>
    <w:p w14:paraId="2B552F4D" w14:textId="6ADDEEF7" w:rsidR="00622139" w:rsidRPr="00436AC4" w:rsidRDefault="00622139" w:rsidP="006325D6">
      <w:pPr>
        <w:rPr>
          <w:rFonts w:cs="Arial"/>
          <w:lang w:val="en-AU"/>
        </w:rPr>
      </w:pPr>
      <w:r w:rsidRPr="00436AC4">
        <w:rPr>
          <w:rFonts w:cs="Arial"/>
          <w:lang w:val="en-AU"/>
        </w:rPr>
        <w:t>Based on this approach, IH</w:t>
      </w:r>
      <w:r w:rsidR="00C779D0" w:rsidRPr="00436AC4">
        <w:rPr>
          <w:rFonts w:cs="Arial"/>
          <w:lang w:val="en-AU"/>
        </w:rPr>
        <w:t>AC</w:t>
      </w:r>
      <w:r w:rsidRPr="00436AC4">
        <w:rPr>
          <w:rFonts w:cs="Arial"/>
          <w:lang w:val="en-AU"/>
        </w:rPr>
        <w:t>PA has developed a system of continuously updating and improving safeguards to protect information and to meet evolving organisational and technical demands.</w:t>
      </w:r>
    </w:p>
    <w:p w14:paraId="161DF66B" w14:textId="1623755D" w:rsidR="00030FD6" w:rsidRPr="00436AC4" w:rsidRDefault="00622139" w:rsidP="00622139">
      <w:pPr>
        <w:rPr>
          <w:rFonts w:cs="Arial"/>
          <w:lang w:val="en-AU"/>
        </w:rPr>
      </w:pPr>
      <w:r w:rsidRPr="00436AC4">
        <w:rPr>
          <w:rFonts w:cs="Arial"/>
          <w:lang w:val="en-AU"/>
        </w:rPr>
        <w:t>Confidential jurisdictional information provided to IH</w:t>
      </w:r>
      <w:r w:rsidR="00C779D0" w:rsidRPr="00436AC4">
        <w:rPr>
          <w:rFonts w:cs="Arial"/>
          <w:lang w:val="en-AU"/>
        </w:rPr>
        <w:t>AC</w:t>
      </w:r>
      <w:r w:rsidRPr="00436AC4">
        <w:rPr>
          <w:rFonts w:cs="Arial"/>
          <w:lang w:val="en-AU"/>
        </w:rPr>
        <w:t xml:space="preserve">PA is protected by provisions in Australian legislation and frameworks, policies and contracts. Legislative protections include </w:t>
      </w:r>
      <w:r w:rsidR="00030FD6" w:rsidRPr="00436AC4">
        <w:rPr>
          <w:rFonts w:cs="Arial"/>
          <w:lang w:val="en-AU"/>
        </w:rPr>
        <w:t>the:</w:t>
      </w:r>
    </w:p>
    <w:p w14:paraId="58A27360" w14:textId="55F8BB0A" w:rsidR="00030FD6" w:rsidRPr="00436AC4" w:rsidRDefault="00622139" w:rsidP="000166A0">
      <w:pPr>
        <w:pStyle w:val="ListParagraph"/>
        <w:numPr>
          <w:ilvl w:val="0"/>
          <w:numId w:val="47"/>
        </w:numPr>
        <w:rPr>
          <w:rFonts w:cs="Arial"/>
          <w:lang w:val="en-AU"/>
        </w:rPr>
      </w:pPr>
      <w:proofErr w:type="spellStart"/>
      <w:r w:rsidRPr="00436AC4">
        <w:rPr>
          <w:rFonts w:cs="Arial"/>
          <w:lang w:val="en-AU"/>
        </w:rPr>
        <w:t>NHR</w:t>
      </w:r>
      <w:proofErr w:type="spellEnd"/>
      <w:r w:rsidRPr="00436AC4">
        <w:rPr>
          <w:rFonts w:cs="Arial"/>
          <w:lang w:val="en-AU"/>
        </w:rPr>
        <w:t xml:space="preserve"> Act</w:t>
      </w:r>
    </w:p>
    <w:p w14:paraId="09DFB063" w14:textId="3945F2F3" w:rsidR="00030FD6" w:rsidRPr="00436AC4" w:rsidRDefault="00622139" w:rsidP="000166A0">
      <w:pPr>
        <w:pStyle w:val="ListParagraph"/>
        <w:numPr>
          <w:ilvl w:val="0"/>
          <w:numId w:val="47"/>
        </w:numPr>
        <w:rPr>
          <w:rFonts w:cs="Arial"/>
          <w:lang w:val="en-AU"/>
        </w:rPr>
      </w:pPr>
      <w:r w:rsidRPr="00436AC4">
        <w:rPr>
          <w:rFonts w:cs="Arial"/>
          <w:lang w:val="en-AU"/>
        </w:rPr>
        <w:t>Addendum</w:t>
      </w:r>
    </w:p>
    <w:p w14:paraId="5D1117AE" w14:textId="4B863502" w:rsidR="00030FD6" w:rsidRPr="00436AC4" w:rsidRDefault="000725E4" w:rsidP="000166A0">
      <w:pPr>
        <w:pStyle w:val="ListParagraph"/>
        <w:numPr>
          <w:ilvl w:val="0"/>
          <w:numId w:val="47"/>
        </w:numPr>
        <w:rPr>
          <w:rFonts w:cs="Arial"/>
          <w:lang w:val="en-AU"/>
        </w:rPr>
      </w:pPr>
      <w:r w:rsidRPr="00436AC4">
        <w:rPr>
          <w:rFonts w:cs="Arial"/>
          <w:i/>
          <w:iCs/>
          <w:lang w:val="en-AU"/>
        </w:rPr>
        <w:t>Aged Care Act 1997</w:t>
      </w:r>
      <w:r w:rsidRPr="00436AC4">
        <w:rPr>
          <w:rFonts w:cs="Arial"/>
          <w:lang w:val="en-AU"/>
        </w:rPr>
        <w:t xml:space="preserve"> (Cwlth)</w:t>
      </w:r>
    </w:p>
    <w:p w14:paraId="519FBE3A" w14:textId="76AC7AAB" w:rsidR="00030FD6" w:rsidRPr="00436AC4" w:rsidRDefault="00622139" w:rsidP="000166A0">
      <w:pPr>
        <w:pStyle w:val="ListParagraph"/>
        <w:numPr>
          <w:ilvl w:val="0"/>
          <w:numId w:val="47"/>
        </w:numPr>
        <w:rPr>
          <w:rFonts w:cs="Arial"/>
          <w:lang w:val="en-AU"/>
        </w:rPr>
      </w:pPr>
      <w:r w:rsidRPr="00436AC4">
        <w:rPr>
          <w:rFonts w:cs="Arial"/>
          <w:i/>
          <w:iCs/>
          <w:lang w:val="en-AU"/>
        </w:rPr>
        <w:t>Public Governance Performance and Accountability Act 2013</w:t>
      </w:r>
      <w:r w:rsidRPr="00436AC4">
        <w:rPr>
          <w:rFonts w:cs="Arial"/>
          <w:lang w:val="en-AU"/>
        </w:rPr>
        <w:t xml:space="preserve"> (Cwlth)</w:t>
      </w:r>
    </w:p>
    <w:p w14:paraId="37D6EEC1" w14:textId="51EAF65E" w:rsidR="00030FD6" w:rsidRPr="00436AC4" w:rsidRDefault="00622139" w:rsidP="000166A0">
      <w:pPr>
        <w:pStyle w:val="ListParagraph"/>
        <w:numPr>
          <w:ilvl w:val="0"/>
          <w:numId w:val="47"/>
        </w:numPr>
        <w:rPr>
          <w:rFonts w:cs="Arial"/>
          <w:lang w:val="en-AU"/>
        </w:rPr>
      </w:pPr>
      <w:r w:rsidRPr="00436AC4">
        <w:rPr>
          <w:rFonts w:cs="Arial"/>
          <w:i/>
          <w:iCs/>
          <w:lang w:val="en-AU"/>
        </w:rPr>
        <w:t>Archives Act 1983</w:t>
      </w:r>
      <w:r w:rsidRPr="00436AC4">
        <w:rPr>
          <w:rFonts w:cs="Arial"/>
          <w:lang w:val="en-AU"/>
        </w:rPr>
        <w:t xml:space="preserve"> (Cwlth)</w:t>
      </w:r>
    </w:p>
    <w:p w14:paraId="124B0BD0" w14:textId="3DFA64EA" w:rsidR="00030FD6" w:rsidRPr="00436AC4" w:rsidRDefault="00622139" w:rsidP="000166A0">
      <w:pPr>
        <w:pStyle w:val="ListParagraph"/>
        <w:numPr>
          <w:ilvl w:val="0"/>
          <w:numId w:val="47"/>
        </w:numPr>
        <w:rPr>
          <w:rFonts w:cs="Arial"/>
          <w:lang w:val="en-AU"/>
        </w:rPr>
      </w:pPr>
      <w:r w:rsidRPr="00436AC4">
        <w:rPr>
          <w:rFonts w:cs="Arial"/>
          <w:i/>
          <w:iCs/>
          <w:lang w:val="en-AU"/>
        </w:rPr>
        <w:t>Privacy Act 1988</w:t>
      </w:r>
      <w:r w:rsidRPr="00436AC4">
        <w:rPr>
          <w:rFonts w:cs="Arial"/>
          <w:lang w:val="en-AU"/>
        </w:rPr>
        <w:t xml:space="preserve"> (Cwlth)</w:t>
      </w:r>
    </w:p>
    <w:p w14:paraId="54E6254A" w14:textId="49FE4D02" w:rsidR="00030FD6" w:rsidRPr="00436AC4" w:rsidRDefault="00E4743A" w:rsidP="000166A0">
      <w:pPr>
        <w:pStyle w:val="ListParagraph"/>
        <w:numPr>
          <w:ilvl w:val="0"/>
          <w:numId w:val="47"/>
        </w:numPr>
        <w:rPr>
          <w:rFonts w:cs="Arial"/>
          <w:lang w:val="en-AU"/>
        </w:rPr>
      </w:pPr>
      <w:r w:rsidRPr="00436AC4">
        <w:rPr>
          <w:rFonts w:cs="Arial"/>
          <w:i/>
          <w:iCs/>
          <w:lang w:val="en-AU"/>
        </w:rPr>
        <w:t xml:space="preserve">Data Availability and Transparency Act 2022 </w:t>
      </w:r>
      <w:r w:rsidRPr="00436AC4">
        <w:rPr>
          <w:rFonts w:cs="Arial"/>
          <w:lang w:val="en-AU"/>
        </w:rPr>
        <w:t>(Cwlth)</w:t>
      </w:r>
    </w:p>
    <w:p w14:paraId="335997F8" w14:textId="57E0E537" w:rsidR="00030FD6" w:rsidRPr="00436AC4" w:rsidRDefault="007D66F0" w:rsidP="000166A0">
      <w:pPr>
        <w:pStyle w:val="ListParagraph"/>
        <w:numPr>
          <w:ilvl w:val="0"/>
          <w:numId w:val="47"/>
        </w:numPr>
        <w:rPr>
          <w:rFonts w:cs="Arial"/>
          <w:lang w:val="en-AU"/>
        </w:rPr>
      </w:pPr>
      <w:r w:rsidRPr="00436AC4">
        <w:rPr>
          <w:rFonts w:cs="Arial"/>
          <w:lang w:val="en-AU"/>
        </w:rPr>
        <w:t xml:space="preserve">Australian Government’s </w:t>
      </w:r>
      <w:r w:rsidR="00622139" w:rsidRPr="00436AC4">
        <w:rPr>
          <w:rFonts w:cs="Arial"/>
          <w:i/>
          <w:iCs/>
          <w:lang w:val="en-AU"/>
        </w:rPr>
        <w:t>Protective Security Policy Framework</w:t>
      </w:r>
    </w:p>
    <w:p w14:paraId="789E603C" w14:textId="65DB51A6" w:rsidR="00030FD6" w:rsidRPr="00436AC4" w:rsidRDefault="00A77FFE" w:rsidP="000166A0">
      <w:pPr>
        <w:pStyle w:val="ListParagraph"/>
        <w:numPr>
          <w:ilvl w:val="0"/>
          <w:numId w:val="47"/>
        </w:numPr>
        <w:rPr>
          <w:rFonts w:cs="Arial"/>
          <w:lang w:val="en-AU"/>
        </w:rPr>
      </w:pPr>
      <w:r w:rsidRPr="00436AC4">
        <w:rPr>
          <w:rFonts w:cs="Arial"/>
          <w:lang w:val="en-AU"/>
        </w:rPr>
        <w:t xml:space="preserve">Australian Government’s </w:t>
      </w:r>
      <w:r w:rsidR="007D66F0" w:rsidRPr="00436AC4">
        <w:rPr>
          <w:rFonts w:cs="Arial"/>
          <w:i/>
          <w:iCs/>
          <w:lang w:val="en-AU"/>
        </w:rPr>
        <w:t xml:space="preserve">Building trust in the public record: managing information and data for government and community </w:t>
      </w:r>
      <w:r w:rsidR="007D66F0" w:rsidRPr="00436AC4">
        <w:rPr>
          <w:rFonts w:cs="Arial"/>
          <w:lang w:val="en-AU"/>
        </w:rPr>
        <w:t>policy</w:t>
      </w:r>
      <w:r w:rsidR="00622139" w:rsidRPr="00436AC4">
        <w:rPr>
          <w:rFonts w:cs="Arial"/>
          <w:lang w:val="en-AU"/>
        </w:rPr>
        <w:t xml:space="preserve">. </w:t>
      </w:r>
    </w:p>
    <w:p w14:paraId="71FDC69A" w14:textId="6EDEE09F" w:rsidR="00271FC1" w:rsidRPr="00436AC4" w:rsidRDefault="00622139" w:rsidP="00030FD6">
      <w:pPr>
        <w:rPr>
          <w:rFonts w:cs="Arial"/>
          <w:lang w:val="en-AU"/>
        </w:rPr>
      </w:pPr>
      <w:r w:rsidRPr="00436AC4">
        <w:rPr>
          <w:rFonts w:cs="Arial"/>
          <w:lang w:val="en-AU"/>
        </w:rPr>
        <w:t>IH</w:t>
      </w:r>
      <w:r w:rsidR="002F455D" w:rsidRPr="00436AC4">
        <w:rPr>
          <w:rFonts w:cs="Arial"/>
          <w:lang w:val="en-AU"/>
        </w:rPr>
        <w:t>AC</w:t>
      </w:r>
      <w:r w:rsidRPr="00436AC4">
        <w:rPr>
          <w:rFonts w:cs="Arial"/>
          <w:lang w:val="en-AU"/>
        </w:rPr>
        <w:t>PA also elects to comply with state and territory data and information protection legislation.</w:t>
      </w:r>
    </w:p>
    <w:p w14:paraId="1A4C8375" w14:textId="62FD7530" w:rsidR="00A229CD" w:rsidRPr="00436AC4" w:rsidRDefault="00BF41F8" w:rsidP="00A229CD">
      <w:pPr>
        <w:pStyle w:val="Heading2"/>
        <w:rPr>
          <w:rFonts w:cs="Arial"/>
        </w:rPr>
      </w:pPr>
      <w:r w:rsidRPr="00436AC4">
        <w:rPr>
          <w:rFonts w:cs="Arial"/>
        </w:rPr>
        <w:lastRenderedPageBreak/>
        <w:t>Purpose</w:t>
      </w:r>
    </w:p>
    <w:p w14:paraId="2A1D4462" w14:textId="671FE88E" w:rsidR="0056645F" w:rsidRPr="00436AC4" w:rsidRDefault="0056645F" w:rsidP="0056645F">
      <w:pPr>
        <w:rPr>
          <w:rFonts w:cs="Arial"/>
          <w:lang w:val="en-AU"/>
        </w:rPr>
      </w:pPr>
      <w:r w:rsidRPr="00436AC4">
        <w:rPr>
          <w:rFonts w:cs="Arial"/>
          <w:lang w:val="en-AU"/>
        </w:rPr>
        <w:t xml:space="preserve">The purpose of the </w:t>
      </w:r>
      <w:r w:rsidRPr="00436AC4">
        <w:rPr>
          <w:rFonts w:cs="Arial"/>
          <w:i/>
          <w:iCs/>
          <w:lang w:val="en-AU"/>
        </w:rPr>
        <w:t>Confidential Data Management Policy</w:t>
      </w:r>
      <w:r w:rsidRPr="00436AC4">
        <w:rPr>
          <w:rFonts w:cs="Arial"/>
          <w:lang w:val="en-AU"/>
        </w:rPr>
        <w:t xml:space="preserve"> (this Policy) is to advise jurisdictions of the processes and controls adopted by </w:t>
      </w:r>
      <w:r w:rsidR="00737B50" w:rsidRPr="00436AC4">
        <w:rPr>
          <w:rFonts w:cs="Arial"/>
          <w:lang w:val="en-AU"/>
        </w:rPr>
        <w:t>IHACPA</w:t>
      </w:r>
      <w:r w:rsidRPr="00436AC4">
        <w:rPr>
          <w:rFonts w:cs="Arial"/>
          <w:lang w:val="en-AU"/>
        </w:rPr>
        <w:t xml:space="preserve"> in managing confidential jurisdictional information. This Policy outlines the limited and prescribed purpose for which </w:t>
      </w:r>
      <w:r w:rsidR="00737B50" w:rsidRPr="00436AC4">
        <w:rPr>
          <w:rFonts w:cs="Arial"/>
          <w:lang w:val="en-AU"/>
        </w:rPr>
        <w:t>IHACPA</w:t>
      </w:r>
      <w:r w:rsidRPr="00436AC4">
        <w:rPr>
          <w:rFonts w:cs="Arial"/>
          <w:lang w:val="en-AU"/>
        </w:rPr>
        <w:t xml:space="preserve"> can collect and analyse confidential jurisdictional information and the controls in place to prevent unauthorised access to confidential jurisdictional information and disclosure to unauthorised parties. This includes the processes and controls for requests, access, handling, use, classification, storage, release and disposal of confidential jurisdictional information.</w:t>
      </w:r>
    </w:p>
    <w:p w14:paraId="750A025E" w14:textId="01F96CF2" w:rsidR="00735045" w:rsidRPr="00436AC4" w:rsidRDefault="0056645F" w:rsidP="00FC3B95">
      <w:pPr>
        <w:rPr>
          <w:rFonts w:cs="Arial"/>
          <w:lang w:val="en-AU"/>
        </w:rPr>
      </w:pPr>
      <w:r w:rsidRPr="00436AC4">
        <w:rPr>
          <w:rFonts w:cs="Arial"/>
          <w:lang w:val="en-AU"/>
        </w:rPr>
        <w:t xml:space="preserve">This Policy applies to all confidential jurisdictional information received from jurisdictions by </w:t>
      </w:r>
      <w:r w:rsidR="00737B50" w:rsidRPr="00436AC4">
        <w:rPr>
          <w:rFonts w:cs="Arial"/>
          <w:lang w:val="en-AU"/>
        </w:rPr>
        <w:t>IHACPA</w:t>
      </w:r>
      <w:r w:rsidRPr="00436AC4">
        <w:rPr>
          <w:rFonts w:cs="Arial"/>
          <w:lang w:val="en-AU"/>
        </w:rPr>
        <w:t xml:space="preserve"> representatives, including the Chief Executive Officer (CEO) of </w:t>
      </w:r>
      <w:r w:rsidR="00737B50" w:rsidRPr="00436AC4">
        <w:rPr>
          <w:rFonts w:cs="Arial"/>
          <w:lang w:val="en-AU"/>
        </w:rPr>
        <w:t>IHACPA</w:t>
      </w:r>
      <w:r w:rsidRPr="00436AC4">
        <w:rPr>
          <w:rFonts w:cs="Arial"/>
          <w:lang w:val="en-AU"/>
        </w:rPr>
        <w:t xml:space="preserve">, Pricing Authority Members, </w:t>
      </w:r>
      <w:r w:rsidR="00737B50" w:rsidRPr="00436AC4">
        <w:rPr>
          <w:rFonts w:cs="Arial"/>
          <w:lang w:val="en-AU"/>
        </w:rPr>
        <w:t>IHACPA</w:t>
      </w:r>
      <w:r w:rsidRPr="00436AC4">
        <w:rPr>
          <w:rFonts w:cs="Arial"/>
          <w:lang w:val="en-AU"/>
        </w:rPr>
        <w:t xml:space="preserve"> staff, contractors and consultants</w:t>
      </w:r>
      <w:r w:rsidR="004606DD" w:rsidRPr="00436AC4">
        <w:rPr>
          <w:rFonts w:cs="Arial"/>
          <w:lang w:val="en-AU"/>
        </w:rPr>
        <w:t>.</w:t>
      </w:r>
      <w:r w:rsidR="00FC3B95" w:rsidRPr="00436AC4">
        <w:rPr>
          <w:rFonts w:cs="Arial"/>
          <w:lang w:val="en-AU"/>
        </w:rPr>
        <w:t xml:space="preserve"> </w:t>
      </w:r>
    </w:p>
    <w:p w14:paraId="728B7BEB" w14:textId="61FE9682" w:rsidR="004606DD" w:rsidRPr="00436AC4" w:rsidRDefault="004606DD" w:rsidP="004606DD">
      <w:pPr>
        <w:pStyle w:val="Heading2"/>
        <w:rPr>
          <w:rFonts w:cs="Arial"/>
        </w:rPr>
      </w:pPr>
      <w:r w:rsidRPr="00436AC4">
        <w:rPr>
          <w:rFonts w:cs="Arial"/>
        </w:rPr>
        <w:t>Review</w:t>
      </w:r>
    </w:p>
    <w:p w14:paraId="33BACFD4" w14:textId="58D5236E" w:rsidR="0056645F" w:rsidRPr="00436AC4" w:rsidRDefault="0056645F" w:rsidP="0056645F">
      <w:pPr>
        <w:spacing w:line="259" w:lineRule="auto"/>
        <w:rPr>
          <w:rFonts w:cs="Arial"/>
          <w:lang w:val="en-AU"/>
        </w:rPr>
      </w:pPr>
      <w:r w:rsidRPr="00436AC4">
        <w:rPr>
          <w:rFonts w:cs="Arial"/>
          <w:lang w:val="en-AU"/>
        </w:rPr>
        <w:t xml:space="preserve">The Pricing Authority and CEO of </w:t>
      </w:r>
      <w:r w:rsidR="00737B50" w:rsidRPr="00436AC4">
        <w:rPr>
          <w:rFonts w:cs="Arial"/>
          <w:lang w:val="en-AU"/>
        </w:rPr>
        <w:t>IHACPA</w:t>
      </w:r>
      <w:r w:rsidRPr="00436AC4">
        <w:rPr>
          <w:rFonts w:cs="Arial"/>
          <w:lang w:val="en-AU"/>
        </w:rPr>
        <w:t xml:space="preserve"> will review this Policy, including associated documentation, annually or as required.</w:t>
      </w:r>
    </w:p>
    <w:p w14:paraId="3190D5BA" w14:textId="0730B6AF" w:rsidR="004606DD" w:rsidRPr="00436AC4" w:rsidRDefault="0056645F" w:rsidP="0056645F">
      <w:pPr>
        <w:spacing w:line="259" w:lineRule="auto"/>
        <w:rPr>
          <w:rFonts w:cs="Arial"/>
          <w:lang w:val="en-AU"/>
        </w:rPr>
      </w:pPr>
      <w:r w:rsidRPr="00436AC4">
        <w:rPr>
          <w:rFonts w:cs="Arial"/>
          <w:lang w:val="en-AU"/>
        </w:rPr>
        <w:t xml:space="preserve">This Policy was last reviewed in </w:t>
      </w:r>
      <w:r w:rsidR="00B94552" w:rsidRPr="00436AC4">
        <w:rPr>
          <w:rFonts w:cs="Arial"/>
          <w:lang w:val="en-AU"/>
        </w:rPr>
        <w:t xml:space="preserve">September </w:t>
      </w:r>
      <w:r w:rsidR="00735045" w:rsidRPr="00436AC4">
        <w:rPr>
          <w:rFonts w:cs="Arial"/>
          <w:lang w:val="en-AU"/>
        </w:rPr>
        <w:t>2023</w:t>
      </w:r>
      <w:r w:rsidR="004606DD" w:rsidRPr="00436AC4">
        <w:rPr>
          <w:rFonts w:cs="Arial"/>
          <w:lang w:val="en-AU"/>
        </w:rPr>
        <w:t>.</w:t>
      </w:r>
    </w:p>
    <w:p w14:paraId="11027FB6" w14:textId="27EA23A3" w:rsidR="00465F58" w:rsidRPr="00436AC4" w:rsidRDefault="00465F58" w:rsidP="00BF41F8">
      <w:pPr>
        <w:spacing w:line="259" w:lineRule="auto"/>
        <w:rPr>
          <w:rFonts w:cs="Arial"/>
          <w:lang w:val="en-AU"/>
        </w:rPr>
      </w:pPr>
    </w:p>
    <w:p w14:paraId="5C65F8BC" w14:textId="7605E379" w:rsidR="00465F58" w:rsidRPr="00436AC4" w:rsidRDefault="00465F58">
      <w:pPr>
        <w:spacing w:line="259" w:lineRule="auto"/>
        <w:rPr>
          <w:rFonts w:cs="Arial"/>
          <w:lang w:val="en-AU"/>
        </w:rPr>
      </w:pPr>
      <w:r w:rsidRPr="00436AC4">
        <w:rPr>
          <w:rFonts w:cs="Arial"/>
          <w:lang w:val="en-AU"/>
        </w:rPr>
        <w:br w:type="page"/>
      </w:r>
    </w:p>
    <w:p w14:paraId="780B0964" w14:textId="4E6D2BE6" w:rsidR="00723269" w:rsidRPr="00436AC4" w:rsidRDefault="0056645F" w:rsidP="0056645F">
      <w:pPr>
        <w:pStyle w:val="Heading1"/>
      </w:pPr>
      <w:bookmarkStart w:id="14" w:name="_Toc116641563"/>
      <w:r w:rsidRPr="00436AC4">
        <w:lastRenderedPageBreak/>
        <w:t>Management of confidential jurisdictional information</w:t>
      </w:r>
      <w:bookmarkEnd w:id="14"/>
    </w:p>
    <w:p w14:paraId="28AE1BE1" w14:textId="272E4A2E" w:rsidR="0056645F" w:rsidRPr="00436AC4" w:rsidRDefault="0056645F" w:rsidP="0056645F">
      <w:pPr>
        <w:rPr>
          <w:rFonts w:cs="Arial"/>
          <w:lang w:val="en-AU"/>
        </w:rPr>
      </w:pPr>
      <w:r w:rsidRPr="00436AC4">
        <w:rPr>
          <w:rFonts w:cs="Arial"/>
          <w:lang w:val="en-AU"/>
        </w:rPr>
        <w:t xml:space="preserve">Confidential jurisdictional information provided to </w:t>
      </w:r>
      <w:r w:rsidR="00737B50" w:rsidRPr="00436AC4">
        <w:rPr>
          <w:rFonts w:cs="Arial"/>
          <w:lang w:val="en-AU"/>
        </w:rPr>
        <w:t>IHACPA</w:t>
      </w:r>
      <w:r w:rsidRPr="00436AC4">
        <w:rPr>
          <w:rFonts w:cs="Arial"/>
          <w:lang w:val="en-AU"/>
        </w:rPr>
        <w:t xml:space="preserve"> is an important asset. </w:t>
      </w:r>
      <w:r w:rsidR="00737B50" w:rsidRPr="00436AC4">
        <w:rPr>
          <w:rFonts w:cs="Arial"/>
          <w:lang w:val="en-AU"/>
        </w:rPr>
        <w:t>IHACPA</w:t>
      </w:r>
      <w:r w:rsidRPr="00436AC4">
        <w:rPr>
          <w:rFonts w:cs="Arial"/>
          <w:lang w:val="en-AU"/>
        </w:rPr>
        <w:t xml:space="preserve"> is committed to providing the best possible safeguards to protect this asset and ensuring that stakeholders are aware of the nature and scope of these safeguards. This Policy contributes to these safeguards by providing a specific focus on managing confidential jurisdictional information.</w:t>
      </w:r>
    </w:p>
    <w:p w14:paraId="3A7053FD" w14:textId="520CD396" w:rsidR="0056645F" w:rsidRPr="00436AC4" w:rsidRDefault="0056645F" w:rsidP="0056645F">
      <w:pPr>
        <w:rPr>
          <w:rFonts w:cs="Arial"/>
          <w:lang w:val="en-AU"/>
        </w:rPr>
      </w:pPr>
      <w:r w:rsidRPr="00436AC4">
        <w:rPr>
          <w:rFonts w:cs="Arial"/>
          <w:lang w:val="en-AU"/>
        </w:rPr>
        <w:t xml:space="preserve">Serious penalties may apply for inadvertent or deliberate breaches to legislation, contracts and </w:t>
      </w:r>
      <w:r w:rsidR="00737B50" w:rsidRPr="00436AC4">
        <w:rPr>
          <w:rFonts w:cs="Arial"/>
          <w:lang w:val="en-AU"/>
        </w:rPr>
        <w:t>IHACPA</w:t>
      </w:r>
      <w:r w:rsidRPr="00436AC4">
        <w:rPr>
          <w:rFonts w:cs="Arial"/>
          <w:lang w:val="en-AU"/>
        </w:rPr>
        <w:t xml:space="preserve"> policies relating to the protection and use of confidential jurisdictional information. </w:t>
      </w:r>
      <w:r w:rsidR="000166A0" w:rsidRPr="00436AC4">
        <w:rPr>
          <w:rFonts w:cs="Arial"/>
          <w:lang w:val="en-AU"/>
        </w:rPr>
        <w:t xml:space="preserve">These </w:t>
      </w:r>
      <w:r w:rsidRPr="00436AC4">
        <w:rPr>
          <w:rFonts w:cs="Arial"/>
          <w:lang w:val="en-AU"/>
        </w:rPr>
        <w:t xml:space="preserve">include criminal and civil </w:t>
      </w:r>
      <w:r w:rsidR="000166A0" w:rsidRPr="00436AC4">
        <w:rPr>
          <w:rFonts w:cs="Arial"/>
          <w:lang w:val="en-AU"/>
        </w:rPr>
        <w:t>penalties</w:t>
      </w:r>
      <w:r w:rsidRPr="00436AC4">
        <w:rPr>
          <w:rFonts w:cs="Arial"/>
          <w:lang w:val="en-AU"/>
        </w:rPr>
        <w:t xml:space="preserve">, and loss of the social licence to operate. For individual personnel, including current and former </w:t>
      </w:r>
      <w:r w:rsidR="00737B50" w:rsidRPr="00436AC4">
        <w:rPr>
          <w:rFonts w:cs="Arial"/>
          <w:lang w:val="en-AU"/>
        </w:rPr>
        <w:t>IHACPA</w:t>
      </w:r>
      <w:r w:rsidRPr="00436AC4">
        <w:rPr>
          <w:rFonts w:cs="Arial"/>
          <w:lang w:val="en-AU"/>
        </w:rPr>
        <w:t xml:space="preserve"> officials, penalties may include disciplinary action, termination of employment, and criminal and civil </w:t>
      </w:r>
      <w:r w:rsidR="000166A0" w:rsidRPr="00436AC4">
        <w:rPr>
          <w:rFonts w:cs="Arial"/>
          <w:lang w:val="en-AU"/>
        </w:rPr>
        <w:t>penalties</w:t>
      </w:r>
      <w:r w:rsidRPr="00436AC4">
        <w:rPr>
          <w:rFonts w:cs="Arial"/>
          <w:lang w:val="en-AU"/>
        </w:rPr>
        <w:t>.</w:t>
      </w:r>
    </w:p>
    <w:p w14:paraId="6198223D" w14:textId="511DFF74" w:rsidR="00BF41F8" w:rsidRPr="00436AC4" w:rsidRDefault="0056645F" w:rsidP="0056645F">
      <w:pPr>
        <w:rPr>
          <w:rFonts w:cs="Arial"/>
          <w:lang w:val="en-AU"/>
        </w:rPr>
      </w:pPr>
      <w:r w:rsidRPr="00436AC4">
        <w:rPr>
          <w:rFonts w:cs="Arial"/>
          <w:lang w:val="en-AU"/>
        </w:rPr>
        <w:t xml:space="preserve">Detailed below is a summary of the processes and controls in place to ensure the effective management of confidential jurisdictional information held by </w:t>
      </w:r>
      <w:r w:rsidR="00737B50" w:rsidRPr="00436AC4">
        <w:rPr>
          <w:rFonts w:cs="Arial"/>
          <w:lang w:val="en-AU"/>
        </w:rPr>
        <w:t>IHACPA</w:t>
      </w:r>
      <w:r w:rsidR="00BF41F8" w:rsidRPr="00436AC4">
        <w:rPr>
          <w:rFonts w:cs="Arial"/>
          <w:lang w:val="en-AU"/>
        </w:rPr>
        <w:t>.</w:t>
      </w:r>
    </w:p>
    <w:p w14:paraId="5A744593" w14:textId="63DA43A3" w:rsidR="00723269" w:rsidRPr="00436AC4" w:rsidRDefault="00BF41F8" w:rsidP="003156D4">
      <w:pPr>
        <w:pStyle w:val="Heading2"/>
        <w:rPr>
          <w:rFonts w:cs="Arial"/>
        </w:rPr>
      </w:pPr>
      <w:r w:rsidRPr="00436AC4">
        <w:rPr>
          <w:rFonts w:cs="Arial"/>
        </w:rPr>
        <w:t>Re</w:t>
      </w:r>
      <w:r w:rsidR="0056645F" w:rsidRPr="00436AC4">
        <w:rPr>
          <w:rFonts w:cs="Arial"/>
        </w:rPr>
        <w:t>quests</w:t>
      </w:r>
    </w:p>
    <w:p w14:paraId="58AA47E7" w14:textId="0778639A" w:rsidR="00ED6165" w:rsidRPr="00436AC4" w:rsidRDefault="0056645F" w:rsidP="0094620A">
      <w:pPr>
        <w:rPr>
          <w:rFonts w:cs="Arial"/>
          <w:lang w:val="en-AU"/>
        </w:rPr>
      </w:pPr>
      <w:r w:rsidRPr="00436AC4">
        <w:rPr>
          <w:rFonts w:cs="Arial"/>
          <w:lang w:val="en-AU"/>
        </w:rPr>
        <w:t xml:space="preserve">Where a jurisdiction provides confidential information to </w:t>
      </w:r>
      <w:r w:rsidR="00737B50" w:rsidRPr="00436AC4">
        <w:rPr>
          <w:rFonts w:cs="Arial"/>
          <w:lang w:val="en-AU"/>
        </w:rPr>
        <w:t>IHACPA</w:t>
      </w:r>
      <w:r w:rsidRPr="00436AC4">
        <w:rPr>
          <w:rFonts w:cs="Arial"/>
          <w:lang w:val="en-AU"/>
        </w:rPr>
        <w:t xml:space="preserve">, the jurisdiction must identify the information by using the relevant classification schema specified in the request. Further details of classification schema that may be used can be found in </w:t>
      </w:r>
      <w:r w:rsidR="00737B50" w:rsidRPr="00436AC4">
        <w:rPr>
          <w:rFonts w:cs="Arial"/>
          <w:lang w:val="en-AU"/>
        </w:rPr>
        <w:t>IHACPA</w:t>
      </w:r>
      <w:r w:rsidRPr="00436AC4">
        <w:rPr>
          <w:rFonts w:cs="Arial"/>
          <w:lang w:val="en-AU"/>
        </w:rPr>
        <w:t>’s Three Year Data Plan</w:t>
      </w:r>
      <w:r w:rsidR="00FC072C" w:rsidRPr="00436AC4">
        <w:rPr>
          <w:rFonts w:cs="Arial"/>
          <w:lang w:val="en-AU"/>
        </w:rPr>
        <w:t>.</w:t>
      </w:r>
    </w:p>
    <w:p w14:paraId="4E53F88D" w14:textId="04978825" w:rsidR="00FC072C" w:rsidRPr="00436AC4" w:rsidRDefault="0056645F" w:rsidP="00C246DD">
      <w:pPr>
        <w:pStyle w:val="Heading2"/>
        <w:rPr>
          <w:rFonts w:cs="Arial"/>
        </w:rPr>
      </w:pPr>
      <w:r w:rsidRPr="00436AC4">
        <w:rPr>
          <w:rFonts w:cs="Arial"/>
        </w:rPr>
        <w:t>Access, handling and use</w:t>
      </w:r>
    </w:p>
    <w:p w14:paraId="2D457E71" w14:textId="3493EC0B" w:rsidR="0056645F" w:rsidRPr="00B36103" w:rsidRDefault="00737B50" w:rsidP="0056645F">
      <w:r w:rsidRPr="00436AC4">
        <w:t>IHACPA</w:t>
      </w:r>
      <w:r w:rsidR="0056645F" w:rsidRPr="00436AC4">
        <w:t xml:space="preserve"> takes all reasonable steps to ensure that confidential jurisdictional information remains confidential. </w:t>
      </w:r>
      <w:r w:rsidRPr="00436AC4">
        <w:t>IHACPA</w:t>
      </w:r>
      <w:r w:rsidR="0056645F" w:rsidRPr="00436AC4">
        <w:t xml:space="preserve"> only discloses confidential jurisdictional information to external agencies or individuals as permitted under legislation, contract consent or policy. </w:t>
      </w:r>
      <w:r w:rsidRPr="00436AC4">
        <w:t>IHACPA</w:t>
      </w:r>
      <w:r w:rsidR="0056645F" w:rsidRPr="00436AC4">
        <w:t xml:space="preserve"> does not copy or record confidential jurisdictional information other than for the purpose of carrying out its functions under the NHR Act and the Addendum</w:t>
      </w:r>
      <w:r w:rsidR="0056645F" w:rsidRPr="00450177">
        <w:t>.</w:t>
      </w:r>
      <w:r w:rsidR="00F47B61" w:rsidRPr="00450177">
        <w:t xml:space="preserve"> Confidential jurisdictional information is only used for the purposes for which the jurisdiction provided the information, unless agreed otherwise.</w:t>
      </w:r>
      <w:r w:rsidR="00F47B61" w:rsidRPr="00B36103">
        <w:t xml:space="preserve"> </w:t>
      </w:r>
    </w:p>
    <w:p w14:paraId="59BCBDA2" w14:textId="71941480" w:rsidR="00BF41F8" w:rsidRPr="00436AC4" w:rsidRDefault="00737B50" w:rsidP="0056645F">
      <w:pPr>
        <w:rPr>
          <w:rFonts w:cs="Arial"/>
          <w:lang w:val="en-AU"/>
        </w:rPr>
      </w:pPr>
      <w:r w:rsidRPr="00436AC4">
        <w:t>IHACPA</w:t>
      </w:r>
      <w:r w:rsidR="0056645F" w:rsidRPr="00436AC4">
        <w:t xml:space="preserve"> only discloses confidential jurisdictional information to its officers and employees on a need-to-know basis for the purpose of carrying out </w:t>
      </w:r>
      <w:r w:rsidRPr="00436AC4">
        <w:t>IHACPA</w:t>
      </w:r>
      <w:r w:rsidR="0056645F" w:rsidRPr="00436AC4">
        <w:t xml:space="preserve">’s functions. </w:t>
      </w:r>
      <w:r w:rsidRPr="00436AC4">
        <w:t>IHACPA</w:t>
      </w:r>
      <w:r w:rsidR="0056645F" w:rsidRPr="00436AC4">
        <w:t xml:space="preserve"> ensures its officers, employees, consultants and third parties are aware of the legislative and policy requirements for confidential </w:t>
      </w:r>
      <w:r w:rsidR="0056645F" w:rsidRPr="00450177">
        <w:t xml:space="preserve">jurisdictional information. The requirements for </w:t>
      </w:r>
      <w:r w:rsidR="00CD1D04" w:rsidRPr="00450177">
        <w:t xml:space="preserve">IHACPA’s officers, employees, </w:t>
      </w:r>
      <w:r w:rsidR="0056645F" w:rsidRPr="00450177">
        <w:t xml:space="preserve">consultants and third parties </w:t>
      </w:r>
      <w:r w:rsidR="00CD1D04" w:rsidRPr="00450177">
        <w:t xml:space="preserve">pertaining to </w:t>
      </w:r>
      <w:r w:rsidR="00237137" w:rsidRPr="00450177">
        <w:t xml:space="preserve">access, handling and use of confidential information </w:t>
      </w:r>
      <w:r w:rsidR="0061234D" w:rsidRPr="00450177">
        <w:t>are underpinned by</w:t>
      </w:r>
      <w:r w:rsidR="00FF3DD4" w:rsidRPr="00450177">
        <w:t xml:space="preserve"> the secrecy provisions of</w:t>
      </w:r>
      <w:r w:rsidR="0056645F" w:rsidRPr="00450177">
        <w:t xml:space="preserve"> </w:t>
      </w:r>
      <w:r w:rsidR="00CD1D04" w:rsidRPr="00450177">
        <w:t xml:space="preserve">Part 4.14 of the NHR Act and </w:t>
      </w:r>
      <w:r w:rsidR="0061234D" w:rsidRPr="00450177">
        <w:t xml:space="preserve">outlined in </w:t>
      </w:r>
      <w:r w:rsidR="00237137" w:rsidRPr="00450177">
        <w:t xml:space="preserve">the IHACPA </w:t>
      </w:r>
      <w:hyperlink r:id="rId14" w:history="1">
        <w:r w:rsidR="00237137" w:rsidRPr="00450177">
          <w:rPr>
            <w:rStyle w:val="Hyperlink"/>
            <w:i/>
            <w:iCs/>
          </w:rPr>
          <w:t>Privacy Policy</w:t>
        </w:r>
      </w:hyperlink>
      <w:r w:rsidR="00237137" w:rsidRPr="00450177">
        <w:t>, available on the IHACPA website</w:t>
      </w:r>
      <w:r w:rsidR="0061234D" w:rsidRPr="00450177">
        <w:t>, and other internal policies</w:t>
      </w:r>
      <w:r w:rsidR="00BF41F8" w:rsidRPr="00450177">
        <w:rPr>
          <w:rFonts w:cs="Arial"/>
          <w:lang w:val="en-AU"/>
        </w:rPr>
        <w:t>.</w:t>
      </w:r>
    </w:p>
    <w:p w14:paraId="4C0BC6BA" w14:textId="22E26D37" w:rsidR="00BF41F8" w:rsidRPr="00436AC4" w:rsidRDefault="0056645F" w:rsidP="00BF41F8">
      <w:pPr>
        <w:pStyle w:val="Heading2"/>
        <w:rPr>
          <w:rFonts w:cs="Arial"/>
        </w:rPr>
      </w:pPr>
      <w:r w:rsidRPr="00436AC4">
        <w:rPr>
          <w:rFonts w:cs="Arial"/>
        </w:rPr>
        <w:lastRenderedPageBreak/>
        <w:t>Classification</w:t>
      </w:r>
    </w:p>
    <w:p w14:paraId="710C0D01" w14:textId="58E35840" w:rsidR="0056645F" w:rsidRPr="00436AC4" w:rsidRDefault="00737B50" w:rsidP="0056645F">
      <w:r w:rsidRPr="00436AC4">
        <w:t>IHACPA</w:t>
      </w:r>
      <w:r w:rsidR="0056645F" w:rsidRPr="00436AC4">
        <w:t xml:space="preserve"> is required to classify information it receives and, where necessary, ensure that information is handled by staff with the appropriate security clearance in line with the </w:t>
      </w:r>
      <w:r w:rsidR="0056645F" w:rsidRPr="00436AC4">
        <w:rPr>
          <w:i/>
        </w:rPr>
        <w:t>Protective Security Policy Framework</w:t>
      </w:r>
      <w:r w:rsidR="0056645F" w:rsidRPr="00436AC4">
        <w:t>. This policy sets out the system for the control and handling of security classified information and the details of the documents received and copies retained.</w:t>
      </w:r>
    </w:p>
    <w:p w14:paraId="765BD599" w14:textId="15523C8B" w:rsidR="0056645F" w:rsidRPr="00436AC4" w:rsidRDefault="000166A0" w:rsidP="0056645F">
      <w:r w:rsidRPr="00436AC4">
        <w:t xml:space="preserve">In the event of classified material being stored at </w:t>
      </w:r>
      <w:r w:rsidR="00737B50" w:rsidRPr="00436AC4">
        <w:t>IHACPA</w:t>
      </w:r>
      <w:r w:rsidRPr="00436AC4">
        <w:t>,</w:t>
      </w:r>
      <w:r w:rsidR="0056645F" w:rsidRPr="00436AC4">
        <w:t xml:space="preserve"> </w:t>
      </w:r>
      <w:r w:rsidRPr="00436AC4">
        <w:t xml:space="preserve">it will open and </w:t>
      </w:r>
      <w:r w:rsidR="0056645F" w:rsidRPr="00436AC4">
        <w:t>maintain a classified document register for all ‘TOP SECRET’ and ‘SECRET’ materials produced or received.</w:t>
      </w:r>
    </w:p>
    <w:p w14:paraId="1EBC9E57" w14:textId="07EF0B1E" w:rsidR="00BF41F8" w:rsidRPr="00436AC4" w:rsidRDefault="0056645F" w:rsidP="0056645F">
      <w:pPr>
        <w:rPr>
          <w:rFonts w:cs="Arial"/>
          <w:lang w:val="en-AU"/>
        </w:rPr>
      </w:pPr>
      <w:r w:rsidRPr="00436AC4">
        <w:t xml:space="preserve">To ensure compliance, </w:t>
      </w:r>
      <w:r w:rsidR="00C72559" w:rsidRPr="00436AC4">
        <w:t xml:space="preserve">there is </w:t>
      </w:r>
      <w:r w:rsidR="000166A0" w:rsidRPr="00436AC4">
        <w:t>a</w:t>
      </w:r>
      <w:r w:rsidRPr="00436AC4">
        <w:t xml:space="preserve"> </w:t>
      </w:r>
      <w:r w:rsidR="00E86D9F" w:rsidRPr="00436AC4">
        <w:t>register</w:t>
      </w:r>
      <w:r w:rsidR="00C72559" w:rsidRPr="00436AC4">
        <w:t xml:space="preserve">, maintained by the Department of Health and Aged </w:t>
      </w:r>
      <w:proofErr w:type="gramStart"/>
      <w:r w:rsidR="00C72559" w:rsidRPr="00436AC4">
        <w:t>Care,</w:t>
      </w:r>
      <w:r w:rsidR="00E86D9F" w:rsidRPr="00436AC4">
        <w:t xml:space="preserve"> </w:t>
      </w:r>
      <w:r w:rsidRPr="00436AC4">
        <w:t xml:space="preserve"> of</w:t>
      </w:r>
      <w:proofErr w:type="gramEnd"/>
      <w:r w:rsidRPr="00436AC4">
        <w:t xml:space="preserve"> the security vetting clearances held by staff</w:t>
      </w:r>
      <w:r w:rsidR="00BF41F8" w:rsidRPr="00436AC4">
        <w:rPr>
          <w:rFonts w:cs="Arial"/>
          <w:lang w:val="en-AU"/>
        </w:rPr>
        <w:t>.</w:t>
      </w:r>
    </w:p>
    <w:p w14:paraId="359F79A9" w14:textId="77777777" w:rsidR="0056645F" w:rsidRPr="00436AC4" w:rsidRDefault="0056645F" w:rsidP="0056645F">
      <w:pPr>
        <w:pStyle w:val="Heading3"/>
      </w:pPr>
      <w:r w:rsidRPr="00436AC4">
        <w:t>Dissemination Limiting Marker</w:t>
      </w:r>
    </w:p>
    <w:p w14:paraId="420B2784" w14:textId="788A309F" w:rsidR="0056645F" w:rsidRPr="00436AC4" w:rsidRDefault="00737B50" w:rsidP="0056645F">
      <w:pPr>
        <w:rPr>
          <w:rFonts w:cs="Arial"/>
          <w:lang w:val="en-AU"/>
        </w:rPr>
      </w:pPr>
      <w:r w:rsidRPr="00436AC4">
        <w:rPr>
          <w:rFonts w:cs="Arial"/>
          <w:lang w:val="en-AU"/>
        </w:rPr>
        <w:t>IHACPA</w:t>
      </w:r>
      <w:r w:rsidR="0056645F" w:rsidRPr="00436AC4">
        <w:rPr>
          <w:rFonts w:cs="Arial"/>
          <w:lang w:val="en-AU"/>
        </w:rPr>
        <w:t xml:space="preserve"> identifies confidential jurisdictional information by labelling it with the appropriate Dissemination Limiting Marker (DLM).</w:t>
      </w:r>
    </w:p>
    <w:p w14:paraId="40F7D050" w14:textId="687842D7" w:rsidR="0056645F" w:rsidRPr="00436AC4" w:rsidRDefault="0056645F" w:rsidP="0056645F">
      <w:pPr>
        <w:rPr>
          <w:rFonts w:cs="Arial"/>
          <w:lang w:val="en-AU"/>
        </w:rPr>
      </w:pPr>
      <w:r w:rsidRPr="00436AC4">
        <w:rPr>
          <w:rFonts w:cs="Arial"/>
          <w:lang w:val="en-AU"/>
        </w:rPr>
        <w:t xml:space="preserve">DLMs are markings for information where disclosure may be limited or prohibited by legislation, or where it may otherwise require special handling. As outlined in the </w:t>
      </w:r>
      <w:r w:rsidRPr="00436AC4">
        <w:rPr>
          <w:rFonts w:cs="Arial"/>
          <w:i/>
          <w:iCs/>
          <w:lang w:val="en-AU"/>
        </w:rPr>
        <w:t>Protective Security Policy Framework</w:t>
      </w:r>
      <w:r w:rsidRPr="00436AC4">
        <w:rPr>
          <w:rFonts w:cs="Arial"/>
          <w:lang w:val="en-AU"/>
        </w:rPr>
        <w:t xml:space="preserve">, </w:t>
      </w:r>
      <w:r w:rsidR="00737B50" w:rsidRPr="00436AC4">
        <w:rPr>
          <w:rFonts w:cs="Arial"/>
          <w:lang w:val="en-AU"/>
        </w:rPr>
        <w:t>IHACPA</w:t>
      </w:r>
      <w:r w:rsidRPr="00436AC4">
        <w:rPr>
          <w:rFonts w:cs="Arial"/>
          <w:lang w:val="en-AU"/>
        </w:rPr>
        <w:t xml:space="preserve"> is responsible for determining the appropriate protections to be applied to information bearing DLMs (other than ‘Sensitive: Cabinet’), whilst ensuring that the principles of information security practice are applied. The following four categories of DLMs are used:</w:t>
      </w:r>
    </w:p>
    <w:p w14:paraId="049BA09C" w14:textId="77777777" w:rsidR="0056645F" w:rsidRPr="00436AC4" w:rsidRDefault="0056645F" w:rsidP="0056645F">
      <w:pPr>
        <w:pStyle w:val="ListParagraph"/>
        <w:numPr>
          <w:ilvl w:val="0"/>
          <w:numId w:val="44"/>
        </w:numPr>
        <w:rPr>
          <w:rFonts w:cs="Arial"/>
          <w:lang w:val="en-AU"/>
        </w:rPr>
      </w:pPr>
      <w:r w:rsidRPr="00436AC4">
        <w:rPr>
          <w:rFonts w:cs="Arial"/>
          <w:lang w:val="en-AU"/>
        </w:rPr>
        <w:t>Unofficial</w:t>
      </w:r>
    </w:p>
    <w:p w14:paraId="1AD4599C" w14:textId="77777777" w:rsidR="0056645F" w:rsidRPr="00436AC4" w:rsidRDefault="0056645F" w:rsidP="0056645F">
      <w:pPr>
        <w:pStyle w:val="ListParagraph"/>
        <w:numPr>
          <w:ilvl w:val="0"/>
          <w:numId w:val="44"/>
        </w:numPr>
        <w:rPr>
          <w:rFonts w:cs="Arial"/>
          <w:lang w:val="en-AU"/>
        </w:rPr>
      </w:pPr>
      <w:r w:rsidRPr="00436AC4">
        <w:rPr>
          <w:rFonts w:cs="Arial"/>
          <w:lang w:val="en-AU"/>
        </w:rPr>
        <w:t>Official</w:t>
      </w:r>
    </w:p>
    <w:p w14:paraId="2A15B112" w14:textId="77777777" w:rsidR="0056645F" w:rsidRPr="00436AC4" w:rsidRDefault="0056645F" w:rsidP="0056645F">
      <w:pPr>
        <w:pStyle w:val="ListParagraph"/>
        <w:numPr>
          <w:ilvl w:val="0"/>
          <w:numId w:val="44"/>
        </w:numPr>
        <w:rPr>
          <w:rFonts w:cs="Arial"/>
          <w:lang w:val="en-AU"/>
        </w:rPr>
      </w:pPr>
      <w:r w:rsidRPr="00436AC4">
        <w:rPr>
          <w:rFonts w:cs="Arial"/>
          <w:lang w:val="en-AU"/>
        </w:rPr>
        <w:t>Official: Sensitive</w:t>
      </w:r>
    </w:p>
    <w:p w14:paraId="1C6FB7C6" w14:textId="17D03889" w:rsidR="0056645F" w:rsidRPr="00436AC4" w:rsidRDefault="0056645F" w:rsidP="0056645F">
      <w:pPr>
        <w:pStyle w:val="ListParagraph"/>
        <w:numPr>
          <w:ilvl w:val="0"/>
          <w:numId w:val="44"/>
        </w:numPr>
        <w:rPr>
          <w:rFonts w:cs="Arial"/>
          <w:lang w:val="en-AU"/>
        </w:rPr>
      </w:pPr>
      <w:r w:rsidRPr="00436AC4">
        <w:rPr>
          <w:rFonts w:cs="Arial"/>
          <w:lang w:val="en-AU"/>
        </w:rPr>
        <w:t>Protected.</w:t>
      </w:r>
    </w:p>
    <w:p w14:paraId="04E9E98B" w14:textId="68A90E57" w:rsidR="0056645F" w:rsidRPr="00436AC4" w:rsidRDefault="00737B50" w:rsidP="0056645F">
      <w:pPr>
        <w:rPr>
          <w:rFonts w:cs="Arial"/>
          <w:lang w:val="en-AU"/>
        </w:rPr>
      </w:pPr>
      <w:r w:rsidRPr="00436AC4">
        <w:rPr>
          <w:rFonts w:cs="Arial"/>
          <w:lang w:val="en-AU"/>
        </w:rPr>
        <w:t>IHACPA</w:t>
      </w:r>
      <w:r w:rsidR="0056645F" w:rsidRPr="00436AC4">
        <w:rPr>
          <w:rFonts w:cs="Arial"/>
          <w:lang w:val="en-AU"/>
        </w:rPr>
        <w:t xml:space="preserve"> selects </w:t>
      </w:r>
      <w:proofErr w:type="spellStart"/>
      <w:r w:rsidR="0056645F" w:rsidRPr="00436AC4">
        <w:rPr>
          <w:rFonts w:cs="Arial"/>
          <w:lang w:val="en-AU"/>
        </w:rPr>
        <w:t>DLMs</w:t>
      </w:r>
      <w:proofErr w:type="spellEnd"/>
      <w:r w:rsidR="0056645F" w:rsidRPr="00436AC4">
        <w:rPr>
          <w:rFonts w:cs="Arial"/>
          <w:lang w:val="en-AU"/>
        </w:rPr>
        <w:t xml:space="preserve"> (other than ‘Sensitive: Cabinet’) on a case-by-case basis. In most cases confidential jurisdictional information is marked ‘Official: Sensitive’.</w:t>
      </w:r>
    </w:p>
    <w:p w14:paraId="1CB13F55" w14:textId="1D36B617" w:rsidR="0056645F" w:rsidRPr="00436AC4" w:rsidRDefault="0056645F" w:rsidP="0056645F">
      <w:pPr>
        <w:pStyle w:val="Heading2"/>
      </w:pPr>
      <w:r w:rsidRPr="00436AC4">
        <w:t>Storage</w:t>
      </w:r>
    </w:p>
    <w:p w14:paraId="56D75E71" w14:textId="0CCF8DD2" w:rsidR="0056645F" w:rsidRPr="00436AC4" w:rsidRDefault="00737B50" w:rsidP="0056645F">
      <w:pPr>
        <w:rPr>
          <w:rFonts w:cs="Arial"/>
          <w:lang w:val="en-AU"/>
        </w:rPr>
      </w:pPr>
      <w:r w:rsidRPr="00436AC4">
        <w:rPr>
          <w:rFonts w:cs="Arial"/>
          <w:lang w:val="en-AU"/>
        </w:rPr>
        <w:t>IHACPA</w:t>
      </w:r>
      <w:r w:rsidR="0056645F" w:rsidRPr="00436AC4">
        <w:rPr>
          <w:rFonts w:cs="Arial"/>
          <w:lang w:val="en-AU"/>
        </w:rPr>
        <w:t xml:space="preserve"> uses </w:t>
      </w:r>
      <w:bookmarkStart w:id="15" w:name="_Hlk133480944"/>
      <w:r w:rsidR="0056645F" w:rsidRPr="00436AC4">
        <w:rPr>
          <w:rFonts w:cs="Arial"/>
          <w:lang w:val="en-AU"/>
        </w:rPr>
        <w:t>authorised systems and processes for managing information and records</w:t>
      </w:r>
      <w:bookmarkEnd w:id="15"/>
      <w:r w:rsidR="0056645F" w:rsidRPr="00436AC4">
        <w:rPr>
          <w:rFonts w:cs="Arial"/>
          <w:lang w:val="en-AU"/>
        </w:rPr>
        <w:t xml:space="preserve"> in all formats, aiming to manage digital records in an electronic format in alignment with the </w:t>
      </w:r>
      <w:proofErr w:type="gramStart"/>
      <w:r w:rsidR="007D66F0" w:rsidRPr="00436AC4">
        <w:rPr>
          <w:rFonts w:cs="Arial"/>
          <w:i/>
          <w:iCs/>
          <w:lang w:val="en-AU"/>
        </w:rPr>
        <w:t>Building</w:t>
      </w:r>
      <w:proofErr w:type="gramEnd"/>
      <w:r w:rsidR="007D66F0" w:rsidRPr="00436AC4">
        <w:rPr>
          <w:rFonts w:cs="Arial"/>
          <w:i/>
          <w:iCs/>
          <w:lang w:val="en-AU"/>
        </w:rPr>
        <w:t xml:space="preserve"> trust in the public record: managing information and data for government and community </w:t>
      </w:r>
      <w:r w:rsidR="007D66F0" w:rsidRPr="00436AC4">
        <w:rPr>
          <w:rFonts w:cs="Arial"/>
          <w:lang w:val="en-AU"/>
        </w:rPr>
        <w:t>policy issued by the National Archives of Australia in 2021</w:t>
      </w:r>
      <w:r w:rsidR="0056645F" w:rsidRPr="00436AC4">
        <w:rPr>
          <w:rFonts w:cs="Arial"/>
          <w:lang w:val="en-AU"/>
        </w:rPr>
        <w:t>.</w:t>
      </w:r>
    </w:p>
    <w:p w14:paraId="3CDE5A2C" w14:textId="632E3126" w:rsidR="00FC79E4" w:rsidRPr="00436AC4" w:rsidRDefault="0056645F" w:rsidP="0056645F">
      <w:pPr>
        <w:rPr>
          <w:rFonts w:cs="Arial"/>
          <w:lang w:val="en-AU"/>
        </w:rPr>
      </w:pPr>
      <w:r w:rsidRPr="00436AC4">
        <w:rPr>
          <w:rFonts w:cs="Arial"/>
          <w:lang w:val="en-AU"/>
        </w:rPr>
        <w:t xml:space="preserve">All information received from jurisdictions is stored securely electronically on the Secure Data Management System, </w:t>
      </w:r>
      <w:r w:rsidR="00737B50" w:rsidRPr="00436AC4">
        <w:rPr>
          <w:rFonts w:cs="Arial"/>
          <w:lang w:val="en-AU"/>
        </w:rPr>
        <w:t>IHACPA</w:t>
      </w:r>
      <w:r w:rsidRPr="00436AC4">
        <w:rPr>
          <w:rFonts w:cs="Arial"/>
          <w:lang w:val="en-AU"/>
        </w:rPr>
        <w:t xml:space="preserve">’s secure access controlled cloud based data storage network and </w:t>
      </w:r>
      <w:r w:rsidR="00FC79E4" w:rsidRPr="00436AC4">
        <w:rPr>
          <w:rFonts w:cs="Arial"/>
          <w:lang w:val="en-AU"/>
        </w:rPr>
        <w:t>on IHACPA’s Electronic Document and Records Management System, Content 9 (CM9), commonly known as TRIM.</w:t>
      </w:r>
    </w:p>
    <w:p w14:paraId="1F4F0898" w14:textId="05D4C618" w:rsidR="0056645F" w:rsidRPr="00436AC4" w:rsidRDefault="00FC79E4" w:rsidP="0056645F">
      <w:pPr>
        <w:rPr>
          <w:rFonts w:cs="Arial"/>
          <w:lang w:val="en-AU"/>
        </w:rPr>
      </w:pPr>
      <w:r w:rsidRPr="00436AC4">
        <w:rPr>
          <w:rFonts w:cs="Arial"/>
          <w:lang w:val="en-AU"/>
        </w:rPr>
        <w:t xml:space="preserve">Physical copies of documents provided to IHACPA are scanned into TRIM and the physical copy is then securely </w:t>
      </w:r>
      <w:r w:rsidR="004914CE" w:rsidRPr="00436AC4">
        <w:rPr>
          <w:rFonts w:cs="Arial"/>
          <w:lang w:val="en-AU"/>
        </w:rPr>
        <w:t>disposed of in accordance with IHACPA’s Record Authority or relevant General Record Authorities issued by the National Archives of Australia</w:t>
      </w:r>
      <w:r w:rsidR="0056645F" w:rsidRPr="00436AC4">
        <w:rPr>
          <w:rFonts w:cs="Arial"/>
          <w:lang w:val="en-AU"/>
        </w:rPr>
        <w:t>.</w:t>
      </w:r>
    </w:p>
    <w:p w14:paraId="73730873" w14:textId="3FF71B08" w:rsidR="00C075E3" w:rsidRPr="00436AC4" w:rsidRDefault="00C075E3" w:rsidP="0056645F">
      <w:pPr>
        <w:rPr>
          <w:rFonts w:cs="Arial"/>
          <w:lang w:val="en-AU"/>
        </w:rPr>
      </w:pPr>
      <w:r w:rsidRPr="00436AC4">
        <w:rPr>
          <w:rFonts w:cs="Arial"/>
          <w:lang w:val="en-AU"/>
        </w:rPr>
        <w:lastRenderedPageBreak/>
        <w:t xml:space="preserve">Where physical storage is required, information will be stored in locked </w:t>
      </w:r>
      <w:r w:rsidRPr="00450177">
        <w:rPr>
          <w:rFonts w:cs="Arial"/>
          <w:lang w:val="en-AU"/>
        </w:rPr>
        <w:t>cabinets</w:t>
      </w:r>
      <w:r w:rsidR="0088684B" w:rsidRPr="00450177">
        <w:rPr>
          <w:rFonts w:cs="Arial"/>
          <w:lang w:val="en-AU"/>
        </w:rPr>
        <w:t xml:space="preserve"> in the IHACPA office</w:t>
      </w:r>
      <w:r w:rsidRPr="00450177">
        <w:rPr>
          <w:rFonts w:cs="Arial"/>
          <w:lang w:val="en-AU"/>
        </w:rPr>
        <w:t>.</w:t>
      </w:r>
    </w:p>
    <w:p w14:paraId="36096624" w14:textId="56F44CD2" w:rsidR="0056645F" w:rsidRPr="00436AC4" w:rsidRDefault="0056645F" w:rsidP="0056645F">
      <w:pPr>
        <w:pStyle w:val="Heading2"/>
      </w:pPr>
      <w:r w:rsidRPr="00436AC4">
        <w:t>Release</w:t>
      </w:r>
    </w:p>
    <w:p w14:paraId="3CBCD9B7" w14:textId="7E20690D" w:rsidR="00FC79E4" w:rsidRPr="00436AC4" w:rsidRDefault="00737B50" w:rsidP="00FC79E4">
      <w:pPr>
        <w:rPr>
          <w:rFonts w:cs="Arial"/>
          <w:lang w:val="en-AU"/>
        </w:rPr>
      </w:pPr>
      <w:r w:rsidRPr="00436AC4">
        <w:rPr>
          <w:rFonts w:cs="Arial"/>
          <w:lang w:val="en-AU"/>
        </w:rPr>
        <w:t>IHACPA</w:t>
      </w:r>
      <w:r w:rsidR="0056645F" w:rsidRPr="00436AC4">
        <w:rPr>
          <w:rFonts w:cs="Arial"/>
          <w:lang w:val="en-AU"/>
        </w:rPr>
        <w:t xml:space="preserve"> has developed a </w:t>
      </w:r>
      <w:r w:rsidR="0056645F" w:rsidRPr="00436AC4">
        <w:rPr>
          <w:rFonts w:cs="Arial"/>
          <w:i/>
          <w:iCs/>
          <w:lang w:val="en-AU"/>
        </w:rPr>
        <w:t>Data Access and Release Policy</w:t>
      </w:r>
      <w:r w:rsidR="0056645F" w:rsidRPr="00436AC4">
        <w:rPr>
          <w:rFonts w:cs="Arial"/>
          <w:lang w:val="en-AU"/>
        </w:rPr>
        <w:t xml:space="preserve">, which outlines its principles and processes to release information. </w:t>
      </w:r>
      <w:r w:rsidR="00412210" w:rsidRPr="00436AC4">
        <w:rPr>
          <w:rFonts w:cs="Arial"/>
          <w:lang w:val="en-AU"/>
        </w:rPr>
        <w:t xml:space="preserve">The </w:t>
      </w:r>
      <w:r w:rsidR="00412210" w:rsidRPr="00436AC4">
        <w:rPr>
          <w:rFonts w:cs="Arial"/>
          <w:i/>
          <w:iCs/>
          <w:lang w:val="en-AU"/>
        </w:rPr>
        <w:t xml:space="preserve">Data Access and Release Policy </w:t>
      </w:r>
      <w:r w:rsidR="00412210" w:rsidRPr="00436AC4">
        <w:rPr>
          <w:rFonts w:cs="Arial"/>
          <w:lang w:val="en-AU"/>
        </w:rPr>
        <w:t xml:space="preserve">is reviewed regularly and published </w:t>
      </w:r>
      <w:r w:rsidR="001B6F35" w:rsidRPr="00436AC4">
        <w:rPr>
          <w:rFonts w:cs="Arial"/>
          <w:lang w:val="en-AU"/>
        </w:rPr>
        <w:t>o</w:t>
      </w:r>
      <w:r w:rsidR="00412210" w:rsidRPr="00436AC4">
        <w:rPr>
          <w:rFonts w:cs="Arial"/>
          <w:lang w:val="en-AU"/>
        </w:rPr>
        <w:t>n the IHACPA website.</w:t>
      </w:r>
    </w:p>
    <w:p w14:paraId="4D4E1DCE" w14:textId="4FDC4C95" w:rsidR="00C411AA" w:rsidRPr="00436AC4" w:rsidRDefault="00FC79E4" w:rsidP="00FC79E4">
      <w:pPr>
        <w:rPr>
          <w:rFonts w:cs="Arial"/>
          <w:lang w:val="en-AU"/>
        </w:rPr>
      </w:pPr>
      <w:r w:rsidRPr="00436AC4">
        <w:rPr>
          <w:rFonts w:cs="Arial"/>
          <w:lang w:val="en-AU"/>
        </w:rPr>
        <w:t>Sections 220 and 221 of the NHR Act state that IHACPA may release certain public hospital data to an agency, body or person if the Chair of the Pricing Authority, or their Delegate, is satisfied that the information will assist the agency, body or person to perform or exercise any of the functions or powers of the agency, body or person, or if the information will assist the agency, body or person to conduct research.</w:t>
      </w:r>
    </w:p>
    <w:p w14:paraId="5172D20F" w14:textId="26C4F74A" w:rsidR="000C6221" w:rsidRPr="00436AC4" w:rsidRDefault="0088684B" w:rsidP="00FC79E4">
      <w:pPr>
        <w:rPr>
          <w:rFonts w:cs="Arial"/>
          <w:lang w:val="en-AU"/>
        </w:rPr>
      </w:pPr>
      <w:r w:rsidRPr="00436AC4">
        <w:rPr>
          <w:rFonts w:cs="Arial"/>
          <w:lang w:val="en-AU"/>
        </w:rPr>
        <w:t>Under s</w:t>
      </w:r>
      <w:r w:rsidR="000C6221" w:rsidRPr="00436AC4">
        <w:rPr>
          <w:rFonts w:cs="Arial"/>
          <w:lang w:val="en-AU"/>
        </w:rPr>
        <w:t>ection 220A of the NHR Act</w:t>
      </w:r>
      <w:r w:rsidRPr="00436AC4">
        <w:rPr>
          <w:rFonts w:cs="Arial"/>
          <w:lang w:val="en-AU"/>
        </w:rPr>
        <w:t>,</w:t>
      </w:r>
      <w:r w:rsidR="000C6221" w:rsidRPr="00436AC4">
        <w:rPr>
          <w:rFonts w:cs="Arial"/>
          <w:lang w:val="en-AU"/>
        </w:rPr>
        <w:t xml:space="preserve"> IHACPA </w:t>
      </w:r>
      <w:r w:rsidRPr="00436AC4">
        <w:rPr>
          <w:rFonts w:cs="Arial"/>
          <w:lang w:val="en-AU"/>
        </w:rPr>
        <w:t>may</w:t>
      </w:r>
      <w:r w:rsidR="000C6221" w:rsidRPr="00436AC4">
        <w:rPr>
          <w:rFonts w:cs="Arial"/>
          <w:lang w:val="en-AU"/>
        </w:rPr>
        <w:t xml:space="preserve"> release health care pricing and costing information</w:t>
      </w:r>
      <w:r w:rsidRPr="00436AC4">
        <w:rPr>
          <w:rFonts w:cs="Arial"/>
          <w:lang w:val="en-AU"/>
        </w:rPr>
        <w:t xml:space="preserve"> </w:t>
      </w:r>
      <w:r w:rsidR="00481DC1" w:rsidRPr="00450177">
        <w:rPr>
          <w:rFonts w:cs="Arial"/>
          <w:lang w:val="en-AU"/>
        </w:rPr>
        <w:t>that is collected under clause 131(</w:t>
      </w:r>
      <w:proofErr w:type="spellStart"/>
      <w:r w:rsidR="00481DC1" w:rsidRPr="00450177">
        <w:rPr>
          <w:rFonts w:cs="Arial"/>
          <w:lang w:val="en-AU"/>
        </w:rPr>
        <w:t>1A</w:t>
      </w:r>
      <w:proofErr w:type="spellEnd"/>
      <w:r w:rsidR="00481DC1" w:rsidRPr="00450177">
        <w:rPr>
          <w:rFonts w:cs="Arial"/>
          <w:lang w:val="en-AU"/>
        </w:rPr>
        <w:t xml:space="preserve">) of the </w:t>
      </w:r>
      <w:proofErr w:type="spellStart"/>
      <w:r w:rsidR="00481DC1" w:rsidRPr="00450177">
        <w:rPr>
          <w:rFonts w:cs="Arial"/>
          <w:lang w:val="en-AU"/>
        </w:rPr>
        <w:t>NHR</w:t>
      </w:r>
      <w:proofErr w:type="spellEnd"/>
      <w:r w:rsidR="00481DC1" w:rsidRPr="00450177">
        <w:rPr>
          <w:rFonts w:cs="Arial"/>
          <w:lang w:val="en-AU"/>
        </w:rPr>
        <w:t xml:space="preserve"> Act </w:t>
      </w:r>
      <w:r w:rsidR="000C6221" w:rsidRPr="00B36103">
        <w:rPr>
          <w:rFonts w:cs="Arial"/>
          <w:lang w:val="en-AU"/>
        </w:rPr>
        <w:t xml:space="preserve">and aged care information </w:t>
      </w:r>
      <w:r w:rsidRPr="00B36103">
        <w:rPr>
          <w:rFonts w:cs="Arial"/>
          <w:lang w:val="en-AU"/>
        </w:rPr>
        <w:t xml:space="preserve">to the Australian Institute of Health and Welfare or the Australian Statistician </w:t>
      </w:r>
      <w:r w:rsidR="000C6221" w:rsidRPr="00436AC4">
        <w:rPr>
          <w:rFonts w:cs="Arial"/>
          <w:lang w:val="en-AU"/>
        </w:rPr>
        <w:t xml:space="preserve">under limited conditions. </w:t>
      </w:r>
    </w:p>
    <w:p w14:paraId="15EFFA64" w14:textId="6D4F9B89" w:rsidR="0088684B" w:rsidRPr="00436AC4" w:rsidRDefault="0088684B" w:rsidP="00FC79E4">
      <w:pPr>
        <w:rPr>
          <w:rFonts w:cs="Arial"/>
          <w:lang w:val="en-AU"/>
        </w:rPr>
      </w:pPr>
      <w:r w:rsidRPr="00436AC4">
        <w:rPr>
          <w:rFonts w:cs="Arial"/>
          <w:lang w:val="en-AU"/>
        </w:rPr>
        <w:t xml:space="preserve">Section 221 of the NHR Act prohibits IHACPA from releasing health care pricing and costing information </w:t>
      </w:r>
      <w:r w:rsidR="00481DC1" w:rsidRPr="00450177">
        <w:rPr>
          <w:rFonts w:cs="Arial"/>
          <w:lang w:val="en-AU"/>
        </w:rPr>
        <w:t>that is collected under clause 131(</w:t>
      </w:r>
      <w:proofErr w:type="spellStart"/>
      <w:r w:rsidR="00481DC1" w:rsidRPr="00450177">
        <w:rPr>
          <w:rFonts w:cs="Arial"/>
          <w:lang w:val="en-AU"/>
        </w:rPr>
        <w:t>1A</w:t>
      </w:r>
      <w:proofErr w:type="spellEnd"/>
      <w:r w:rsidR="00481DC1" w:rsidRPr="00450177">
        <w:rPr>
          <w:rFonts w:cs="Arial"/>
          <w:lang w:val="en-AU"/>
        </w:rPr>
        <w:t xml:space="preserve">) of the </w:t>
      </w:r>
      <w:proofErr w:type="spellStart"/>
      <w:r w:rsidR="00481DC1" w:rsidRPr="00450177">
        <w:rPr>
          <w:rFonts w:cs="Arial"/>
          <w:lang w:val="en-AU"/>
        </w:rPr>
        <w:t>NHR</w:t>
      </w:r>
      <w:proofErr w:type="spellEnd"/>
      <w:r w:rsidR="00481DC1" w:rsidRPr="00450177">
        <w:rPr>
          <w:rFonts w:cs="Arial"/>
          <w:lang w:val="en-AU"/>
        </w:rPr>
        <w:t xml:space="preserve"> Act</w:t>
      </w:r>
      <w:r w:rsidRPr="00B36103">
        <w:rPr>
          <w:rFonts w:cs="Arial"/>
          <w:lang w:val="en-AU"/>
        </w:rPr>
        <w:t xml:space="preserve"> and aged care information under any circumstances.</w:t>
      </w:r>
    </w:p>
    <w:p w14:paraId="1E857B9B" w14:textId="75340487" w:rsidR="0056645F" w:rsidRPr="00436AC4" w:rsidRDefault="0056645F" w:rsidP="0056645F">
      <w:pPr>
        <w:pStyle w:val="Heading2"/>
      </w:pPr>
      <w:r w:rsidRPr="00436AC4">
        <w:t>Disposal</w:t>
      </w:r>
    </w:p>
    <w:p w14:paraId="2199665F" w14:textId="3C6B074B" w:rsidR="0056645F" w:rsidRPr="00436AC4" w:rsidRDefault="0056645F" w:rsidP="0056645F">
      <w:pPr>
        <w:rPr>
          <w:rFonts w:cs="Arial"/>
          <w:lang w:val="en-AU"/>
        </w:rPr>
      </w:pPr>
      <w:r w:rsidRPr="00436AC4">
        <w:rPr>
          <w:rFonts w:cs="Arial"/>
          <w:lang w:val="en-AU"/>
        </w:rPr>
        <w:t xml:space="preserve">When the confidential jurisdictional information is no longer required, it is stored or disposed of in accordance with </w:t>
      </w:r>
      <w:r w:rsidR="00737B50" w:rsidRPr="00436AC4">
        <w:rPr>
          <w:rFonts w:cs="Arial"/>
          <w:lang w:val="en-AU"/>
        </w:rPr>
        <w:t>IHACPA</w:t>
      </w:r>
      <w:r w:rsidRPr="00436AC4">
        <w:rPr>
          <w:rFonts w:cs="Arial"/>
          <w:lang w:val="en-AU"/>
        </w:rPr>
        <w:t>’s Record Authority or relevant General Record Authorities issued by the National Archives of Australia.</w:t>
      </w:r>
    </w:p>
    <w:p w14:paraId="27BB56EF" w14:textId="77777777" w:rsidR="00BF41F8" w:rsidRPr="00436AC4" w:rsidRDefault="00BF41F8" w:rsidP="00FC072C">
      <w:pPr>
        <w:rPr>
          <w:rFonts w:cs="Arial"/>
          <w:lang w:val="en-AU"/>
        </w:rPr>
      </w:pPr>
    </w:p>
    <w:p w14:paraId="2BB4617F" w14:textId="77777777" w:rsidR="00BF41F8" w:rsidRPr="00436AC4" w:rsidRDefault="00BF41F8">
      <w:pPr>
        <w:spacing w:line="259" w:lineRule="auto"/>
        <w:rPr>
          <w:rFonts w:cs="Arial"/>
          <w:lang w:val="en-AU"/>
        </w:rPr>
      </w:pPr>
      <w:r w:rsidRPr="00436AC4">
        <w:rPr>
          <w:rFonts w:cs="Arial"/>
          <w:lang w:val="en-AU"/>
        </w:rPr>
        <w:br w:type="page"/>
      </w:r>
    </w:p>
    <w:p w14:paraId="0B6A7102" w14:textId="4A67A31B" w:rsidR="00BF41F8" w:rsidRPr="00436AC4" w:rsidRDefault="0056645F" w:rsidP="0056645F">
      <w:pPr>
        <w:pStyle w:val="Heading1"/>
      </w:pPr>
      <w:bookmarkStart w:id="16" w:name="_Toc116641564"/>
      <w:r w:rsidRPr="00436AC4">
        <w:lastRenderedPageBreak/>
        <w:t>Compliance</w:t>
      </w:r>
      <w:bookmarkEnd w:id="16"/>
    </w:p>
    <w:p w14:paraId="04E92A10" w14:textId="54B2B831" w:rsidR="0056645F" w:rsidRPr="00436AC4" w:rsidRDefault="0056645F" w:rsidP="0056645F">
      <w:pPr>
        <w:pStyle w:val="Heading2"/>
      </w:pPr>
      <w:r w:rsidRPr="00436AC4">
        <w:t>Internal controls</w:t>
      </w:r>
    </w:p>
    <w:p w14:paraId="67510B70" w14:textId="305A5B1A" w:rsidR="0056645F" w:rsidRPr="00436AC4" w:rsidRDefault="00737B50" w:rsidP="0056645F">
      <w:pPr>
        <w:rPr>
          <w:lang w:val="en-AU"/>
        </w:rPr>
      </w:pPr>
      <w:r w:rsidRPr="00436AC4">
        <w:rPr>
          <w:lang w:val="en-AU"/>
        </w:rPr>
        <w:t>IHACPA</w:t>
      </w:r>
      <w:r w:rsidR="0056645F" w:rsidRPr="00436AC4">
        <w:rPr>
          <w:lang w:val="en-AU"/>
        </w:rPr>
        <w:t xml:space="preserve"> proactively manages the confidential information provided by jurisdictions with risk mitigation. In addition to the controls outlined in Chapter 2 of this Policy, </w:t>
      </w:r>
      <w:r w:rsidRPr="00436AC4">
        <w:rPr>
          <w:lang w:val="en-AU"/>
        </w:rPr>
        <w:t>IHACPA</w:t>
      </w:r>
      <w:r w:rsidR="0056645F" w:rsidRPr="00436AC4">
        <w:rPr>
          <w:lang w:val="en-AU"/>
        </w:rPr>
        <w:t>:</w:t>
      </w:r>
    </w:p>
    <w:p w14:paraId="4519AD1E" w14:textId="2A09EF95" w:rsidR="0056645F" w:rsidRPr="00436AC4" w:rsidRDefault="0056645F" w:rsidP="0056645F">
      <w:pPr>
        <w:pStyle w:val="ListParagraph"/>
        <w:numPr>
          <w:ilvl w:val="0"/>
          <w:numId w:val="45"/>
        </w:numPr>
        <w:rPr>
          <w:lang w:val="en-AU"/>
        </w:rPr>
      </w:pPr>
      <w:r w:rsidRPr="00436AC4">
        <w:rPr>
          <w:lang w:val="en-AU"/>
        </w:rPr>
        <w:t>documents policies, plans and procedures for the management of confidential jurisdictional information and records</w:t>
      </w:r>
    </w:p>
    <w:p w14:paraId="051322D5" w14:textId="77777777" w:rsidR="0056645F" w:rsidRPr="00436AC4" w:rsidRDefault="0056645F" w:rsidP="0056645F">
      <w:pPr>
        <w:pStyle w:val="ListParagraph"/>
        <w:numPr>
          <w:ilvl w:val="0"/>
          <w:numId w:val="45"/>
        </w:numPr>
        <w:rPr>
          <w:lang w:val="en-AU"/>
        </w:rPr>
      </w:pPr>
      <w:r w:rsidRPr="00436AC4">
        <w:rPr>
          <w:lang w:val="en-AU"/>
        </w:rPr>
        <w:t>provides security awareness training to staff at their induction and at regular intervals, as well as to contractors and consultants before they can access data and information</w:t>
      </w:r>
    </w:p>
    <w:p w14:paraId="61DDE7E2" w14:textId="2B6CE8A1" w:rsidR="00DC76D3" w:rsidRPr="00450177" w:rsidRDefault="003767D3" w:rsidP="0056645F">
      <w:pPr>
        <w:pStyle w:val="ListParagraph"/>
        <w:numPr>
          <w:ilvl w:val="0"/>
          <w:numId w:val="45"/>
        </w:numPr>
        <w:rPr>
          <w:lang w:val="en-AU"/>
        </w:rPr>
      </w:pPr>
      <w:r w:rsidRPr="00450177">
        <w:rPr>
          <w:lang w:val="en-AU"/>
        </w:rPr>
        <w:t xml:space="preserve">ensures </w:t>
      </w:r>
      <w:r w:rsidR="00DC76D3" w:rsidRPr="00450177">
        <w:rPr>
          <w:lang w:val="en-AU"/>
        </w:rPr>
        <w:t xml:space="preserve">consultants </w:t>
      </w:r>
      <w:r w:rsidRPr="00450177">
        <w:rPr>
          <w:lang w:val="en-AU"/>
        </w:rPr>
        <w:t>and contractors</w:t>
      </w:r>
      <w:r w:rsidR="00DC76D3" w:rsidRPr="00450177">
        <w:rPr>
          <w:lang w:val="en-AU"/>
        </w:rPr>
        <w:t xml:space="preserve"> provide a </w:t>
      </w:r>
      <w:r w:rsidRPr="00450177">
        <w:rPr>
          <w:lang w:val="en-AU"/>
        </w:rPr>
        <w:t xml:space="preserve">signed </w:t>
      </w:r>
      <w:r w:rsidR="00DC76D3" w:rsidRPr="00450177">
        <w:rPr>
          <w:lang w:val="en-AU"/>
        </w:rPr>
        <w:t xml:space="preserve">Deed of Confidentiality </w:t>
      </w:r>
      <w:r w:rsidR="00481DC1" w:rsidRPr="00450177">
        <w:rPr>
          <w:lang w:val="en-AU"/>
        </w:rPr>
        <w:t>and valid National Police Check</w:t>
      </w:r>
      <w:r w:rsidR="00A60003" w:rsidRPr="00450177">
        <w:rPr>
          <w:lang w:val="en-AU"/>
        </w:rPr>
        <w:t xml:space="preserve"> not greater than six months old,</w:t>
      </w:r>
      <w:r w:rsidR="00481DC1" w:rsidRPr="00450177">
        <w:rPr>
          <w:lang w:val="en-AU"/>
        </w:rPr>
        <w:t xml:space="preserve"> </w:t>
      </w:r>
      <w:r w:rsidR="00DC76D3" w:rsidRPr="00450177">
        <w:rPr>
          <w:lang w:val="en-AU"/>
        </w:rPr>
        <w:t xml:space="preserve">prior to accessing any confidential </w:t>
      </w:r>
      <w:proofErr w:type="gramStart"/>
      <w:r w:rsidR="00DC76D3" w:rsidRPr="00450177">
        <w:rPr>
          <w:lang w:val="en-AU"/>
        </w:rPr>
        <w:t>information</w:t>
      </w:r>
      <w:proofErr w:type="gramEnd"/>
    </w:p>
    <w:p w14:paraId="475138F3" w14:textId="0C253212" w:rsidR="003767D3" w:rsidRPr="00450177" w:rsidRDefault="00E62526" w:rsidP="0056645F">
      <w:pPr>
        <w:pStyle w:val="ListParagraph"/>
        <w:numPr>
          <w:ilvl w:val="0"/>
          <w:numId w:val="45"/>
        </w:numPr>
        <w:rPr>
          <w:lang w:val="en-AU"/>
        </w:rPr>
      </w:pPr>
      <w:r w:rsidRPr="00450177">
        <w:rPr>
          <w:lang w:val="en-AU"/>
        </w:rPr>
        <w:t>i</w:t>
      </w:r>
      <w:r w:rsidR="003767D3" w:rsidRPr="00450177">
        <w:rPr>
          <w:lang w:val="en-AU"/>
        </w:rPr>
        <w:t xml:space="preserve">n line with IHACPA’s </w:t>
      </w:r>
      <w:r w:rsidR="003767D3" w:rsidRPr="00450177">
        <w:rPr>
          <w:i/>
          <w:iCs/>
          <w:lang w:val="en-AU"/>
        </w:rPr>
        <w:t>Privacy Policy</w:t>
      </w:r>
      <w:r w:rsidR="003767D3" w:rsidRPr="00450177">
        <w:rPr>
          <w:lang w:val="en-AU"/>
        </w:rPr>
        <w:t>, undertakes a written Privacy Impact Assessment for all projects that involve new or changed ways of handling personal information that</w:t>
      </w:r>
      <w:r w:rsidR="00A60003" w:rsidRPr="00450177">
        <w:rPr>
          <w:lang w:val="en-AU"/>
        </w:rPr>
        <w:t>, if their data was breached would be</w:t>
      </w:r>
      <w:r w:rsidR="003767D3" w:rsidRPr="00450177">
        <w:rPr>
          <w:lang w:val="en-AU"/>
        </w:rPr>
        <w:t xml:space="preserve"> likely to have a significant impact on the privacy of individuals</w:t>
      </w:r>
    </w:p>
    <w:p w14:paraId="11E5D308" w14:textId="6D22B9C0" w:rsidR="0056645F" w:rsidRPr="00450177" w:rsidRDefault="0056645F" w:rsidP="0056645F">
      <w:pPr>
        <w:pStyle w:val="ListParagraph"/>
        <w:numPr>
          <w:ilvl w:val="0"/>
          <w:numId w:val="45"/>
        </w:numPr>
        <w:rPr>
          <w:lang w:val="en-AU"/>
        </w:rPr>
      </w:pPr>
      <w:r w:rsidRPr="00450177">
        <w:rPr>
          <w:lang w:val="en-AU"/>
        </w:rPr>
        <w:t xml:space="preserve">has established an Audit, Risk and Compliance Committee that meets </w:t>
      </w:r>
      <w:r w:rsidR="00905598" w:rsidRPr="00450177">
        <w:rPr>
          <w:lang w:val="en-AU"/>
        </w:rPr>
        <w:t xml:space="preserve">quarterly </w:t>
      </w:r>
      <w:r w:rsidRPr="00450177">
        <w:rPr>
          <w:lang w:val="en-AU"/>
        </w:rPr>
        <w:t xml:space="preserve">to discuss </w:t>
      </w:r>
      <w:r w:rsidR="00A60003" w:rsidRPr="00450177">
        <w:rPr>
          <w:lang w:val="en-AU"/>
        </w:rPr>
        <w:t>a number of matters including risk, governance and compliance matters</w:t>
      </w:r>
      <w:r w:rsidRPr="00450177">
        <w:rPr>
          <w:lang w:val="en-AU"/>
        </w:rPr>
        <w:t xml:space="preserve">, with a </w:t>
      </w:r>
      <w:proofErr w:type="gramStart"/>
      <w:r w:rsidRPr="00450177">
        <w:rPr>
          <w:lang w:val="en-AU"/>
        </w:rPr>
        <w:t>Chairperson</w:t>
      </w:r>
      <w:proofErr w:type="gramEnd"/>
      <w:r w:rsidRPr="00450177">
        <w:rPr>
          <w:lang w:val="en-AU"/>
        </w:rPr>
        <w:t xml:space="preserve"> independent to </w:t>
      </w:r>
      <w:r w:rsidR="00737B50" w:rsidRPr="00450177">
        <w:rPr>
          <w:lang w:val="en-AU"/>
        </w:rPr>
        <w:t>IHACPA</w:t>
      </w:r>
    </w:p>
    <w:p w14:paraId="38DD83F1" w14:textId="77777777" w:rsidR="0056645F" w:rsidRPr="00436AC4" w:rsidRDefault="0056645F" w:rsidP="0056645F">
      <w:pPr>
        <w:pStyle w:val="ListParagraph"/>
        <w:numPr>
          <w:ilvl w:val="0"/>
          <w:numId w:val="45"/>
        </w:numPr>
        <w:rPr>
          <w:lang w:val="en-AU"/>
        </w:rPr>
      </w:pPr>
      <w:r w:rsidRPr="00436AC4">
        <w:rPr>
          <w:lang w:val="en-AU"/>
        </w:rPr>
        <w:t>arranges regular internal and external security audits of its operations</w:t>
      </w:r>
    </w:p>
    <w:p w14:paraId="251B8A92" w14:textId="683CF4F5" w:rsidR="0056645F" w:rsidRPr="00436AC4" w:rsidRDefault="0056645F" w:rsidP="0056645F">
      <w:pPr>
        <w:pStyle w:val="ListParagraph"/>
        <w:numPr>
          <w:ilvl w:val="0"/>
          <w:numId w:val="45"/>
        </w:numPr>
        <w:rPr>
          <w:lang w:val="en-AU"/>
        </w:rPr>
      </w:pPr>
      <w:r w:rsidRPr="00436AC4">
        <w:rPr>
          <w:lang w:val="en-AU"/>
        </w:rPr>
        <w:t xml:space="preserve">regularly reports on compliance to the CEO of </w:t>
      </w:r>
      <w:r w:rsidR="00737B50" w:rsidRPr="00436AC4">
        <w:rPr>
          <w:lang w:val="en-AU"/>
        </w:rPr>
        <w:t>IHACPA</w:t>
      </w:r>
      <w:r w:rsidRPr="00436AC4">
        <w:rPr>
          <w:lang w:val="en-AU"/>
        </w:rPr>
        <w:t>, the Pricing Authority</w:t>
      </w:r>
      <w:r w:rsidR="00A60003" w:rsidRPr="00436AC4">
        <w:rPr>
          <w:lang w:val="en-AU"/>
        </w:rPr>
        <w:t>, Audit, Risk and Compliance Committee</w:t>
      </w:r>
      <w:r w:rsidRPr="00436AC4">
        <w:rPr>
          <w:lang w:val="en-AU"/>
        </w:rPr>
        <w:t xml:space="preserve"> and internal committees.</w:t>
      </w:r>
    </w:p>
    <w:p w14:paraId="40B8C67E" w14:textId="6582255F" w:rsidR="00291F6B" w:rsidRPr="00436AC4" w:rsidRDefault="00291F6B" w:rsidP="0056060A">
      <w:pPr>
        <w:rPr>
          <w:lang w:val="en-AU"/>
        </w:rPr>
      </w:pPr>
      <w:r w:rsidRPr="00436AC4">
        <w:rPr>
          <w:lang w:val="en-AU"/>
        </w:rPr>
        <w:t>There is also a ‘Designated Security Assessed Position Register’, maintained by the Department of Health and Aged Care, which details IHACPA staff and representatives granted a security clearance by the Australian Government Security Vetting Agency.</w:t>
      </w:r>
    </w:p>
    <w:p w14:paraId="1AB7B2B2" w14:textId="787B3431" w:rsidR="0056645F" w:rsidRPr="00436AC4" w:rsidRDefault="0056645F" w:rsidP="0056645F">
      <w:pPr>
        <w:pStyle w:val="Heading2"/>
      </w:pPr>
      <w:r w:rsidRPr="00436AC4">
        <w:t>Assurance</w:t>
      </w:r>
    </w:p>
    <w:p w14:paraId="08D88B8B" w14:textId="058E3EBD" w:rsidR="0056645F" w:rsidRPr="00436AC4" w:rsidRDefault="00737B50" w:rsidP="0056645F">
      <w:pPr>
        <w:rPr>
          <w:lang w:val="en-AU"/>
        </w:rPr>
      </w:pPr>
      <w:r w:rsidRPr="00436AC4">
        <w:rPr>
          <w:lang w:val="en-AU"/>
        </w:rPr>
        <w:t>IHACPA</w:t>
      </w:r>
      <w:r w:rsidR="0056645F" w:rsidRPr="00436AC4">
        <w:rPr>
          <w:lang w:val="en-AU"/>
        </w:rPr>
        <w:t xml:space="preserve"> assesses the effectiveness of internal controls by undertaking regular compliance monitoring through:</w:t>
      </w:r>
    </w:p>
    <w:p w14:paraId="671ACA2E" w14:textId="3D098312" w:rsidR="0056645F" w:rsidRPr="00436AC4" w:rsidRDefault="0056645F" w:rsidP="0056645F">
      <w:pPr>
        <w:pStyle w:val="ListParagraph"/>
        <w:numPr>
          <w:ilvl w:val="0"/>
          <w:numId w:val="46"/>
        </w:numPr>
        <w:rPr>
          <w:lang w:val="en-AU"/>
        </w:rPr>
      </w:pPr>
      <w:r w:rsidRPr="00436AC4">
        <w:rPr>
          <w:lang w:val="en-AU"/>
        </w:rPr>
        <w:t xml:space="preserve">routine verification of compliance with the </w:t>
      </w:r>
      <w:r w:rsidR="00737B50" w:rsidRPr="00436AC4">
        <w:rPr>
          <w:lang w:val="en-AU"/>
        </w:rPr>
        <w:t>IHACPA</w:t>
      </w:r>
      <w:r w:rsidRPr="00436AC4">
        <w:rPr>
          <w:lang w:val="en-AU"/>
        </w:rPr>
        <w:t xml:space="preserve"> policies, plans and procedures through internal </w:t>
      </w:r>
      <w:proofErr w:type="gramStart"/>
      <w:r w:rsidRPr="00436AC4">
        <w:rPr>
          <w:lang w:val="en-AU"/>
        </w:rPr>
        <w:t>audits</w:t>
      </w:r>
      <w:proofErr w:type="gramEnd"/>
    </w:p>
    <w:p w14:paraId="09CB353C" w14:textId="30F61C09" w:rsidR="0056645F" w:rsidRPr="00436AC4" w:rsidRDefault="0056645F" w:rsidP="0056645F">
      <w:pPr>
        <w:pStyle w:val="ListParagraph"/>
        <w:numPr>
          <w:ilvl w:val="0"/>
          <w:numId w:val="46"/>
        </w:numPr>
        <w:rPr>
          <w:lang w:val="en-AU"/>
        </w:rPr>
      </w:pPr>
      <w:r w:rsidRPr="00436AC4">
        <w:rPr>
          <w:lang w:val="en-AU"/>
        </w:rPr>
        <w:t xml:space="preserve">internal monitoring of compliance with internal controls by the CEO of </w:t>
      </w:r>
      <w:r w:rsidR="00737B50" w:rsidRPr="00436AC4">
        <w:rPr>
          <w:lang w:val="en-AU"/>
        </w:rPr>
        <w:t>IHACPA</w:t>
      </w:r>
    </w:p>
    <w:p w14:paraId="53C5EF33" w14:textId="129F67C1" w:rsidR="0056645F" w:rsidRPr="00436AC4" w:rsidRDefault="0056645F" w:rsidP="0056645F">
      <w:pPr>
        <w:pStyle w:val="ListParagraph"/>
        <w:numPr>
          <w:ilvl w:val="0"/>
          <w:numId w:val="46"/>
        </w:numPr>
        <w:rPr>
          <w:lang w:val="en-AU"/>
        </w:rPr>
      </w:pPr>
      <w:r w:rsidRPr="00436AC4">
        <w:rPr>
          <w:lang w:val="en-AU"/>
        </w:rPr>
        <w:t xml:space="preserve">annual reporting of compliance with mandatory </w:t>
      </w:r>
      <w:r w:rsidRPr="00436AC4">
        <w:rPr>
          <w:i/>
          <w:iCs/>
          <w:lang w:val="en-AU"/>
        </w:rPr>
        <w:t>Protective Security Policy Framework</w:t>
      </w:r>
      <w:r w:rsidRPr="00436AC4">
        <w:rPr>
          <w:lang w:val="en-AU"/>
        </w:rPr>
        <w:t xml:space="preserve"> requirements </w:t>
      </w:r>
      <w:r w:rsidR="000166A0" w:rsidRPr="00436AC4">
        <w:rPr>
          <w:lang w:val="en-AU"/>
        </w:rPr>
        <w:t xml:space="preserve">through </w:t>
      </w:r>
      <w:r w:rsidRPr="00436AC4">
        <w:rPr>
          <w:lang w:val="en-AU"/>
        </w:rPr>
        <w:t xml:space="preserve">the Minister </w:t>
      </w:r>
      <w:r w:rsidR="000166A0" w:rsidRPr="00436AC4">
        <w:rPr>
          <w:lang w:val="en-AU"/>
        </w:rPr>
        <w:t xml:space="preserve">for </w:t>
      </w:r>
      <w:r w:rsidRPr="00436AC4">
        <w:rPr>
          <w:lang w:val="en-AU"/>
        </w:rPr>
        <w:t>Health</w:t>
      </w:r>
      <w:r w:rsidR="000166A0" w:rsidRPr="00436AC4">
        <w:rPr>
          <w:lang w:val="en-AU"/>
        </w:rPr>
        <w:t xml:space="preserve"> and Aged Care </w:t>
      </w:r>
      <w:r w:rsidR="000166A0" w:rsidRPr="00450177">
        <w:rPr>
          <w:lang w:val="en-AU"/>
        </w:rPr>
        <w:t>to the Minister for Finance</w:t>
      </w:r>
    </w:p>
    <w:p w14:paraId="6B765E67" w14:textId="77777777" w:rsidR="0056645F" w:rsidRPr="00436AC4" w:rsidRDefault="0056645F" w:rsidP="0056645F">
      <w:pPr>
        <w:pStyle w:val="ListParagraph"/>
        <w:numPr>
          <w:ilvl w:val="0"/>
          <w:numId w:val="46"/>
        </w:numPr>
        <w:rPr>
          <w:lang w:val="en-AU"/>
        </w:rPr>
      </w:pPr>
      <w:r w:rsidRPr="00436AC4">
        <w:rPr>
          <w:lang w:val="en-AU"/>
        </w:rPr>
        <w:t>conducting regular data assurance audits.</w:t>
      </w:r>
    </w:p>
    <w:p w14:paraId="12BD02D1" w14:textId="77777777" w:rsidR="00FC072C" w:rsidRPr="00436AC4" w:rsidRDefault="00FC072C" w:rsidP="00FC072C">
      <w:pPr>
        <w:rPr>
          <w:rFonts w:cs="Arial"/>
          <w:lang w:val="en-AU"/>
        </w:rPr>
      </w:pPr>
    </w:p>
    <w:p w14:paraId="48B5FADC" w14:textId="21B0B283" w:rsidR="00FC072C" w:rsidRPr="00436AC4" w:rsidRDefault="00FC072C" w:rsidP="00FC072C">
      <w:pPr>
        <w:rPr>
          <w:rFonts w:cs="Arial"/>
          <w:lang w:val="en-AU"/>
        </w:rPr>
        <w:sectPr w:rsidR="00FC072C" w:rsidRPr="00436AC4" w:rsidSect="0094620A">
          <w:pgSz w:w="11906" w:h="16838" w:code="9"/>
          <w:pgMar w:top="1440" w:right="1080" w:bottom="1440" w:left="1080" w:header="708" w:footer="708" w:gutter="0"/>
          <w:cols w:space="720"/>
          <w:docGrid w:linePitch="360"/>
        </w:sectPr>
      </w:pPr>
    </w:p>
    <w:p w14:paraId="16A454E9" w14:textId="361F07FB" w:rsidR="00502A09" w:rsidRPr="00B36103" w:rsidRDefault="00502A09" w:rsidP="00502A09">
      <w:pPr>
        <w:spacing w:after="360"/>
        <w:rPr>
          <w:rFonts w:cs="Arial"/>
          <w:color w:val="FFFFFF" w:themeColor="background2"/>
          <w:lang w:val="en-AU"/>
        </w:rPr>
      </w:pPr>
      <w:r w:rsidRPr="00B36103">
        <w:rPr>
          <w:rFonts w:cs="Arial"/>
          <w:noProof/>
          <w:color w:val="FFFFFF" w:themeColor="background2"/>
          <w:lang w:val="en-AU"/>
        </w:rPr>
        <w:lastRenderedPageBreak/>
        <w:drawing>
          <wp:inline distT="0" distB="0" distL="0" distR="0" wp14:anchorId="21264862" wp14:editId="6DE79C4E">
            <wp:extent cx="1764880" cy="396484"/>
            <wp:effectExtent l="0" t="0" r="6985" b="381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noChangeArrowheads="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bwMode="auto">
                    <a:xfrm>
                      <a:off x="0" y="0"/>
                      <a:ext cx="1764880" cy="396484"/>
                    </a:xfrm>
                    <a:prstGeom prst="rect">
                      <a:avLst/>
                    </a:prstGeom>
                  </pic:spPr>
                </pic:pic>
              </a:graphicData>
            </a:graphic>
          </wp:inline>
        </w:drawing>
      </w:r>
    </w:p>
    <w:p w14:paraId="64F35D3E" w14:textId="6237392C" w:rsidR="00502A09" w:rsidRPr="00436AC4" w:rsidRDefault="00737B50" w:rsidP="00502A09">
      <w:pPr>
        <w:spacing w:after="360"/>
        <w:rPr>
          <w:rFonts w:cs="Arial"/>
          <w:color w:val="FFFFFF" w:themeColor="background2"/>
          <w:lang w:val="en-AU"/>
        </w:rPr>
      </w:pPr>
      <w:r w:rsidRPr="00436AC4">
        <w:rPr>
          <w:rFonts w:cs="Arial"/>
          <w:color w:val="FFFFFF" w:themeColor="background2"/>
          <w:lang w:val="en-AU"/>
        </w:rPr>
        <w:t>Independent Health and Aged Care Pricing Authority</w:t>
      </w:r>
    </w:p>
    <w:p w14:paraId="6E4B7912" w14:textId="793805FD" w:rsidR="00502A09" w:rsidRPr="00436AC4" w:rsidRDefault="00183129" w:rsidP="00502A09">
      <w:pPr>
        <w:spacing w:after="360"/>
        <w:rPr>
          <w:rFonts w:cs="Arial"/>
          <w:color w:val="54C1AF" w:themeColor="background1"/>
          <w:lang w:val="en-AU"/>
        </w:rPr>
      </w:pPr>
      <w:r w:rsidRPr="00436AC4">
        <w:rPr>
          <w:rFonts w:cs="Arial"/>
          <w:color w:val="54C1AF" w:themeColor="background1"/>
          <w:lang w:val="en-AU"/>
        </w:rPr>
        <w:t xml:space="preserve">Eora Nation, </w:t>
      </w:r>
      <w:r w:rsidR="00502A09" w:rsidRPr="00436AC4">
        <w:rPr>
          <w:rFonts w:cs="Arial"/>
          <w:color w:val="54C1AF" w:themeColor="background1"/>
          <w:lang w:val="en-AU"/>
        </w:rPr>
        <w:t xml:space="preserve">Level </w:t>
      </w:r>
      <w:r w:rsidR="007403BC" w:rsidRPr="00436AC4">
        <w:rPr>
          <w:rFonts w:cs="Arial"/>
          <w:color w:val="54C1AF" w:themeColor="background1"/>
          <w:lang w:val="en-AU"/>
        </w:rPr>
        <w:t>12</w:t>
      </w:r>
      <w:r w:rsidR="00502A09" w:rsidRPr="00436AC4">
        <w:rPr>
          <w:rFonts w:cs="Arial"/>
          <w:color w:val="54C1AF" w:themeColor="background1"/>
          <w:lang w:val="en-AU"/>
        </w:rPr>
        <w:t>, 1 Oxford Street</w:t>
      </w:r>
      <w:r w:rsidR="00502A09" w:rsidRPr="00436AC4">
        <w:rPr>
          <w:rFonts w:cs="Arial"/>
          <w:color w:val="54C1AF" w:themeColor="background1"/>
          <w:lang w:val="en-AU"/>
        </w:rPr>
        <w:br/>
        <w:t>Sydney NSW 2000</w:t>
      </w:r>
    </w:p>
    <w:p w14:paraId="422F9348" w14:textId="67B09068" w:rsidR="00502A09" w:rsidRPr="00B36103" w:rsidRDefault="00502A09" w:rsidP="00723269">
      <w:pPr>
        <w:tabs>
          <w:tab w:val="left" w:pos="851"/>
        </w:tabs>
        <w:spacing w:after="360"/>
        <w:rPr>
          <w:rFonts w:cs="Arial"/>
          <w:color w:val="FFFFFF" w:themeColor="background2"/>
          <w:lang w:val="en-AU"/>
        </w:rPr>
      </w:pPr>
      <w:r w:rsidRPr="00436AC4">
        <w:rPr>
          <w:rFonts w:cs="Arial"/>
          <w:color w:val="FFFFFF" w:themeColor="background2"/>
          <w:lang w:val="en-AU"/>
        </w:rPr>
        <w:t>Phone</w:t>
      </w:r>
      <w:r w:rsidR="00723269" w:rsidRPr="00436AC4">
        <w:rPr>
          <w:rFonts w:cs="Arial"/>
          <w:color w:val="FFFFFF" w:themeColor="background2"/>
          <w:lang w:val="en-AU"/>
        </w:rPr>
        <w:tab/>
      </w:r>
      <w:r w:rsidRPr="00436AC4">
        <w:rPr>
          <w:rFonts w:cs="Arial"/>
          <w:color w:val="54C1AF" w:themeColor="background1"/>
          <w:lang w:val="en-AU"/>
        </w:rPr>
        <w:t>02 8215 1100</w:t>
      </w:r>
      <w:r w:rsidRPr="00436AC4">
        <w:rPr>
          <w:rFonts w:cs="Arial"/>
          <w:color w:val="FFFFFF" w:themeColor="background2"/>
          <w:lang w:val="en-AU"/>
        </w:rPr>
        <w:br/>
        <w:t>Email</w:t>
      </w:r>
      <w:r w:rsidR="00723269" w:rsidRPr="00436AC4">
        <w:rPr>
          <w:rFonts w:cs="Arial"/>
          <w:color w:val="FFFFFF" w:themeColor="background2"/>
          <w:lang w:val="en-AU"/>
        </w:rPr>
        <w:tab/>
      </w:r>
      <w:hyperlink r:id="rId17" w:history="1">
        <w:r w:rsidR="007D66F0" w:rsidRPr="00B36103">
          <w:rPr>
            <w:color w:val="54C1AF" w:themeColor="background1"/>
          </w:rPr>
          <w:t>enquiries.ihacpa@ihacpa.gov.au</w:t>
        </w:r>
      </w:hyperlink>
      <w:r w:rsidRPr="00B36103">
        <w:rPr>
          <w:rFonts w:cs="Arial"/>
          <w:color w:val="FFFFFF" w:themeColor="background2"/>
          <w:lang w:val="en-AU"/>
        </w:rPr>
        <w:br/>
        <w:t>Twitter</w:t>
      </w:r>
      <w:r w:rsidR="00723269" w:rsidRPr="00B36103">
        <w:rPr>
          <w:rFonts w:cs="Arial"/>
          <w:color w:val="FFFFFF" w:themeColor="background2"/>
          <w:lang w:val="en-AU"/>
        </w:rPr>
        <w:tab/>
      </w:r>
      <w:hyperlink r:id="rId18" w:history="1">
        <w:r w:rsidRPr="00B36103">
          <w:rPr>
            <w:rStyle w:val="Hyperlink"/>
            <w:rFonts w:cs="Arial"/>
            <w:color w:val="54C1AF" w:themeColor="accent5"/>
            <w:lang w:val="en-AU"/>
          </w:rPr>
          <w:t>@</w:t>
        </w:r>
        <w:r w:rsidR="007D66F0" w:rsidRPr="00B36103">
          <w:rPr>
            <w:rStyle w:val="Hyperlink"/>
            <w:rFonts w:cs="Arial"/>
            <w:color w:val="54C1AF" w:themeColor="accent5"/>
            <w:lang w:val="en-AU"/>
          </w:rPr>
          <w:t>ihacpa</w:t>
        </w:r>
      </w:hyperlink>
    </w:p>
    <w:p w14:paraId="55FBC7ED" w14:textId="7BA0C875" w:rsidR="00502A09" w:rsidRPr="009D055F" w:rsidRDefault="00FB7003" w:rsidP="009D055F">
      <w:pPr>
        <w:tabs>
          <w:tab w:val="left" w:pos="851"/>
        </w:tabs>
        <w:spacing w:after="360"/>
        <w:rPr>
          <w:color w:val="54C1AF" w:themeColor="background1"/>
        </w:rPr>
      </w:pPr>
      <w:hyperlink r:id="rId19" w:history="1">
        <w:r w:rsidR="00C075E3" w:rsidRPr="00B36103">
          <w:rPr>
            <w:color w:val="54C1AF" w:themeColor="background1"/>
          </w:rPr>
          <w:t>www.ihacpa.gov.au</w:t>
        </w:r>
      </w:hyperlink>
    </w:p>
    <w:sectPr w:rsidR="00502A09" w:rsidRPr="009D055F" w:rsidSect="00C5503B">
      <w:headerReference w:type="default" r:id="rId20"/>
      <w:footerReference w:type="default" r:id="rId21"/>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22A1F" w14:textId="77777777" w:rsidR="005A28AF" w:rsidRDefault="005A28AF" w:rsidP="00DC0458">
      <w:pPr>
        <w:spacing w:after="0" w:line="240" w:lineRule="auto"/>
      </w:pPr>
      <w:r>
        <w:separator/>
      </w:r>
    </w:p>
    <w:p w14:paraId="4896A082" w14:textId="77777777" w:rsidR="005A28AF" w:rsidRDefault="005A28AF"/>
  </w:endnote>
  <w:endnote w:type="continuationSeparator" w:id="0">
    <w:p w14:paraId="53826DD9" w14:textId="77777777" w:rsidR="005A28AF" w:rsidRDefault="005A28AF" w:rsidP="00DC0458">
      <w:pPr>
        <w:spacing w:after="0" w:line="240" w:lineRule="auto"/>
      </w:pPr>
      <w:r>
        <w:continuationSeparator/>
      </w:r>
    </w:p>
    <w:p w14:paraId="4DBD08E7" w14:textId="77777777" w:rsidR="005A28AF" w:rsidRDefault="005A28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ira Sans regular">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w:charset w:val="00"/>
    <w:family w:val="swiss"/>
    <w:pitch w:val="variable"/>
    <w:sig w:usb0="600002FF" w:usb1="00000001" w:usb2="00000000" w:usb3="00000000" w:csb0="0000019F" w:csb1="00000000"/>
  </w:font>
  <w:font w:name="Josefin Sans Bold">
    <w:charset w:val="00"/>
    <w:family w:val="auto"/>
    <w:pitch w:val="variable"/>
    <w:sig w:usb0="A00000FF" w:usb1="4000204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C27FA" w14:textId="085C00B4" w:rsidR="00493FE8" w:rsidRDefault="00737B50" w:rsidP="00271FC1">
    <w:pPr>
      <w:pStyle w:val="Footer"/>
      <w:tabs>
        <w:tab w:val="clear" w:pos="4680"/>
        <w:tab w:val="clear" w:pos="9360"/>
        <w:tab w:val="center" w:pos="13750"/>
      </w:tabs>
    </w:pPr>
    <w:r>
      <w:rPr>
        <w:b/>
        <w:bCs/>
      </w:rPr>
      <w:t>IHACPA</w:t>
    </w:r>
    <w:r w:rsidR="00493FE8">
      <w:t xml:space="preserve"> </w:t>
    </w:r>
    <w:r w:rsidR="005C4CD9" w:rsidRPr="005C4CD9">
      <w:t>Confidential Data Management Policy</w:t>
    </w:r>
    <w:r w:rsidR="00493FE8">
      <w:tab/>
    </w:r>
    <w:r w:rsidR="00493FE8">
      <w:fldChar w:fldCharType="begin"/>
    </w:r>
    <w:r w:rsidR="00493FE8">
      <w:instrText xml:space="preserve"> PAGE   \* MERGEFORMAT </w:instrText>
    </w:r>
    <w:r w:rsidR="00493FE8">
      <w:fldChar w:fldCharType="separate"/>
    </w:r>
    <w:r w:rsidR="00493FE8">
      <w:rPr>
        <w:noProof/>
      </w:rPr>
      <w:t>1</w:t>
    </w:r>
    <w:r w:rsidR="00493FE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7315" w14:textId="37C1BF47" w:rsidR="00723269" w:rsidRPr="00723269" w:rsidRDefault="00723269" w:rsidP="00723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F0BA0" w14:textId="77777777" w:rsidR="005A28AF" w:rsidRDefault="005A28AF" w:rsidP="00DC0458">
      <w:pPr>
        <w:spacing w:after="0" w:line="240" w:lineRule="auto"/>
      </w:pPr>
      <w:r>
        <w:separator/>
      </w:r>
    </w:p>
  </w:footnote>
  <w:footnote w:type="continuationSeparator" w:id="0">
    <w:p w14:paraId="33A41A10" w14:textId="77777777" w:rsidR="005A28AF" w:rsidRDefault="005A28AF" w:rsidP="00DC0458">
      <w:pPr>
        <w:spacing w:after="0" w:line="240" w:lineRule="auto"/>
      </w:pPr>
      <w:r>
        <w:continuationSeparator/>
      </w:r>
    </w:p>
    <w:p w14:paraId="3988AD75" w14:textId="77777777" w:rsidR="005A28AF" w:rsidRDefault="005A28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50E66" w14:textId="73F75FF6" w:rsidR="00257DF2" w:rsidRDefault="00493FE8">
    <w:pPr>
      <w:pStyle w:val="Header"/>
    </w:pPr>
    <w:r>
      <w:rPr>
        <w:noProof/>
      </w:rPr>
      <w:drawing>
        <wp:anchor distT="0" distB="0" distL="114300" distR="114300" simplePos="0" relativeHeight="251665408" behindDoc="1" locked="0" layoutInCell="1" allowOverlap="1" wp14:anchorId="74294811" wp14:editId="3C885141">
          <wp:simplePos x="0" y="0"/>
          <wp:positionH relativeFrom="margin">
            <wp:posOffset>-685800</wp:posOffset>
          </wp:positionH>
          <wp:positionV relativeFrom="paragraph">
            <wp:posOffset>-449580</wp:posOffset>
          </wp:positionV>
          <wp:extent cx="7573925" cy="10712174"/>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925" cy="1071217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59371" w14:textId="77777777" w:rsidR="00493FE8" w:rsidRDefault="00493F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D58B2" w14:textId="1B141A50" w:rsidR="00502A09" w:rsidRDefault="00723269">
    <w:pPr>
      <w:pStyle w:val="Header"/>
    </w:pPr>
    <w:r>
      <w:rPr>
        <w:noProof/>
      </w:rPr>
      <w:drawing>
        <wp:anchor distT="0" distB="0" distL="114300" distR="114300" simplePos="0" relativeHeight="251667456" behindDoc="1" locked="0" layoutInCell="1" allowOverlap="1" wp14:anchorId="6D423E8F" wp14:editId="11233C90">
          <wp:simplePos x="0" y="0"/>
          <wp:positionH relativeFrom="page">
            <wp:align>left</wp:align>
          </wp:positionH>
          <wp:positionV relativeFrom="paragraph">
            <wp:posOffset>-453308</wp:posOffset>
          </wp:positionV>
          <wp:extent cx="7573879" cy="10699668"/>
          <wp:effectExtent l="0" t="0" r="8255" b="6985"/>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3879" cy="1069966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197035D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0252A15"/>
    <w:multiLevelType w:val="hybridMultilevel"/>
    <w:tmpl w:val="58EA6ACA"/>
    <w:lvl w:ilvl="0" w:tplc="FFFFFFFF">
      <w:numFmt w:val="bullet"/>
      <w:lvlText w:val="–"/>
      <w:lvlJc w:val="left"/>
      <w:pPr>
        <w:ind w:left="720" w:hanging="720"/>
      </w:pPr>
      <w:rPr>
        <w:rFonts w:ascii="Fira Sans regular" w:eastAsiaTheme="minorHAnsi" w:hAnsi="Fira Sans regular" w:cstheme="minorBidi" w:hint="default"/>
      </w:rPr>
    </w:lvl>
    <w:lvl w:ilvl="1" w:tplc="5E622CB2">
      <w:numFmt w:val="bullet"/>
      <w:lvlText w:val="–"/>
      <w:lvlJc w:val="left"/>
      <w:pPr>
        <w:ind w:left="1080" w:hanging="360"/>
      </w:pPr>
      <w:rPr>
        <w:rFonts w:ascii="Fira Sans regular" w:eastAsiaTheme="minorHAnsi" w:hAnsi="Fira Sans regular" w:cstheme="minorBid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66F066B"/>
    <w:multiLevelType w:val="hybridMultilevel"/>
    <w:tmpl w:val="EAF2C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476A22"/>
    <w:multiLevelType w:val="hybridMultilevel"/>
    <w:tmpl w:val="E1146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E80CDA"/>
    <w:multiLevelType w:val="hybridMultilevel"/>
    <w:tmpl w:val="62189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3D44EF"/>
    <w:multiLevelType w:val="hybridMultilevel"/>
    <w:tmpl w:val="9B5A6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7C25BA"/>
    <w:multiLevelType w:val="multilevel"/>
    <w:tmpl w:val="58E24BB4"/>
    <w:lvl w:ilvl="0">
      <w:start w:val="1"/>
      <w:numFmt w:val="decimal"/>
      <w:pStyle w:val="Heading1"/>
      <w:lvlText w:val="%1."/>
      <w:lvlJc w:val="left"/>
      <w:pPr>
        <w:ind w:left="1080" w:hanging="720"/>
      </w:pPr>
      <w:rPr>
        <w:rFonts w:hint="default"/>
      </w:rPr>
    </w:lvl>
    <w:lvl w:ilvl="1">
      <w:start w:val="1"/>
      <w:numFmt w:val="decimal"/>
      <w:pStyle w:val="Heading2"/>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44E3769"/>
    <w:multiLevelType w:val="hybridMultilevel"/>
    <w:tmpl w:val="019E6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3F3690"/>
    <w:multiLevelType w:val="hybridMultilevel"/>
    <w:tmpl w:val="E9A4C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C83AD2"/>
    <w:multiLevelType w:val="hybridMultilevel"/>
    <w:tmpl w:val="92D43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154AE7"/>
    <w:multiLevelType w:val="hybridMultilevel"/>
    <w:tmpl w:val="6A582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511B43"/>
    <w:multiLevelType w:val="hybridMultilevel"/>
    <w:tmpl w:val="43A2F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E84719"/>
    <w:multiLevelType w:val="hybridMultilevel"/>
    <w:tmpl w:val="92FA0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0339A5"/>
    <w:multiLevelType w:val="hybridMultilevel"/>
    <w:tmpl w:val="42D68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4D08B5"/>
    <w:multiLevelType w:val="hybridMultilevel"/>
    <w:tmpl w:val="76787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3C64DA"/>
    <w:multiLevelType w:val="hybridMultilevel"/>
    <w:tmpl w:val="95987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02340D"/>
    <w:multiLevelType w:val="hybridMultilevel"/>
    <w:tmpl w:val="E3CA5B62"/>
    <w:lvl w:ilvl="0" w:tplc="B20AB1B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8961F9"/>
    <w:multiLevelType w:val="hybridMultilevel"/>
    <w:tmpl w:val="B47C66B8"/>
    <w:lvl w:ilvl="0" w:tplc="E96C9780">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EF78CC"/>
    <w:multiLevelType w:val="hybridMultilevel"/>
    <w:tmpl w:val="0EE6E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511C76"/>
    <w:multiLevelType w:val="hybridMultilevel"/>
    <w:tmpl w:val="2FD2E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6F1E89"/>
    <w:multiLevelType w:val="hybridMultilevel"/>
    <w:tmpl w:val="38184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39F12DE"/>
    <w:multiLevelType w:val="hybridMultilevel"/>
    <w:tmpl w:val="367EE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38749A"/>
    <w:multiLevelType w:val="hybridMultilevel"/>
    <w:tmpl w:val="F46A2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A405E9"/>
    <w:multiLevelType w:val="hybridMultilevel"/>
    <w:tmpl w:val="CAFA5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29091C"/>
    <w:multiLevelType w:val="hybridMultilevel"/>
    <w:tmpl w:val="2F4A7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966F40"/>
    <w:multiLevelType w:val="hybridMultilevel"/>
    <w:tmpl w:val="378A2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D00BA4"/>
    <w:multiLevelType w:val="hybridMultilevel"/>
    <w:tmpl w:val="797851D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7" w15:restartNumberingAfterBreak="0">
    <w:nsid w:val="48FD4E38"/>
    <w:multiLevelType w:val="hybridMultilevel"/>
    <w:tmpl w:val="DB2E1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8F0369"/>
    <w:multiLevelType w:val="hybridMultilevel"/>
    <w:tmpl w:val="FEFEF42A"/>
    <w:lvl w:ilvl="0" w:tplc="CEC05884">
      <w:start w:val="1"/>
      <w:numFmt w:val="bullet"/>
      <w:pStyle w:val="ListLevel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E2645DE"/>
    <w:multiLevelType w:val="hybridMultilevel"/>
    <w:tmpl w:val="19F05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17E03D2"/>
    <w:multiLevelType w:val="hybridMultilevel"/>
    <w:tmpl w:val="600E7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4A5030"/>
    <w:multiLevelType w:val="hybridMultilevel"/>
    <w:tmpl w:val="8BD298AA"/>
    <w:lvl w:ilvl="0" w:tplc="D53AA28A">
      <w:numFmt w:val="bullet"/>
      <w:lvlText w:val="–"/>
      <w:lvlJc w:val="left"/>
      <w:pPr>
        <w:ind w:left="720" w:hanging="720"/>
      </w:pPr>
      <w:rPr>
        <w:rFonts w:ascii="Fira Sans regular" w:eastAsiaTheme="minorHAnsi" w:hAnsi="Fira Sans regular" w:cstheme="minorBidi" w:hint="default"/>
      </w:rPr>
    </w:lvl>
    <w:lvl w:ilvl="1" w:tplc="2B7ED244">
      <w:start w:val="1"/>
      <w:numFmt w:val="bullet"/>
      <w:pStyle w:val="ListLevel2"/>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32" w15:restartNumberingAfterBreak="0">
    <w:nsid w:val="55881006"/>
    <w:multiLevelType w:val="hybridMultilevel"/>
    <w:tmpl w:val="F73A2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4E36DB"/>
    <w:multiLevelType w:val="hybridMultilevel"/>
    <w:tmpl w:val="456E1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15B3A57"/>
    <w:multiLevelType w:val="hybridMultilevel"/>
    <w:tmpl w:val="AE4AE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2552220"/>
    <w:multiLevelType w:val="hybridMultilevel"/>
    <w:tmpl w:val="BD747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613362E"/>
    <w:multiLevelType w:val="hybridMultilevel"/>
    <w:tmpl w:val="86D64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8B527D6"/>
    <w:multiLevelType w:val="hybridMultilevel"/>
    <w:tmpl w:val="FCE2F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091251"/>
    <w:multiLevelType w:val="hybridMultilevel"/>
    <w:tmpl w:val="093C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B821D4A"/>
    <w:multiLevelType w:val="hybridMultilevel"/>
    <w:tmpl w:val="8A36C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CF30772"/>
    <w:multiLevelType w:val="hybridMultilevel"/>
    <w:tmpl w:val="94FAD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E7F46D2"/>
    <w:multiLevelType w:val="hybridMultilevel"/>
    <w:tmpl w:val="6F66FF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0F662AD"/>
    <w:multiLevelType w:val="hybridMultilevel"/>
    <w:tmpl w:val="AEA45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1337B9C"/>
    <w:multiLevelType w:val="hybridMultilevel"/>
    <w:tmpl w:val="DF267398"/>
    <w:lvl w:ilvl="0" w:tplc="0C090001">
      <w:start w:val="1"/>
      <w:numFmt w:val="bullet"/>
      <w:lvlText w:val=""/>
      <w:lvlJc w:val="left"/>
      <w:pPr>
        <w:ind w:left="720" w:hanging="360"/>
      </w:pPr>
      <w:rPr>
        <w:rFonts w:ascii="Symbol" w:hAnsi="Symbol" w:hint="default"/>
      </w:rPr>
    </w:lvl>
    <w:lvl w:ilvl="1" w:tplc="0C09001B">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BF53BB7"/>
    <w:multiLevelType w:val="hybridMultilevel"/>
    <w:tmpl w:val="40324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876AB6"/>
    <w:multiLevelType w:val="hybridMultilevel"/>
    <w:tmpl w:val="229C2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06856790">
    <w:abstractNumId w:val="26"/>
  </w:num>
  <w:num w:numId="2" w16cid:durableId="723717137">
    <w:abstractNumId w:val="31"/>
  </w:num>
  <w:num w:numId="3" w16cid:durableId="2115008427">
    <w:abstractNumId w:val="1"/>
  </w:num>
  <w:num w:numId="4" w16cid:durableId="297758975">
    <w:abstractNumId w:val="31"/>
  </w:num>
  <w:num w:numId="5" w16cid:durableId="789280829">
    <w:abstractNumId w:val="1"/>
  </w:num>
  <w:num w:numId="6" w16cid:durableId="763303453">
    <w:abstractNumId w:val="6"/>
  </w:num>
  <w:num w:numId="7" w16cid:durableId="716667297">
    <w:abstractNumId w:val="4"/>
  </w:num>
  <w:num w:numId="8" w16cid:durableId="788858953">
    <w:abstractNumId w:val="41"/>
  </w:num>
  <w:num w:numId="9" w16cid:durableId="355157584">
    <w:abstractNumId w:val="3"/>
  </w:num>
  <w:num w:numId="10" w16cid:durableId="294526042">
    <w:abstractNumId w:val="44"/>
  </w:num>
  <w:num w:numId="11" w16cid:durableId="1328096805">
    <w:abstractNumId w:val="2"/>
  </w:num>
  <w:num w:numId="12" w16cid:durableId="1259175275">
    <w:abstractNumId w:val="13"/>
  </w:num>
  <w:num w:numId="13" w16cid:durableId="1222713453">
    <w:abstractNumId w:val="32"/>
  </w:num>
  <w:num w:numId="14" w16cid:durableId="553395470">
    <w:abstractNumId w:val="30"/>
  </w:num>
  <w:num w:numId="15" w16cid:durableId="1925216512">
    <w:abstractNumId w:val="11"/>
  </w:num>
  <w:num w:numId="16" w16cid:durableId="1095321477">
    <w:abstractNumId w:val="38"/>
  </w:num>
  <w:num w:numId="17" w16cid:durableId="1188375762">
    <w:abstractNumId w:val="22"/>
  </w:num>
  <w:num w:numId="18" w16cid:durableId="653602608">
    <w:abstractNumId w:val="42"/>
  </w:num>
  <w:num w:numId="19" w16cid:durableId="1682777489">
    <w:abstractNumId w:val="20"/>
  </w:num>
  <w:num w:numId="20" w16cid:durableId="609825916">
    <w:abstractNumId w:val="39"/>
  </w:num>
  <w:num w:numId="21" w16cid:durableId="885146526">
    <w:abstractNumId w:val="25"/>
  </w:num>
  <w:num w:numId="22" w16cid:durableId="909658235">
    <w:abstractNumId w:val="33"/>
  </w:num>
  <w:num w:numId="23" w16cid:durableId="2121412788">
    <w:abstractNumId w:val="29"/>
  </w:num>
  <w:num w:numId="24" w16cid:durableId="1655061356">
    <w:abstractNumId w:val="36"/>
  </w:num>
  <w:num w:numId="25" w16cid:durableId="351422092">
    <w:abstractNumId w:val="18"/>
  </w:num>
  <w:num w:numId="26" w16cid:durableId="309403919">
    <w:abstractNumId w:val="27"/>
  </w:num>
  <w:num w:numId="27" w16cid:durableId="148985145">
    <w:abstractNumId w:val="0"/>
  </w:num>
  <w:num w:numId="28" w16cid:durableId="1106383732">
    <w:abstractNumId w:val="28"/>
  </w:num>
  <w:num w:numId="29" w16cid:durableId="625501348">
    <w:abstractNumId w:val="43"/>
  </w:num>
  <w:num w:numId="30" w16cid:durableId="451901219">
    <w:abstractNumId w:val="15"/>
  </w:num>
  <w:num w:numId="31" w16cid:durableId="1179656216">
    <w:abstractNumId w:val="34"/>
  </w:num>
  <w:num w:numId="32" w16cid:durableId="1964572825">
    <w:abstractNumId w:val="10"/>
  </w:num>
  <w:num w:numId="33" w16cid:durableId="1650090379">
    <w:abstractNumId w:val="16"/>
  </w:num>
  <w:num w:numId="34" w16cid:durableId="1840343352">
    <w:abstractNumId w:val="21"/>
  </w:num>
  <w:num w:numId="35" w16cid:durableId="91635416">
    <w:abstractNumId w:val="14"/>
  </w:num>
  <w:num w:numId="36" w16cid:durableId="581065911">
    <w:abstractNumId w:val="37"/>
  </w:num>
  <w:num w:numId="37" w16cid:durableId="992300151">
    <w:abstractNumId w:val="45"/>
  </w:num>
  <w:num w:numId="38" w16cid:durableId="298610622">
    <w:abstractNumId w:val="40"/>
  </w:num>
  <w:num w:numId="39" w16cid:durableId="409278331">
    <w:abstractNumId w:val="12"/>
  </w:num>
  <w:num w:numId="40" w16cid:durableId="16123234">
    <w:abstractNumId w:val="35"/>
  </w:num>
  <w:num w:numId="41" w16cid:durableId="429397514">
    <w:abstractNumId w:val="19"/>
  </w:num>
  <w:num w:numId="42" w16cid:durableId="1515462002">
    <w:abstractNumId w:val="23"/>
  </w:num>
  <w:num w:numId="43" w16cid:durableId="1493133496">
    <w:abstractNumId w:val="9"/>
  </w:num>
  <w:num w:numId="44" w16cid:durableId="1054695107">
    <w:abstractNumId w:val="5"/>
  </w:num>
  <w:num w:numId="45" w16cid:durableId="2052799799">
    <w:abstractNumId w:val="7"/>
  </w:num>
  <w:num w:numId="46" w16cid:durableId="1228146240">
    <w:abstractNumId w:val="24"/>
  </w:num>
  <w:num w:numId="47" w16cid:durableId="6178117">
    <w:abstractNumId w:val="17"/>
  </w:num>
  <w:num w:numId="48" w16cid:durableId="6872196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E50"/>
    <w:rsid w:val="00000C47"/>
    <w:rsid w:val="00002F99"/>
    <w:rsid w:val="00006557"/>
    <w:rsid w:val="00007BBC"/>
    <w:rsid w:val="00010DBE"/>
    <w:rsid w:val="000119E1"/>
    <w:rsid w:val="000166A0"/>
    <w:rsid w:val="00020A8B"/>
    <w:rsid w:val="00030FD6"/>
    <w:rsid w:val="000328C3"/>
    <w:rsid w:val="00040667"/>
    <w:rsid w:val="00046CBA"/>
    <w:rsid w:val="00047CE3"/>
    <w:rsid w:val="00051A7E"/>
    <w:rsid w:val="00062AB7"/>
    <w:rsid w:val="00070BD8"/>
    <w:rsid w:val="00070D12"/>
    <w:rsid w:val="000725E4"/>
    <w:rsid w:val="000774C7"/>
    <w:rsid w:val="00077CF5"/>
    <w:rsid w:val="00090D76"/>
    <w:rsid w:val="000972C0"/>
    <w:rsid w:val="000A1964"/>
    <w:rsid w:val="000A635A"/>
    <w:rsid w:val="000A637B"/>
    <w:rsid w:val="000B5951"/>
    <w:rsid w:val="000C39D8"/>
    <w:rsid w:val="000C6221"/>
    <w:rsid w:val="000E25CC"/>
    <w:rsid w:val="000E6112"/>
    <w:rsid w:val="000F1C1F"/>
    <w:rsid w:val="000F444A"/>
    <w:rsid w:val="00101439"/>
    <w:rsid w:val="00102321"/>
    <w:rsid w:val="001035A0"/>
    <w:rsid w:val="00107591"/>
    <w:rsid w:val="001152D4"/>
    <w:rsid w:val="00115614"/>
    <w:rsid w:val="00130A11"/>
    <w:rsid w:val="0013544E"/>
    <w:rsid w:val="00137504"/>
    <w:rsid w:val="00151838"/>
    <w:rsid w:val="00163AF9"/>
    <w:rsid w:val="0016408A"/>
    <w:rsid w:val="00164278"/>
    <w:rsid w:val="001650A8"/>
    <w:rsid w:val="00165D3D"/>
    <w:rsid w:val="00180DFA"/>
    <w:rsid w:val="001829AA"/>
    <w:rsid w:val="00183129"/>
    <w:rsid w:val="0019177C"/>
    <w:rsid w:val="00192F2F"/>
    <w:rsid w:val="001B29EE"/>
    <w:rsid w:val="001B6F35"/>
    <w:rsid w:val="001C1701"/>
    <w:rsid w:val="001D3F15"/>
    <w:rsid w:val="001D58EE"/>
    <w:rsid w:val="001D5BBA"/>
    <w:rsid w:val="001D7EE8"/>
    <w:rsid w:val="001E2B0D"/>
    <w:rsid w:val="001E51CB"/>
    <w:rsid w:val="001F34B0"/>
    <w:rsid w:val="001F4298"/>
    <w:rsid w:val="001F7524"/>
    <w:rsid w:val="002056CC"/>
    <w:rsid w:val="002108AF"/>
    <w:rsid w:val="00233D00"/>
    <w:rsid w:val="00237137"/>
    <w:rsid w:val="0024043A"/>
    <w:rsid w:val="00257856"/>
    <w:rsid w:val="00257DF2"/>
    <w:rsid w:val="00264D19"/>
    <w:rsid w:val="002709C4"/>
    <w:rsid w:val="00271FC1"/>
    <w:rsid w:val="00274487"/>
    <w:rsid w:val="00276510"/>
    <w:rsid w:val="00287CD5"/>
    <w:rsid w:val="00291F6B"/>
    <w:rsid w:val="00292ED9"/>
    <w:rsid w:val="002A50EE"/>
    <w:rsid w:val="002F174B"/>
    <w:rsid w:val="002F455D"/>
    <w:rsid w:val="0030315D"/>
    <w:rsid w:val="00312027"/>
    <w:rsid w:val="00312C78"/>
    <w:rsid w:val="003156D4"/>
    <w:rsid w:val="00317A1E"/>
    <w:rsid w:val="00320840"/>
    <w:rsid w:val="0032340D"/>
    <w:rsid w:val="0032358C"/>
    <w:rsid w:val="00327582"/>
    <w:rsid w:val="003416D6"/>
    <w:rsid w:val="00342D62"/>
    <w:rsid w:val="0036017B"/>
    <w:rsid w:val="00371EAC"/>
    <w:rsid w:val="003767D3"/>
    <w:rsid w:val="003773A8"/>
    <w:rsid w:val="003813A8"/>
    <w:rsid w:val="00381591"/>
    <w:rsid w:val="00384CF7"/>
    <w:rsid w:val="003A41A0"/>
    <w:rsid w:val="003B24B2"/>
    <w:rsid w:val="003B53C5"/>
    <w:rsid w:val="003B646C"/>
    <w:rsid w:val="003B7A0C"/>
    <w:rsid w:val="003C360C"/>
    <w:rsid w:val="003C76F2"/>
    <w:rsid w:val="003D3EC5"/>
    <w:rsid w:val="003E2976"/>
    <w:rsid w:val="003F2EA1"/>
    <w:rsid w:val="00412210"/>
    <w:rsid w:val="0042475E"/>
    <w:rsid w:val="00430EA5"/>
    <w:rsid w:val="00436AC4"/>
    <w:rsid w:val="00437156"/>
    <w:rsid w:val="00440461"/>
    <w:rsid w:val="004470A6"/>
    <w:rsid w:val="00450177"/>
    <w:rsid w:val="00450CA4"/>
    <w:rsid w:val="00451341"/>
    <w:rsid w:val="004606DD"/>
    <w:rsid w:val="004621A6"/>
    <w:rsid w:val="00465F58"/>
    <w:rsid w:val="00481DC1"/>
    <w:rsid w:val="004914CE"/>
    <w:rsid w:val="00491B15"/>
    <w:rsid w:val="004930EE"/>
    <w:rsid w:val="00493FE8"/>
    <w:rsid w:val="00494721"/>
    <w:rsid w:val="0049520A"/>
    <w:rsid w:val="004A08D3"/>
    <w:rsid w:val="004A35C4"/>
    <w:rsid w:val="004A41FB"/>
    <w:rsid w:val="004A725E"/>
    <w:rsid w:val="004C26D7"/>
    <w:rsid w:val="004D06E5"/>
    <w:rsid w:val="004D3196"/>
    <w:rsid w:val="004D7DD4"/>
    <w:rsid w:val="004F4090"/>
    <w:rsid w:val="00502A09"/>
    <w:rsid w:val="005318DB"/>
    <w:rsid w:val="00533885"/>
    <w:rsid w:val="00543703"/>
    <w:rsid w:val="00550CFD"/>
    <w:rsid w:val="0056060A"/>
    <w:rsid w:val="0056645F"/>
    <w:rsid w:val="00567EAE"/>
    <w:rsid w:val="0057133D"/>
    <w:rsid w:val="00582F4B"/>
    <w:rsid w:val="00592EE4"/>
    <w:rsid w:val="0059569F"/>
    <w:rsid w:val="005972D0"/>
    <w:rsid w:val="005A28AF"/>
    <w:rsid w:val="005B4CD4"/>
    <w:rsid w:val="005B66FD"/>
    <w:rsid w:val="005C4CD9"/>
    <w:rsid w:val="005E330F"/>
    <w:rsid w:val="005F15C4"/>
    <w:rsid w:val="005F7854"/>
    <w:rsid w:val="00600574"/>
    <w:rsid w:val="006026DD"/>
    <w:rsid w:val="006058CF"/>
    <w:rsid w:val="006117DF"/>
    <w:rsid w:val="00611EC0"/>
    <w:rsid w:val="0061234D"/>
    <w:rsid w:val="006171CB"/>
    <w:rsid w:val="006213C4"/>
    <w:rsid w:val="00622139"/>
    <w:rsid w:val="006312C3"/>
    <w:rsid w:val="006325D6"/>
    <w:rsid w:val="00636846"/>
    <w:rsid w:val="00640F4A"/>
    <w:rsid w:val="00641DBF"/>
    <w:rsid w:val="006677A2"/>
    <w:rsid w:val="0067489A"/>
    <w:rsid w:val="00683542"/>
    <w:rsid w:val="00685E62"/>
    <w:rsid w:val="00696592"/>
    <w:rsid w:val="006A0FFE"/>
    <w:rsid w:val="006B1031"/>
    <w:rsid w:val="006C13CE"/>
    <w:rsid w:val="006D0BA2"/>
    <w:rsid w:val="006E1CD3"/>
    <w:rsid w:val="006E351D"/>
    <w:rsid w:val="006F2EFC"/>
    <w:rsid w:val="00701984"/>
    <w:rsid w:val="00701FD0"/>
    <w:rsid w:val="00707A91"/>
    <w:rsid w:val="00723269"/>
    <w:rsid w:val="00735045"/>
    <w:rsid w:val="00737B50"/>
    <w:rsid w:val="007403BC"/>
    <w:rsid w:val="00755DC3"/>
    <w:rsid w:val="007622B9"/>
    <w:rsid w:val="007639EC"/>
    <w:rsid w:val="007667FC"/>
    <w:rsid w:val="00771747"/>
    <w:rsid w:val="0077245A"/>
    <w:rsid w:val="00775E50"/>
    <w:rsid w:val="007764C1"/>
    <w:rsid w:val="007822BE"/>
    <w:rsid w:val="007852BA"/>
    <w:rsid w:val="007876D2"/>
    <w:rsid w:val="00790C87"/>
    <w:rsid w:val="007B6A60"/>
    <w:rsid w:val="007C1BF1"/>
    <w:rsid w:val="007D66F0"/>
    <w:rsid w:val="007F1699"/>
    <w:rsid w:val="007F1B0A"/>
    <w:rsid w:val="007F3660"/>
    <w:rsid w:val="00801B78"/>
    <w:rsid w:val="00801C5C"/>
    <w:rsid w:val="0083269C"/>
    <w:rsid w:val="00872C1D"/>
    <w:rsid w:val="0088684B"/>
    <w:rsid w:val="0089650D"/>
    <w:rsid w:val="008A3F4C"/>
    <w:rsid w:val="008B1300"/>
    <w:rsid w:val="008B39F8"/>
    <w:rsid w:val="008C6256"/>
    <w:rsid w:val="008D3054"/>
    <w:rsid w:val="008F4E00"/>
    <w:rsid w:val="00905598"/>
    <w:rsid w:val="00917AF6"/>
    <w:rsid w:val="00921469"/>
    <w:rsid w:val="0092379F"/>
    <w:rsid w:val="0093534E"/>
    <w:rsid w:val="0094620A"/>
    <w:rsid w:val="009511A5"/>
    <w:rsid w:val="00952D72"/>
    <w:rsid w:val="00955BA5"/>
    <w:rsid w:val="00962F3D"/>
    <w:rsid w:val="00966AF6"/>
    <w:rsid w:val="009721F9"/>
    <w:rsid w:val="00977E6D"/>
    <w:rsid w:val="009819D1"/>
    <w:rsid w:val="009B5C43"/>
    <w:rsid w:val="009D055F"/>
    <w:rsid w:val="009D3D28"/>
    <w:rsid w:val="009D5FD8"/>
    <w:rsid w:val="009E1F85"/>
    <w:rsid w:val="009E386D"/>
    <w:rsid w:val="009E5FB4"/>
    <w:rsid w:val="009F0034"/>
    <w:rsid w:val="009F266F"/>
    <w:rsid w:val="00A0374C"/>
    <w:rsid w:val="00A22435"/>
    <w:rsid w:val="00A229CD"/>
    <w:rsid w:val="00A36A90"/>
    <w:rsid w:val="00A47BBB"/>
    <w:rsid w:val="00A51E38"/>
    <w:rsid w:val="00A5626C"/>
    <w:rsid w:val="00A57B6A"/>
    <w:rsid w:val="00A60003"/>
    <w:rsid w:val="00A77B94"/>
    <w:rsid w:val="00A77FFE"/>
    <w:rsid w:val="00A83828"/>
    <w:rsid w:val="00A8595D"/>
    <w:rsid w:val="00A9781B"/>
    <w:rsid w:val="00AA0D3A"/>
    <w:rsid w:val="00AA2F42"/>
    <w:rsid w:val="00AB5FB9"/>
    <w:rsid w:val="00AC3066"/>
    <w:rsid w:val="00AC3DF7"/>
    <w:rsid w:val="00AC4038"/>
    <w:rsid w:val="00AD22E1"/>
    <w:rsid w:val="00AD7862"/>
    <w:rsid w:val="00AE1DFB"/>
    <w:rsid w:val="00AE50E1"/>
    <w:rsid w:val="00AE5A52"/>
    <w:rsid w:val="00AF1A53"/>
    <w:rsid w:val="00B029E5"/>
    <w:rsid w:val="00B10698"/>
    <w:rsid w:val="00B11E69"/>
    <w:rsid w:val="00B15625"/>
    <w:rsid w:val="00B22A7E"/>
    <w:rsid w:val="00B31DDE"/>
    <w:rsid w:val="00B33F98"/>
    <w:rsid w:val="00B36103"/>
    <w:rsid w:val="00B4468B"/>
    <w:rsid w:val="00B70D33"/>
    <w:rsid w:val="00B73B9F"/>
    <w:rsid w:val="00B8324C"/>
    <w:rsid w:val="00B910B3"/>
    <w:rsid w:val="00B94552"/>
    <w:rsid w:val="00BB0E36"/>
    <w:rsid w:val="00BB70D1"/>
    <w:rsid w:val="00BC01D2"/>
    <w:rsid w:val="00BC0C10"/>
    <w:rsid w:val="00BC3F16"/>
    <w:rsid w:val="00BD25FC"/>
    <w:rsid w:val="00BD31D2"/>
    <w:rsid w:val="00BF3178"/>
    <w:rsid w:val="00BF41F8"/>
    <w:rsid w:val="00BF6BA3"/>
    <w:rsid w:val="00C075E3"/>
    <w:rsid w:val="00C411AA"/>
    <w:rsid w:val="00C4675D"/>
    <w:rsid w:val="00C471F6"/>
    <w:rsid w:val="00C5503B"/>
    <w:rsid w:val="00C61A87"/>
    <w:rsid w:val="00C637F1"/>
    <w:rsid w:val="00C650F2"/>
    <w:rsid w:val="00C70750"/>
    <w:rsid w:val="00C72559"/>
    <w:rsid w:val="00C74884"/>
    <w:rsid w:val="00C774F8"/>
    <w:rsid w:val="00C779D0"/>
    <w:rsid w:val="00C80268"/>
    <w:rsid w:val="00C86BFF"/>
    <w:rsid w:val="00C93CE9"/>
    <w:rsid w:val="00C9519B"/>
    <w:rsid w:val="00CA0437"/>
    <w:rsid w:val="00CA1505"/>
    <w:rsid w:val="00CA2692"/>
    <w:rsid w:val="00CA6E08"/>
    <w:rsid w:val="00CB23F1"/>
    <w:rsid w:val="00CB4D04"/>
    <w:rsid w:val="00CB5F47"/>
    <w:rsid w:val="00CC2966"/>
    <w:rsid w:val="00CC4C1B"/>
    <w:rsid w:val="00CD1D04"/>
    <w:rsid w:val="00CE493E"/>
    <w:rsid w:val="00CE753C"/>
    <w:rsid w:val="00CF26C0"/>
    <w:rsid w:val="00D00E7C"/>
    <w:rsid w:val="00D06E04"/>
    <w:rsid w:val="00D20B03"/>
    <w:rsid w:val="00D2543C"/>
    <w:rsid w:val="00D32922"/>
    <w:rsid w:val="00D82CC4"/>
    <w:rsid w:val="00D8514A"/>
    <w:rsid w:val="00D8680B"/>
    <w:rsid w:val="00D86D7C"/>
    <w:rsid w:val="00D9124B"/>
    <w:rsid w:val="00D94116"/>
    <w:rsid w:val="00DA1178"/>
    <w:rsid w:val="00DB5706"/>
    <w:rsid w:val="00DC0458"/>
    <w:rsid w:val="00DC0C1B"/>
    <w:rsid w:val="00DC11EE"/>
    <w:rsid w:val="00DC3792"/>
    <w:rsid w:val="00DC390F"/>
    <w:rsid w:val="00DC4DE1"/>
    <w:rsid w:val="00DC76D3"/>
    <w:rsid w:val="00DD0C04"/>
    <w:rsid w:val="00DD17BE"/>
    <w:rsid w:val="00DE6715"/>
    <w:rsid w:val="00E04BDE"/>
    <w:rsid w:val="00E170FF"/>
    <w:rsid w:val="00E234C7"/>
    <w:rsid w:val="00E23664"/>
    <w:rsid w:val="00E24D0E"/>
    <w:rsid w:val="00E353BC"/>
    <w:rsid w:val="00E40CCE"/>
    <w:rsid w:val="00E426C6"/>
    <w:rsid w:val="00E456EF"/>
    <w:rsid w:val="00E4743A"/>
    <w:rsid w:val="00E55C8E"/>
    <w:rsid w:val="00E62526"/>
    <w:rsid w:val="00E763E3"/>
    <w:rsid w:val="00E81D30"/>
    <w:rsid w:val="00E81E45"/>
    <w:rsid w:val="00E86D9F"/>
    <w:rsid w:val="00EA070A"/>
    <w:rsid w:val="00EA48D2"/>
    <w:rsid w:val="00EA4BD2"/>
    <w:rsid w:val="00EA54A6"/>
    <w:rsid w:val="00EB40B0"/>
    <w:rsid w:val="00EC20F3"/>
    <w:rsid w:val="00EC370A"/>
    <w:rsid w:val="00EC4537"/>
    <w:rsid w:val="00ED6091"/>
    <w:rsid w:val="00ED6165"/>
    <w:rsid w:val="00ED7AC4"/>
    <w:rsid w:val="00EE0A91"/>
    <w:rsid w:val="00EE4FDD"/>
    <w:rsid w:val="00EE517D"/>
    <w:rsid w:val="00EF1D15"/>
    <w:rsid w:val="00F016EC"/>
    <w:rsid w:val="00F01ADD"/>
    <w:rsid w:val="00F031F7"/>
    <w:rsid w:val="00F17DDD"/>
    <w:rsid w:val="00F3219C"/>
    <w:rsid w:val="00F362B2"/>
    <w:rsid w:val="00F47B61"/>
    <w:rsid w:val="00F50D93"/>
    <w:rsid w:val="00F51659"/>
    <w:rsid w:val="00F63519"/>
    <w:rsid w:val="00F67821"/>
    <w:rsid w:val="00F72C9E"/>
    <w:rsid w:val="00F7485C"/>
    <w:rsid w:val="00F74CE6"/>
    <w:rsid w:val="00F87F2B"/>
    <w:rsid w:val="00F95700"/>
    <w:rsid w:val="00FA0B55"/>
    <w:rsid w:val="00FA1958"/>
    <w:rsid w:val="00FA1EA6"/>
    <w:rsid w:val="00FA70CF"/>
    <w:rsid w:val="00FB2F89"/>
    <w:rsid w:val="00FB7003"/>
    <w:rsid w:val="00FC072C"/>
    <w:rsid w:val="00FC1EA2"/>
    <w:rsid w:val="00FC3951"/>
    <w:rsid w:val="00FC3B95"/>
    <w:rsid w:val="00FC4B2D"/>
    <w:rsid w:val="00FC56D7"/>
    <w:rsid w:val="00FC79E4"/>
    <w:rsid w:val="00FF0BEC"/>
    <w:rsid w:val="00FF2D7D"/>
    <w:rsid w:val="00FF3DD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2FC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49520A"/>
    <w:pPr>
      <w:spacing w:line="288" w:lineRule="auto"/>
    </w:pPr>
    <w:rPr>
      <w:rFonts w:ascii="Arial" w:hAnsi="Arial"/>
      <w:color w:val="15272F" w:themeColor="text1"/>
    </w:rPr>
  </w:style>
  <w:style w:type="paragraph" w:styleId="Heading1">
    <w:name w:val="heading 1"/>
    <w:basedOn w:val="Normal"/>
    <w:next w:val="Normal"/>
    <w:link w:val="Heading1Char"/>
    <w:uiPriority w:val="9"/>
    <w:qFormat/>
    <w:rsid w:val="0056645F"/>
    <w:pPr>
      <w:keepNext/>
      <w:keepLines/>
      <w:numPr>
        <w:numId w:val="6"/>
      </w:numPr>
      <w:spacing w:after="480" w:line="240" w:lineRule="auto"/>
      <w:ind w:left="992" w:hanging="992"/>
      <w:outlineLvl w:val="0"/>
    </w:pPr>
    <w:rPr>
      <w:rFonts w:eastAsiaTheme="majorEastAsia" w:cs="Arial"/>
      <w:b/>
      <w:sz w:val="64"/>
      <w:szCs w:val="64"/>
      <w:lang w:val="en-AU"/>
    </w:rPr>
  </w:style>
  <w:style w:type="paragraph" w:styleId="Heading2">
    <w:name w:val="heading 2"/>
    <w:basedOn w:val="Normal"/>
    <w:next w:val="Normal"/>
    <w:link w:val="Heading2Char"/>
    <w:uiPriority w:val="9"/>
    <w:unhideWhenUsed/>
    <w:qFormat/>
    <w:rsid w:val="003156D4"/>
    <w:pPr>
      <w:keepNext/>
      <w:keepLines/>
      <w:numPr>
        <w:ilvl w:val="1"/>
        <w:numId w:val="6"/>
      </w:numPr>
      <w:spacing w:before="240" w:after="240"/>
      <w:ind w:left="851" w:hanging="851"/>
      <w:outlineLvl w:val="1"/>
    </w:pPr>
    <w:rPr>
      <w:rFonts w:eastAsiaTheme="majorEastAsia" w:cstheme="majorBidi"/>
      <w:b/>
      <w:color w:val="104F99" w:themeColor="accent2"/>
      <w:sz w:val="36"/>
      <w:szCs w:val="26"/>
      <w:lang w:val="en-AU"/>
    </w:rPr>
  </w:style>
  <w:style w:type="paragraph" w:styleId="Heading3">
    <w:name w:val="heading 3"/>
    <w:basedOn w:val="Normal"/>
    <w:next w:val="Normal"/>
    <w:link w:val="Heading3Char"/>
    <w:uiPriority w:val="9"/>
    <w:unhideWhenUsed/>
    <w:qFormat/>
    <w:rsid w:val="003156D4"/>
    <w:pPr>
      <w:keepNext/>
      <w:keepLines/>
      <w:spacing w:before="240" w:after="120"/>
      <w:outlineLvl w:val="2"/>
    </w:pPr>
    <w:rPr>
      <w:rFonts w:eastAsiaTheme="majorEastAsia" w:cstheme="majorBidi"/>
      <w:b/>
      <w:color w:val="008F55" w:themeColor="accent4"/>
      <w:sz w:val="26"/>
      <w:szCs w:val="24"/>
      <w:lang w:val="en-AU"/>
    </w:rPr>
  </w:style>
  <w:style w:type="paragraph" w:styleId="Heading4">
    <w:name w:val="heading 4"/>
    <w:basedOn w:val="Normal"/>
    <w:next w:val="Normal"/>
    <w:link w:val="Heading4Char"/>
    <w:uiPriority w:val="9"/>
    <w:unhideWhenUsed/>
    <w:qFormat/>
    <w:rsid w:val="007F3660"/>
    <w:pPr>
      <w:keepNext/>
      <w:keepLines/>
      <w:spacing w:before="12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rsid w:val="007F3660"/>
    <w:pPr>
      <w:keepNext/>
      <w:keepLines/>
      <w:spacing w:before="40" w:after="0"/>
      <w:outlineLvl w:val="4"/>
    </w:pPr>
    <w:rPr>
      <w:rFonts w:eastAsiaTheme="majorEastAsia" w:cstheme="majorBidi"/>
      <w:b/>
      <w:color w:val="0F1D2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645F"/>
    <w:rPr>
      <w:rFonts w:ascii="Arial" w:eastAsiaTheme="majorEastAsia" w:hAnsi="Arial" w:cs="Arial"/>
      <w:b/>
      <w:color w:val="15272F" w:themeColor="text1"/>
      <w:sz w:val="64"/>
      <w:szCs w:val="64"/>
      <w:lang w:val="en-AU"/>
    </w:rPr>
  </w:style>
  <w:style w:type="paragraph" w:styleId="Title">
    <w:name w:val="Title"/>
    <w:basedOn w:val="Normal"/>
    <w:next w:val="Normal"/>
    <w:link w:val="TitleChar"/>
    <w:uiPriority w:val="10"/>
    <w:qFormat/>
    <w:rsid w:val="0049520A"/>
    <w:pPr>
      <w:spacing w:after="840" w:line="240" w:lineRule="auto"/>
      <w:contextualSpacing/>
    </w:pPr>
    <w:rPr>
      <w:rFonts w:eastAsiaTheme="majorEastAsia" w:cstheme="majorBidi"/>
      <w:b/>
      <w:spacing w:val="-10"/>
      <w:kern w:val="28"/>
      <w:sz w:val="84"/>
      <w:szCs w:val="56"/>
    </w:rPr>
  </w:style>
  <w:style w:type="character" w:customStyle="1" w:styleId="TitleChar">
    <w:name w:val="Title Char"/>
    <w:basedOn w:val="DefaultParagraphFont"/>
    <w:link w:val="Title"/>
    <w:uiPriority w:val="10"/>
    <w:rsid w:val="0049520A"/>
    <w:rPr>
      <w:rFonts w:ascii="Arial" w:eastAsiaTheme="majorEastAsia" w:hAnsi="Arial" w:cstheme="majorBidi"/>
      <w:b/>
      <w:color w:val="15272F" w:themeColor="text1"/>
      <w:spacing w:val="-10"/>
      <w:kern w:val="28"/>
      <w:sz w:val="84"/>
      <w:szCs w:val="56"/>
    </w:rPr>
  </w:style>
  <w:style w:type="character" w:customStyle="1" w:styleId="Heading2Char">
    <w:name w:val="Heading 2 Char"/>
    <w:basedOn w:val="DefaultParagraphFont"/>
    <w:link w:val="Heading2"/>
    <w:uiPriority w:val="9"/>
    <w:rsid w:val="003156D4"/>
    <w:rPr>
      <w:rFonts w:ascii="Arial" w:eastAsiaTheme="majorEastAsia" w:hAnsi="Arial" w:cstheme="majorBidi"/>
      <w:b/>
      <w:color w:val="104F99" w:themeColor="accent2"/>
      <w:sz w:val="36"/>
      <w:szCs w:val="26"/>
      <w:lang w:val="en-AU"/>
    </w:rPr>
  </w:style>
  <w:style w:type="character" w:customStyle="1" w:styleId="Heading3Char">
    <w:name w:val="Heading 3 Char"/>
    <w:basedOn w:val="DefaultParagraphFont"/>
    <w:link w:val="Heading3"/>
    <w:uiPriority w:val="9"/>
    <w:rsid w:val="003156D4"/>
    <w:rPr>
      <w:rFonts w:ascii="Arial" w:eastAsiaTheme="majorEastAsia" w:hAnsi="Arial" w:cstheme="majorBidi"/>
      <w:b/>
      <w:color w:val="008F55" w:themeColor="accent4"/>
      <w:sz w:val="26"/>
      <w:szCs w:val="24"/>
      <w:lang w:val="en-AU"/>
    </w:rPr>
  </w:style>
  <w:style w:type="character" w:customStyle="1" w:styleId="Heading4Char">
    <w:name w:val="Heading 4 Char"/>
    <w:basedOn w:val="DefaultParagraphFont"/>
    <w:link w:val="Heading4"/>
    <w:uiPriority w:val="9"/>
    <w:rsid w:val="007F3660"/>
    <w:rPr>
      <w:rFonts w:ascii="Fira Sans" w:eastAsiaTheme="majorEastAsia" w:hAnsi="Fira Sans" w:cstheme="majorBidi"/>
      <w:b/>
      <w:iCs/>
      <w:color w:val="15272F" w:themeColor="text1"/>
    </w:rPr>
  </w:style>
  <w:style w:type="paragraph" w:customStyle="1" w:styleId="ListLevel1">
    <w:name w:val="List Level 1"/>
    <w:basedOn w:val="ListParagraph"/>
    <w:link w:val="ListLevel1Char"/>
    <w:qFormat/>
    <w:rsid w:val="00592EE4"/>
    <w:pPr>
      <w:numPr>
        <w:numId w:val="28"/>
      </w:numPr>
      <w:spacing w:after="120" w:line="259" w:lineRule="auto"/>
      <w:contextualSpacing w:val="0"/>
    </w:pPr>
    <w:rPr>
      <w:lang w:val="en-AU"/>
    </w:rPr>
  </w:style>
  <w:style w:type="paragraph" w:customStyle="1" w:styleId="ListLevel2">
    <w:name w:val="List Level 2"/>
    <w:basedOn w:val="Normal"/>
    <w:link w:val="ListLevel2Char"/>
    <w:qFormat/>
    <w:rsid w:val="0049520A"/>
    <w:pPr>
      <w:numPr>
        <w:ilvl w:val="1"/>
        <w:numId w:val="4"/>
      </w:numPr>
      <w:contextualSpacing/>
    </w:pPr>
  </w:style>
  <w:style w:type="paragraph" w:styleId="Header">
    <w:name w:val="header"/>
    <w:basedOn w:val="Normal"/>
    <w:link w:val="HeaderChar"/>
    <w:uiPriority w:val="99"/>
    <w:unhideWhenUsed/>
    <w:rsid w:val="007F3660"/>
    <w:pPr>
      <w:tabs>
        <w:tab w:val="center" w:pos="4680"/>
        <w:tab w:val="right" w:pos="9360"/>
      </w:tabs>
      <w:spacing w:after="0" w:line="240" w:lineRule="auto"/>
    </w:pPr>
  </w:style>
  <w:style w:type="character" w:customStyle="1" w:styleId="ListLevel1Char">
    <w:name w:val="List Level 1 Char"/>
    <w:basedOn w:val="ListLevel2Char"/>
    <w:link w:val="ListLevel1"/>
    <w:rsid w:val="00592EE4"/>
    <w:rPr>
      <w:rFonts w:ascii="Arial" w:hAnsi="Arial"/>
      <w:color w:val="15272F" w:themeColor="text1"/>
      <w:lang w:val="en-AU"/>
    </w:rPr>
  </w:style>
  <w:style w:type="character" w:customStyle="1" w:styleId="ListLevel2Char">
    <w:name w:val="List Level 2 Char"/>
    <w:basedOn w:val="DefaultParagraphFont"/>
    <w:link w:val="ListLevel2"/>
    <w:rsid w:val="0049520A"/>
    <w:rPr>
      <w:rFonts w:ascii="Arial" w:hAnsi="Arial"/>
      <w:color w:val="15272F" w:themeColor="text1"/>
    </w:rPr>
  </w:style>
  <w:style w:type="character" w:customStyle="1" w:styleId="HeaderChar">
    <w:name w:val="Header Char"/>
    <w:basedOn w:val="DefaultParagraphFont"/>
    <w:link w:val="Header"/>
    <w:uiPriority w:val="99"/>
    <w:rsid w:val="007F3660"/>
    <w:rPr>
      <w:rFonts w:ascii="Fira Sans" w:hAnsi="Fira Sans"/>
      <w:color w:val="15272F" w:themeColor="text1"/>
    </w:rPr>
  </w:style>
  <w:style w:type="paragraph" w:styleId="Footer">
    <w:name w:val="footer"/>
    <w:basedOn w:val="Normal"/>
    <w:link w:val="FooterChar"/>
    <w:uiPriority w:val="99"/>
    <w:unhideWhenUsed/>
    <w:rsid w:val="007F3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660"/>
    <w:rPr>
      <w:rFonts w:ascii="Fira Sans" w:hAnsi="Fira Sans"/>
      <w:color w:val="15272F" w:themeColor="text1"/>
    </w:rPr>
  </w:style>
  <w:style w:type="paragraph" w:styleId="ListParagraph">
    <w:name w:val="List Paragraph"/>
    <w:basedOn w:val="Normal"/>
    <w:link w:val="ListParagraphChar"/>
    <w:uiPriority w:val="34"/>
    <w:qFormat/>
    <w:rsid w:val="007F3660"/>
    <w:pPr>
      <w:ind w:left="720"/>
      <w:contextualSpacing/>
    </w:pPr>
  </w:style>
  <w:style w:type="paragraph" w:customStyle="1" w:styleId="TableFigureheading">
    <w:name w:val="Table/Figure heading"/>
    <w:basedOn w:val="Heading4"/>
    <w:link w:val="TableFigureheadingChar"/>
    <w:qFormat/>
    <w:rsid w:val="007F3660"/>
    <w:pPr>
      <w:spacing w:before="240"/>
    </w:pPr>
    <w:rPr>
      <w:b w:val="0"/>
      <w:color w:val="008F55" w:themeColor="accent4"/>
    </w:rPr>
  </w:style>
  <w:style w:type="table" w:customStyle="1" w:styleId="IHACPATable">
    <w:name w:val="IHACPA Table"/>
    <w:basedOn w:val="TableNormal"/>
    <w:uiPriority w:val="99"/>
    <w:rsid w:val="007F3660"/>
    <w:pPr>
      <w:spacing w:after="0" w:line="240" w:lineRule="auto"/>
    </w:pPr>
    <w:rPr>
      <w:sz w:val="18"/>
    </w:rPr>
    <w:tblPr>
      <w:tblStyleRowBandSize w:val="1"/>
    </w:tblPr>
    <w:tblStylePr w:type="firstRow">
      <w:tblPr/>
      <w:tcPr>
        <w:shd w:val="clear" w:color="auto" w:fill="15272F" w:themeFill="text2"/>
      </w:tcPr>
    </w:tblStylePr>
    <w:tblStylePr w:type="lastRow">
      <w:rPr>
        <w:rFonts w:asciiTheme="minorHAnsi" w:hAnsiTheme="minorHAnsi"/>
        <w:sz w:val="15"/>
      </w:rPr>
      <w:tblPr/>
      <w:tcPr>
        <w:tcBorders>
          <w:top w:val="nil"/>
          <w:bottom w:val="single" w:sz="4" w:space="0" w:color="D9D9D9" w:themeColor="background2" w:themeShade="D9"/>
        </w:tcBorders>
      </w:tcPr>
    </w:tblStylePr>
    <w:tblStylePr w:type="firstCol">
      <w:rPr>
        <w:rFonts w:asciiTheme="minorHAnsi" w:hAnsiTheme="minorHAnsi"/>
        <w:sz w:val="15"/>
      </w:rPr>
      <w:tblPr/>
      <w:tcPr>
        <w:tcBorders>
          <w:top w:val="nil"/>
          <w:bottom w:val="nil"/>
        </w:tcBorders>
      </w:tcPr>
    </w:tblStylePr>
    <w:tblStylePr w:type="band1Horz">
      <w:tblPr/>
      <w:tcPr>
        <w:tcBorders>
          <w:top w:val="single" w:sz="4" w:space="0" w:color="D9D9D9" w:themeColor="background2" w:themeShade="D9"/>
          <w:left w:val="nil"/>
          <w:bottom w:val="single" w:sz="4" w:space="0" w:color="D9D9D9" w:themeColor="background2" w:themeShade="D9"/>
          <w:right w:val="nil"/>
          <w:insideH w:val="nil"/>
          <w:insideV w:val="nil"/>
          <w:tl2br w:val="nil"/>
          <w:tr2bl w:val="nil"/>
        </w:tcBorders>
      </w:tcPr>
    </w:tblStylePr>
    <w:tblStylePr w:type="band2Horz">
      <w:tblPr/>
      <w:tcPr>
        <w:tcBorders>
          <w:top w:val="single" w:sz="4" w:space="0" w:color="D9D9D9" w:themeColor="background2" w:themeShade="D9"/>
          <w:bottom w:val="nil"/>
        </w:tcBorders>
      </w:tcPr>
    </w:tblStylePr>
  </w:style>
  <w:style w:type="character" w:customStyle="1" w:styleId="TableFigureheadingChar">
    <w:name w:val="Table/Figure heading Char"/>
    <w:basedOn w:val="Heading4Char"/>
    <w:link w:val="TableFigureheading"/>
    <w:rsid w:val="007F3660"/>
    <w:rPr>
      <w:rFonts w:ascii="Fira Sans" w:eastAsiaTheme="majorEastAsia" w:hAnsi="Fira Sans" w:cstheme="majorBidi"/>
      <w:b w:val="0"/>
      <w:iCs/>
      <w:color w:val="008F55" w:themeColor="accent4"/>
    </w:rPr>
  </w:style>
  <w:style w:type="table" w:styleId="TableGrid">
    <w:name w:val="Table Grid"/>
    <w:basedOn w:val="TableNormal"/>
    <w:rsid w:val="007F3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HPATable">
    <w:name w:val="IHPA Table"/>
    <w:basedOn w:val="TableNormal"/>
    <w:uiPriority w:val="99"/>
    <w:rsid w:val="007F3660"/>
    <w:pPr>
      <w:spacing w:after="0" w:line="240" w:lineRule="auto"/>
    </w:pPr>
    <w:tblPr>
      <w:tblStyleRowBandSize w:val="1"/>
    </w:tblPr>
    <w:tblStylePr w:type="firstRow">
      <w:rPr>
        <w:rFonts w:asciiTheme="minorHAnsi" w:hAnsiTheme="minorHAnsi"/>
        <w:color w:val="FFFFFF" w:themeColor="background2"/>
        <w:sz w:val="18"/>
      </w:rPr>
      <w:tblPr/>
      <w:tcPr>
        <w:shd w:val="clear" w:color="auto" w:fill="008F55" w:themeFill="accent4"/>
      </w:tcPr>
    </w:tblStylePr>
    <w:tblStylePr w:type="lastRow">
      <w:rPr>
        <w:rFonts w:asciiTheme="minorHAnsi" w:hAnsiTheme="minorHAnsi"/>
        <w:sz w:val="15"/>
      </w:rPr>
      <w:tblPr/>
      <w:tcPr>
        <w:tcBorders>
          <w:top w:val="nil"/>
          <w:bottom w:val="single" w:sz="4" w:space="0" w:color="D9D9D9" w:themeColor="background2" w:themeShade="D9"/>
        </w:tcBorders>
      </w:tcPr>
    </w:tblStylePr>
    <w:tblStylePr w:type="firstCol">
      <w:rPr>
        <w:rFonts w:asciiTheme="minorHAnsi" w:hAnsiTheme="minorHAnsi"/>
        <w:sz w:val="15"/>
      </w:rPr>
      <w:tblPr/>
      <w:tcPr>
        <w:tcBorders>
          <w:top w:val="nil"/>
          <w:bottom w:val="nil"/>
        </w:tcBorders>
      </w:tcPr>
    </w:tblStylePr>
    <w:tblStylePr w:type="band1Horz">
      <w:tblPr/>
      <w:tcPr>
        <w:tcBorders>
          <w:top w:val="single" w:sz="4" w:space="0" w:color="D9D9D9" w:themeColor="background2" w:themeShade="D9"/>
          <w:left w:val="nil"/>
          <w:bottom w:val="single" w:sz="4" w:space="0" w:color="D9D9D9" w:themeColor="background2" w:themeShade="D9"/>
          <w:right w:val="nil"/>
          <w:insideH w:val="nil"/>
          <w:insideV w:val="nil"/>
          <w:tl2br w:val="nil"/>
          <w:tr2bl w:val="nil"/>
        </w:tcBorders>
      </w:tcPr>
    </w:tblStylePr>
    <w:tblStylePr w:type="band2Horz">
      <w:tblPr/>
      <w:tcPr>
        <w:tcBorders>
          <w:top w:val="single" w:sz="4" w:space="0" w:color="D9D9D9" w:themeColor="background2" w:themeShade="D9"/>
          <w:bottom w:val="nil"/>
        </w:tcBorders>
      </w:tcPr>
    </w:tblStylePr>
  </w:style>
  <w:style w:type="paragraph" w:customStyle="1" w:styleId="Footnote">
    <w:name w:val="Footnote"/>
    <w:basedOn w:val="Normal"/>
    <w:link w:val="FootnoteChar"/>
    <w:qFormat/>
    <w:rsid w:val="0049520A"/>
    <w:pPr>
      <w:spacing w:after="120"/>
    </w:pPr>
    <w:rPr>
      <w:sz w:val="16"/>
      <w:szCs w:val="15"/>
    </w:rPr>
  </w:style>
  <w:style w:type="character" w:customStyle="1" w:styleId="FootnoteChar">
    <w:name w:val="Footnote Char"/>
    <w:basedOn w:val="DefaultParagraphFont"/>
    <w:link w:val="Footnote"/>
    <w:rsid w:val="0049520A"/>
    <w:rPr>
      <w:rFonts w:ascii="Arial" w:hAnsi="Arial"/>
      <w:color w:val="15272F" w:themeColor="text1"/>
      <w:sz w:val="16"/>
      <w:szCs w:val="15"/>
    </w:rPr>
  </w:style>
  <w:style w:type="character" w:styleId="Hyperlink">
    <w:name w:val="Hyperlink"/>
    <w:basedOn w:val="DefaultParagraphFont"/>
    <w:uiPriority w:val="99"/>
    <w:unhideWhenUsed/>
    <w:rsid w:val="007F3660"/>
    <w:rPr>
      <w:color w:val="0080C4" w:themeColor="hyperlink"/>
      <w:u w:val="single"/>
    </w:rPr>
  </w:style>
  <w:style w:type="paragraph" w:styleId="TOC1">
    <w:name w:val="toc 1"/>
    <w:basedOn w:val="Normal"/>
    <w:next w:val="Normal"/>
    <w:autoRedefine/>
    <w:uiPriority w:val="39"/>
    <w:unhideWhenUsed/>
    <w:rsid w:val="00CA1505"/>
    <w:pPr>
      <w:spacing w:after="360"/>
    </w:pPr>
    <w:rPr>
      <w:b/>
      <w:sz w:val="24"/>
    </w:rPr>
  </w:style>
  <w:style w:type="paragraph" w:customStyle="1" w:styleId="CoverTitle">
    <w:name w:val="Cover Title"/>
    <w:basedOn w:val="Title"/>
    <w:link w:val="CoverTitleChar"/>
    <w:qFormat/>
    <w:rsid w:val="0049520A"/>
    <w:pPr>
      <w:spacing w:after="720"/>
      <w:ind w:right="1242"/>
    </w:pPr>
    <w:rPr>
      <w:color w:val="FFFFFF" w:themeColor="background2"/>
      <w:sz w:val="96"/>
      <w:szCs w:val="96"/>
    </w:rPr>
  </w:style>
  <w:style w:type="paragraph" w:customStyle="1" w:styleId="Coversubtitle">
    <w:name w:val="Cover subtitle"/>
    <w:basedOn w:val="CoverTitle"/>
    <w:link w:val="CoversubtitleChar"/>
    <w:qFormat/>
    <w:rsid w:val="0049520A"/>
    <w:rPr>
      <w:color w:val="54C1AF" w:themeColor="accent5"/>
      <w:sz w:val="48"/>
      <w:szCs w:val="48"/>
    </w:rPr>
  </w:style>
  <w:style w:type="character" w:customStyle="1" w:styleId="CoverTitleChar">
    <w:name w:val="Cover Title Char"/>
    <w:basedOn w:val="TitleChar"/>
    <w:link w:val="CoverTitle"/>
    <w:rsid w:val="0049520A"/>
    <w:rPr>
      <w:rFonts w:ascii="Arial" w:eastAsiaTheme="majorEastAsia" w:hAnsi="Arial" w:cstheme="majorBidi"/>
      <w:b/>
      <w:color w:val="FFFFFF" w:themeColor="background2"/>
      <w:spacing w:val="-10"/>
      <w:kern w:val="28"/>
      <w:sz w:val="96"/>
      <w:szCs w:val="96"/>
    </w:rPr>
  </w:style>
  <w:style w:type="character" w:styleId="UnresolvedMention">
    <w:name w:val="Unresolved Mention"/>
    <w:basedOn w:val="DefaultParagraphFont"/>
    <w:uiPriority w:val="99"/>
    <w:semiHidden/>
    <w:unhideWhenUsed/>
    <w:rsid w:val="007F3660"/>
    <w:rPr>
      <w:color w:val="605E5C"/>
      <w:shd w:val="clear" w:color="auto" w:fill="E1DFDD"/>
    </w:rPr>
  </w:style>
  <w:style w:type="character" w:customStyle="1" w:styleId="CoversubtitleChar">
    <w:name w:val="Cover subtitle Char"/>
    <w:basedOn w:val="CoverTitleChar"/>
    <w:link w:val="Coversubtitle"/>
    <w:rsid w:val="0049520A"/>
    <w:rPr>
      <w:rFonts w:ascii="Arial" w:eastAsiaTheme="majorEastAsia" w:hAnsi="Arial" w:cstheme="majorBidi"/>
      <w:b/>
      <w:color w:val="54C1AF" w:themeColor="accent5"/>
      <w:spacing w:val="-10"/>
      <w:kern w:val="28"/>
      <w:sz w:val="48"/>
      <w:szCs w:val="48"/>
    </w:rPr>
  </w:style>
  <w:style w:type="paragraph" w:customStyle="1" w:styleId="Copyrightcopy">
    <w:name w:val="Copyright copy"/>
    <w:basedOn w:val="Normal"/>
    <w:next w:val="Normal"/>
    <w:qFormat/>
    <w:rsid w:val="0049520A"/>
    <w:pPr>
      <w:ind w:right="4064"/>
    </w:pPr>
    <w:rPr>
      <w:sz w:val="18"/>
    </w:rPr>
  </w:style>
  <w:style w:type="paragraph" w:customStyle="1" w:styleId="Copyrightheading">
    <w:name w:val="Copyright heading"/>
    <w:basedOn w:val="Heading4"/>
    <w:next w:val="Normal"/>
    <w:qFormat/>
    <w:rsid w:val="0049520A"/>
  </w:style>
  <w:style w:type="character" w:customStyle="1" w:styleId="Heading5Char">
    <w:name w:val="Heading 5 Char"/>
    <w:basedOn w:val="DefaultParagraphFont"/>
    <w:link w:val="Heading5"/>
    <w:uiPriority w:val="9"/>
    <w:semiHidden/>
    <w:rsid w:val="007F3660"/>
    <w:rPr>
      <w:rFonts w:ascii="Fira Sans" w:eastAsiaTheme="majorEastAsia" w:hAnsi="Fira Sans" w:cstheme="majorBidi"/>
      <w:b/>
      <w:color w:val="0F1D23" w:themeColor="accent1" w:themeShade="BF"/>
    </w:rPr>
  </w:style>
  <w:style w:type="paragraph" w:styleId="NoSpacing">
    <w:name w:val="No Spacing"/>
    <w:uiPriority w:val="1"/>
    <w:rsid w:val="0049520A"/>
    <w:pPr>
      <w:spacing w:after="0" w:line="240" w:lineRule="auto"/>
    </w:pPr>
    <w:rPr>
      <w:rFonts w:ascii="Arial" w:hAnsi="Arial"/>
      <w:color w:val="15272F" w:themeColor="text1"/>
    </w:rPr>
  </w:style>
  <w:style w:type="paragraph" w:styleId="Subtitle">
    <w:name w:val="Subtitle"/>
    <w:basedOn w:val="Normal"/>
    <w:next w:val="Normal"/>
    <w:link w:val="SubtitleChar"/>
    <w:uiPriority w:val="11"/>
    <w:rsid w:val="007F3660"/>
    <w:pPr>
      <w:numPr>
        <w:ilvl w:val="1"/>
      </w:numPr>
    </w:pPr>
    <w:rPr>
      <w:rFonts w:eastAsiaTheme="minorEastAsia"/>
      <w:color w:val="45809A" w:themeColor="text1" w:themeTint="A5"/>
      <w:spacing w:val="15"/>
    </w:rPr>
  </w:style>
  <w:style w:type="character" w:customStyle="1" w:styleId="SubtitleChar">
    <w:name w:val="Subtitle Char"/>
    <w:basedOn w:val="DefaultParagraphFont"/>
    <w:link w:val="Subtitle"/>
    <w:uiPriority w:val="11"/>
    <w:rsid w:val="007F3660"/>
    <w:rPr>
      <w:rFonts w:ascii="Fira Sans" w:eastAsiaTheme="minorEastAsia" w:hAnsi="Fira Sans"/>
      <w:color w:val="45809A" w:themeColor="text1" w:themeTint="A5"/>
      <w:spacing w:val="15"/>
    </w:rPr>
  </w:style>
  <w:style w:type="character" w:styleId="CommentReference">
    <w:name w:val="annotation reference"/>
    <w:basedOn w:val="DefaultParagraphFont"/>
    <w:uiPriority w:val="99"/>
    <w:semiHidden/>
    <w:unhideWhenUsed/>
    <w:rsid w:val="004A41FB"/>
    <w:rPr>
      <w:sz w:val="16"/>
      <w:szCs w:val="16"/>
    </w:rPr>
  </w:style>
  <w:style w:type="paragraph" w:styleId="CommentText">
    <w:name w:val="annotation text"/>
    <w:basedOn w:val="Normal"/>
    <w:link w:val="CommentTextChar"/>
    <w:uiPriority w:val="99"/>
    <w:unhideWhenUsed/>
    <w:rsid w:val="004A41FB"/>
    <w:pPr>
      <w:spacing w:line="240" w:lineRule="auto"/>
    </w:pPr>
    <w:rPr>
      <w:sz w:val="20"/>
      <w:szCs w:val="20"/>
    </w:rPr>
  </w:style>
  <w:style w:type="character" w:customStyle="1" w:styleId="CommentTextChar">
    <w:name w:val="Comment Text Char"/>
    <w:basedOn w:val="DefaultParagraphFont"/>
    <w:link w:val="CommentText"/>
    <w:uiPriority w:val="99"/>
    <w:rsid w:val="004A41FB"/>
    <w:rPr>
      <w:rFonts w:ascii="Arial" w:hAnsi="Arial"/>
      <w:color w:val="15272F" w:themeColor="text1"/>
      <w:sz w:val="20"/>
      <w:szCs w:val="20"/>
    </w:rPr>
  </w:style>
  <w:style w:type="paragraph" w:styleId="CommentSubject">
    <w:name w:val="annotation subject"/>
    <w:basedOn w:val="CommentText"/>
    <w:next w:val="CommentText"/>
    <w:link w:val="CommentSubjectChar"/>
    <w:uiPriority w:val="99"/>
    <w:semiHidden/>
    <w:unhideWhenUsed/>
    <w:rsid w:val="004A41FB"/>
    <w:rPr>
      <w:b/>
      <w:bCs/>
    </w:rPr>
  </w:style>
  <w:style w:type="character" w:customStyle="1" w:styleId="CommentSubjectChar">
    <w:name w:val="Comment Subject Char"/>
    <w:basedOn w:val="CommentTextChar"/>
    <w:link w:val="CommentSubject"/>
    <w:uiPriority w:val="99"/>
    <w:semiHidden/>
    <w:rsid w:val="004A41FB"/>
    <w:rPr>
      <w:rFonts w:ascii="Arial" w:hAnsi="Arial"/>
      <w:b/>
      <w:bCs/>
      <w:color w:val="15272F" w:themeColor="text1"/>
      <w:sz w:val="20"/>
      <w:szCs w:val="20"/>
    </w:rPr>
  </w:style>
  <w:style w:type="paragraph" w:styleId="Revision">
    <w:name w:val="Revision"/>
    <w:hidden/>
    <w:uiPriority w:val="99"/>
    <w:semiHidden/>
    <w:rsid w:val="007622B9"/>
    <w:pPr>
      <w:spacing w:after="0" w:line="240" w:lineRule="auto"/>
    </w:pPr>
    <w:rPr>
      <w:rFonts w:ascii="Arial" w:hAnsi="Arial"/>
      <w:color w:val="15272F" w:themeColor="text1"/>
    </w:rPr>
  </w:style>
  <w:style w:type="paragraph" w:styleId="FootnoteText">
    <w:name w:val="footnote text"/>
    <w:basedOn w:val="Normal"/>
    <w:link w:val="FootnoteTextChar"/>
    <w:autoRedefine/>
    <w:rsid w:val="004606DD"/>
    <w:pPr>
      <w:spacing w:after="0" w:line="240" w:lineRule="auto"/>
      <w:ind w:left="142" w:hanging="142"/>
    </w:pPr>
    <w:rPr>
      <w:rFonts w:eastAsia="Times New Roman" w:cs="Times New Roman"/>
      <w:color w:val="auto"/>
      <w:sz w:val="20"/>
      <w:szCs w:val="20"/>
      <w:lang w:val="en-AU" w:eastAsia="en-AU"/>
    </w:rPr>
  </w:style>
  <w:style w:type="character" w:customStyle="1" w:styleId="FootnoteTextChar">
    <w:name w:val="Footnote Text Char"/>
    <w:basedOn w:val="DefaultParagraphFont"/>
    <w:link w:val="FootnoteText"/>
    <w:rsid w:val="004606DD"/>
    <w:rPr>
      <w:rFonts w:ascii="Arial" w:eastAsia="Times New Roman" w:hAnsi="Arial" w:cs="Times New Roman"/>
      <w:sz w:val="20"/>
      <w:szCs w:val="20"/>
      <w:lang w:val="en-AU" w:eastAsia="en-AU"/>
    </w:rPr>
  </w:style>
  <w:style w:type="character" w:styleId="FootnoteReference">
    <w:name w:val="footnote reference"/>
    <w:aliases w:val="Footnote text"/>
    <w:basedOn w:val="DefaultParagraphFont"/>
    <w:rsid w:val="004606DD"/>
    <w:rPr>
      <w:vertAlign w:val="superscript"/>
    </w:rPr>
  </w:style>
  <w:style w:type="paragraph" w:styleId="ListBullet4">
    <w:name w:val="List Bullet 4"/>
    <w:basedOn w:val="Normal"/>
    <w:autoRedefine/>
    <w:uiPriority w:val="3"/>
    <w:semiHidden/>
    <w:unhideWhenUsed/>
    <w:rsid w:val="004606DD"/>
    <w:pPr>
      <w:numPr>
        <w:numId w:val="27"/>
      </w:numPr>
      <w:spacing w:before="120" w:after="120" w:line="260" w:lineRule="atLeast"/>
      <w:contextualSpacing/>
    </w:pPr>
    <w:rPr>
      <w:rFonts w:eastAsia="Times New Roman" w:cs="Times New Roman"/>
      <w:color w:val="auto"/>
      <w:szCs w:val="24"/>
      <w:lang w:val="en-AU" w:eastAsia="en-AU"/>
    </w:rPr>
  </w:style>
  <w:style w:type="paragraph" w:customStyle="1" w:styleId="TableText">
    <w:name w:val="Table Text"/>
    <w:basedOn w:val="Normal"/>
    <w:autoRedefine/>
    <w:uiPriority w:val="99"/>
    <w:qFormat/>
    <w:rsid w:val="00FC072C"/>
    <w:pPr>
      <w:spacing w:before="80" w:after="80" w:line="240" w:lineRule="atLeast"/>
    </w:pPr>
    <w:rPr>
      <w:rFonts w:eastAsia="Times New Roman" w:cs="Times New Roman"/>
      <w:color w:val="auto"/>
      <w:sz w:val="20"/>
      <w:szCs w:val="24"/>
      <w:lang w:val="en-AU" w:eastAsia="en-AU"/>
    </w:rPr>
  </w:style>
  <w:style w:type="character" w:styleId="Emphasis">
    <w:name w:val="Emphasis"/>
    <w:basedOn w:val="DefaultParagraphFont"/>
    <w:uiPriority w:val="20"/>
    <w:qFormat/>
    <w:rsid w:val="00A83828"/>
    <w:rPr>
      <w:i/>
      <w:iCs/>
    </w:rPr>
  </w:style>
  <w:style w:type="paragraph" w:styleId="NormalIndent">
    <w:name w:val="Normal Indent"/>
    <w:basedOn w:val="Normal"/>
    <w:autoRedefine/>
    <w:unhideWhenUsed/>
    <w:rsid w:val="00A83828"/>
    <w:pPr>
      <w:spacing w:before="120" w:after="120" w:line="260" w:lineRule="atLeast"/>
      <w:ind w:left="567"/>
    </w:pPr>
    <w:rPr>
      <w:rFonts w:eastAsia="Times New Roman" w:cs="Times New Roman"/>
      <w:color w:val="auto"/>
      <w:szCs w:val="24"/>
      <w:lang w:val="en-AU" w:eastAsia="en-AU"/>
    </w:rPr>
  </w:style>
  <w:style w:type="character" w:customStyle="1" w:styleId="ListParagraphChar">
    <w:name w:val="List Paragraph Char"/>
    <w:link w:val="ListParagraph"/>
    <w:uiPriority w:val="34"/>
    <w:locked/>
    <w:rsid w:val="00BF41F8"/>
    <w:rPr>
      <w:rFonts w:ascii="Arial" w:hAnsi="Arial"/>
      <w:color w:val="15272F" w:themeColor="text1"/>
    </w:rPr>
  </w:style>
  <w:style w:type="table" w:styleId="TableTheme">
    <w:name w:val="Table Theme"/>
    <w:basedOn w:val="TableNormal"/>
    <w:rsid w:val="00BF41F8"/>
    <w:pPr>
      <w:spacing w:before="120" w:after="120" w:line="26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01439"/>
    <w:rPr>
      <w:b/>
      <w:bCs/>
    </w:rPr>
  </w:style>
  <w:style w:type="paragraph" w:styleId="NormalWeb">
    <w:name w:val="Normal (Web)"/>
    <w:basedOn w:val="Normal"/>
    <w:autoRedefine/>
    <w:uiPriority w:val="99"/>
    <w:unhideWhenUsed/>
    <w:rsid w:val="00101439"/>
    <w:pPr>
      <w:spacing w:before="120" w:after="120" w:line="260" w:lineRule="atLeast"/>
    </w:pPr>
    <w:rPr>
      <w:rFonts w:eastAsia="Times New Roman" w:cs="Arial"/>
      <w:color w:val="auto"/>
      <w:lang w:val="en-AU" w:eastAsia="en-AU"/>
    </w:rPr>
  </w:style>
  <w:style w:type="paragraph" w:customStyle="1" w:styleId="AppendixH1">
    <w:name w:val="Appendix H1"/>
    <w:basedOn w:val="Normal"/>
    <w:autoRedefine/>
    <w:uiPriority w:val="1"/>
    <w:semiHidden/>
    <w:rsid w:val="00101439"/>
    <w:pPr>
      <w:keepNext/>
      <w:keepLines/>
      <w:spacing w:after="360" w:line="240" w:lineRule="auto"/>
      <w:contextualSpacing/>
      <w:outlineLvl w:val="0"/>
    </w:pPr>
    <w:rPr>
      <w:rFonts w:asciiTheme="majorHAnsi" w:eastAsia="Times New Roman" w:hAnsiTheme="majorHAnsi" w:cs="Times New Roman"/>
      <w:b/>
      <w:color w:val="auto"/>
      <w:sz w:val="44"/>
      <w:szCs w:val="44"/>
      <w:lang w:val="en-AU" w:eastAsia="en-AU"/>
    </w:rPr>
  </w:style>
  <w:style w:type="character" w:styleId="FollowedHyperlink">
    <w:name w:val="FollowedHyperlink"/>
    <w:basedOn w:val="DefaultParagraphFont"/>
    <w:uiPriority w:val="99"/>
    <w:semiHidden/>
    <w:unhideWhenUsed/>
    <w:rsid w:val="00137504"/>
    <w:rPr>
      <w:color w:val="104F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809117">
      <w:bodyDiv w:val="1"/>
      <w:marLeft w:val="0"/>
      <w:marRight w:val="0"/>
      <w:marTop w:val="0"/>
      <w:marBottom w:val="0"/>
      <w:divBdr>
        <w:top w:val="none" w:sz="0" w:space="0" w:color="auto"/>
        <w:left w:val="none" w:sz="0" w:space="0" w:color="auto"/>
        <w:bottom w:val="none" w:sz="0" w:space="0" w:color="auto"/>
        <w:right w:val="none" w:sz="0" w:space="0" w:color="auto"/>
      </w:divBdr>
    </w:div>
    <w:div w:id="177860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twitter.com/IHACPA"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enquiries.ihacpa@ihacpa.gov.au" TargetMode="External"/><Relationship Id="rId2" Type="http://schemas.openxmlformats.org/officeDocument/2006/relationships/numbering" Target="numbering.xml"/><Relationship Id="rId16" Type="http://schemas.openxmlformats.org/officeDocument/2006/relationships/image" Target="media/image6.sv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ihacpa.gov.au"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www.ihacpa.gov.au/about-ihacpa/who-we-are/corporate-information/policies/privacy"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IHACPA">
      <a:dk1>
        <a:srgbClr val="15272F"/>
      </a:dk1>
      <a:lt1>
        <a:srgbClr val="54C1AF"/>
      </a:lt1>
      <a:dk2>
        <a:srgbClr val="15272F"/>
      </a:dk2>
      <a:lt2>
        <a:srgbClr val="FFFFFF"/>
      </a:lt2>
      <a:accent1>
        <a:srgbClr val="15272F"/>
      </a:accent1>
      <a:accent2>
        <a:srgbClr val="104F99"/>
      </a:accent2>
      <a:accent3>
        <a:srgbClr val="0080C4"/>
      </a:accent3>
      <a:accent4>
        <a:srgbClr val="008F55"/>
      </a:accent4>
      <a:accent5>
        <a:srgbClr val="54C1AF"/>
      </a:accent5>
      <a:accent6>
        <a:srgbClr val="FFFFFF"/>
      </a:accent6>
      <a:hlink>
        <a:srgbClr val="0080C4"/>
      </a:hlink>
      <a:folHlink>
        <a:srgbClr val="104F99"/>
      </a:folHlink>
    </a:clrScheme>
    <a:fontScheme name="IHACPA">
      <a:majorFont>
        <a:latin typeface="Josefin Sans Bold"/>
        <a:ea typeface=""/>
        <a:cs typeface=""/>
      </a:majorFont>
      <a:minorFont>
        <a:latin typeface="Fira Sans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6822A-1CD2-483E-8A1D-E38221B7C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2511</Words>
  <Characters>13865</Characters>
  <Application>Microsoft Office Word</Application>
  <DocSecurity>4</DocSecurity>
  <Lines>315</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2023-09-08T00:41:00Z</dcterms:created>
  <dcterms:modified xsi:type="dcterms:W3CDTF">2023-09-08T00:41:00Z</dcterms:modified>
</cp:coreProperties>
</file>