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B54E" w14:textId="77777777" w:rsidR="000746F1" w:rsidRDefault="000746F1" w:rsidP="00216FDD">
      <w:pPr>
        <w:pStyle w:val="Title"/>
        <w:spacing w:after="720" w:line="254" w:lineRule="auto"/>
        <w:rPr>
          <w:b/>
          <w:bCs/>
          <w:color w:val="FFFFFF"/>
          <w:lang w:val="en-AU"/>
        </w:rPr>
      </w:pPr>
    </w:p>
    <w:p w14:paraId="46F7D56A" w14:textId="77777777" w:rsidR="000746F1" w:rsidRDefault="000746F1" w:rsidP="00216FDD">
      <w:pPr>
        <w:pStyle w:val="Title"/>
        <w:spacing w:after="720" w:line="254" w:lineRule="auto"/>
        <w:rPr>
          <w:b/>
          <w:bCs/>
          <w:color w:val="FFFFFF"/>
          <w:lang w:val="en-AU"/>
        </w:rPr>
      </w:pPr>
    </w:p>
    <w:p w14:paraId="5C3D27FD" w14:textId="77777777" w:rsidR="00152E61" w:rsidRDefault="00440729" w:rsidP="00216FDD">
      <w:pPr>
        <w:pStyle w:val="Title"/>
        <w:spacing w:after="720" w:line="254" w:lineRule="auto"/>
        <w:rPr>
          <w:b/>
          <w:bCs/>
          <w:color w:val="FFFFFF"/>
          <w:spacing w:val="233"/>
          <w:sz w:val="96"/>
          <w:szCs w:val="96"/>
          <w:lang w:val="en-AU"/>
        </w:rPr>
      </w:pPr>
      <w:r w:rsidRPr="000746F1">
        <w:rPr>
          <w:b/>
          <w:bCs/>
          <w:color w:val="FFFFFF"/>
          <w:sz w:val="96"/>
          <w:szCs w:val="96"/>
          <w:lang w:val="en-AU"/>
        </w:rPr>
        <w:t>National Hospital Cost</w:t>
      </w:r>
      <w:r w:rsidRPr="000746F1">
        <w:rPr>
          <w:b/>
          <w:bCs/>
          <w:color w:val="FFFFFF"/>
          <w:spacing w:val="1"/>
          <w:sz w:val="96"/>
          <w:szCs w:val="96"/>
          <w:lang w:val="en-AU"/>
        </w:rPr>
        <w:t xml:space="preserve"> </w:t>
      </w:r>
      <w:r w:rsidRPr="000746F1">
        <w:rPr>
          <w:b/>
          <w:bCs/>
          <w:color w:val="FFFFFF"/>
          <w:sz w:val="96"/>
          <w:szCs w:val="96"/>
          <w:lang w:val="en-AU"/>
        </w:rPr>
        <w:t>Data</w:t>
      </w:r>
      <w:r w:rsidR="004E217C" w:rsidRPr="000746F1">
        <w:rPr>
          <w:b/>
          <w:bCs/>
          <w:color w:val="FFFFFF"/>
          <w:spacing w:val="233"/>
          <w:sz w:val="96"/>
          <w:szCs w:val="96"/>
          <w:lang w:val="en-AU"/>
        </w:rPr>
        <w:t xml:space="preserve"> </w:t>
      </w:r>
    </w:p>
    <w:p w14:paraId="43A64889" w14:textId="3C852DDC" w:rsidR="00440729" w:rsidRPr="000746F1" w:rsidRDefault="00440729" w:rsidP="00216FDD">
      <w:pPr>
        <w:pStyle w:val="Title"/>
        <w:spacing w:after="720" w:line="254" w:lineRule="auto"/>
        <w:rPr>
          <w:b/>
          <w:bCs/>
          <w:color w:val="FFFFFF"/>
          <w:spacing w:val="1"/>
          <w:sz w:val="96"/>
          <w:szCs w:val="96"/>
          <w:lang w:val="en-AU"/>
        </w:rPr>
      </w:pPr>
      <w:r w:rsidRPr="000746F1">
        <w:rPr>
          <w:b/>
          <w:bCs/>
          <w:color w:val="FFFFFF"/>
          <w:sz w:val="96"/>
          <w:szCs w:val="96"/>
          <w:lang w:val="en-AU"/>
        </w:rPr>
        <w:t>Collection</w:t>
      </w:r>
      <w:r w:rsidR="00E87B16" w:rsidRPr="000746F1">
        <w:rPr>
          <w:b/>
          <w:bCs/>
          <w:color w:val="FFFFFF"/>
          <w:sz w:val="96"/>
          <w:szCs w:val="96"/>
          <w:lang w:val="en-AU"/>
        </w:rPr>
        <w:t xml:space="preserve"> </w:t>
      </w:r>
      <w:r w:rsidRPr="000746F1">
        <w:rPr>
          <w:b/>
          <w:bCs/>
          <w:color w:val="FFFFFF"/>
          <w:spacing w:val="1"/>
          <w:sz w:val="96"/>
          <w:szCs w:val="96"/>
          <w:lang w:val="en-AU"/>
        </w:rPr>
        <w:t xml:space="preserve"> </w:t>
      </w:r>
    </w:p>
    <w:p w14:paraId="125B4A74" w14:textId="501C6FD7" w:rsidR="000746F1" w:rsidRDefault="5FC2A712" w:rsidP="00216FDD">
      <w:pPr>
        <w:pStyle w:val="Coversubtitle"/>
        <w:rPr>
          <w:b/>
          <w:bCs/>
          <w:lang w:val="en-AU"/>
        </w:rPr>
      </w:pPr>
      <w:r w:rsidRPr="00216FDD">
        <w:rPr>
          <w:b/>
          <w:bCs/>
          <w:lang w:val="en-AU"/>
        </w:rPr>
        <w:t>Private Hospital Report</w:t>
      </w:r>
      <w:r w:rsidR="00F04BCD">
        <w:rPr>
          <w:b/>
          <w:bCs/>
          <w:lang w:val="en-AU"/>
        </w:rPr>
        <w:t xml:space="preserve"> </w:t>
      </w:r>
      <w:r w:rsidR="00E87B16">
        <w:rPr>
          <w:b/>
          <w:bCs/>
          <w:lang w:val="en-AU"/>
        </w:rPr>
        <w:t xml:space="preserve">2020-21 </w:t>
      </w:r>
    </w:p>
    <w:p w14:paraId="66A52CA9" w14:textId="3BE54ACA" w:rsidR="000746F1" w:rsidRPr="000746F1" w:rsidRDefault="000746F1" w:rsidP="000746F1">
      <w:pPr>
        <w:spacing w:line="259" w:lineRule="auto"/>
        <w:rPr>
          <w:lang w:val="en-AU"/>
        </w:rPr>
        <w:sectPr w:rsidR="000746F1" w:rsidRPr="000746F1" w:rsidSect="00522146">
          <w:headerReference w:type="default" r:id="rId11"/>
          <w:footerReference w:type="default" r:id="rId12"/>
          <w:type w:val="continuous"/>
          <w:pgSz w:w="11906" w:h="16838" w:code="9"/>
          <w:pgMar w:top="1440" w:right="1080" w:bottom="1440" w:left="1080" w:header="708" w:footer="1134" w:gutter="0"/>
          <w:cols w:space="720"/>
          <w:docGrid w:linePitch="360"/>
        </w:sectPr>
      </w:pPr>
      <w:r>
        <w:rPr>
          <w:b/>
          <w:bCs/>
          <w:lang w:val="en-AU"/>
        </w:rPr>
        <w:br w:type="page"/>
      </w:r>
    </w:p>
    <w:p w14:paraId="4ED4506F" w14:textId="7209F876" w:rsidR="00990DC9" w:rsidRPr="007372C2" w:rsidRDefault="00990DC9" w:rsidP="00990DC9">
      <w:pPr>
        <w:pStyle w:val="Copyrightheading"/>
      </w:pPr>
      <w:bookmarkStart w:id="0" w:name="_Toc105099720"/>
      <w:r>
        <w:lastRenderedPageBreak/>
        <w:t>National Hospital Cost Data Collection Private Hospital Report</w:t>
      </w:r>
      <w:r w:rsidR="00F04BCD">
        <w:t xml:space="preserve"> </w:t>
      </w:r>
      <w:r>
        <w:t xml:space="preserve">2020-21 </w:t>
      </w:r>
      <w:r w:rsidRPr="007372C2">
        <w:rPr>
          <w:rFonts w:hint="cs"/>
        </w:rPr>
        <w:t>—</w:t>
      </w:r>
      <w:r w:rsidRPr="007372C2">
        <w:t xml:space="preserve"> </w:t>
      </w:r>
      <w:r w:rsidR="00F04BCD">
        <w:t>July</w:t>
      </w:r>
      <w:r>
        <w:t xml:space="preserve"> 2023</w:t>
      </w:r>
    </w:p>
    <w:p w14:paraId="421E9AED" w14:textId="7FAEFF51" w:rsidR="00990DC9" w:rsidRPr="007372C2" w:rsidRDefault="00990DC9" w:rsidP="00990DC9">
      <w:pPr>
        <w:pStyle w:val="Copyrightcopy"/>
      </w:pPr>
      <w:r w:rsidRPr="007372C2">
        <w:rPr>
          <w:rFonts w:hint="cs"/>
        </w:rPr>
        <w:t>©</w:t>
      </w:r>
      <w:r w:rsidRPr="007372C2">
        <w:t xml:space="preserve"> Independent Health and </w:t>
      </w:r>
      <w:r>
        <w:t>Aged Care Pricing Authority 2023</w:t>
      </w:r>
    </w:p>
    <w:p w14:paraId="2B2A3F74" w14:textId="77777777" w:rsidR="00990DC9" w:rsidRPr="007372C2" w:rsidRDefault="00990DC9" w:rsidP="00990DC9">
      <w:pPr>
        <w:pStyle w:val="Copyrightcopy"/>
      </w:pPr>
      <w:r w:rsidRPr="007372C2">
        <w:t xml:space="preserve">This publication is available for your use under a Creative Commons BY Attribution 3.0 Australia </w:t>
      </w:r>
      <w:proofErr w:type="spellStart"/>
      <w:r w:rsidRPr="007372C2">
        <w:t>licence</w:t>
      </w:r>
      <w:proofErr w:type="spellEnd"/>
      <w:r w:rsidRPr="007372C2">
        <w:t xml:space="preserve">, </w:t>
      </w:r>
      <w:proofErr w:type="gramStart"/>
      <w:r w:rsidRPr="007372C2">
        <w:t>with the exception of</w:t>
      </w:r>
      <w:proofErr w:type="gramEnd"/>
      <w:r w:rsidRPr="007372C2">
        <w:t xml:space="preserve"> the Independent Health and Aged Care Pricing Authority logo, photographs, images, signatures and where otherwise stated. The full </w:t>
      </w:r>
      <w:proofErr w:type="spellStart"/>
      <w:r w:rsidRPr="007372C2">
        <w:t>licence</w:t>
      </w:r>
      <w:proofErr w:type="spellEnd"/>
      <w:r w:rsidRPr="007372C2">
        <w:t xml:space="preserve"> terms are available from the Creative Commons website.</w:t>
      </w:r>
    </w:p>
    <w:p w14:paraId="0ED11850" w14:textId="77777777" w:rsidR="00990DC9" w:rsidRPr="007372C2" w:rsidRDefault="00990DC9" w:rsidP="00990DC9">
      <w:pPr>
        <w:pStyle w:val="Copyrightcopy"/>
      </w:pPr>
      <w:r w:rsidRPr="007372C2">
        <w:rPr>
          <w:noProof/>
          <w:lang w:val="en-US"/>
        </w:rPr>
        <w:drawing>
          <wp:inline distT="0" distB="0" distL="0" distR="0" wp14:anchorId="45C2B4B4" wp14:editId="599B3116">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3">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069E805F" w14:textId="77777777" w:rsidR="00990DC9" w:rsidRPr="007372C2" w:rsidRDefault="00990DC9" w:rsidP="00990DC9">
      <w:pPr>
        <w:pStyle w:val="Copyrightcopy"/>
      </w:pPr>
      <w:r w:rsidRPr="007372C2">
        <w:t xml:space="preserve">Use of Independent Health and Aged Care Pricing Authority material under a Creative Commons BY Attribution 3.0 Australia </w:t>
      </w:r>
      <w:proofErr w:type="spellStart"/>
      <w:r w:rsidRPr="007372C2">
        <w:t>licence</w:t>
      </w:r>
      <w:proofErr w:type="spellEnd"/>
      <w:r w:rsidRPr="007372C2">
        <w:t xml:space="preserve"> requires you to attribute the work (but not in any way that suggests that the Independent Health and Aged Care Pricing Authority endorses you or your use of the</w:t>
      </w:r>
      <w:r w:rsidRPr="007372C2">
        <w:rPr>
          <w:rFonts w:hint="cs"/>
        </w:rPr>
        <w:t> </w:t>
      </w:r>
      <w:r w:rsidRPr="007372C2">
        <w:t>work).</w:t>
      </w:r>
    </w:p>
    <w:p w14:paraId="09AF5EAF" w14:textId="77777777" w:rsidR="00990DC9" w:rsidRPr="007372C2" w:rsidRDefault="00990DC9" w:rsidP="00990DC9">
      <w:pPr>
        <w:pStyle w:val="Copyrightcopy"/>
      </w:pPr>
      <w:r w:rsidRPr="007372C2">
        <w:t>Independent Health and Aged Care Pricing Authority material used 'as supplied'.</w:t>
      </w:r>
    </w:p>
    <w:p w14:paraId="27D00C75" w14:textId="77777777" w:rsidR="00990DC9" w:rsidRPr="007372C2" w:rsidRDefault="00990DC9" w:rsidP="00990DC9">
      <w:pPr>
        <w:pStyle w:val="Copyrightcopy"/>
      </w:pPr>
      <w:r w:rsidRPr="007372C2">
        <w:t xml:space="preserve">Provided you have not modified or transformed Independent Health and Aged Care Pricing Authority material in any way including, for example, by changing Independent Health and Aged Care Pricing Authority text </w:t>
      </w:r>
      <w:r w:rsidRPr="007372C2">
        <w:rPr>
          <w:rFonts w:hint="cs"/>
        </w:rPr>
        <w:t>–</w:t>
      </w:r>
      <w:r w:rsidRPr="007372C2">
        <w:t xml:space="preserve"> then the Independent Health and Aged Care Pricing Authority prefers the following attribution:</w:t>
      </w:r>
    </w:p>
    <w:p w14:paraId="737AB6C6" w14:textId="77777777" w:rsidR="00990DC9" w:rsidRDefault="00990DC9" w:rsidP="00990DC9">
      <w:pPr>
        <w:pStyle w:val="Copyrightcopy"/>
        <w:sectPr w:rsidR="00990DC9" w:rsidSect="00522146">
          <w:headerReference w:type="default" r:id="rId14"/>
          <w:footerReference w:type="default" r:id="rId15"/>
          <w:pgSz w:w="11906" w:h="16838" w:code="9"/>
          <w:pgMar w:top="7371" w:right="1077" w:bottom="1440" w:left="1077" w:header="709" w:footer="709" w:gutter="0"/>
          <w:cols w:space="720"/>
          <w:docGrid w:linePitch="360"/>
        </w:sectPr>
      </w:pPr>
      <w:r w:rsidRPr="007372C2">
        <w:t>Source: The Independent Health and Aged Care Pricing</w:t>
      </w:r>
      <w:r w:rsidRPr="007372C2">
        <w:rPr>
          <w:rFonts w:hint="cs"/>
        </w:rPr>
        <w:t> </w:t>
      </w:r>
      <w:r w:rsidRPr="007372C2">
        <w:t>Authority</w:t>
      </w:r>
    </w:p>
    <w:bookmarkEnd w:id="0" w:displacedByCustomXml="next"/>
    <w:sdt>
      <w:sdtPr>
        <w:rPr>
          <w:highlight w:val="yellow"/>
          <w:lang w:val="en-AU"/>
        </w:rPr>
        <w:id w:val="-1796903514"/>
        <w:docPartObj>
          <w:docPartGallery w:val="Table of Contents"/>
          <w:docPartUnique/>
        </w:docPartObj>
      </w:sdtPr>
      <w:sdtEndPr>
        <w:rPr>
          <w:b/>
          <w:bCs/>
          <w:noProof/>
        </w:rPr>
      </w:sdtEndPr>
      <w:sdtContent>
        <w:p w14:paraId="2A6C2ACF" w14:textId="6BCBFEE5" w:rsidR="00BF12BF" w:rsidRPr="000D4BE9" w:rsidRDefault="00DB7638" w:rsidP="00E87B16">
          <w:pPr>
            <w:rPr>
              <w:noProof/>
              <w:color w:val="0080C4" w:themeColor="hyperlink"/>
              <w:u w:val="single"/>
            </w:rPr>
          </w:pPr>
          <w:r w:rsidRPr="00F26A6E">
            <w:rPr>
              <w:rStyle w:val="Heading1Char"/>
            </w:rPr>
            <w:t>Contents</w:t>
          </w:r>
          <w:r w:rsidR="00BF12BF" w:rsidRPr="000D4BE9">
            <w:rPr>
              <w:lang w:val="en-AU"/>
            </w:rPr>
            <w:fldChar w:fldCharType="begin"/>
          </w:r>
          <w:r w:rsidR="00BF12BF" w:rsidRPr="000D4BE9">
            <w:rPr>
              <w:lang w:val="en-AU"/>
            </w:rPr>
            <w:instrText xml:space="preserve"> TOC \o "1-3" \h \z \u </w:instrText>
          </w:r>
          <w:r w:rsidR="00BF12BF" w:rsidRPr="000D4BE9">
            <w:rPr>
              <w:lang w:val="en-AU"/>
            </w:rPr>
            <w:fldChar w:fldCharType="separate"/>
          </w:r>
        </w:p>
        <w:p w14:paraId="12B30F5C" w14:textId="333D14A1" w:rsidR="00BF12BF" w:rsidRPr="000D4BE9" w:rsidRDefault="00523C3C" w:rsidP="00E87B16">
          <w:pPr>
            <w:pStyle w:val="TOC1"/>
            <w:tabs>
              <w:tab w:val="left" w:pos="660"/>
              <w:tab w:val="right" w:leader="dot" w:pos="9736"/>
            </w:tabs>
            <w:spacing w:line="360" w:lineRule="auto"/>
            <w:rPr>
              <w:rFonts w:asciiTheme="minorHAnsi" w:eastAsiaTheme="minorEastAsia" w:hAnsiTheme="minorHAnsi"/>
              <w:b w:val="0"/>
              <w:noProof/>
              <w:color w:val="auto"/>
              <w:sz w:val="22"/>
              <w:lang w:val="en-US"/>
            </w:rPr>
          </w:pPr>
          <w:hyperlink w:anchor="_Toc129701348" w:history="1">
            <w:r w:rsidR="00BF12BF" w:rsidRPr="000D4BE9">
              <w:rPr>
                <w:rStyle w:val="Hyperlink"/>
                <w:b w:val="0"/>
                <w:noProof/>
                <w:sz w:val="22"/>
              </w:rPr>
              <w:t>1.</w:t>
            </w:r>
            <w:r w:rsidR="00BF12BF" w:rsidRPr="000D4BE9">
              <w:rPr>
                <w:rFonts w:asciiTheme="minorHAnsi" w:eastAsiaTheme="minorEastAsia" w:hAnsiTheme="minorHAnsi"/>
                <w:b w:val="0"/>
                <w:noProof/>
                <w:color w:val="auto"/>
                <w:sz w:val="22"/>
                <w:lang w:val="en-US"/>
              </w:rPr>
              <w:tab/>
            </w:r>
            <w:r w:rsidR="00BF12BF" w:rsidRPr="000D4BE9">
              <w:rPr>
                <w:rStyle w:val="Hyperlink"/>
                <w:b w:val="0"/>
                <w:noProof/>
                <w:sz w:val="22"/>
              </w:rPr>
              <w:t>Executive Summary</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_Toc129701348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6</w:t>
            </w:r>
            <w:r w:rsidR="00BF12BF" w:rsidRPr="000D4BE9">
              <w:rPr>
                <w:b w:val="0"/>
                <w:noProof/>
                <w:webHidden/>
                <w:sz w:val="22"/>
              </w:rPr>
              <w:fldChar w:fldCharType="end"/>
            </w:r>
          </w:hyperlink>
        </w:p>
        <w:p w14:paraId="7A60ECD3" w14:textId="15B8F8C5" w:rsidR="00BF12BF" w:rsidRPr="000D4BE9" w:rsidRDefault="00523C3C" w:rsidP="00E87B16">
          <w:pPr>
            <w:pStyle w:val="TOC1"/>
            <w:tabs>
              <w:tab w:val="left" w:pos="660"/>
              <w:tab w:val="right" w:leader="dot" w:pos="9736"/>
            </w:tabs>
            <w:spacing w:line="360" w:lineRule="auto"/>
            <w:rPr>
              <w:rFonts w:asciiTheme="minorHAnsi" w:eastAsiaTheme="minorEastAsia" w:hAnsiTheme="minorHAnsi"/>
              <w:b w:val="0"/>
              <w:noProof/>
              <w:color w:val="auto"/>
              <w:sz w:val="22"/>
              <w:lang w:val="en-US"/>
            </w:rPr>
          </w:pPr>
          <w:hyperlink w:anchor="_Toc129701353" w:history="1">
            <w:r w:rsidR="00BF12BF" w:rsidRPr="000D4BE9">
              <w:rPr>
                <w:rStyle w:val="Hyperlink"/>
                <w:b w:val="0"/>
                <w:noProof/>
                <w:sz w:val="22"/>
              </w:rPr>
              <w:t>2.</w:t>
            </w:r>
            <w:r w:rsidR="00BF12BF" w:rsidRPr="000D4BE9">
              <w:rPr>
                <w:rFonts w:asciiTheme="minorHAnsi" w:eastAsiaTheme="minorEastAsia" w:hAnsiTheme="minorHAnsi"/>
                <w:b w:val="0"/>
                <w:noProof/>
                <w:color w:val="auto"/>
                <w:sz w:val="22"/>
                <w:lang w:val="en-US"/>
              </w:rPr>
              <w:tab/>
            </w:r>
            <w:r w:rsidR="00BF12BF" w:rsidRPr="000D4BE9">
              <w:rPr>
                <w:rStyle w:val="Hyperlink"/>
                <w:b w:val="0"/>
                <w:noProof/>
                <w:sz w:val="22"/>
              </w:rPr>
              <w:t>Introduction</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_Toc129701353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9</w:t>
            </w:r>
            <w:r w:rsidR="00BF12BF" w:rsidRPr="000D4BE9">
              <w:rPr>
                <w:b w:val="0"/>
                <w:noProof/>
                <w:webHidden/>
                <w:sz w:val="22"/>
              </w:rPr>
              <w:fldChar w:fldCharType="end"/>
            </w:r>
          </w:hyperlink>
        </w:p>
        <w:p w14:paraId="736A4187" w14:textId="021FA83D" w:rsidR="00BF12BF" w:rsidRPr="000D4BE9" w:rsidRDefault="00523C3C" w:rsidP="00E87B16">
          <w:pPr>
            <w:pStyle w:val="TOC1"/>
            <w:tabs>
              <w:tab w:val="left" w:pos="660"/>
              <w:tab w:val="right" w:leader="dot" w:pos="9736"/>
            </w:tabs>
            <w:spacing w:line="360" w:lineRule="auto"/>
            <w:rPr>
              <w:rFonts w:asciiTheme="minorHAnsi" w:eastAsiaTheme="minorEastAsia" w:hAnsiTheme="minorHAnsi"/>
              <w:b w:val="0"/>
              <w:noProof/>
              <w:color w:val="auto"/>
              <w:sz w:val="22"/>
              <w:lang w:val="en-US"/>
            </w:rPr>
          </w:pPr>
          <w:hyperlink w:anchor="_Toc129701360" w:history="1">
            <w:r w:rsidR="00BF12BF" w:rsidRPr="000D4BE9">
              <w:rPr>
                <w:rStyle w:val="Hyperlink"/>
                <w:b w:val="0"/>
                <w:noProof/>
                <w:sz w:val="22"/>
              </w:rPr>
              <w:t>3.</w:t>
            </w:r>
            <w:r w:rsidR="00BF12BF" w:rsidRPr="000D4BE9">
              <w:rPr>
                <w:rFonts w:asciiTheme="minorHAnsi" w:eastAsiaTheme="minorEastAsia" w:hAnsiTheme="minorHAnsi"/>
                <w:b w:val="0"/>
                <w:noProof/>
                <w:color w:val="auto"/>
                <w:sz w:val="22"/>
                <w:lang w:val="en-US"/>
              </w:rPr>
              <w:tab/>
            </w:r>
            <w:r w:rsidR="00BF12BF" w:rsidRPr="000D4BE9">
              <w:rPr>
                <w:rStyle w:val="Hyperlink"/>
                <w:b w:val="0"/>
                <w:noProof/>
                <w:sz w:val="22"/>
              </w:rPr>
              <w:t>Scope and methodology</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_Toc129701360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11</w:t>
            </w:r>
            <w:r w:rsidR="00BF12BF" w:rsidRPr="000D4BE9">
              <w:rPr>
                <w:b w:val="0"/>
                <w:noProof/>
                <w:webHidden/>
                <w:sz w:val="22"/>
              </w:rPr>
              <w:fldChar w:fldCharType="end"/>
            </w:r>
          </w:hyperlink>
        </w:p>
        <w:p w14:paraId="4E60C104" w14:textId="057E726A" w:rsidR="00BF12BF" w:rsidRPr="000D4BE9" w:rsidRDefault="00523C3C" w:rsidP="00E87B16">
          <w:pPr>
            <w:pStyle w:val="TOC1"/>
            <w:tabs>
              <w:tab w:val="left" w:pos="660"/>
              <w:tab w:val="right" w:leader="dot" w:pos="9736"/>
            </w:tabs>
            <w:spacing w:line="360" w:lineRule="auto"/>
            <w:rPr>
              <w:rFonts w:asciiTheme="minorHAnsi" w:eastAsiaTheme="minorEastAsia" w:hAnsiTheme="minorHAnsi"/>
              <w:b w:val="0"/>
              <w:noProof/>
              <w:color w:val="auto"/>
              <w:sz w:val="22"/>
              <w:lang w:val="en-US"/>
            </w:rPr>
          </w:pPr>
          <w:hyperlink w:anchor="_Toc129701371" w:history="1">
            <w:r w:rsidR="00BF12BF" w:rsidRPr="000D4BE9">
              <w:rPr>
                <w:rStyle w:val="Hyperlink"/>
                <w:b w:val="0"/>
                <w:noProof/>
                <w:sz w:val="22"/>
              </w:rPr>
              <w:t>4.</w:t>
            </w:r>
            <w:r w:rsidR="00BF12BF" w:rsidRPr="000D4BE9">
              <w:rPr>
                <w:rFonts w:asciiTheme="minorHAnsi" w:eastAsiaTheme="minorEastAsia" w:hAnsiTheme="minorHAnsi"/>
                <w:b w:val="0"/>
                <w:noProof/>
                <w:color w:val="auto"/>
                <w:sz w:val="22"/>
                <w:lang w:val="en-US"/>
              </w:rPr>
              <w:tab/>
            </w:r>
            <w:r w:rsidR="00BF12BF" w:rsidRPr="000D4BE9">
              <w:rPr>
                <w:rStyle w:val="Hyperlink"/>
                <w:b w:val="0"/>
                <w:noProof/>
                <w:sz w:val="22"/>
              </w:rPr>
              <w:t>Results</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_Toc129701371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15</w:t>
            </w:r>
            <w:r w:rsidR="00BF12BF" w:rsidRPr="000D4BE9">
              <w:rPr>
                <w:b w:val="0"/>
                <w:noProof/>
                <w:webHidden/>
                <w:sz w:val="22"/>
              </w:rPr>
              <w:fldChar w:fldCharType="end"/>
            </w:r>
          </w:hyperlink>
        </w:p>
        <w:p w14:paraId="70D9A2B9" w14:textId="61F806A6" w:rsidR="00BF12BF" w:rsidRPr="000D4BE9" w:rsidRDefault="00523C3C" w:rsidP="00E87B16">
          <w:pPr>
            <w:pStyle w:val="TOC1"/>
            <w:tabs>
              <w:tab w:val="left" w:pos="660"/>
              <w:tab w:val="right" w:leader="dot" w:pos="9736"/>
            </w:tabs>
            <w:spacing w:line="360" w:lineRule="auto"/>
            <w:rPr>
              <w:rFonts w:asciiTheme="minorHAnsi" w:eastAsiaTheme="minorEastAsia" w:hAnsiTheme="minorHAnsi"/>
              <w:b w:val="0"/>
              <w:noProof/>
              <w:color w:val="auto"/>
              <w:sz w:val="22"/>
              <w:lang w:val="en-US"/>
            </w:rPr>
          </w:pPr>
          <w:hyperlink w:anchor="_Toc129701383" w:history="1">
            <w:r w:rsidR="00BF12BF" w:rsidRPr="000D4BE9">
              <w:rPr>
                <w:rStyle w:val="Hyperlink"/>
                <w:b w:val="0"/>
                <w:noProof/>
                <w:sz w:val="22"/>
              </w:rPr>
              <w:t>5.</w:t>
            </w:r>
            <w:r w:rsidR="00BF12BF" w:rsidRPr="000D4BE9">
              <w:rPr>
                <w:rFonts w:asciiTheme="minorHAnsi" w:eastAsiaTheme="minorEastAsia" w:hAnsiTheme="minorHAnsi"/>
                <w:b w:val="0"/>
                <w:noProof/>
                <w:color w:val="auto"/>
                <w:sz w:val="22"/>
                <w:lang w:val="en-US"/>
              </w:rPr>
              <w:tab/>
            </w:r>
            <w:r w:rsidR="00BF12BF" w:rsidRPr="000D4BE9">
              <w:rPr>
                <w:rStyle w:val="Hyperlink"/>
                <w:b w:val="0"/>
                <w:noProof/>
                <w:sz w:val="22"/>
              </w:rPr>
              <w:t>COVID-19</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_Toc129701383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39</w:t>
            </w:r>
            <w:r w:rsidR="00BF12BF" w:rsidRPr="000D4BE9">
              <w:rPr>
                <w:b w:val="0"/>
                <w:noProof/>
                <w:webHidden/>
                <w:sz w:val="22"/>
              </w:rPr>
              <w:fldChar w:fldCharType="end"/>
            </w:r>
          </w:hyperlink>
        </w:p>
        <w:p w14:paraId="68447F1A" w14:textId="751DCA7D"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388" w:history="1">
            <w:r w:rsidR="00BF12BF" w:rsidRPr="000D4BE9">
              <w:rPr>
                <w:rStyle w:val="Hyperlink"/>
                <w:b w:val="0"/>
                <w:noProof/>
                <w:sz w:val="22"/>
              </w:rPr>
              <w:t>Appendix A: Methodology</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_Toc129701388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42</w:t>
            </w:r>
            <w:r w:rsidR="00BF12BF" w:rsidRPr="000D4BE9">
              <w:rPr>
                <w:b w:val="0"/>
                <w:noProof/>
                <w:webHidden/>
                <w:sz w:val="22"/>
              </w:rPr>
              <w:fldChar w:fldCharType="end"/>
            </w:r>
          </w:hyperlink>
        </w:p>
        <w:p w14:paraId="26CCF7DE" w14:textId="3247F331"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397" w:history="1">
            <w:r w:rsidR="00BF12BF" w:rsidRPr="000D4BE9">
              <w:rPr>
                <w:rStyle w:val="Hyperlink"/>
                <w:b w:val="0"/>
                <w:noProof/>
                <w:sz w:val="22"/>
              </w:rPr>
              <w:t>Appendix B: Private sector costing approaches</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_Toc129701397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44</w:t>
            </w:r>
            <w:r w:rsidR="00BF12BF" w:rsidRPr="000D4BE9">
              <w:rPr>
                <w:b w:val="0"/>
                <w:noProof/>
                <w:webHidden/>
                <w:sz w:val="22"/>
              </w:rPr>
              <w:fldChar w:fldCharType="end"/>
            </w:r>
          </w:hyperlink>
        </w:p>
        <w:p w14:paraId="204DB6F3" w14:textId="1E12A689"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404" w:history="1">
            <w:r w:rsidR="00BF12BF" w:rsidRPr="000D4BE9">
              <w:rPr>
                <w:rStyle w:val="Hyperlink"/>
                <w:b w:val="0"/>
                <w:noProof/>
                <w:sz w:val="22"/>
              </w:rPr>
              <w:t>Appendix C: Standard error range for the 2020-21 private sector NHCDC</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_Toc129701404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46</w:t>
            </w:r>
            <w:r w:rsidR="00BF12BF" w:rsidRPr="000D4BE9">
              <w:rPr>
                <w:b w:val="0"/>
                <w:noProof/>
                <w:webHidden/>
                <w:sz w:val="22"/>
              </w:rPr>
              <w:fldChar w:fldCharType="end"/>
            </w:r>
          </w:hyperlink>
        </w:p>
        <w:p w14:paraId="60703DB3" w14:textId="7D0B55D2"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405" w:history="1">
            <w:r w:rsidR="00BF12BF" w:rsidRPr="000D4BE9">
              <w:rPr>
                <w:rStyle w:val="Hyperlink"/>
                <w:b w:val="0"/>
                <w:noProof/>
                <w:sz w:val="22"/>
              </w:rPr>
              <w:t>Appendix</w:t>
            </w:r>
            <w:r w:rsidR="00BF12BF" w:rsidRPr="000D4BE9">
              <w:rPr>
                <w:rStyle w:val="Hyperlink"/>
                <w:b w:val="0"/>
                <w:noProof/>
                <w:spacing w:val="-2"/>
                <w:sz w:val="22"/>
              </w:rPr>
              <w:t xml:space="preserve"> </w:t>
            </w:r>
            <w:r w:rsidR="00BF12BF" w:rsidRPr="000D4BE9">
              <w:rPr>
                <w:rStyle w:val="Hyperlink"/>
                <w:b w:val="0"/>
                <w:noProof/>
                <w:sz w:val="22"/>
              </w:rPr>
              <w:t>D:</w:t>
            </w:r>
            <w:r w:rsidR="00BF12BF" w:rsidRPr="000D4BE9">
              <w:rPr>
                <w:rStyle w:val="Hyperlink"/>
                <w:b w:val="0"/>
                <w:noProof/>
                <w:spacing w:val="1"/>
                <w:sz w:val="22"/>
              </w:rPr>
              <w:t xml:space="preserve"> </w:t>
            </w:r>
            <w:r w:rsidR="00BF12BF" w:rsidRPr="000D4BE9">
              <w:rPr>
                <w:rStyle w:val="Hyperlink"/>
                <w:b w:val="0"/>
                <w:noProof/>
                <w:sz w:val="22"/>
              </w:rPr>
              <w:t>Cost</w:t>
            </w:r>
            <w:r w:rsidR="00BF12BF" w:rsidRPr="000D4BE9">
              <w:rPr>
                <w:rStyle w:val="Hyperlink"/>
                <w:b w:val="0"/>
                <w:noProof/>
                <w:spacing w:val="1"/>
                <w:sz w:val="22"/>
              </w:rPr>
              <w:t xml:space="preserve"> </w:t>
            </w:r>
            <w:r w:rsidR="00BF12BF" w:rsidRPr="000D4BE9">
              <w:rPr>
                <w:rStyle w:val="Hyperlink"/>
                <w:b w:val="0"/>
                <w:noProof/>
                <w:sz w:val="22"/>
              </w:rPr>
              <w:t>weight</w:t>
            </w:r>
            <w:r w:rsidR="00BF12BF" w:rsidRPr="000D4BE9">
              <w:rPr>
                <w:rStyle w:val="Hyperlink"/>
                <w:b w:val="0"/>
                <w:noProof/>
                <w:spacing w:val="1"/>
                <w:sz w:val="22"/>
              </w:rPr>
              <w:t xml:space="preserve"> </w:t>
            </w:r>
            <w:r w:rsidR="00BF12BF" w:rsidRPr="000D4BE9">
              <w:rPr>
                <w:rStyle w:val="Hyperlink"/>
                <w:b w:val="0"/>
                <w:noProof/>
                <w:sz w:val="22"/>
              </w:rPr>
              <w:t>tables by AR</w:t>
            </w:r>
            <w:r w:rsidR="00BF12BF" w:rsidRPr="000D4BE9">
              <w:rPr>
                <w:rStyle w:val="Hyperlink"/>
                <w:b w:val="0"/>
                <w:noProof/>
                <w:sz w:val="22"/>
              </w:rPr>
              <w:noBreakHyphen/>
              <w:t>DRG Version 10.0</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_Toc129701405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47</w:t>
            </w:r>
            <w:r w:rsidR="00BF12BF" w:rsidRPr="000D4BE9">
              <w:rPr>
                <w:b w:val="0"/>
                <w:noProof/>
                <w:webHidden/>
                <w:sz w:val="22"/>
              </w:rPr>
              <w:fldChar w:fldCharType="end"/>
            </w:r>
          </w:hyperlink>
        </w:p>
        <w:p w14:paraId="4CFBE96C" w14:textId="7C592B0B"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406" w:history="1">
            <w:r w:rsidR="00BF12BF" w:rsidRPr="000D4BE9">
              <w:rPr>
                <w:rStyle w:val="Hyperlink"/>
                <w:b w:val="0"/>
                <w:noProof/>
                <w:sz w:val="22"/>
              </w:rPr>
              <w:t>Appendix E: Cost weight</w:t>
            </w:r>
            <w:r w:rsidR="00BF12BF" w:rsidRPr="000D4BE9">
              <w:rPr>
                <w:rStyle w:val="Hyperlink"/>
                <w:b w:val="0"/>
                <w:noProof/>
                <w:spacing w:val="1"/>
                <w:sz w:val="22"/>
              </w:rPr>
              <w:t xml:space="preserve"> </w:t>
            </w:r>
            <w:r w:rsidR="00BF12BF" w:rsidRPr="000D4BE9">
              <w:rPr>
                <w:rStyle w:val="Hyperlink"/>
                <w:b w:val="0"/>
                <w:noProof/>
                <w:sz w:val="22"/>
              </w:rPr>
              <w:t>tables</w:t>
            </w:r>
            <w:r w:rsidR="00BF12BF" w:rsidRPr="000D4BE9">
              <w:rPr>
                <w:rStyle w:val="Hyperlink"/>
                <w:b w:val="0"/>
                <w:noProof/>
                <w:spacing w:val="-4"/>
                <w:sz w:val="22"/>
              </w:rPr>
              <w:t xml:space="preserve"> </w:t>
            </w:r>
            <w:r w:rsidR="00BF12BF" w:rsidRPr="000D4BE9">
              <w:rPr>
                <w:rStyle w:val="Hyperlink"/>
                <w:b w:val="0"/>
                <w:noProof/>
                <w:sz w:val="22"/>
              </w:rPr>
              <w:t>by</w:t>
            </w:r>
            <w:r w:rsidR="00BF12BF" w:rsidRPr="000D4BE9">
              <w:rPr>
                <w:rStyle w:val="Hyperlink"/>
                <w:b w:val="0"/>
                <w:noProof/>
                <w:spacing w:val="-4"/>
                <w:sz w:val="22"/>
              </w:rPr>
              <w:t xml:space="preserve"> </w:t>
            </w:r>
            <w:r w:rsidR="00BF12BF" w:rsidRPr="000D4BE9">
              <w:rPr>
                <w:rStyle w:val="Hyperlink"/>
                <w:b w:val="0"/>
                <w:noProof/>
                <w:sz w:val="22"/>
              </w:rPr>
              <w:t>AR</w:t>
            </w:r>
            <w:r w:rsidR="00BF12BF" w:rsidRPr="000D4BE9">
              <w:rPr>
                <w:rStyle w:val="Hyperlink"/>
                <w:b w:val="0"/>
                <w:noProof/>
                <w:sz w:val="22"/>
              </w:rPr>
              <w:noBreakHyphen/>
              <w:t>DRG</w:t>
            </w:r>
            <w:r w:rsidR="00BF12BF" w:rsidRPr="000D4BE9">
              <w:rPr>
                <w:rStyle w:val="Hyperlink"/>
                <w:b w:val="0"/>
                <w:noProof/>
                <w:spacing w:val="-4"/>
                <w:sz w:val="22"/>
              </w:rPr>
              <w:t xml:space="preserve"> </w:t>
            </w:r>
            <w:r w:rsidR="00BF12BF" w:rsidRPr="000D4BE9">
              <w:rPr>
                <w:rStyle w:val="Hyperlink"/>
                <w:b w:val="0"/>
                <w:noProof/>
                <w:sz w:val="22"/>
              </w:rPr>
              <w:t>Version</w:t>
            </w:r>
            <w:r w:rsidR="00BF12BF" w:rsidRPr="000D4BE9">
              <w:rPr>
                <w:rStyle w:val="Hyperlink"/>
                <w:b w:val="0"/>
                <w:noProof/>
                <w:spacing w:val="-4"/>
                <w:sz w:val="22"/>
              </w:rPr>
              <w:t xml:space="preserve"> </w:t>
            </w:r>
            <w:r w:rsidR="00BF12BF" w:rsidRPr="000D4BE9">
              <w:rPr>
                <w:rStyle w:val="Hyperlink"/>
                <w:b w:val="0"/>
                <w:noProof/>
                <w:sz w:val="22"/>
              </w:rPr>
              <w:t>9.0</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_Toc129701406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48</w:t>
            </w:r>
            <w:r w:rsidR="00BF12BF" w:rsidRPr="000D4BE9">
              <w:rPr>
                <w:b w:val="0"/>
                <w:noProof/>
                <w:webHidden/>
                <w:sz w:val="22"/>
              </w:rPr>
              <w:fldChar w:fldCharType="end"/>
            </w:r>
          </w:hyperlink>
        </w:p>
        <w:p w14:paraId="7736B590" w14:textId="5C7C99A2"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407" w:history="1">
            <w:r w:rsidR="00BF12BF" w:rsidRPr="000D4BE9">
              <w:rPr>
                <w:rStyle w:val="Hyperlink"/>
                <w:b w:val="0"/>
                <w:noProof/>
                <w:sz w:val="22"/>
              </w:rPr>
              <w:t>Appendix F: Cost weight</w:t>
            </w:r>
            <w:r w:rsidR="00BF12BF" w:rsidRPr="000D4BE9">
              <w:rPr>
                <w:rStyle w:val="Hyperlink"/>
                <w:b w:val="0"/>
                <w:noProof/>
                <w:spacing w:val="1"/>
                <w:sz w:val="22"/>
              </w:rPr>
              <w:t xml:space="preserve"> </w:t>
            </w:r>
            <w:r w:rsidR="00BF12BF" w:rsidRPr="000D4BE9">
              <w:rPr>
                <w:rStyle w:val="Hyperlink"/>
                <w:b w:val="0"/>
                <w:noProof/>
                <w:sz w:val="22"/>
              </w:rPr>
              <w:t>tables</w:t>
            </w:r>
            <w:r w:rsidR="00BF12BF" w:rsidRPr="000D4BE9">
              <w:rPr>
                <w:rStyle w:val="Hyperlink"/>
                <w:b w:val="0"/>
                <w:noProof/>
                <w:spacing w:val="-4"/>
                <w:sz w:val="22"/>
              </w:rPr>
              <w:t xml:space="preserve"> </w:t>
            </w:r>
            <w:r w:rsidR="00BF12BF" w:rsidRPr="000D4BE9">
              <w:rPr>
                <w:rStyle w:val="Hyperlink"/>
                <w:b w:val="0"/>
                <w:noProof/>
                <w:sz w:val="22"/>
              </w:rPr>
              <w:t>by</w:t>
            </w:r>
            <w:r w:rsidR="00BF12BF" w:rsidRPr="000D4BE9">
              <w:rPr>
                <w:rStyle w:val="Hyperlink"/>
                <w:b w:val="0"/>
                <w:noProof/>
                <w:spacing w:val="-4"/>
                <w:sz w:val="22"/>
              </w:rPr>
              <w:t xml:space="preserve"> </w:t>
            </w:r>
            <w:r w:rsidR="00BF12BF" w:rsidRPr="000D4BE9">
              <w:rPr>
                <w:rStyle w:val="Hyperlink"/>
                <w:b w:val="0"/>
                <w:noProof/>
                <w:sz w:val="22"/>
              </w:rPr>
              <w:t>AR</w:t>
            </w:r>
            <w:r w:rsidR="00BF12BF" w:rsidRPr="000D4BE9">
              <w:rPr>
                <w:rStyle w:val="Hyperlink"/>
                <w:b w:val="0"/>
                <w:noProof/>
                <w:sz w:val="22"/>
              </w:rPr>
              <w:noBreakHyphen/>
              <w:t>DRG</w:t>
            </w:r>
            <w:r w:rsidR="00BF12BF" w:rsidRPr="000D4BE9">
              <w:rPr>
                <w:rStyle w:val="Hyperlink"/>
                <w:b w:val="0"/>
                <w:noProof/>
                <w:spacing w:val="-4"/>
                <w:sz w:val="22"/>
              </w:rPr>
              <w:t xml:space="preserve"> </w:t>
            </w:r>
            <w:r w:rsidR="00BF12BF" w:rsidRPr="000D4BE9">
              <w:rPr>
                <w:rStyle w:val="Hyperlink"/>
                <w:b w:val="0"/>
                <w:noProof/>
                <w:sz w:val="22"/>
              </w:rPr>
              <w:t>Version</w:t>
            </w:r>
            <w:r w:rsidR="00BF12BF" w:rsidRPr="000D4BE9">
              <w:rPr>
                <w:rStyle w:val="Hyperlink"/>
                <w:b w:val="0"/>
                <w:noProof/>
                <w:spacing w:val="-4"/>
                <w:sz w:val="22"/>
              </w:rPr>
              <w:t xml:space="preserve"> </w:t>
            </w:r>
            <w:r w:rsidR="00BF12BF" w:rsidRPr="000D4BE9">
              <w:rPr>
                <w:rStyle w:val="Hyperlink"/>
                <w:b w:val="0"/>
                <w:noProof/>
                <w:sz w:val="22"/>
              </w:rPr>
              <w:t>8.0</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_Toc129701407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49</w:t>
            </w:r>
            <w:r w:rsidR="00BF12BF" w:rsidRPr="000D4BE9">
              <w:rPr>
                <w:b w:val="0"/>
                <w:noProof/>
                <w:webHidden/>
                <w:sz w:val="22"/>
              </w:rPr>
              <w:fldChar w:fldCharType="end"/>
            </w:r>
          </w:hyperlink>
        </w:p>
        <w:p w14:paraId="72D53648" w14:textId="63A7F90B" w:rsidR="00BF12BF" w:rsidRPr="000D4BE9" w:rsidRDefault="00523C3C" w:rsidP="00E87B16">
          <w:pPr>
            <w:pStyle w:val="TOC1"/>
            <w:tabs>
              <w:tab w:val="right" w:leader="dot" w:pos="9736"/>
            </w:tabs>
            <w:spacing w:line="360" w:lineRule="auto"/>
            <w:rPr>
              <w:rFonts w:asciiTheme="minorHAnsi" w:eastAsiaTheme="minorEastAsia" w:hAnsiTheme="minorHAnsi"/>
              <w:b w:val="0"/>
              <w:noProof/>
              <w:color w:val="auto"/>
              <w:sz w:val="22"/>
              <w:lang w:val="en-US"/>
            </w:rPr>
          </w:pPr>
          <w:hyperlink w:anchor="_Toc129701413" w:history="1">
            <w:r w:rsidR="00BF12BF" w:rsidRPr="000D4BE9">
              <w:rPr>
                <w:rStyle w:val="Hyperlink"/>
                <w:b w:val="0"/>
                <w:noProof/>
                <w:sz w:val="22"/>
              </w:rPr>
              <w:t>Appendix</w:t>
            </w:r>
            <w:r w:rsidR="00BF12BF" w:rsidRPr="000D4BE9">
              <w:rPr>
                <w:rStyle w:val="Hyperlink"/>
                <w:b w:val="0"/>
                <w:noProof/>
                <w:spacing w:val="-1"/>
                <w:sz w:val="22"/>
              </w:rPr>
              <w:t xml:space="preserve"> </w:t>
            </w:r>
            <w:r w:rsidR="00EF152A">
              <w:rPr>
                <w:rStyle w:val="Hyperlink"/>
                <w:b w:val="0"/>
                <w:noProof/>
                <w:sz w:val="22"/>
              </w:rPr>
              <w:t>G</w:t>
            </w:r>
            <w:r w:rsidR="00BF12BF" w:rsidRPr="000D4BE9">
              <w:rPr>
                <w:rStyle w:val="Hyperlink"/>
                <w:b w:val="0"/>
                <w:noProof/>
                <w:sz w:val="22"/>
              </w:rPr>
              <w:t>: Cost bucket matrix</w:t>
            </w:r>
            <w:r w:rsidR="00BF12BF" w:rsidRPr="000D4BE9">
              <w:rPr>
                <w:b w:val="0"/>
                <w:noProof/>
                <w:webHidden/>
                <w:sz w:val="22"/>
              </w:rPr>
              <w:tab/>
            </w:r>
            <w:r w:rsidR="00BF12BF" w:rsidRPr="000D4BE9">
              <w:rPr>
                <w:b w:val="0"/>
                <w:noProof/>
                <w:webHidden/>
                <w:sz w:val="22"/>
              </w:rPr>
              <w:fldChar w:fldCharType="begin"/>
            </w:r>
            <w:r w:rsidR="00BF12BF" w:rsidRPr="000D4BE9">
              <w:rPr>
                <w:b w:val="0"/>
                <w:noProof/>
                <w:webHidden/>
                <w:sz w:val="22"/>
              </w:rPr>
              <w:instrText xml:space="preserve"> PAGEREF _Toc129701413 \h </w:instrText>
            </w:r>
            <w:r w:rsidR="00BF12BF" w:rsidRPr="000D4BE9">
              <w:rPr>
                <w:b w:val="0"/>
                <w:noProof/>
                <w:webHidden/>
                <w:sz w:val="22"/>
              </w:rPr>
            </w:r>
            <w:r w:rsidR="00BF12BF" w:rsidRPr="000D4BE9">
              <w:rPr>
                <w:b w:val="0"/>
                <w:noProof/>
                <w:webHidden/>
                <w:sz w:val="22"/>
              </w:rPr>
              <w:fldChar w:fldCharType="separate"/>
            </w:r>
            <w:r w:rsidR="00426209">
              <w:rPr>
                <w:b w:val="0"/>
                <w:noProof/>
                <w:webHidden/>
                <w:sz w:val="22"/>
              </w:rPr>
              <w:t>50</w:t>
            </w:r>
            <w:r w:rsidR="00BF12BF" w:rsidRPr="000D4BE9">
              <w:rPr>
                <w:b w:val="0"/>
                <w:noProof/>
                <w:webHidden/>
                <w:sz w:val="22"/>
              </w:rPr>
              <w:fldChar w:fldCharType="end"/>
            </w:r>
          </w:hyperlink>
        </w:p>
        <w:p w14:paraId="2B24B65B" w14:textId="56A797CF" w:rsidR="003B188F" w:rsidRDefault="00BF12BF" w:rsidP="00E87B16">
          <w:pPr>
            <w:spacing w:line="360" w:lineRule="auto"/>
            <w:rPr>
              <w:b/>
              <w:bCs/>
              <w:noProof/>
              <w:highlight w:val="yellow"/>
              <w:lang w:val="en-AU"/>
            </w:rPr>
          </w:pPr>
          <w:r w:rsidRPr="000D4BE9">
            <w:rPr>
              <w:b/>
              <w:sz w:val="28"/>
              <w:lang w:val="en-AU"/>
            </w:rPr>
            <w:fldChar w:fldCharType="end"/>
          </w:r>
        </w:p>
      </w:sdtContent>
    </w:sdt>
    <w:p w14:paraId="6330CDFA" w14:textId="484F3B03" w:rsidR="003B188F" w:rsidRDefault="003B188F">
      <w:pPr>
        <w:spacing w:line="259" w:lineRule="auto"/>
        <w:rPr>
          <w:b/>
          <w:bCs/>
          <w:noProof/>
          <w:highlight w:val="yellow"/>
          <w:lang w:val="en-AU"/>
        </w:rPr>
      </w:pPr>
      <w:r>
        <w:rPr>
          <w:b/>
          <w:bCs/>
          <w:noProof/>
          <w:highlight w:val="yellow"/>
          <w:lang w:val="en-AU"/>
        </w:rPr>
        <w:br w:type="page"/>
      </w:r>
    </w:p>
    <w:p w14:paraId="5D37287B" w14:textId="571C219C" w:rsidR="00DB7638" w:rsidRPr="005629F8" w:rsidRDefault="00CC36FF" w:rsidP="00E87B16">
      <w:pPr>
        <w:pStyle w:val="Heading1"/>
        <w:numPr>
          <w:ilvl w:val="0"/>
          <w:numId w:val="0"/>
        </w:numPr>
        <w:ind w:left="709" w:hanging="709"/>
      </w:pPr>
      <w:bookmarkStart w:id="1" w:name="_Toc129700652"/>
      <w:bookmarkStart w:id="2" w:name="_Toc129701345"/>
      <w:r w:rsidRPr="005629F8">
        <w:lastRenderedPageBreak/>
        <w:t>Tables and Figures</w:t>
      </w:r>
      <w:bookmarkEnd w:id="1"/>
      <w:bookmarkEnd w:id="2"/>
    </w:p>
    <w:p w14:paraId="2F86206E" w14:textId="542D4CCF" w:rsidR="00DB7638" w:rsidRPr="005629F8" w:rsidRDefault="00DB7638" w:rsidP="00E829BF">
      <w:pPr>
        <w:pStyle w:val="Heading3"/>
      </w:pPr>
      <w:bookmarkStart w:id="3" w:name="_Toc129700427"/>
      <w:bookmarkStart w:id="4" w:name="_Toc129700653"/>
      <w:bookmarkStart w:id="5" w:name="_Toc129701346"/>
      <w:r w:rsidRPr="005629F8">
        <w:t>List of Tables</w:t>
      </w:r>
      <w:bookmarkEnd w:id="3"/>
      <w:bookmarkEnd w:id="4"/>
      <w:bookmarkEnd w:id="5"/>
    </w:p>
    <w:p w14:paraId="7AE3BD82" w14:textId="44874A02" w:rsidR="00226422" w:rsidRDefault="00506D82" w:rsidP="00226422">
      <w:pPr>
        <w:pStyle w:val="TableofFigures"/>
        <w:tabs>
          <w:tab w:val="right" w:leader="dot" w:pos="9736"/>
        </w:tabs>
        <w:spacing w:line="360" w:lineRule="auto"/>
        <w:rPr>
          <w:rFonts w:asciiTheme="minorHAnsi" w:eastAsiaTheme="minorEastAsia" w:hAnsiTheme="minorHAnsi"/>
          <w:noProof/>
          <w:color w:val="auto"/>
          <w:lang w:val="en-AU" w:eastAsia="en-AU"/>
        </w:rPr>
      </w:pPr>
      <w:r w:rsidRPr="002F3010">
        <w:rPr>
          <w:highlight w:val="yellow"/>
          <w:lang w:val="en-AU"/>
        </w:rPr>
        <w:fldChar w:fldCharType="begin"/>
      </w:r>
      <w:r w:rsidRPr="00506D82">
        <w:rPr>
          <w:highlight w:val="yellow"/>
          <w:lang w:val="en-AU"/>
        </w:rPr>
        <w:instrText xml:space="preserve"> TOC \h \z \c "Table" </w:instrText>
      </w:r>
      <w:r w:rsidRPr="002F3010">
        <w:rPr>
          <w:highlight w:val="yellow"/>
          <w:lang w:val="en-AU"/>
        </w:rPr>
        <w:fldChar w:fldCharType="separate"/>
      </w:r>
      <w:hyperlink w:anchor="_Toc139881774" w:history="1">
        <w:r w:rsidR="00226422" w:rsidRPr="00105342">
          <w:rPr>
            <w:rStyle w:val="Hyperlink"/>
            <w:noProof/>
          </w:rPr>
          <w:t>Table 1.</w:t>
        </w:r>
        <w:r w:rsidR="00226422" w:rsidRPr="00105342">
          <w:rPr>
            <w:rStyle w:val="Hyperlink"/>
            <w:noProof/>
            <w:spacing w:val="-1"/>
          </w:rPr>
          <w:t xml:space="preserve"> </w:t>
        </w:r>
        <w:r w:rsidR="00226422" w:rsidRPr="00105342">
          <w:rPr>
            <w:rStyle w:val="Hyperlink"/>
            <w:noProof/>
          </w:rPr>
          <w:t>Summary</w:t>
        </w:r>
        <w:r w:rsidR="00226422" w:rsidRPr="00105342">
          <w:rPr>
            <w:rStyle w:val="Hyperlink"/>
            <w:noProof/>
            <w:spacing w:val="-8"/>
          </w:rPr>
          <w:t xml:space="preserve"> </w:t>
        </w:r>
        <w:r w:rsidR="00226422" w:rsidRPr="00105342">
          <w:rPr>
            <w:rStyle w:val="Hyperlink"/>
            <w:noProof/>
          </w:rPr>
          <w:t>of</w:t>
        </w:r>
        <w:r w:rsidR="00226422" w:rsidRPr="00105342">
          <w:rPr>
            <w:rStyle w:val="Hyperlink"/>
            <w:noProof/>
            <w:spacing w:val="-1"/>
          </w:rPr>
          <w:t xml:space="preserve"> </w:t>
        </w:r>
        <w:r w:rsidR="00226422" w:rsidRPr="00105342">
          <w:rPr>
            <w:rStyle w:val="Hyperlink"/>
            <w:noProof/>
          </w:rPr>
          <w:t>private hospital</w:t>
        </w:r>
        <w:r w:rsidR="00226422" w:rsidRPr="00105342">
          <w:rPr>
            <w:rStyle w:val="Hyperlink"/>
            <w:noProof/>
            <w:spacing w:val="-3"/>
          </w:rPr>
          <w:t xml:space="preserve"> </w:t>
        </w:r>
        <w:r w:rsidR="00226422" w:rsidRPr="00105342">
          <w:rPr>
            <w:rStyle w:val="Hyperlink"/>
            <w:noProof/>
          </w:rPr>
          <w:t>participation,</w:t>
        </w:r>
        <w:r w:rsidR="00226422" w:rsidRPr="00105342">
          <w:rPr>
            <w:rStyle w:val="Hyperlink"/>
            <w:noProof/>
            <w:spacing w:val="-1"/>
          </w:rPr>
          <w:t xml:space="preserve"> </w:t>
        </w:r>
        <w:r w:rsidR="00226422" w:rsidRPr="00105342">
          <w:rPr>
            <w:rStyle w:val="Hyperlink"/>
            <w:noProof/>
          </w:rPr>
          <w:t>2015-16</w:t>
        </w:r>
        <w:r w:rsidR="00226422" w:rsidRPr="00105342">
          <w:rPr>
            <w:rStyle w:val="Hyperlink"/>
            <w:noProof/>
            <w:spacing w:val="-1"/>
          </w:rPr>
          <w:t xml:space="preserve"> </w:t>
        </w:r>
        <w:r w:rsidR="00226422" w:rsidRPr="00105342">
          <w:rPr>
            <w:rStyle w:val="Hyperlink"/>
            <w:noProof/>
          </w:rPr>
          <w:t>to 2020-21</w:t>
        </w:r>
        <w:r w:rsidR="00226422">
          <w:rPr>
            <w:noProof/>
            <w:webHidden/>
          </w:rPr>
          <w:tab/>
        </w:r>
        <w:r w:rsidR="00226422">
          <w:rPr>
            <w:noProof/>
            <w:webHidden/>
          </w:rPr>
          <w:fldChar w:fldCharType="begin"/>
        </w:r>
        <w:r w:rsidR="00226422">
          <w:rPr>
            <w:noProof/>
            <w:webHidden/>
          </w:rPr>
          <w:instrText xml:space="preserve"> PAGEREF _Toc139881774 \h </w:instrText>
        </w:r>
        <w:r w:rsidR="00226422">
          <w:rPr>
            <w:noProof/>
            <w:webHidden/>
          </w:rPr>
        </w:r>
        <w:r w:rsidR="00226422">
          <w:rPr>
            <w:noProof/>
            <w:webHidden/>
          </w:rPr>
          <w:fldChar w:fldCharType="separate"/>
        </w:r>
        <w:r w:rsidR="00226422">
          <w:rPr>
            <w:noProof/>
            <w:webHidden/>
          </w:rPr>
          <w:t>9</w:t>
        </w:r>
        <w:r w:rsidR="00226422">
          <w:rPr>
            <w:noProof/>
            <w:webHidden/>
          </w:rPr>
          <w:fldChar w:fldCharType="end"/>
        </w:r>
      </w:hyperlink>
    </w:p>
    <w:p w14:paraId="0DEA26C1" w14:textId="50FCB00B"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75" w:history="1">
        <w:r w:rsidR="00226422" w:rsidRPr="00105342">
          <w:rPr>
            <w:rStyle w:val="Hyperlink"/>
            <w:noProof/>
          </w:rPr>
          <w:t>Table 2. Summary of private hospital statistics for overnight hospitals</w:t>
        </w:r>
        <w:r w:rsidR="00226422">
          <w:rPr>
            <w:noProof/>
            <w:webHidden/>
          </w:rPr>
          <w:tab/>
        </w:r>
        <w:r w:rsidR="00226422">
          <w:rPr>
            <w:noProof/>
            <w:webHidden/>
          </w:rPr>
          <w:fldChar w:fldCharType="begin"/>
        </w:r>
        <w:r w:rsidR="00226422">
          <w:rPr>
            <w:noProof/>
            <w:webHidden/>
          </w:rPr>
          <w:instrText xml:space="preserve"> PAGEREF _Toc139881775 \h </w:instrText>
        </w:r>
        <w:r w:rsidR="00226422">
          <w:rPr>
            <w:noProof/>
            <w:webHidden/>
          </w:rPr>
        </w:r>
        <w:r w:rsidR="00226422">
          <w:rPr>
            <w:noProof/>
            <w:webHidden/>
          </w:rPr>
          <w:fldChar w:fldCharType="separate"/>
        </w:r>
        <w:r w:rsidR="00226422">
          <w:rPr>
            <w:noProof/>
            <w:webHidden/>
          </w:rPr>
          <w:t>10</w:t>
        </w:r>
        <w:r w:rsidR="00226422">
          <w:rPr>
            <w:noProof/>
            <w:webHidden/>
          </w:rPr>
          <w:fldChar w:fldCharType="end"/>
        </w:r>
      </w:hyperlink>
    </w:p>
    <w:p w14:paraId="6ADD7DC5" w14:textId="0B361462"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76" w:history="1">
        <w:r w:rsidR="00226422" w:rsidRPr="00105342">
          <w:rPr>
            <w:rStyle w:val="Hyperlink"/>
            <w:noProof/>
          </w:rPr>
          <w:t>Table 3.</w:t>
        </w:r>
        <w:r w:rsidR="00226422" w:rsidRPr="00105342">
          <w:rPr>
            <w:rStyle w:val="Hyperlink"/>
            <w:noProof/>
            <w:spacing w:val="-2"/>
          </w:rPr>
          <w:t xml:space="preserve"> </w:t>
        </w:r>
        <w:r w:rsidR="00226422" w:rsidRPr="00105342">
          <w:rPr>
            <w:rStyle w:val="Hyperlink"/>
            <w:noProof/>
          </w:rPr>
          <w:t>Comparison</w:t>
        </w:r>
        <w:r w:rsidR="00226422" w:rsidRPr="00105342">
          <w:rPr>
            <w:rStyle w:val="Hyperlink"/>
            <w:noProof/>
            <w:spacing w:val="-3"/>
          </w:rPr>
          <w:t xml:space="preserve"> </w:t>
        </w:r>
        <w:r w:rsidR="00226422" w:rsidRPr="00105342">
          <w:rPr>
            <w:rStyle w:val="Hyperlink"/>
            <w:noProof/>
          </w:rPr>
          <w:t>of</w:t>
        </w:r>
        <w:r w:rsidR="00226422" w:rsidRPr="00105342">
          <w:rPr>
            <w:rStyle w:val="Hyperlink"/>
            <w:noProof/>
            <w:spacing w:val="-2"/>
          </w:rPr>
          <w:t xml:space="preserve"> </w:t>
        </w:r>
        <w:r w:rsidR="00226422" w:rsidRPr="00105342">
          <w:rPr>
            <w:rStyle w:val="Hyperlink"/>
            <w:noProof/>
          </w:rPr>
          <w:t>separations</w:t>
        </w:r>
        <w:r w:rsidR="00226422" w:rsidRPr="00105342">
          <w:rPr>
            <w:rStyle w:val="Hyperlink"/>
            <w:noProof/>
            <w:spacing w:val="-2"/>
          </w:rPr>
          <w:t xml:space="preserve"> </w:t>
        </w:r>
        <w:r w:rsidR="00226422" w:rsidRPr="00105342">
          <w:rPr>
            <w:rStyle w:val="Hyperlink"/>
            <w:noProof/>
          </w:rPr>
          <w:t>and</w:t>
        </w:r>
        <w:r w:rsidR="00226422" w:rsidRPr="00105342">
          <w:rPr>
            <w:rStyle w:val="Hyperlink"/>
            <w:noProof/>
            <w:spacing w:val="-2"/>
          </w:rPr>
          <w:t xml:space="preserve"> </w:t>
        </w:r>
        <w:r w:rsidR="00226422" w:rsidRPr="00105342">
          <w:rPr>
            <w:rStyle w:val="Hyperlink"/>
            <w:noProof/>
          </w:rPr>
          <w:t>hospitals,</w:t>
        </w:r>
        <w:r w:rsidR="00226422" w:rsidRPr="00105342">
          <w:rPr>
            <w:rStyle w:val="Hyperlink"/>
            <w:noProof/>
            <w:spacing w:val="-1"/>
          </w:rPr>
          <w:t xml:space="preserve"> </w:t>
        </w:r>
        <w:r w:rsidR="00226422" w:rsidRPr="00105342">
          <w:rPr>
            <w:rStyle w:val="Hyperlink"/>
            <w:noProof/>
          </w:rPr>
          <w:t>2015-16</w:t>
        </w:r>
        <w:r w:rsidR="00226422" w:rsidRPr="00105342">
          <w:rPr>
            <w:rStyle w:val="Hyperlink"/>
            <w:noProof/>
            <w:spacing w:val="-1"/>
          </w:rPr>
          <w:t xml:space="preserve"> </w:t>
        </w:r>
        <w:r w:rsidR="00226422" w:rsidRPr="00105342">
          <w:rPr>
            <w:rStyle w:val="Hyperlink"/>
            <w:noProof/>
          </w:rPr>
          <w:t>to 2020-21</w:t>
        </w:r>
        <w:r w:rsidR="00226422">
          <w:rPr>
            <w:noProof/>
            <w:webHidden/>
          </w:rPr>
          <w:tab/>
        </w:r>
        <w:r w:rsidR="00226422">
          <w:rPr>
            <w:noProof/>
            <w:webHidden/>
          </w:rPr>
          <w:fldChar w:fldCharType="begin"/>
        </w:r>
        <w:r w:rsidR="00226422">
          <w:rPr>
            <w:noProof/>
            <w:webHidden/>
          </w:rPr>
          <w:instrText xml:space="preserve"> PAGEREF _Toc139881776 \h </w:instrText>
        </w:r>
        <w:r w:rsidR="00226422">
          <w:rPr>
            <w:noProof/>
            <w:webHidden/>
          </w:rPr>
        </w:r>
        <w:r w:rsidR="00226422">
          <w:rPr>
            <w:noProof/>
            <w:webHidden/>
          </w:rPr>
          <w:fldChar w:fldCharType="separate"/>
        </w:r>
        <w:r w:rsidR="00226422">
          <w:rPr>
            <w:noProof/>
            <w:webHidden/>
          </w:rPr>
          <w:t>17</w:t>
        </w:r>
        <w:r w:rsidR="00226422">
          <w:rPr>
            <w:noProof/>
            <w:webHidden/>
          </w:rPr>
          <w:fldChar w:fldCharType="end"/>
        </w:r>
      </w:hyperlink>
    </w:p>
    <w:p w14:paraId="4E2EEF98" w14:textId="4D1DD5F9"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77" w:history="1">
        <w:r w:rsidR="00226422" w:rsidRPr="00105342">
          <w:rPr>
            <w:rStyle w:val="Hyperlink"/>
            <w:noProof/>
          </w:rPr>
          <w:t>Table 4. Breakdown by MDC</w:t>
        </w:r>
        <w:r w:rsidR="00226422">
          <w:rPr>
            <w:noProof/>
            <w:webHidden/>
          </w:rPr>
          <w:tab/>
        </w:r>
        <w:r w:rsidR="00226422">
          <w:rPr>
            <w:noProof/>
            <w:webHidden/>
          </w:rPr>
          <w:fldChar w:fldCharType="begin"/>
        </w:r>
        <w:r w:rsidR="00226422">
          <w:rPr>
            <w:noProof/>
            <w:webHidden/>
          </w:rPr>
          <w:instrText xml:space="preserve"> PAGEREF _Toc139881777 \h </w:instrText>
        </w:r>
        <w:r w:rsidR="00226422">
          <w:rPr>
            <w:noProof/>
            <w:webHidden/>
          </w:rPr>
        </w:r>
        <w:r w:rsidR="00226422">
          <w:rPr>
            <w:noProof/>
            <w:webHidden/>
          </w:rPr>
          <w:fldChar w:fldCharType="separate"/>
        </w:r>
        <w:r w:rsidR="00226422">
          <w:rPr>
            <w:noProof/>
            <w:webHidden/>
          </w:rPr>
          <w:t>19</w:t>
        </w:r>
        <w:r w:rsidR="00226422">
          <w:rPr>
            <w:noProof/>
            <w:webHidden/>
          </w:rPr>
          <w:fldChar w:fldCharType="end"/>
        </w:r>
      </w:hyperlink>
    </w:p>
    <w:p w14:paraId="79AA6BF6" w14:textId="31C6E847"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78" w:history="1">
        <w:r w:rsidR="00226422" w:rsidRPr="00105342">
          <w:rPr>
            <w:rStyle w:val="Hyperlink"/>
            <w:noProof/>
          </w:rPr>
          <w:t>Table 5.</w:t>
        </w:r>
        <w:r w:rsidR="00226422" w:rsidRPr="00105342">
          <w:rPr>
            <w:rStyle w:val="Hyperlink"/>
            <w:noProof/>
            <w:spacing w:val="-1"/>
          </w:rPr>
          <w:t xml:space="preserve"> </w:t>
        </w:r>
        <w:r w:rsidR="00226422" w:rsidRPr="00105342">
          <w:rPr>
            <w:rStyle w:val="Hyperlink"/>
            <w:noProof/>
          </w:rPr>
          <w:t>Top</w:t>
        </w:r>
        <w:r w:rsidR="00226422" w:rsidRPr="00105342">
          <w:rPr>
            <w:rStyle w:val="Hyperlink"/>
            <w:noProof/>
            <w:spacing w:val="-3"/>
          </w:rPr>
          <w:t xml:space="preserve"> </w:t>
        </w:r>
        <w:r w:rsidR="00226422" w:rsidRPr="00105342">
          <w:rPr>
            <w:rStyle w:val="Hyperlink"/>
            <w:noProof/>
          </w:rPr>
          <w:t>10</w:t>
        </w:r>
        <w:r w:rsidR="00226422" w:rsidRPr="00105342">
          <w:rPr>
            <w:rStyle w:val="Hyperlink"/>
            <w:noProof/>
            <w:spacing w:val="-1"/>
          </w:rPr>
          <w:t xml:space="preserve"> </w:t>
        </w:r>
        <w:r w:rsidR="00226422" w:rsidRPr="00105342">
          <w:rPr>
            <w:rStyle w:val="Hyperlink"/>
            <w:noProof/>
          </w:rPr>
          <w:t>AR-DRGs ranked</w:t>
        </w:r>
        <w:r w:rsidR="00226422" w:rsidRPr="00105342">
          <w:rPr>
            <w:rStyle w:val="Hyperlink"/>
            <w:noProof/>
            <w:spacing w:val="-1"/>
          </w:rPr>
          <w:t xml:space="preserve"> </w:t>
        </w:r>
        <w:r w:rsidR="00226422" w:rsidRPr="00105342">
          <w:rPr>
            <w:rStyle w:val="Hyperlink"/>
            <w:noProof/>
          </w:rPr>
          <w:t>by</w:t>
        </w:r>
        <w:r w:rsidR="00226422" w:rsidRPr="00105342">
          <w:rPr>
            <w:rStyle w:val="Hyperlink"/>
            <w:noProof/>
            <w:spacing w:val="-8"/>
          </w:rPr>
          <w:t xml:space="preserve"> </w:t>
        </w:r>
        <w:r w:rsidR="00226422" w:rsidRPr="00105342">
          <w:rPr>
            <w:rStyle w:val="Hyperlink"/>
            <w:noProof/>
          </w:rPr>
          <w:t>highest</w:t>
        </w:r>
        <w:r w:rsidR="00226422" w:rsidRPr="00105342">
          <w:rPr>
            <w:rStyle w:val="Hyperlink"/>
            <w:noProof/>
            <w:spacing w:val="-1"/>
          </w:rPr>
          <w:t xml:space="preserve"> </w:t>
        </w:r>
        <w:r w:rsidR="00226422" w:rsidRPr="00105342">
          <w:rPr>
            <w:rStyle w:val="Hyperlink"/>
            <w:noProof/>
          </w:rPr>
          <w:t>cost</w:t>
        </w:r>
        <w:r w:rsidR="00226422" w:rsidRPr="00105342">
          <w:rPr>
            <w:rStyle w:val="Hyperlink"/>
            <w:noProof/>
            <w:spacing w:val="-3"/>
          </w:rPr>
          <w:t xml:space="preserve"> </w:t>
        </w:r>
        <w:r w:rsidR="00226422" w:rsidRPr="00105342">
          <w:rPr>
            <w:rStyle w:val="Hyperlink"/>
            <w:noProof/>
          </w:rPr>
          <w:t>weight, 2020-21</w:t>
        </w:r>
        <w:r w:rsidR="00226422" w:rsidRPr="00105342">
          <w:rPr>
            <w:rStyle w:val="Hyperlink"/>
            <w:noProof/>
            <w:spacing w:val="-3"/>
          </w:rPr>
          <w:t xml:space="preserve"> </w:t>
        </w:r>
        <w:r w:rsidR="00226422" w:rsidRPr="00105342">
          <w:rPr>
            <w:rStyle w:val="Hyperlink"/>
            <w:noProof/>
          </w:rPr>
          <w:t>compared</w:t>
        </w:r>
        <w:r w:rsidR="00226422" w:rsidRPr="00105342">
          <w:rPr>
            <w:rStyle w:val="Hyperlink"/>
            <w:noProof/>
            <w:spacing w:val="-1"/>
          </w:rPr>
          <w:t xml:space="preserve"> </w:t>
        </w:r>
        <w:r w:rsidR="00226422" w:rsidRPr="00105342">
          <w:rPr>
            <w:rStyle w:val="Hyperlink"/>
            <w:noProof/>
          </w:rPr>
          <w:t>to</w:t>
        </w:r>
        <w:r w:rsidR="00226422" w:rsidRPr="00105342">
          <w:rPr>
            <w:rStyle w:val="Hyperlink"/>
            <w:noProof/>
            <w:spacing w:val="-1"/>
          </w:rPr>
          <w:t xml:space="preserve"> </w:t>
        </w:r>
        <w:r w:rsidR="00226422" w:rsidRPr="00105342">
          <w:rPr>
            <w:rStyle w:val="Hyperlink"/>
            <w:noProof/>
          </w:rPr>
          <w:t>2019-20</w:t>
        </w:r>
        <w:r w:rsidR="00226422">
          <w:rPr>
            <w:noProof/>
            <w:webHidden/>
          </w:rPr>
          <w:tab/>
        </w:r>
        <w:r w:rsidR="00226422">
          <w:rPr>
            <w:noProof/>
            <w:webHidden/>
          </w:rPr>
          <w:fldChar w:fldCharType="begin"/>
        </w:r>
        <w:r w:rsidR="00226422">
          <w:rPr>
            <w:noProof/>
            <w:webHidden/>
          </w:rPr>
          <w:instrText xml:space="preserve"> PAGEREF _Toc139881778 \h </w:instrText>
        </w:r>
        <w:r w:rsidR="00226422">
          <w:rPr>
            <w:noProof/>
            <w:webHidden/>
          </w:rPr>
        </w:r>
        <w:r w:rsidR="00226422">
          <w:rPr>
            <w:noProof/>
            <w:webHidden/>
          </w:rPr>
          <w:fldChar w:fldCharType="separate"/>
        </w:r>
        <w:r w:rsidR="00226422">
          <w:rPr>
            <w:noProof/>
            <w:webHidden/>
          </w:rPr>
          <w:t>25</w:t>
        </w:r>
        <w:r w:rsidR="00226422">
          <w:rPr>
            <w:noProof/>
            <w:webHidden/>
          </w:rPr>
          <w:fldChar w:fldCharType="end"/>
        </w:r>
      </w:hyperlink>
    </w:p>
    <w:p w14:paraId="19FCC317" w14:textId="07BC1705"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79" w:history="1">
        <w:r w:rsidR="00226422" w:rsidRPr="00105342">
          <w:rPr>
            <w:rStyle w:val="Hyperlink"/>
            <w:noProof/>
          </w:rPr>
          <w:t>Table 6.</w:t>
        </w:r>
        <w:r w:rsidR="00226422" w:rsidRPr="00105342">
          <w:rPr>
            <w:rStyle w:val="Hyperlink"/>
            <w:noProof/>
            <w:spacing w:val="-1"/>
          </w:rPr>
          <w:t xml:space="preserve"> </w:t>
        </w:r>
        <w:r w:rsidR="00226422" w:rsidRPr="00105342">
          <w:rPr>
            <w:rStyle w:val="Hyperlink"/>
            <w:noProof/>
          </w:rPr>
          <w:t>Top</w:t>
        </w:r>
        <w:r w:rsidR="00226422" w:rsidRPr="00105342">
          <w:rPr>
            <w:rStyle w:val="Hyperlink"/>
            <w:noProof/>
            <w:spacing w:val="-3"/>
          </w:rPr>
          <w:t xml:space="preserve"> </w:t>
        </w:r>
        <w:r w:rsidR="00226422" w:rsidRPr="00105342">
          <w:rPr>
            <w:rStyle w:val="Hyperlink"/>
            <w:noProof/>
          </w:rPr>
          <w:t>10</w:t>
        </w:r>
        <w:r w:rsidR="00226422" w:rsidRPr="00105342">
          <w:rPr>
            <w:rStyle w:val="Hyperlink"/>
            <w:noProof/>
            <w:spacing w:val="-2"/>
          </w:rPr>
          <w:t xml:space="preserve"> AR-</w:t>
        </w:r>
        <w:r w:rsidR="00226422" w:rsidRPr="00105342">
          <w:rPr>
            <w:rStyle w:val="Hyperlink"/>
            <w:noProof/>
          </w:rPr>
          <w:t>DRGs</w:t>
        </w:r>
        <w:r w:rsidR="00226422" w:rsidRPr="00105342">
          <w:rPr>
            <w:rStyle w:val="Hyperlink"/>
            <w:noProof/>
            <w:spacing w:val="-1"/>
          </w:rPr>
          <w:t xml:space="preserve"> </w:t>
        </w:r>
        <w:r w:rsidR="00226422" w:rsidRPr="00105342">
          <w:rPr>
            <w:rStyle w:val="Hyperlink"/>
            <w:noProof/>
          </w:rPr>
          <w:t>ranked</w:t>
        </w:r>
        <w:r w:rsidR="00226422" w:rsidRPr="00105342">
          <w:rPr>
            <w:rStyle w:val="Hyperlink"/>
            <w:noProof/>
            <w:spacing w:val="-1"/>
          </w:rPr>
          <w:t xml:space="preserve"> </w:t>
        </w:r>
        <w:r w:rsidR="00226422" w:rsidRPr="00105342">
          <w:rPr>
            <w:rStyle w:val="Hyperlink"/>
            <w:noProof/>
          </w:rPr>
          <w:t>by</w:t>
        </w:r>
        <w:r w:rsidR="00226422" w:rsidRPr="00105342">
          <w:rPr>
            <w:rStyle w:val="Hyperlink"/>
            <w:noProof/>
            <w:spacing w:val="-9"/>
          </w:rPr>
          <w:t xml:space="preserve"> </w:t>
        </w:r>
        <w:r w:rsidR="00226422" w:rsidRPr="00105342">
          <w:rPr>
            <w:rStyle w:val="Hyperlink"/>
            <w:noProof/>
          </w:rPr>
          <w:t>highest</w:t>
        </w:r>
        <w:r w:rsidR="00226422" w:rsidRPr="00105342">
          <w:rPr>
            <w:rStyle w:val="Hyperlink"/>
            <w:noProof/>
            <w:spacing w:val="-1"/>
          </w:rPr>
          <w:t xml:space="preserve"> </w:t>
        </w:r>
        <w:r w:rsidR="00226422" w:rsidRPr="00105342">
          <w:rPr>
            <w:rStyle w:val="Hyperlink"/>
            <w:noProof/>
          </w:rPr>
          <w:t>volume</w:t>
        </w:r>
        <w:r w:rsidR="00226422" w:rsidRPr="00105342">
          <w:rPr>
            <w:rStyle w:val="Hyperlink"/>
            <w:noProof/>
            <w:spacing w:val="-1"/>
          </w:rPr>
          <w:t xml:space="preserve"> </w:t>
        </w:r>
        <w:r w:rsidR="00226422" w:rsidRPr="00105342">
          <w:rPr>
            <w:rStyle w:val="Hyperlink"/>
            <w:noProof/>
          </w:rPr>
          <w:t>of</w:t>
        </w:r>
        <w:r w:rsidR="00226422" w:rsidRPr="00105342">
          <w:rPr>
            <w:rStyle w:val="Hyperlink"/>
            <w:noProof/>
            <w:spacing w:val="-4"/>
          </w:rPr>
          <w:t xml:space="preserve"> </w:t>
        </w:r>
        <w:r w:rsidR="00226422" w:rsidRPr="00105342">
          <w:rPr>
            <w:rStyle w:val="Hyperlink"/>
            <w:noProof/>
          </w:rPr>
          <w:t>population</w:t>
        </w:r>
        <w:r w:rsidR="00226422" w:rsidRPr="00105342">
          <w:rPr>
            <w:rStyle w:val="Hyperlink"/>
            <w:noProof/>
            <w:spacing w:val="-1"/>
          </w:rPr>
          <w:t>-</w:t>
        </w:r>
        <w:r w:rsidR="00226422" w:rsidRPr="00105342">
          <w:rPr>
            <w:rStyle w:val="Hyperlink"/>
            <w:noProof/>
          </w:rPr>
          <w:t>adjusted</w:t>
        </w:r>
        <w:r w:rsidR="00226422" w:rsidRPr="00105342">
          <w:rPr>
            <w:rStyle w:val="Hyperlink"/>
            <w:noProof/>
            <w:spacing w:val="-1"/>
          </w:rPr>
          <w:t xml:space="preserve"> </w:t>
        </w:r>
        <w:r w:rsidR="00226422" w:rsidRPr="00105342">
          <w:rPr>
            <w:rStyle w:val="Hyperlink"/>
            <w:noProof/>
          </w:rPr>
          <w:t>separations</w:t>
        </w:r>
        <w:r w:rsidR="00226422">
          <w:rPr>
            <w:noProof/>
            <w:webHidden/>
          </w:rPr>
          <w:tab/>
        </w:r>
        <w:r w:rsidR="00226422">
          <w:rPr>
            <w:noProof/>
            <w:webHidden/>
          </w:rPr>
          <w:fldChar w:fldCharType="begin"/>
        </w:r>
        <w:r w:rsidR="00226422">
          <w:rPr>
            <w:noProof/>
            <w:webHidden/>
          </w:rPr>
          <w:instrText xml:space="preserve"> PAGEREF _Toc139881779 \h </w:instrText>
        </w:r>
        <w:r w:rsidR="00226422">
          <w:rPr>
            <w:noProof/>
            <w:webHidden/>
          </w:rPr>
        </w:r>
        <w:r w:rsidR="00226422">
          <w:rPr>
            <w:noProof/>
            <w:webHidden/>
          </w:rPr>
          <w:fldChar w:fldCharType="separate"/>
        </w:r>
        <w:r w:rsidR="00226422">
          <w:rPr>
            <w:noProof/>
            <w:webHidden/>
          </w:rPr>
          <w:t>28</w:t>
        </w:r>
        <w:r w:rsidR="00226422">
          <w:rPr>
            <w:noProof/>
            <w:webHidden/>
          </w:rPr>
          <w:fldChar w:fldCharType="end"/>
        </w:r>
      </w:hyperlink>
    </w:p>
    <w:p w14:paraId="10D5139D" w14:textId="0FE3CE03"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0" w:history="1">
        <w:r w:rsidR="00226422" w:rsidRPr="00105342">
          <w:rPr>
            <w:rStyle w:val="Hyperlink"/>
            <w:noProof/>
          </w:rPr>
          <w:t>Table 7. Top 10 AR-DRGs ranked by highest cost weighted separations</w:t>
        </w:r>
        <w:r w:rsidR="00226422">
          <w:rPr>
            <w:noProof/>
            <w:webHidden/>
          </w:rPr>
          <w:tab/>
        </w:r>
        <w:r w:rsidR="00226422">
          <w:rPr>
            <w:noProof/>
            <w:webHidden/>
          </w:rPr>
          <w:fldChar w:fldCharType="begin"/>
        </w:r>
        <w:r w:rsidR="00226422">
          <w:rPr>
            <w:noProof/>
            <w:webHidden/>
          </w:rPr>
          <w:instrText xml:space="preserve"> PAGEREF _Toc139881780 \h </w:instrText>
        </w:r>
        <w:r w:rsidR="00226422">
          <w:rPr>
            <w:noProof/>
            <w:webHidden/>
          </w:rPr>
        </w:r>
        <w:r w:rsidR="00226422">
          <w:rPr>
            <w:noProof/>
            <w:webHidden/>
          </w:rPr>
          <w:fldChar w:fldCharType="separate"/>
        </w:r>
        <w:r w:rsidR="00226422">
          <w:rPr>
            <w:noProof/>
            <w:webHidden/>
          </w:rPr>
          <w:t>32</w:t>
        </w:r>
        <w:r w:rsidR="00226422">
          <w:rPr>
            <w:noProof/>
            <w:webHidden/>
          </w:rPr>
          <w:fldChar w:fldCharType="end"/>
        </w:r>
      </w:hyperlink>
    </w:p>
    <w:p w14:paraId="595E21BC" w14:textId="435C0508"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1" w:history="1">
        <w:r w:rsidR="00226422" w:rsidRPr="00105342">
          <w:rPr>
            <w:rStyle w:val="Hyperlink"/>
            <w:noProof/>
          </w:rPr>
          <w:t>Table 8. Top 10 AR-DRGs for costs allocated to the operating room and specialist procedures suites cost bucket</w:t>
        </w:r>
        <w:r w:rsidR="00226422">
          <w:rPr>
            <w:noProof/>
            <w:webHidden/>
          </w:rPr>
          <w:tab/>
        </w:r>
        <w:r w:rsidR="00226422">
          <w:rPr>
            <w:noProof/>
            <w:webHidden/>
          </w:rPr>
          <w:fldChar w:fldCharType="begin"/>
        </w:r>
        <w:r w:rsidR="00226422">
          <w:rPr>
            <w:noProof/>
            <w:webHidden/>
          </w:rPr>
          <w:instrText xml:space="preserve"> PAGEREF _Toc139881781 \h </w:instrText>
        </w:r>
        <w:r w:rsidR="00226422">
          <w:rPr>
            <w:noProof/>
            <w:webHidden/>
          </w:rPr>
        </w:r>
        <w:r w:rsidR="00226422">
          <w:rPr>
            <w:noProof/>
            <w:webHidden/>
          </w:rPr>
          <w:fldChar w:fldCharType="separate"/>
        </w:r>
        <w:r w:rsidR="00226422">
          <w:rPr>
            <w:noProof/>
            <w:webHidden/>
          </w:rPr>
          <w:t>35</w:t>
        </w:r>
        <w:r w:rsidR="00226422">
          <w:rPr>
            <w:noProof/>
            <w:webHidden/>
          </w:rPr>
          <w:fldChar w:fldCharType="end"/>
        </w:r>
      </w:hyperlink>
    </w:p>
    <w:p w14:paraId="0B410FE1" w14:textId="55BF70B4"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2" w:history="1">
        <w:r w:rsidR="00226422" w:rsidRPr="00105342">
          <w:rPr>
            <w:rStyle w:val="Hyperlink"/>
            <w:noProof/>
          </w:rPr>
          <w:t>Table 9. Top 10 AR-DRGs for costs allocated to the critical care cost bucket</w:t>
        </w:r>
        <w:r w:rsidR="00226422">
          <w:rPr>
            <w:noProof/>
            <w:webHidden/>
          </w:rPr>
          <w:tab/>
        </w:r>
        <w:r w:rsidR="00226422">
          <w:rPr>
            <w:noProof/>
            <w:webHidden/>
          </w:rPr>
          <w:fldChar w:fldCharType="begin"/>
        </w:r>
        <w:r w:rsidR="00226422">
          <w:rPr>
            <w:noProof/>
            <w:webHidden/>
          </w:rPr>
          <w:instrText xml:space="preserve"> PAGEREF _Toc139881782 \h </w:instrText>
        </w:r>
        <w:r w:rsidR="00226422">
          <w:rPr>
            <w:noProof/>
            <w:webHidden/>
          </w:rPr>
        </w:r>
        <w:r w:rsidR="00226422">
          <w:rPr>
            <w:noProof/>
            <w:webHidden/>
          </w:rPr>
          <w:fldChar w:fldCharType="separate"/>
        </w:r>
        <w:r w:rsidR="00226422">
          <w:rPr>
            <w:noProof/>
            <w:webHidden/>
          </w:rPr>
          <w:t>36</w:t>
        </w:r>
        <w:r w:rsidR="00226422">
          <w:rPr>
            <w:noProof/>
            <w:webHidden/>
          </w:rPr>
          <w:fldChar w:fldCharType="end"/>
        </w:r>
      </w:hyperlink>
    </w:p>
    <w:p w14:paraId="5A0AD166" w14:textId="0D928484"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3" w:history="1">
        <w:r w:rsidR="00226422" w:rsidRPr="00105342">
          <w:rPr>
            <w:rStyle w:val="Hyperlink"/>
            <w:noProof/>
          </w:rPr>
          <w:t>Table 10. Top 10 AR-DRGs for costs allocated to the prostheses cost bucket</w:t>
        </w:r>
        <w:r w:rsidR="00226422">
          <w:rPr>
            <w:noProof/>
            <w:webHidden/>
          </w:rPr>
          <w:tab/>
        </w:r>
        <w:r w:rsidR="00226422">
          <w:rPr>
            <w:noProof/>
            <w:webHidden/>
          </w:rPr>
          <w:fldChar w:fldCharType="begin"/>
        </w:r>
        <w:r w:rsidR="00226422">
          <w:rPr>
            <w:noProof/>
            <w:webHidden/>
          </w:rPr>
          <w:instrText xml:space="preserve"> PAGEREF _Toc139881783 \h </w:instrText>
        </w:r>
        <w:r w:rsidR="00226422">
          <w:rPr>
            <w:noProof/>
            <w:webHidden/>
          </w:rPr>
        </w:r>
        <w:r w:rsidR="00226422">
          <w:rPr>
            <w:noProof/>
            <w:webHidden/>
          </w:rPr>
          <w:fldChar w:fldCharType="separate"/>
        </w:r>
        <w:r w:rsidR="00226422">
          <w:rPr>
            <w:noProof/>
            <w:webHidden/>
          </w:rPr>
          <w:t>37</w:t>
        </w:r>
        <w:r w:rsidR="00226422">
          <w:rPr>
            <w:noProof/>
            <w:webHidden/>
          </w:rPr>
          <w:fldChar w:fldCharType="end"/>
        </w:r>
      </w:hyperlink>
    </w:p>
    <w:p w14:paraId="6C102BC4" w14:textId="0E758245"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4" w:history="1">
        <w:r w:rsidR="00226422" w:rsidRPr="00105342">
          <w:rPr>
            <w:rStyle w:val="Hyperlink"/>
            <w:noProof/>
          </w:rPr>
          <w:t>Table 11. Number of AR-DRGs by standard error range</w:t>
        </w:r>
        <w:r w:rsidR="00226422">
          <w:rPr>
            <w:noProof/>
            <w:webHidden/>
          </w:rPr>
          <w:tab/>
        </w:r>
        <w:r w:rsidR="00226422">
          <w:rPr>
            <w:noProof/>
            <w:webHidden/>
          </w:rPr>
          <w:fldChar w:fldCharType="begin"/>
        </w:r>
        <w:r w:rsidR="00226422">
          <w:rPr>
            <w:noProof/>
            <w:webHidden/>
          </w:rPr>
          <w:instrText xml:space="preserve"> PAGEREF _Toc139881784 \h </w:instrText>
        </w:r>
        <w:r w:rsidR="00226422">
          <w:rPr>
            <w:noProof/>
            <w:webHidden/>
          </w:rPr>
        </w:r>
        <w:r w:rsidR="00226422">
          <w:rPr>
            <w:noProof/>
            <w:webHidden/>
          </w:rPr>
          <w:fldChar w:fldCharType="separate"/>
        </w:r>
        <w:r w:rsidR="00226422">
          <w:rPr>
            <w:noProof/>
            <w:webHidden/>
          </w:rPr>
          <w:t>46</w:t>
        </w:r>
        <w:r w:rsidR="00226422">
          <w:rPr>
            <w:noProof/>
            <w:webHidden/>
          </w:rPr>
          <w:fldChar w:fldCharType="end"/>
        </w:r>
      </w:hyperlink>
    </w:p>
    <w:p w14:paraId="436BE5C1" w14:textId="64CB3D2C"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5" w:history="1">
        <w:r w:rsidR="00226422" w:rsidRPr="00105342">
          <w:rPr>
            <w:rStyle w:val="Hyperlink"/>
            <w:noProof/>
          </w:rPr>
          <w:t>Table 12. 2020-21 national consolidation cost weight tables - version 10.0</w:t>
        </w:r>
        <w:r w:rsidR="00226422">
          <w:rPr>
            <w:noProof/>
            <w:webHidden/>
          </w:rPr>
          <w:tab/>
        </w:r>
        <w:r w:rsidR="00226422">
          <w:rPr>
            <w:noProof/>
            <w:webHidden/>
          </w:rPr>
          <w:fldChar w:fldCharType="begin"/>
        </w:r>
        <w:r w:rsidR="00226422">
          <w:rPr>
            <w:noProof/>
            <w:webHidden/>
          </w:rPr>
          <w:instrText xml:space="preserve"> PAGEREF _Toc139881785 \h </w:instrText>
        </w:r>
        <w:r w:rsidR="00226422">
          <w:rPr>
            <w:noProof/>
            <w:webHidden/>
          </w:rPr>
        </w:r>
        <w:r w:rsidR="00226422">
          <w:rPr>
            <w:noProof/>
            <w:webHidden/>
          </w:rPr>
          <w:fldChar w:fldCharType="separate"/>
        </w:r>
        <w:r w:rsidR="00226422">
          <w:rPr>
            <w:noProof/>
            <w:webHidden/>
          </w:rPr>
          <w:t>47</w:t>
        </w:r>
        <w:r w:rsidR="00226422">
          <w:rPr>
            <w:noProof/>
            <w:webHidden/>
          </w:rPr>
          <w:fldChar w:fldCharType="end"/>
        </w:r>
      </w:hyperlink>
    </w:p>
    <w:p w14:paraId="1D59F827" w14:textId="162C774B"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6" w:history="1">
        <w:r w:rsidR="00226422" w:rsidRPr="00105342">
          <w:rPr>
            <w:rStyle w:val="Hyperlink"/>
            <w:noProof/>
          </w:rPr>
          <w:t>Table 13. 2020-21 national consolidation cost weight tables - version 9.0</w:t>
        </w:r>
        <w:r w:rsidR="00226422">
          <w:rPr>
            <w:noProof/>
            <w:webHidden/>
          </w:rPr>
          <w:tab/>
        </w:r>
        <w:r w:rsidR="00226422">
          <w:rPr>
            <w:noProof/>
            <w:webHidden/>
          </w:rPr>
          <w:fldChar w:fldCharType="begin"/>
        </w:r>
        <w:r w:rsidR="00226422">
          <w:rPr>
            <w:noProof/>
            <w:webHidden/>
          </w:rPr>
          <w:instrText xml:space="preserve"> PAGEREF _Toc139881786 \h </w:instrText>
        </w:r>
        <w:r w:rsidR="00226422">
          <w:rPr>
            <w:noProof/>
            <w:webHidden/>
          </w:rPr>
        </w:r>
        <w:r w:rsidR="00226422">
          <w:rPr>
            <w:noProof/>
            <w:webHidden/>
          </w:rPr>
          <w:fldChar w:fldCharType="separate"/>
        </w:r>
        <w:r w:rsidR="00226422">
          <w:rPr>
            <w:noProof/>
            <w:webHidden/>
          </w:rPr>
          <w:t>48</w:t>
        </w:r>
        <w:r w:rsidR="00226422">
          <w:rPr>
            <w:noProof/>
            <w:webHidden/>
          </w:rPr>
          <w:fldChar w:fldCharType="end"/>
        </w:r>
      </w:hyperlink>
    </w:p>
    <w:p w14:paraId="1F91BE3F" w14:textId="3D0C64C1" w:rsidR="00226422" w:rsidRDefault="00523C3C" w:rsidP="00226422">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39881787" w:history="1">
        <w:r w:rsidR="00226422" w:rsidRPr="00105342">
          <w:rPr>
            <w:rStyle w:val="Hyperlink"/>
            <w:noProof/>
          </w:rPr>
          <w:t>Table 14. 2020-21 national consolidation cost weight tables - version 8.0</w:t>
        </w:r>
        <w:r w:rsidR="00226422">
          <w:rPr>
            <w:noProof/>
            <w:webHidden/>
          </w:rPr>
          <w:tab/>
        </w:r>
        <w:r w:rsidR="00226422">
          <w:rPr>
            <w:noProof/>
            <w:webHidden/>
          </w:rPr>
          <w:fldChar w:fldCharType="begin"/>
        </w:r>
        <w:r w:rsidR="00226422">
          <w:rPr>
            <w:noProof/>
            <w:webHidden/>
          </w:rPr>
          <w:instrText xml:space="preserve"> PAGEREF _Toc139881787 \h </w:instrText>
        </w:r>
        <w:r w:rsidR="00226422">
          <w:rPr>
            <w:noProof/>
            <w:webHidden/>
          </w:rPr>
        </w:r>
        <w:r w:rsidR="00226422">
          <w:rPr>
            <w:noProof/>
            <w:webHidden/>
          </w:rPr>
          <w:fldChar w:fldCharType="separate"/>
        </w:r>
        <w:r w:rsidR="00226422">
          <w:rPr>
            <w:noProof/>
            <w:webHidden/>
          </w:rPr>
          <w:t>49</w:t>
        </w:r>
        <w:r w:rsidR="00226422">
          <w:rPr>
            <w:noProof/>
            <w:webHidden/>
          </w:rPr>
          <w:fldChar w:fldCharType="end"/>
        </w:r>
      </w:hyperlink>
    </w:p>
    <w:p w14:paraId="3B34F4CC" w14:textId="353C34B4" w:rsidR="003B188F" w:rsidRDefault="00506D82" w:rsidP="005629F8">
      <w:pPr>
        <w:pStyle w:val="TableofFigures"/>
        <w:tabs>
          <w:tab w:val="right" w:leader="dot" w:pos="9736"/>
        </w:tabs>
        <w:spacing w:line="360" w:lineRule="auto"/>
        <w:rPr>
          <w:highlight w:val="yellow"/>
          <w:lang w:val="en-AU"/>
        </w:rPr>
      </w:pPr>
      <w:r w:rsidRPr="002F3010">
        <w:rPr>
          <w:highlight w:val="yellow"/>
          <w:lang w:val="en-AU"/>
        </w:rPr>
        <w:fldChar w:fldCharType="end"/>
      </w:r>
    </w:p>
    <w:p w14:paraId="09DBEE1F" w14:textId="77777777" w:rsidR="003B188F" w:rsidRDefault="003B188F">
      <w:pPr>
        <w:spacing w:line="259" w:lineRule="auto"/>
        <w:rPr>
          <w:highlight w:val="yellow"/>
          <w:lang w:val="en-AU"/>
        </w:rPr>
      </w:pPr>
      <w:r>
        <w:rPr>
          <w:highlight w:val="yellow"/>
          <w:lang w:val="en-AU"/>
        </w:rPr>
        <w:br w:type="page"/>
      </w:r>
    </w:p>
    <w:p w14:paraId="255FF52C" w14:textId="431A50C5" w:rsidR="00DB7638" w:rsidRPr="005629F8" w:rsidRDefault="00DB7638" w:rsidP="00E829BF">
      <w:pPr>
        <w:pStyle w:val="Heading3"/>
      </w:pPr>
      <w:bookmarkStart w:id="6" w:name="_Toc129700428"/>
      <w:bookmarkStart w:id="7" w:name="_Toc129700654"/>
      <w:bookmarkStart w:id="8" w:name="_Toc129701347"/>
      <w:r w:rsidRPr="005629F8">
        <w:lastRenderedPageBreak/>
        <w:t>List of Figures</w:t>
      </w:r>
      <w:bookmarkEnd w:id="6"/>
      <w:bookmarkEnd w:id="7"/>
      <w:bookmarkEnd w:id="8"/>
    </w:p>
    <w:p w14:paraId="49E9C61C" w14:textId="3E8FCDB6" w:rsidR="00BA45CC" w:rsidRDefault="00D02724" w:rsidP="00BF12BF">
      <w:pPr>
        <w:pStyle w:val="TableofFigures"/>
        <w:tabs>
          <w:tab w:val="right" w:leader="dot" w:pos="9736"/>
        </w:tabs>
        <w:spacing w:line="360" w:lineRule="auto"/>
        <w:rPr>
          <w:rFonts w:asciiTheme="minorHAnsi" w:eastAsiaTheme="minorEastAsia" w:hAnsiTheme="minorHAnsi"/>
          <w:noProof/>
          <w:color w:val="auto"/>
          <w:lang w:val="en-AU" w:eastAsia="en-AU"/>
        </w:rPr>
      </w:pPr>
      <w:r>
        <w:rPr>
          <w:highlight w:val="yellow"/>
          <w:lang w:val="en-AU"/>
        </w:rPr>
        <w:fldChar w:fldCharType="begin"/>
      </w:r>
      <w:r>
        <w:rPr>
          <w:highlight w:val="yellow"/>
          <w:lang w:val="en-AU"/>
        </w:rPr>
        <w:instrText xml:space="preserve"> TOC \h \z \c "Figure" </w:instrText>
      </w:r>
      <w:r>
        <w:rPr>
          <w:highlight w:val="yellow"/>
          <w:lang w:val="en-AU"/>
        </w:rPr>
        <w:fldChar w:fldCharType="separate"/>
      </w:r>
      <w:hyperlink w:anchor="_Toc129263240" w:history="1">
        <w:r w:rsidR="00BA45CC" w:rsidRPr="00F54986">
          <w:rPr>
            <w:rStyle w:val="Hyperlink"/>
            <w:noProof/>
          </w:rPr>
          <w:t>Figure 1. Participating hospitals in the NHCDC</w:t>
        </w:r>
        <w:r w:rsidR="00BA45CC">
          <w:rPr>
            <w:noProof/>
            <w:webHidden/>
          </w:rPr>
          <w:tab/>
        </w:r>
        <w:r w:rsidR="00BA45CC">
          <w:rPr>
            <w:noProof/>
            <w:webHidden/>
          </w:rPr>
          <w:fldChar w:fldCharType="begin"/>
        </w:r>
        <w:r w:rsidR="00BA45CC">
          <w:rPr>
            <w:noProof/>
            <w:webHidden/>
          </w:rPr>
          <w:instrText xml:space="preserve"> PAGEREF _Toc129263240 \h </w:instrText>
        </w:r>
        <w:r w:rsidR="00BA45CC">
          <w:rPr>
            <w:noProof/>
            <w:webHidden/>
          </w:rPr>
        </w:r>
        <w:r w:rsidR="00BA45CC">
          <w:rPr>
            <w:noProof/>
            <w:webHidden/>
          </w:rPr>
          <w:fldChar w:fldCharType="separate"/>
        </w:r>
        <w:r w:rsidR="008D39F6">
          <w:rPr>
            <w:noProof/>
            <w:webHidden/>
          </w:rPr>
          <w:t>15</w:t>
        </w:r>
        <w:r w:rsidR="00BA45CC">
          <w:rPr>
            <w:noProof/>
            <w:webHidden/>
          </w:rPr>
          <w:fldChar w:fldCharType="end"/>
        </w:r>
      </w:hyperlink>
    </w:p>
    <w:p w14:paraId="28620EC5" w14:textId="2B6BABFC"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1" w:history="1">
        <w:r w:rsidR="00BA45CC" w:rsidRPr="00F54986">
          <w:rPr>
            <w:rStyle w:val="Hyperlink"/>
            <w:noProof/>
          </w:rPr>
          <w:t>Figure 2. Total private hospital separations and participation rate</w:t>
        </w:r>
        <w:r w:rsidR="00BA45CC">
          <w:rPr>
            <w:noProof/>
            <w:webHidden/>
          </w:rPr>
          <w:tab/>
        </w:r>
        <w:r w:rsidR="00BA45CC">
          <w:rPr>
            <w:noProof/>
            <w:webHidden/>
          </w:rPr>
          <w:fldChar w:fldCharType="begin"/>
        </w:r>
        <w:r w:rsidR="00BA45CC">
          <w:rPr>
            <w:noProof/>
            <w:webHidden/>
          </w:rPr>
          <w:instrText xml:space="preserve"> PAGEREF _Toc129263241 \h </w:instrText>
        </w:r>
        <w:r w:rsidR="00BA45CC">
          <w:rPr>
            <w:noProof/>
            <w:webHidden/>
          </w:rPr>
        </w:r>
        <w:r w:rsidR="00BA45CC">
          <w:rPr>
            <w:noProof/>
            <w:webHidden/>
          </w:rPr>
          <w:fldChar w:fldCharType="separate"/>
        </w:r>
        <w:r w:rsidR="008D39F6">
          <w:rPr>
            <w:noProof/>
            <w:webHidden/>
          </w:rPr>
          <w:t>15</w:t>
        </w:r>
        <w:r w:rsidR="00BA45CC">
          <w:rPr>
            <w:noProof/>
            <w:webHidden/>
          </w:rPr>
          <w:fldChar w:fldCharType="end"/>
        </w:r>
      </w:hyperlink>
    </w:p>
    <w:p w14:paraId="54DD52F0" w14:textId="286FC0D4"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2" w:history="1">
        <w:r w:rsidR="00BA45CC" w:rsidRPr="00F54986">
          <w:rPr>
            <w:rStyle w:val="Hyperlink"/>
            <w:noProof/>
          </w:rPr>
          <w:t>Figure 3. Participation rate over 2015-16 to 2020-21</w:t>
        </w:r>
        <w:r w:rsidR="00BA45CC">
          <w:rPr>
            <w:noProof/>
            <w:webHidden/>
          </w:rPr>
          <w:tab/>
        </w:r>
        <w:r w:rsidR="00BA45CC">
          <w:rPr>
            <w:noProof/>
            <w:webHidden/>
          </w:rPr>
          <w:fldChar w:fldCharType="begin"/>
        </w:r>
        <w:r w:rsidR="00BA45CC">
          <w:rPr>
            <w:noProof/>
            <w:webHidden/>
          </w:rPr>
          <w:instrText xml:space="preserve"> PAGEREF _Toc129263242 \h </w:instrText>
        </w:r>
        <w:r w:rsidR="00BA45CC">
          <w:rPr>
            <w:noProof/>
            <w:webHidden/>
          </w:rPr>
        </w:r>
        <w:r w:rsidR="00BA45CC">
          <w:rPr>
            <w:noProof/>
            <w:webHidden/>
          </w:rPr>
          <w:fldChar w:fldCharType="separate"/>
        </w:r>
        <w:r w:rsidR="008D39F6">
          <w:rPr>
            <w:noProof/>
            <w:webHidden/>
          </w:rPr>
          <w:t>16</w:t>
        </w:r>
        <w:r w:rsidR="00BA45CC">
          <w:rPr>
            <w:noProof/>
            <w:webHidden/>
          </w:rPr>
          <w:fldChar w:fldCharType="end"/>
        </w:r>
      </w:hyperlink>
    </w:p>
    <w:p w14:paraId="49C3A3F1" w14:textId="1A044CDB"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3" w:history="1">
        <w:r w:rsidR="00BA45CC" w:rsidRPr="00F54986">
          <w:rPr>
            <w:rStyle w:val="Hyperlink"/>
            <w:noProof/>
          </w:rPr>
          <w:t>Figure 4. Average Length of Stay</w:t>
        </w:r>
        <w:r w:rsidR="00BA45CC">
          <w:rPr>
            <w:noProof/>
            <w:webHidden/>
          </w:rPr>
          <w:tab/>
        </w:r>
        <w:r w:rsidR="00BA45CC">
          <w:rPr>
            <w:noProof/>
            <w:webHidden/>
          </w:rPr>
          <w:fldChar w:fldCharType="begin"/>
        </w:r>
        <w:r w:rsidR="00BA45CC">
          <w:rPr>
            <w:noProof/>
            <w:webHidden/>
          </w:rPr>
          <w:instrText xml:space="preserve"> PAGEREF _Toc129263243 \h </w:instrText>
        </w:r>
        <w:r w:rsidR="00BA45CC">
          <w:rPr>
            <w:noProof/>
            <w:webHidden/>
          </w:rPr>
        </w:r>
        <w:r w:rsidR="00BA45CC">
          <w:rPr>
            <w:noProof/>
            <w:webHidden/>
          </w:rPr>
          <w:fldChar w:fldCharType="separate"/>
        </w:r>
        <w:r w:rsidR="008D39F6">
          <w:rPr>
            <w:noProof/>
            <w:webHidden/>
          </w:rPr>
          <w:t>16</w:t>
        </w:r>
        <w:r w:rsidR="00BA45CC">
          <w:rPr>
            <w:noProof/>
            <w:webHidden/>
          </w:rPr>
          <w:fldChar w:fldCharType="end"/>
        </w:r>
      </w:hyperlink>
    </w:p>
    <w:p w14:paraId="71753DD3" w14:textId="09CB6834"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4" w:history="1">
        <w:r w:rsidR="00BA45CC" w:rsidRPr="00F54986">
          <w:rPr>
            <w:rStyle w:val="Hyperlink"/>
            <w:noProof/>
          </w:rPr>
          <w:t>Figure 5. Separations and Cost for MDC 06: Diseases and Disorders of the Digestive System</w:t>
        </w:r>
        <w:r w:rsidR="00BA45CC">
          <w:rPr>
            <w:noProof/>
            <w:webHidden/>
          </w:rPr>
          <w:tab/>
        </w:r>
        <w:r w:rsidR="00BA45CC">
          <w:rPr>
            <w:noProof/>
            <w:webHidden/>
          </w:rPr>
          <w:fldChar w:fldCharType="begin"/>
        </w:r>
        <w:r w:rsidR="00BA45CC">
          <w:rPr>
            <w:noProof/>
            <w:webHidden/>
          </w:rPr>
          <w:instrText xml:space="preserve"> PAGEREF _Toc129263244 \h </w:instrText>
        </w:r>
        <w:r w:rsidR="00BA45CC">
          <w:rPr>
            <w:noProof/>
            <w:webHidden/>
          </w:rPr>
        </w:r>
        <w:r w:rsidR="00BA45CC">
          <w:rPr>
            <w:noProof/>
            <w:webHidden/>
          </w:rPr>
          <w:fldChar w:fldCharType="separate"/>
        </w:r>
        <w:r w:rsidR="008D39F6">
          <w:rPr>
            <w:noProof/>
            <w:webHidden/>
          </w:rPr>
          <w:t>20</w:t>
        </w:r>
        <w:r w:rsidR="00BA45CC">
          <w:rPr>
            <w:noProof/>
            <w:webHidden/>
          </w:rPr>
          <w:fldChar w:fldCharType="end"/>
        </w:r>
      </w:hyperlink>
    </w:p>
    <w:p w14:paraId="39D1A95C" w14:textId="71E8485E"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5" w:history="1">
        <w:r w:rsidR="00BA45CC" w:rsidRPr="00F54986">
          <w:rPr>
            <w:rStyle w:val="Hyperlink"/>
            <w:noProof/>
          </w:rPr>
          <w:t>Figure 6. Separations and Cost for MDC 04: Diseases and Disorders of the Respiratory System</w:t>
        </w:r>
        <w:r w:rsidR="00BA45CC">
          <w:rPr>
            <w:noProof/>
            <w:webHidden/>
          </w:rPr>
          <w:tab/>
        </w:r>
        <w:r w:rsidR="00BA45CC">
          <w:rPr>
            <w:noProof/>
            <w:webHidden/>
          </w:rPr>
          <w:fldChar w:fldCharType="begin"/>
        </w:r>
        <w:r w:rsidR="00BA45CC">
          <w:rPr>
            <w:noProof/>
            <w:webHidden/>
          </w:rPr>
          <w:instrText xml:space="preserve"> PAGEREF _Toc129263245 \h </w:instrText>
        </w:r>
        <w:r w:rsidR="00BA45CC">
          <w:rPr>
            <w:noProof/>
            <w:webHidden/>
          </w:rPr>
        </w:r>
        <w:r w:rsidR="00BA45CC">
          <w:rPr>
            <w:noProof/>
            <w:webHidden/>
          </w:rPr>
          <w:fldChar w:fldCharType="separate"/>
        </w:r>
        <w:r w:rsidR="008D39F6">
          <w:rPr>
            <w:noProof/>
            <w:webHidden/>
          </w:rPr>
          <w:t>21</w:t>
        </w:r>
        <w:r w:rsidR="00BA45CC">
          <w:rPr>
            <w:noProof/>
            <w:webHidden/>
          </w:rPr>
          <w:fldChar w:fldCharType="end"/>
        </w:r>
      </w:hyperlink>
    </w:p>
    <w:p w14:paraId="3B5B02DE" w14:textId="1CAFA09A"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6" w:history="1">
        <w:r w:rsidR="00BA45CC" w:rsidRPr="00F54986">
          <w:rPr>
            <w:rStyle w:val="Hyperlink"/>
            <w:noProof/>
          </w:rPr>
          <w:t>Figure 7. Separations and Cost for MDC 19: Mental Diseases and Disorders</w:t>
        </w:r>
        <w:r w:rsidR="00BA45CC">
          <w:rPr>
            <w:noProof/>
            <w:webHidden/>
          </w:rPr>
          <w:tab/>
        </w:r>
        <w:r w:rsidR="00BA45CC">
          <w:rPr>
            <w:noProof/>
            <w:webHidden/>
          </w:rPr>
          <w:fldChar w:fldCharType="begin"/>
        </w:r>
        <w:r w:rsidR="00BA45CC">
          <w:rPr>
            <w:noProof/>
            <w:webHidden/>
          </w:rPr>
          <w:instrText xml:space="preserve"> PAGEREF _Toc129263246 \h </w:instrText>
        </w:r>
        <w:r w:rsidR="00BA45CC">
          <w:rPr>
            <w:noProof/>
            <w:webHidden/>
          </w:rPr>
        </w:r>
        <w:r w:rsidR="00BA45CC">
          <w:rPr>
            <w:noProof/>
            <w:webHidden/>
          </w:rPr>
          <w:fldChar w:fldCharType="separate"/>
        </w:r>
        <w:r w:rsidR="008D39F6">
          <w:rPr>
            <w:noProof/>
            <w:webHidden/>
          </w:rPr>
          <w:t>21</w:t>
        </w:r>
        <w:r w:rsidR="00BA45CC">
          <w:rPr>
            <w:noProof/>
            <w:webHidden/>
          </w:rPr>
          <w:fldChar w:fldCharType="end"/>
        </w:r>
      </w:hyperlink>
    </w:p>
    <w:p w14:paraId="2D89CD53" w14:textId="57379A0F"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7" w:history="1">
        <w:r w:rsidR="00BA45CC" w:rsidRPr="00F54986">
          <w:rPr>
            <w:rStyle w:val="Hyperlink"/>
            <w:noProof/>
          </w:rPr>
          <w:t>Figure 8. Average cost weight and ALOS for top 10 AR-DRGs</w:t>
        </w:r>
        <w:r w:rsidR="00BA45CC">
          <w:rPr>
            <w:noProof/>
            <w:webHidden/>
          </w:rPr>
          <w:tab/>
        </w:r>
        <w:r w:rsidR="00BA45CC">
          <w:rPr>
            <w:noProof/>
            <w:webHidden/>
          </w:rPr>
          <w:fldChar w:fldCharType="begin"/>
        </w:r>
        <w:r w:rsidR="00BA45CC">
          <w:rPr>
            <w:noProof/>
            <w:webHidden/>
          </w:rPr>
          <w:instrText xml:space="preserve"> PAGEREF _Toc129263247 \h </w:instrText>
        </w:r>
        <w:r w:rsidR="00BA45CC">
          <w:rPr>
            <w:noProof/>
            <w:webHidden/>
          </w:rPr>
        </w:r>
        <w:r w:rsidR="00BA45CC">
          <w:rPr>
            <w:noProof/>
            <w:webHidden/>
          </w:rPr>
          <w:fldChar w:fldCharType="separate"/>
        </w:r>
        <w:r w:rsidR="008D39F6">
          <w:rPr>
            <w:noProof/>
            <w:webHidden/>
          </w:rPr>
          <w:t>23</w:t>
        </w:r>
        <w:r w:rsidR="00BA45CC">
          <w:rPr>
            <w:noProof/>
            <w:webHidden/>
          </w:rPr>
          <w:fldChar w:fldCharType="end"/>
        </w:r>
      </w:hyperlink>
    </w:p>
    <w:p w14:paraId="1A96B85B" w14:textId="1B955CB2"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8" w:history="1">
        <w:r w:rsidR="00BA45CC" w:rsidRPr="00F54986">
          <w:rPr>
            <w:rStyle w:val="Hyperlink"/>
            <w:noProof/>
          </w:rPr>
          <w:t>Figure 9. Comparison to top 10 AR-DRGs ranked by highest cost weight, 2018-19 to 2020-21</w:t>
        </w:r>
        <w:r w:rsidR="00BA45CC">
          <w:rPr>
            <w:noProof/>
            <w:webHidden/>
          </w:rPr>
          <w:tab/>
        </w:r>
        <w:r w:rsidR="00BA45CC">
          <w:rPr>
            <w:noProof/>
            <w:webHidden/>
          </w:rPr>
          <w:fldChar w:fldCharType="begin"/>
        </w:r>
        <w:r w:rsidR="00BA45CC">
          <w:rPr>
            <w:noProof/>
            <w:webHidden/>
          </w:rPr>
          <w:instrText xml:space="preserve"> PAGEREF _Toc129263248 \h </w:instrText>
        </w:r>
        <w:r w:rsidR="00BA45CC">
          <w:rPr>
            <w:noProof/>
            <w:webHidden/>
          </w:rPr>
        </w:r>
        <w:r w:rsidR="00BA45CC">
          <w:rPr>
            <w:noProof/>
            <w:webHidden/>
          </w:rPr>
          <w:fldChar w:fldCharType="separate"/>
        </w:r>
        <w:r w:rsidR="008D39F6">
          <w:rPr>
            <w:noProof/>
            <w:webHidden/>
          </w:rPr>
          <w:t>23</w:t>
        </w:r>
        <w:r w:rsidR="00BA45CC">
          <w:rPr>
            <w:noProof/>
            <w:webHidden/>
          </w:rPr>
          <w:fldChar w:fldCharType="end"/>
        </w:r>
      </w:hyperlink>
    </w:p>
    <w:p w14:paraId="232B2E50" w14:textId="619D9513"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49" w:history="1">
        <w:r w:rsidR="00BA45CC" w:rsidRPr="00F54986">
          <w:rPr>
            <w:rStyle w:val="Hyperlink"/>
            <w:noProof/>
          </w:rPr>
          <w:t>Figure 10. Total Weighted Separations and ALOS</w:t>
        </w:r>
        <w:r w:rsidR="00BA45CC">
          <w:rPr>
            <w:noProof/>
            <w:webHidden/>
          </w:rPr>
          <w:tab/>
        </w:r>
        <w:r w:rsidR="00BA45CC">
          <w:rPr>
            <w:noProof/>
            <w:webHidden/>
          </w:rPr>
          <w:fldChar w:fldCharType="begin"/>
        </w:r>
        <w:r w:rsidR="00BA45CC">
          <w:rPr>
            <w:noProof/>
            <w:webHidden/>
          </w:rPr>
          <w:instrText xml:space="preserve"> PAGEREF _Toc129263249 \h </w:instrText>
        </w:r>
        <w:r w:rsidR="00BA45CC">
          <w:rPr>
            <w:noProof/>
            <w:webHidden/>
          </w:rPr>
        </w:r>
        <w:r w:rsidR="00BA45CC">
          <w:rPr>
            <w:noProof/>
            <w:webHidden/>
          </w:rPr>
          <w:fldChar w:fldCharType="separate"/>
        </w:r>
        <w:r w:rsidR="008D39F6">
          <w:rPr>
            <w:noProof/>
            <w:webHidden/>
          </w:rPr>
          <w:t>26</w:t>
        </w:r>
        <w:r w:rsidR="00BA45CC">
          <w:rPr>
            <w:noProof/>
            <w:webHidden/>
          </w:rPr>
          <w:fldChar w:fldCharType="end"/>
        </w:r>
      </w:hyperlink>
    </w:p>
    <w:p w14:paraId="4A9C6FD4" w14:textId="7050B4A7"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0" w:history="1">
        <w:r w:rsidR="00BA45CC" w:rsidRPr="00F54986">
          <w:rPr>
            <w:rStyle w:val="Hyperlink"/>
            <w:noProof/>
          </w:rPr>
          <w:t>Figure 11. Comparison of top 10 AR-DRGs by highest volume of population-adjusted separations, 2018-19 to 2020-21</w:t>
        </w:r>
        <w:r w:rsidR="00BA45CC">
          <w:rPr>
            <w:noProof/>
            <w:webHidden/>
          </w:rPr>
          <w:tab/>
        </w:r>
        <w:r w:rsidR="00BA45CC">
          <w:rPr>
            <w:noProof/>
            <w:webHidden/>
          </w:rPr>
          <w:fldChar w:fldCharType="begin"/>
        </w:r>
        <w:r w:rsidR="00BA45CC">
          <w:rPr>
            <w:noProof/>
            <w:webHidden/>
          </w:rPr>
          <w:instrText xml:space="preserve"> PAGEREF _Toc129263250 \h </w:instrText>
        </w:r>
        <w:r w:rsidR="00BA45CC">
          <w:rPr>
            <w:noProof/>
            <w:webHidden/>
          </w:rPr>
        </w:r>
        <w:r w:rsidR="00BA45CC">
          <w:rPr>
            <w:noProof/>
            <w:webHidden/>
          </w:rPr>
          <w:fldChar w:fldCharType="separate"/>
        </w:r>
        <w:r w:rsidR="008D39F6">
          <w:rPr>
            <w:noProof/>
            <w:webHidden/>
          </w:rPr>
          <w:t>27</w:t>
        </w:r>
        <w:r w:rsidR="00BA45CC">
          <w:rPr>
            <w:noProof/>
            <w:webHidden/>
          </w:rPr>
          <w:fldChar w:fldCharType="end"/>
        </w:r>
      </w:hyperlink>
    </w:p>
    <w:p w14:paraId="6E7AFDC4" w14:textId="13877D0B" w:rsidR="00BA45CC" w:rsidRDefault="00523C3C" w:rsidP="00E87B16">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1" w:history="1">
        <w:r w:rsidR="00BA45CC" w:rsidRPr="00F54986">
          <w:rPr>
            <w:rStyle w:val="Hyperlink"/>
            <w:noProof/>
          </w:rPr>
          <w:t>Figure 12. Total Cost Weighted Separations and Average Cost Weight</w:t>
        </w:r>
        <w:r w:rsidR="00BA45CC">
          <w:rPr>
            <w:noProof/>
            <w:webHidden/>
          </w:rPr>
          <w:tab/>
        </w:r>
        <w:r w:rsidR="00BA45CC">
          <w:rPr>
            <w:noProof/>
            <w:webHidden/>
          </w:rPr>
          <w:fldChar w:fldCharType="begin"/>
        </w:r>
        <w:r w:rsidR="00BA45CC">
          <w:rPr>
            <w:noProof/>
            <w:webHidden/>
          </w:rPr>
          <w:instrText xml:space="preserve"> PAGEREF _Toc129263251 \h </w:instrText>
        </w:r>
        <w:r w:rsidR="00BA45CC">
          <w:rPr>
            <w:noProof/>
            <w:webHidden/>
          </w:rPr>
        </w:r>
        <w:r w:rsidR="00BA45CC">
          <w:rPr>
            <w:noProof/>
            <w:webHidden/>
          </w:rPr>
          <w:fldChar w:fldCharType="separate"/>
        </w:r>
        <w:r w:rsidR="008D39F6">
          <w:rPr>
            <w:noProof/>
            <w:webHidden/>
          </w:rPr>
          <w:t>30</w:t>
        </w:r>
        <w:r w:rsidR="00BA45CC">
          <w:rPr>
            <w:noProof/>
            <w:webHidden/>
          </w:rPr>
          <w:fldChar w:fldCharType="end"/>
        </w:r>
      </w:hyperlink>
    </w:p>
    <w:p w14:paraId="7F663BAA" w14:textId="1929EA0B"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2" w:history="1">
        <w:r w:rsidR="00BA45CC" w:rsidRPr="00F54986">
          <w:rPr>
            <w:rStyle w:val="Hyperlink"/>
            <w:noProof/>
          </w:rPr>
          <w:t>Figure 13. Comparison of top 10 AR-DRGs by highest cost-weighted separations, 2018-19 to 2020-21</w:t>
        </w:r>
        <w:r w:rsidR="00BA45CC">
          <w:rPr>
            <w:noProof/>
            <w:webHidden/>
          </w:rPr>
          <w:tab/>
        </w:r>
        <w:r w:rsidR="00BA45CC">
          <w:rPr>
            <w:noProof/>
            <w:webHidden/>
          </w:rPr>
          <w:fldChar w:fldCharType="begin"/>
        </w:r>
        <w:r w:rsidR="00BA45CC">
          <w:rPr>
            <w:noProof/>
            <w:webHidden/>
          </w:rPr>
          <w:instrText xml:space="preserve"> PAGEREF _Toc129263252 \h </w:instrText>
        </w:r>
        <w:r w:rsidR="00BA45CC">
          <w:rPr>
            <w:noProof/>
            <w:webHidden/>
          </w:rPr>
        </w:r>
        <w:r w:rsidR="00BA45CC">
          <w:rPr>
            <w:noProof/>
            <w:webHidden/>
          </w:rPr>
          <w:fldChar w:fldCharType="separate"/>
        </w:r>
        <w:r w:rsidR="008D39F6">
          <w:rPr>
            <w:noProof/>
            <w:webHidden/>
          </w:rPr>
          <w:t>30</w:t>
        </w:r>
        <w:r w:rsidR="00BA45CC">
          <w:rPr>
            <w:noProof/>
            <w:webHidden/>
          </w:rPr>
          <w:fldChar w:fldCharType="end"/>
        </w:r>
      </w:hyperlink>
    </w:p>
    <w:p w14:paraId="100BE584" w14:textId="4FD4D3EE"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3" w:history="1">
        <w:r w:rsidR="00BA45CC" w:rsidRPr="00F54986">
          <w:rPr>
            <w:rStyle w:val="Hyperlink"/>
            <w:noProof/>
          </w:rPr>
          <w:t>Figure 14. Breakdown of costs by cost bucket group</w:t>
        </w:r>
        <w:r w:rsidR="00BA45CC">
          <w:rPr>
            <w:noProof/>
            <w:webHidden/>
          </w:rPr>
          <w:tab/>
        </w:r>
        <w:r w:rsidR="00BA45CC">
          <w:rPr>
            <w:noProof/>
            <w:webHidden/>
          </w:rPr>
          <w:fldChar w:fldCharType="begin"/>
        </w:r>
        <w:r w:rsidR="00BA45CC">
          <w:rPr>
            <w:noProof/>
            <w:webHidden/>
          </w:rPr>
          <w:instrText xml:space="preserve"> PAGEREF _Toc129263253 \h </w:instrText>
        </w:r>
        <w:r w:rsidR="00BA45CC">
          <w:rPr>
            <w:noProof/>
            <w:webHidden/>
          </w:rPr>
        </w:r>
        <w:r w:rsidR="00BA45CC">
          <w:rPr>
            <w:noProof/>
            <w:webHidden/>
          </w:rPr>
          <w:fldChar w:fldCharType="separate"/>
        </w:r>
        <w:r w:rsidR="008D39F6">
          <w:rPr>
            <w:noProof/>
            <w:webHidden/>
          </w:rPr>
          <w:t>33</w:t>
        </w:r>
        <w:r w:rsidR="00BA45CC">
          <w:rPr>
            <w:noProof/>
            <w:webHidden/>
          </w:rPr>
          <w:fldChar w:fldCharType="end"/>
        </w:r>
      </w:hyperlink>
    </w:p>
    <w:p w14:paraId="3370BD10" w14:textId="6AD1F366"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4" w:history="1">
        <w:r w:rsidR="00BA45CC" w:rsidRPr="00F54986">
          <w:rPr>
            <w:rStyle w:val="Hyperlink"/>
            <w:noProof/>
          </w:rPr>
          <w:t xml:space="preserve">Figure 15. Ward </w:t>
        </w:r>
        <w:r w:rsidR="00DB117A">
          <w:rPr>
            <w:rStyle w:val="Hyperlink"/>
            <w:noProof/>
          </w:rPr>
          <w:t>n</w:t>
        </w:r>
        <w:r w:rsidR="00BA45CC" w:rsidRPr="00F54986">
          <w:rPr>
            <w:rStyle w:val="Hyperlink"/>
            <w:noProof/>
          </w:rPr>
          <w:t>ursing costs from 2015-16 to 2020-21</w:t>
        </w:r>
        <w:r w:rsidR="00BA45CC">
          <w:rPr>
            <w:noProof/>
            <w:webHidden/>
          </w:rPr>
          <w:tab/>
        </w:r>
        <w:r w:rsidR="00BA45CC">
          <w:rPr>
            <w:noProof/>
            <w:webHidden/>
          </w:rPr>
          <w:fldChar w:fldCharType="begin"/>
        </w:r>
        <w:r w:rsidR="00BA45CC">
          <w:rPr>
            <w:noProof/>
            <w:webHidden/>
          </w:rPr>
          <w:instrText xml:space="preserve"> PAGEREF _Toc129263254 \h </w:instrText>
        </w:r>
        <w:r w:rsidR="00BA45CC">
          <w:rPr>
            <w:noProof/>
            <w:webHidden/>
          </w:rPr>
        </w:r>
        <w:r w:rsidR="00BA45CC">
          <w:rPr>
            <w:noProof/>
            <w:webHidden/>
          </w:rPr>
          <w:fldChar w:fldCharType="separate"/>
        </w:r>
        <w:r w:rsidR="008D39F6">
          <w:rPr>
            <w:noProof/>
            <w:webHidden/>
          </w:rPr>
          <w:t>38</w:t>
        </w:r>
        <w:r w:rsidR="00BA45CC">
          <w:rPr>
            <w:noProof/>
            <w:webHidden/>
          </w:rPr>
          <w:fldChar w:fldCharType="end"/>
        </w:r>
      </w:hyperlink>
    </w:p>
    <w:p w14:paraId="0711ECED" w14:textId="13738F36"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5" w:history="1">
        <w:r w:rsidR="00BA45CC" w:rsidRPr="00F54986">
          <w:rPr>
            <w:rStyle w:val="Hyperlink"/>
            <w:noProof/>
          </w:rPr>
          <w:t>Figure 16. Total separations by jurisdiction</w:t>
        </w:r>
        <w:r w:rsidR="00BA45CC">
          <w:rPr>
            <w:noProof/>
            <w:webHidden/>
          </w:rPr>
          <w:tab/>
        </w:r>
        <w:r w:rsidR="00BA45CC">
          <w:rPr>
            <w:noProof/>
            <w:webHidden/>
          </w:rPr>
          <w:fldChar w:fldCharType="begin"/>
        </w:r>
        <w:r w:rsidR="00BA45CC">
          <w:rPr>
            <w:noProof/>
            <w:webHidden/>
          </w:rPr>
          <w:instrText xml:space="preserve"> PAGEREF _Toc129263255 \h </w:instrText>
        </w:r>
        <w:r w:rsidR="00BA45CC">
          <w:rPr>
            <w:noProof/>
            <w:webHidden/>
          </w:rPr>
        </w:r>
        <w:r w:rsidR="00BA45CC">
          <w:rPr>
            <w:noProof/>
            <w:webHidden/>
          </w:rPr>
          <w:fldChar w:fldCharType="separate"/>
        </w:r>
        <w:r w:rsidR="008D39F6">
          <w:rPr>
            <w:noProof/>
            <w:webHidden/>
          </w:rPr>
          <w:t>40</w:t>
        </w:r>
        <w:r w:rsidR="00BA45CC">
          <w:rPr>
            <w:noProof/>
            <w:webHidden/>
          </w:rPr>
          <w:fldChar w:fldCharType="end"/>
        </w:r>
      </w:hyperlink>
    </w:p>
    <w:p w14:paraId="55BAF8F8" w14:textId="5349C788" w:rsidR="00BA45CC" w:rsidRDefault="00523C3C" w:rsidP="00BF12BF">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6" w:history="1">
        <w:r w:rsidR="00BA45CC" w:rsidRPr="00F54986">
          <w:rPr>
            <w:rStyle w:val="Hyperlink"/>
            <w:noProof/>
          </w:rPr>
          <w:t>Figure 17. Separations by month for intervention episodes</w:t>
        </w:r>
        <w:r w:rsidR="00BA45CC">
          <w:rPr>
            <w:noProof/>
            <w:webHidden/>
          </w:rPr>
          <w:tab/>
        </w:r>
        <w:r w:rsidR="00BA45CC">
          <w:rPr>
            <w:noProof/>
            <w:webHidden/>
          </w:rPr>
          <w:fldChar w:fldCharType="begin"/>
        </w:r>
        <w:r w:rsidR="00BA45CC">
          <w:rPr>
            <w:noProof/>
            <w:webHidden/>
          </w:rPr>
          <w:instrText xml:space="preserve"> PAGEREF _Toc129263256 \h </w:instrText>
        </w:r>
        <w:r w:rsidR="00BA45CC">
          <w:rPr>
            <w:noProof/>
            <w:webHidden/>
          </w:rPr>
        </w:r>
        <w:r w:rsidR="00BA45CC">
          <w:rPr>
            <w:noProof/>
            <w:webHidden/>
          </w:rPr>
          <w:fldChar w:fldCharType="separate"/>
        </w:r>
        <w:r w:rsidR="008D39F6">
          <w:rPr>
            <w:noProof/>
            <w:webHidden/>
          </w:rPr>
          <w:t>41</w:t>
        </w:r>
        <w:r w:rsidR="00BA45CC">
          <w:rPr>
            <w:noProof/>
            <w:webHidden/>
          </w:rPr>
          <w:fldChar w:fldCharType="end"/>
        </w:r>
      </w:hyperlink>
    </w:p>
    <w:p w14:paraId="00EE16C4" w14:textId="5078A018" w:rsidR="00BA45CC" w:rsidRDefault="00523C3C" w:rsidP="00E87B16">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7" w:history="1">
        <w:r w:rsidR="00BA45CC" w:rsidRPr="00F54986">
          <w:rPr>
            <w:rStyle w:val="Hyperlink"/>
            <w:noProof/>
          </w:rPr>
          <w:t>Figure 18. Separations by month for medical episodes</w:t>
        </w:r>
        <w:r w:rsidR="00BA45CC">
          <w:rPr>
            <w:noProof/>
            <w:webHidden/>
          </w:rPr>
          <w:tab/>
        </w:r>
        <w:r w:rsidR="00BA45CC">
          <w:rPr>
            <w:noProof/>
            <w:webHidden/>
          </w:rPr>
          <w:fldChar w:fldCharType="begin"/>
        </w:r>
        <w:r w:rsidR="00BA45CC">
          <w:rPr>
            <w:noProof/>
            <w:webHidden/>
          </w:rPr>
          <w:instrText xml:space="preserve"> PAGEREF _Toc129263257 \h </w:instrText>
        </w:r>
        <w:r w:rsidR="00BA45CC">
          <w:rPr>
            <w:noProof/>
            <w:webHidden/>
          </w:rPr>
        </w:r>
        <w:r w:rsidR="00BA45CC">
          <w:rPr>
            <w:noProof/>
            <w:webHidden/>
          </w:rPr>
          <w:fldChar w:fldCharType="separate"/>
        </w:r>
        <w:r w:rsidR="008D39F6">
          <w:rPr>
            <w:noProof/>
            <w:webHidden/>
          </w:rPr>
          <w:t>41</w:t>
        </w:r>
        <w:r w:rsidR="00BA45CC">
          <w:rPr>
            <w:noProof/>
            <w:webHidden/>
          </w:rPr>
          <w:fldChar w:fldCharType="end"/>
        </w:r>
      </w:hyperlink>
    </w:p>
    <w:p w14:paraId="48EC1A6B" w14:textId="2B734EB7" w:rsidR="00BA45CC" w:rsidRDefault="00523C3C" w:rsidP="00E87B16">
      <w:pPr>
        <w:pStyle w:val="TableofFigures"/>
        <w:tabs>
          <w:tab w:val="right" w:leader="dot" w:pos="9736"/>
        </w:tabs>
        <w:spacing w:line="360" w:lineRule="auto"/>
        <w:rPr>
          <w:rFonts w:asciiTheme="minorHAnsi" w:eastAsiaTheme="minorEastAsia" w:hAnsiTheme="minorHAnsi"/>
          <w:noProof/>
          <w:color w:val="auto"/>
          <w:lang w:val="en-AU" w:eastAsia="en-AU"/>
        </w:rPr>
      </w:pPr>
      <w:hyperlink w:anchor="_Toc129263258" w:history="1">
        <w:r w:rsidR="00BA45CC" w:rsidRPr="00F54986">
          <w:rPr>
            <w:rStyle w:val="Hyperlink"/>
            <w:noProof/>
          </w:rPr>
          <w:t>Figure 19. Cost bucket matrix</w:t>
        </w:r>
        <w:r w:rsidR="00BA45CC">
          <w:rPr>
            <w:noProof/>
            <w:webHidden/>
          </w:rPr>
          <w:tab/>
        </w:r>
        <w:r w:rsidR="00BA45CC">
          <w:rPr>
            <w:noProof/>
            <w:webHidden/>
          </w:rPr>
          <w:fldChar w:fldCharType="begin"/>
        </w:r>
        <w:r w:rsidR="00BA45CC">
          <w:rPr>
            <w:noProof/>
            <w:webHidden/>
          </w:rPr>
          <w:instrText xml:space="preserve"> PAGEREF _Toc129263258 \h </w:instrText>
        </w:r>
        <w:r w:rsidR="00BA45CC">
          <w:rPr>
            <w:noProof/>
            <w:webHidden/>
          </w:rPr>
        </w:r>
        <w:r w:rsidR="00BA45CC">
          <w:rPr>
            <w:noProof/>
            <w:webHidden/>
          </w:rPr>
          <w:fldChar w:fldCharType="separate"/>
        </w:r>
        <w:r w:rsidR="008D39F6">
          <w:rPr>
            <w:noProof/>
            <w:webHidden/>
          </w:rPr>
          <w:t>5</w:t>
        </w:r>
        <w:r w:rsidR="00BA45CC">
          <w:rPr>
            <w:noProof/>
            <w:webHidden/>
          </w:rPr>
          <w:fldChar w:fldCharType="end"/>
        </w:r>
      </w:hyperlink>
      <w:r w:rsidR="00EF152A">
        <w:rPr>
          <w:noProof/>
        </w:rPr>
        <w:t>0</w:t>
      </w:r>
    </w:p>
    <w:p w14:paraId="7EE78807" w14:textId="24BE6413" w:rsidR="00CC36FF" w:rsidRPr="005629F8" w:rsidRDefault="00D02724" w:rsidP="005629F8">
      <w:pPr>
        <w:spacing w:after="120" w:line="360" w:lineRule="auto"/>
        <w:rPr>
          <w:highlight w:val="yellow"/>
          <w:lang w:val="en-AU"/>
        </w:rPr>
      </w:pPr>
      <w:r>
        <w:rPr>
          <w:highlight w:val="yellow"/>
          <w:lang w:val="en-AU"/>
        </w:rPr>
        <w:fldChar w:fldCharType="end"/>
      </w:r>
      <w:r w:rsidR="00CC36FF" w:rsidRPr="005629F8">
        <w:rPr>
          <w:highlight w:val="yellow"/>
          <w:lang w:val="en-AU"/>
        </w:rPr>
        <w:br w:type="page"/>
      </w:r>
    </w:p>
    <w:p w14:paraId="38B1A695" w14:textId="18E99BBD" w:rsidR="009721F9" w:rsidRPr="00E87B16" w:rsidRDefault="00C5247D" w:rsidP="00FC4599">
      <w:pPr>
        <w:pStyle w:val="Heading1"/>
      </w:pPr>
      <w:bookmarkStart w:id="9" w:name="_Toc129701348"/>
      <w:r w:rsidRPr="00E87B16">
        <w:lastRenderedPageBreak/>
        <w:t>Executive Summary</w:t>
      </w:r>
      <w:bookmarkEnd w:id="9"/>
    </w:p>
    <w:p w14:paraId="023E263A" w14:textId="15DC01CD" w:rsidR="00C5247D" w:rsidRPr="005629F8" w:rsidRDefault="00C5247D" w:rsidP="00B14BDD">
      <w:pPr>
        <w:rPr>
          <w:lang w:val="en-AU"/>
        </w:rPr>
      </w:pPr>
      <w:r w:rsidRPr="005629F8">
        <w:rPr>
          <w:lang w:val="en-AU"/>
        </w:rPr>
        <w:t>The private sector National Hospital Cost Data Collection (NHCDC) is a voluntary collection that</w:t>
      </w:r>
      <w:r w:rsidRPr="005629F8">
        <w:rPr>
          <w:spacing w:val="-59"/>
          <w:lang w:val="en-AU"/>
        </w:rPr>
        <w:t xml:space="preserve"> </w:t>
      </w:r>
      <w:r w:rsidRPr="005629F8">
        <w:rPr>
          <w:lang w:val="en-AU"/>
        </w:rPr>
        <w:t>produces a range of hospital cost and activity information by Australian Refined Diagnosis</w:t>
      </w:r>
      <w:r w:rsidRPr="005629F8">
        <w:rPr>
          <w:spacing w:val="1"/>
          <w:lang w:val="en-AU"/>
        </w:rPr>
        <w:t xml:space="preserve"> </w:t>
      </w:r>
      <w:r w:rsidRPr="005629F8">
        <w:rPr>
          <w:lang w:val="en-AU"/>
        </w:rPr>
        <w:t xml:space="preserve">Related Groups (AR-DRG). This report includes the findings from </w:t>
      </w:r>
      <w:r w:rsidR="00CB5115" w:rsidRPr="005629F8">
        <w:rPr>
          <w:spacing w:val="1"/>
          <w:lang w:val="en-AU"/>
        </w:rPr>
        <w:t xml:space="preserve">the </w:t>
      </w:r>
      <w:r w:rsidR="002F3E4C" w:rsidRPr="005629F8">
        <w:rPr>
          <w:lang w:val="en-AU"/>
        </w:rPr>
        <w:t>2020-21</w:t>
      </w:r>
      <w:r w:rsidRPr="005629F8">
        <w:rPr>
          <w:lang w:val="en-AU"/>
        </w:rPr>
        <w:t xml:space="preserve"> NHCDC</w:t>
      </w:r>
      <w:r w:rsidR="002F3E4C" w:rsidRPr="005629F8">
        <w:rPr>
          <w:lang w:val="en-AU"/>
        </w:rPr>
        <w:t>,</w:t>
      </w:r>
      <w:r w:rsidRPr="005629F8">
        <w:rPr>
          <w:lang w:val="en-AU"/>
        </w:rPr>
        <w:t xml:space="preserve"> for admitted acute care provided by 103 </w:t>
      </w:r>
      <w:r w:rsidR="00605F54">
        <w:rPr>
          <w:lang w:val="en-AU"/>
        </w:rPr>
        <w:t xml:space="preserve">in-scope </w:t>
      </w:r>
      <w:r w:rsidRPr="005629F8">
        <w:rPr>
          <w:lang w:val="en-AU"/>
        </w:rPr>
        <w:t>overnight private hospitals and</w:t>
      </w:r>
      <w:r w:rsidRPr="005629F8">
        <w:rPr>
          <w:spacing w:val="-59"/>
          <w:lang w:val="en-AU"/>
        </w:rPr>
        <w:t xml:space="preserve"> </w:t>
      </w:r>
      <w:r w:rsidR="004575B8" w:rsidRPr="005629F8">
        <w:rPr>
          <w:spacing w:val="-59"/>
          <w:lang w:val="en-AU"/>
        </w:rPr>
        <w:t xml:space="preserve"> </w:t>
      </w:r>
      <w:r w:rsidR="004575B8" w:rsidRPr="005629F8">
        <w:rPr>
          <w:lang w:val="en-AU"/>
        </w:rPr>
        <w:t xml:space="preserve"> represents </w:t>
      </w:r>
      <w:r w:rsidRPr="005629F8">
        <w:rPr>
          <w:lang w:val="en-AU"/>
        </w:rPr>
        <w:t>6</w:t>
      </w:r>
      <w:r w:rsidR="00CB5115" w:rsidRPr="005629F8">
        <w:rPr>
          <w:lang w:val="en-AU"/>
        </w:rPr>
        <w:t>5</w:t>
      </w:r>
      <w:r w:rsidRPr="005629F8">
        <w:rPr>
          <w:lang w:val="en-AU"/>
        </w:rPr>
        <w:t>.</w:t>
      </w:r>
      <w:r w:rsidR="00CB5115" w:rsidRPr="005629F8">
        <w:rPr>
          <w:lang w:val="en-AU"/>
        </w:rPr>
        <w:t>3</w:t>
      </w:r>
      <w:r w:rsidRPr="005629F8">
        <w:rPr>
          <w:spacing w:val="-2"/>
          <w:lang w:val="en-AU"/>
        </w:rPr>
        <w:t xml:space="preserve"> </w:t>
      </w:r>
      <w:r w:rsidRPr="005629F8">
        <w:rPr>
          <w:lang w:val="en-AU"/>
        </w:rPr>
        <w:t>per</w:t>
      </w:r>
      <w:r w:rsidRPr="005629F8">
        <w:rPr>
          <w:spacing w:val="-1"/>
          <w:lang w:val="en-AU"/>
        </w:rPr>
        <w:t xml:space="preserve"> </w:t>
      </w:r>
      <w:r w:rsidRPr="005629F8">
        <w:rPr>
          <w:lang w:val="en-AU"/>
        </w:rPr>
        <w:t>cent</w:t>
      </w:r>
      <w:r w:rsidRPr="005629F8">
        <w:rPr>
          <w:spacing w:val="2"/>
          <w:lang w:val="en-AU"/>
        </w:rPr>
        <w:t xml:space="preserve"> </w:t>
      </w:r>
      <w:r w:rsidRPr="005629F8">
        <w:rPr>
          <w:lang w:val="en-AU"/>
        </w:rPr>
        <w:t>of</w:t>
      </w:r>
      <w:r w:rsidRPr="005629F8">
        <w:rPr>
          <w:spacing w:val="-1"/>
          <w:lang w:val="en-AU"/>
        </w:rPr>
        <w:t xml:space="preserve"> </w:t>
      </w:r>
      <w:r w:rsidRPr="005629F8">
        <w:rPr>
          <w:lang w:val="en-AU"/>
        </w:rPr>
        <w:t>private</w:t>
      </w:r>
      <w:r w:rsidRPr="005629F8">
        <w:rPr>
          <w:spacing w:val="1"/>
          <w:lang w:val="en-AU"/>
        </w:rPr>
        <w:t xml:space="preserve"> </w:t>
      </w:r>
      <w:r w:rsidRPr="005629F8">
        <w:rPr>
          <w:lang w:val="en-AU"/>
        </w:rPr>
        <w:t>hospital</w:t>
      </w:r>
      <w:r w:rsidRPr="005629F8">
        <w:rPr>
          <w:spacing w:val="-2"/>
          <w:lang w:val="en-AU"/>
        </w:rPr>
        <w:t xml:space="preserve"> </w:t>
      </w:r>
      <w:r w:rsidRPr="005629F8">
        <w:rPr>
          <w:lang w:val="en-AU"/>
        </w:rPr>
        <w:t>activity.</w:t>
      </w:r>
    </w:p>
    <w:p w14:paraId="254D3CF7" w14:textId="0D738006" w:rsidR="00C5247D" w:rsidRPr="005629F8" w:rsidRDefault="00C5247D" w:rsidP="00B14BDD">
      <w:pPr>
        <w:rPr>
          <w:lang w:val="en-AU"/>
        </w:rPr>
      </w:pPr>
      <w:r w:rsidRPr="005629F8">
        <w:rPr>
          <w:lang w:val="en-AU"/>
        </w:rPr>
        <w:t>The COVID-19 global pandemic impacted Australia from March 2020 onwards, resulting in national lockdowns and restrictions on elective surgeries. This impacted hospital operations (both public and private) and had impacts that are reflected in the activity volumes and cost profiles of the data collection.</w:t>
      </w:r>
    </w:p>
    <w:p w14:paraId="60F85F67" w14:textId="322DC51D" w:rsidR="00B14BDD" w:rsidRPr="00FC4599" w:rsidRDefault="00B14BDD" w:rsidP="00FC4599">
      <w:pPr>
        <w:pStyle w:val="Heading2"/>
      </w:pPr>
      <w:bookmarkStart w:id="10" w:name="_Toc129700430"/>
      <w:bookmarkStart w:id="11" w:name="_Toc129700656"/>
      <w:bookmarkStart w:id="12" w:name="_Toc129701349"/>
      <w:r w:rsidRPr="00FC4599">
        <w:t>Participation</w:t>
      </w:r>
      <w:bookmarkEnd w:id="10"/>
      <w:bookmarkEnd w:id="11"/>
      <w:bookmarkEnd w:id="12"/>
    </w:p>
    <w:p w14:paraId="33B3AC98" w14:textId="26E4EDAF" w:rsidR="00143863" w:rsidRPr="005629F8" w:rsidRDefault="29F711A1" w:rsidP="00143863">
      <w:pPr>
        <w:rPr>
          <w:lang w:val="en-AU"/>
        </w:rPr>
      </w:pPr>
      <w:r w:rsidRPr="005629F8">
        <w:rPr>
          <w:lang w:val="en-AU"/>
        </w:rPr>
        <w:t>Twelve</w:t>
      </w:r>
      <w:r w:rsidR="00EA7E4A" w:rsidRPr="005629F8">
        <w:rPr>
          <w:lang w:val="en-AU"/>
        </w:rPr>
        <w:t xml:space="preserve"> </w:t>
      </w:r>
      <w:r w:rsidR="2416D638" w:rsidRPr="005629F8">
        <w:rPr>
          <w:lang w:val="en-AU"/>
        </w:rPr>
        <w:t xml:space="preserve">hospital groups nationally participated in </w:t>
      </w:r>
      <w:r w:rsidR="00EA7E4A" w:rsidRPr="005629F8">
        <w:rPr>
          <w:lang w:val="en-AU"/>
        </w:rPr>
        <w:t>20</w:t>
      </w:r>
      <w:r w:rsidRPr="005629F8">
        <w:rPr>
          <w:lang w:val="en-AU"/>
        </w:rPr>
        <w:t>20</w:t>
      </w:r>
      <w:r w:rsidR="00EA7E4A" w:rsidRPr="005629F8">
        <w:rPr>
          <w:lang w:val="en-AU"/>
        </w:rPr>
        <w:t xml:space="preserve">-21, </w:t>
      </w:r>
      <w:r w:rsidR="44406675" w:rsidRPr="005629F8">
        <w:rPr>
          <w:lang w:val="en-AU"/>
        </w:rPr>
        <w:t xml:space="preserve">an increase from </w:t>
      </w:r>
      <w:r w:rsidRPr="005629F8">
        <w:rPr>
          <w:lang w:val="en-AU"/>
        </w:rPr>
        <w:t>20</w:t>
      </w:r>
      <w:r w:rsidR="00EA7E4A" w:rsidRPr="005629F8">
        <w:rPr>
          <w:lang w:val="en-AU"/>
        </w:rPr>
        <w:t>19-20</w:t>
      </w:r>
      <w:r w:rsidR="2416D638" w:rsidRPr="005629F8">
        <w:rPr>
          <w:lang w:val="en-AU"/>
        </w:rPr>
        <w:t>.</w:t>
      </w:r>
      <w:r w:rsidR="637FB4A0" w:rsidRPr="005629F8">
        <w:rPr>
          <w:lang w:val="en-AU"/>
        </w:rPr>
        <w:t xml:space="preserve"> The number of participating hospitals was the same across both years.</w:t>
      </w:r>
      <w:r w:rsidR="6AA1FD95" w:rsidRPr="1FFE3681">
        <w:rPr>
          <w:lang w:val="en-AU"/>
        </w:rPr>
        <w:t xml:space="preserve"> </w:t>
      </w:r>
      <w:r w:rsidR="44406675" w:rsidRPr="005629F8">
        <w:rPr>
          <w:lang w:val="en-AU"/>
        </w:rPr>
        <w:t>Analysis of the</w:t>
      </w:r>
      <w:r w:rsidR="44406675" w:rsidRPr="005629F8">
        <w:rPr>
          <w:spacing w:val="1"/>
          <w:lang w:val="en-AU"/>
        </w:rPr>
        <w:t xml:space="preserve"> </w:t>
      </w:r>
      <w:r w:rsidR="44406675" w:rsidRPr="005629F8">
        <w:rPr>
          <w:lang w:val="en-AU"/>
        </w:rPr>
        <w:t xml:space="preserve">data confirmed that the </w:t>
      </w:r>
      <w:r w:rsidR="6AA1FD95" w:rsidRPr="1FFE3681">
        <w:rPr>
          <w:lang w:val="en-AU"/>
        </w:rPr>
        <w:t xml:space="preserve">volume of participating hospitals was sufficient for </w:t>
      </w:r>
      <w:r w:rsidR="00AE2F94">
        <w:rPr>
          <w:lang w:val="en-AU"/>
        </w:rPr>
        <w:t xml:space="preserve">the </w:t>
      </w:r>
      <w:r w:rsidR="1F77F63A" w:rsidRPr="005629F8">
        <w:rPr>
          <w:lang w:val="en-AU"/>
        </w:rPr>
        <w:t>I</w:t>
      </w:r>
      <w:r w:rsidR="00AE2F94">
        <w:rPr>
          <w:lang w:val="en-AU"/>
        </w:rPr>
        <w:t xml:space="preserve">ndependent </w:t>
      </w:r>
      <w:r w:rsidR="1F77F63A" w:rsidRPr="005629F8">
        <w:rPr>
          <w:lang w:val="en-AU"/>
        </w:rPr>
        <w:t>H</w:t>
      </w:r>
      <w:r w:rsidR="00AE2F94">
        <w:rPr>
          <w:lang w:val="en-AU"/>
        </w:rPr>
        <w:t xml:space="preserve">ealth and </w:t>
      </w:r>
      <w:r w:rsidR="1F77F63A" w:rsidRPr="005629F8">
        <w:rPr>
          <w:lang w:val="en-AU"/>
        </w:rPr>
        <w:t>A</w:t>
      </w:r>
      <w:r w:rsidR="00AE2F94">
        <w:rPr>
          <w:lang w:val="en-AU"/>
        </w:rPr>
        <w:t xml:space="preserve">ged </w:t>
      </w:r>
      <w:r w:rsidR="1F77F63A" w:rsidRPr="005629F8">
        <w:rPr>
          <w:lang w:val="en-AU"/>
        </w:rPr>
        <w:t>C</w:t>
      </w:r>
      <w:r w:rsidR="00AE2F94">
        <w:rPr>
          <w:lang w:val="en-AU"/>
        </w:rPr>
        <w:t xml:space="preserve">are </w:t>
      </w:r>
      <w:r w:rsidR="1F77F63A" w:rsidRPr="005629F8">
        <w:rPr>
          <w:lang w:val="en-AU"/>
        </w:rPr>
        <w:t>P</w:t>
      </w:r>
      <w:r w:rsidR="00AE2F94">
        <w:rPr>
          <w:lang w:val="en-AU"/>
        </w:rPr>
        <w:t xml:space="preserve">ricing </w:t>
      </w:r>
      <w:r w:rsidR="1F77F63A" w:rsidRPr="005629F8">
        <w:rPr>
          <w:lang w:val="en-AU"/>
        </w:rPr>
        <w:t>A</w:t>
      </w:r>
      <w:r w:rsidR="00AE2F94">
        <w:rPr>
          <w:lang w:val="en-AU"/>
        </w:rPr>
        <w:t>uthority (IHACPA)</w:t>
      </w:r>
      <w:r w:rsidR="44406675" w:rsidRPr="005629F8">
        <w:rPr>
          <w:spacing w:val="-2"/>
          <w:lang w:val="en-AU"/>
        </w:rPr>
        <w:t xml:space="preserve"> </w:t>
      </w:r>
      <w:r w:rsidR="44406675" w:rsidRPr="005629F8">
        <w:rPr>
          <w:lang w:val="en-AU"/>
        </w:rPr>
        <w:t xml:space="preserve">to </w:t>
      </w:r>
      <w:r w:rsidR="6AA1FD95" w:rsidRPr="1FFE3681">
        <w:rPr>
          <w:lang w:val="en-AU"/>
        </w:rPr>
        <w:t>publish this report</w:t>
      </w:r>
      <w:r w:rsidR="44406675" w:rsidRPr="005629F8">
        <w:rPr>
          <w:lang w:val="en-AU"/>
        </w:rPr>
        <w:t>.</w:t>
      </w:r>
      <w:r w:rsidR="44406675" w:rsidRPr="005629F8">
        <w:rPr>
          <w:spacing w:val="-1"/>
          <w:lang w:val="en-AU"/>
        </w:rPr>
        <w:t xml:space="preserve"> </w:t>
      </w:r>
      <w:r w:rsidR="44406675" w:rsidRPr="005629F8">
        <w:rPr>
          <w:lang w:val="en-AU"/>
        </w:rPr>
        <w:t>Full details</w:t>
      </w:r>
      <w:r w:rsidR="44406675" w:rsidRPr="005629F8">
        <w:rPr>
          <w:spacing w:val="1"/>
          <w:lang w:val="en-AU"/>
        </w:rPr>
        <w:t xml:space="preserve"> </w:t>
      </w:r>
      <w:r w:rsidR="44406675" w:rsidRPr="005629F8">
        <w:rPr>
          <w:lang w:val="en-AU"/>
        </w:rPr>
        <w:t>can be</w:t>
      </w:r>
      <w:r w:rsidR="44406675" w:rsidRPr="005629F8">
        <w:rPr>
          <w:spacing w:val="-3"/>
          <w:lang w:val="en-AU"/>
        </w:rPr>
        <w:t xml:space="preserve"> </w:t>
      </w:r>
      <w:r w:rsidR="44406675" w:rsidRPr="005629F8">
        <w:rPr>
          <w:lang w:val="en-AU"/>
        </w:rPr>
        <w:t>found in</w:t>
      </w:r>
      <w:r w:rsidR="44406675" w:rsidRPr="005629F8">
        <w:rPr>
          <w:spacing w:val="-3"/>
          <w:lang w:val="en-AU"/>
        </w:rPr>
        <w:t xml:space="preserve"> </w:t>
      </w:r>
      <w:r w:rsidR="00143863" w:rsidRPr="0088109E">
        <w:rPr>
          <w:u w:val="single"/>
          <w:lang w:val="en-AU"/>
        </w:rPr>
        <w:fldChar w:fldCharType="begin"/>
      </w:r>
      <w:r w:rsidR="00143863" w:rsidRPr="0088109E">
        <w:rPr>
          <w:u w:val="single"/>
          <w:lang w:val="en-AU"/>
        </w:rPr>
        <w:instrText xml:space="preserve"> REF _Ref103175776 \h  \* MERGEFORMAT </w:instrText>
      </w:r>
      <w:r w:rsidR="00143863" w:rsidRPr="0088109E">
        <w:rPr>
          <w:u w:val="single"/>
          <w:lang w:val="en-AU"/>
        </w:rPr>
      </w:r>
      <w:r w:rsidR="00143863" w:rsidRPr="0088109E">
        <w:rPr>
          <w:u w:val="single"/>
          <w:lang w:val="en-AU"/>
        </w:rPr>
        <w:fldChar w:fldCharType="separate"/>
      </w:r>
      <w:r w:rsidR="0A1013F7" w:rsidRPr="005629F8">
        <w:rPr>
          <w:lang w:val="en-AU"/>
        </w:rPr>
        <w:t xml:space="preserve">Table </w:t>
      </w:r>
      <w:r w:rsidR="0A1013F7" w:rsidRPr="1FFE3681">
        <w:rPr>
          <w:noProof/>
          <w:lang w:val="en-AU"/>
        </w:rPr>
        <w:t>1</w:t>
      </w:r>
      <w:r w:rsidR="00143863" w:rsidRPr="0088109E">
        <w:rPr>
          <w:u w:val="single"/>
          <w:lang w:val="en-AU"/>
        </w:rPr>
        <w:fldChar w:fldCharType="end"/>
      </w:r>
      <w:r w:rsidR="44406675" w:rsidRPr="005629F8">
        <w:rPr>
          <w:lang w:val="en-AU"/>
        </w:rPr>
        <w:t>.</w:t>
      </w:r>
    </w:p>
    <w:p w14:paraId="09CBCC7B" w14:textId="6AE7C513" w:rsidR="00B14BDD" w:rsidRPr="005629F8" w:rsidRDefault="00B14BDD" w:rsidP="00FC4599">
      <w:pPr>
        <w:pStyle w:val="Heading2"/>
      </w:pPr>
      <w:bookmarkStart w:id="13" w:name="_Toc129700431"/>
      <w:bookmarkStart w:id="14" w:name="_Toc129700657"/>
      <w:bookmarkStart w:id="15" w:name="_Toc129701350"/>
      <w:r w:rsidRPr="005629F8">
        <w:t>Key findings</w:t>
      </w:r>
      <w:bookmarkEnd w:id="13"/>
      <w:bookmarkEnd w:id="14"/>
      <w:bookmarkEnd w:id="15"/>
    </w:p>
    <w:p w14:paraId="32A2E6D7" w14:textId="55F99B92" w:rsidR="007B4AC6" w:rsidRDefault="6AA1FD95" w:rsidP="00B14BDD">
      <w:pPr>
        <w:rPr>
          <w:lang w:val="en-AU"/>
        </w:rPr>
      </w:pPr>
      <w:r w:rsidRPr="1FFE3681">
        <w:rPr>
          <w:lang w:val="en-AU"/>
        </w:rPr>
        <w:t xml:space="preserve">The 2020-21 dataset included 2,277,973 separations, an increase of 210,259 (10.2 per cent) compared to 2019-20. This increase in volume was driven by easing in COVID-19 and elective surgery restrictions. </w:t>
      </w:r>
      <w:r w:rsidR="6C0E42C3" w:rsidRPr="1FFE3681">
        <w:rPr>
          <w:lang w:val="en-AU"/>
        </w:rPr>
        <w:t>A notable impact was observed for private hospitals within Victoria, reflecting the longer lockdowns and elective surgery restrictions in the first quarter of 2020-21.</w:t>
      </w:r>
    </w:p>
    <w:p w14:paraId="786F74B1" w14:textId="3C4A87B9" w:rsidR="00CD29D7" w:rsidRDefault="6AA1FD95">
      <w:pPr>
        <w:rPr>
          <w:lang w:val="en-AU"/>
        </w:rPr>
      </w:pPr>
      <w:r w:rsidRPr="1FFE3681">
        <w:rPr>
          <w:lang w:val="en-AU"/>
        </w:rPr>
        <w:t xml:space="preserve">Considering the commercial sensitivities in publishing detailed cost information, the analysis in this report focuses on cost weights which </w:t>
      </w:r>
      <w:r w:rsidR="6C0E42C3" w:rsidRPr="1FFE3681">
        <w:rPr>
          <w:lang w:val="en-AU"/>
        </w:rPr>
        <w:t xml:space="preserve">consider differences in cost relativities across </w:t>
      </w:r>
      <w:proofErr w:type="gramStart"/>
      <w:r w:rsidR="6C0E42C3" w:rsidRPr="1FFE3681">
        <w:rPr>
          <w:lang w:val="en-AU"/>
        </w:rPr>
        <w:t>a number of</w:t>
      </w:r>
      <w:proofErr w:type="gramEnd"/>
      <w:r w:rsidR="6C0E42C3" w:rsidRPr="1FFE3681">
        <w:rPr>
          <w:lang w:val="en-AU"/>
        </w:rPr>
        <w:t xml:space="preserve"> dimensions. This analysis has been done by </w:t>
      </w:r>
      <w:r w:rsidR="4AC950AB" w:rsidRPr="1FFE3681">
        <w:rPr>
          <w:lang w:val="en-AU"/>
        </w:rPr>
        <w:t>M</w:t>
      </w:r>
      <w:r w:rsidR="494FB976" w:rsidRPr="1FFE3681">
        <w:rPr>
          <w:lang w:val="en-AU"/>
        </w:rPr>
        <w:t xml:space="preserve">ajor </w:t>
      </w:r>
      <w:r w:rsidR="4AC950AB" w:rsidRPr="1FFE3681">
        <w:rPr>
          <w:lang w:val="en-AU"/>
        </w:rPr>
        <w:t>D</w:t>
      </w:r>
      <w:r w:rsidR="494FB976" w:rsidRPr="1FFE3681">
        <w:rPr>
          <w:lang w:val="en-AU"/>
        </w:rPr>
        <w:t xml:space="preserve">iagnostic </w:t>
      </w:r>
      <w:r w:rsidR="4AC950AB" w:rsidRPr="1FFE3681">
        <w:rPr>
          <w:lang w:val="en-AU"/>
        </w:rPr>
        <w:t>C</w:t>
      </w:r>
      <w:r w:rsidR="494FB976" w:rsidRPr="1FFE3681">
        <w:rPr>
          <w:lang w:val="en-AU"/>
        </w:rPr>
        <w:t xml:space="preserve">ategory (MDC) and the top 10 </w:t>
      </w:r>
      <w:r w:rsidR="00364C5F">
        <w:rPr>
          <w:lang w:val="en-AU"/>
        </w:rPr>
        <w:br/>
      </w:r>
      <w:r w:rsidR="4AC950AB" w:rsidRPr="1FFE3681">
        <w:rPr>
          <w:lang w:val="en-AU"/>
        </w:rPr>
        <w:t>AR-DRG</w:t>
      </w:r>
      <w:r w:rsidR="682E1BB8" w:rsidRPr="1FFE3681">
        <w:rPr>
          <w:lang w:val="en-AU"/>
        </w:rPr>
        <w:t>s</w:t>
      </w:r>
      <w:r w:rsidR="23A95909" w:rsidRPr="1FFE3681">
        <w:rPr>
          <w:lang w:val="en-AU"/>
        </w:rPr>
        <w:t xml:space="preserve"> </w:t>
      </w:r>
      <w:r w:rsidR="494FB976" w:rsidRPr="1FFE3681">
        <w:rPr>
          <w:lang w:val="en-AU"/>
        </w:rPr>
        <w:t>across a range of metrics</w:t>
      </w:r>
      <w:r w:rsidR="12157D8B" w:rsidRPr="1FFE3681">
        <w:rPr>
          <w:lang w:val="en-AU"/>
        </w:rPr>
        <w:t>.</w:t>
      </w:r>
      <w:r w:rsidRPr="1FFE3681">
        <w:rPr>
          <w:lang w:val="en-AU"/>
        </w:rPr>
        <w:t xml:space="preserve"> MDC is a </w:t>
      </w:r>
      <w:r w:rsidR="47833A2B" w:rsidRPr="1FFE3681">
        <w:rPr>
          <w:lang w:val="en-AU"/>
        </w:rPr>
        <w:t>less granular category than AR-DRG and enables analyses by medical specialties.</w:t>
      </w:r>
    </w:p>
    <w:p w14:paraId="5F20E9DD" w14:textId="7464EA52" w:rsidR="00EA2CD9" w:rsidRPr="00E15731" w:rsidRDefault="00EA2CD9" w:rsidP="00EA2CD9">
      <w:pPr>
        <w:rPr>
          <w:lang w:val="en-AU"/>
        </w:rPr>
      </w:pPr>
      <w:r>
        <w:rPr>
          <w:lang w:val="en-AU"/>
        </w:rPr>
        <w:t>At the MDC level:</w:t>
      </w:r>
    </w:p>
    <w:p w14:paraId="608D8620" w14:textId="64EC2D6E" w:rsidR="00EA2CD9" w:rsidRPr="00EA2CD9" w:rsidRDefault="00082AD1" w:rsidP="00EA2CD9">
      <w:pPr>
        <w:pStyle w:val="ListLevel1"/>
        <w:rPr>
          <w:lang w:val="en-AU"/>
        </w:rPr>
      </w:pPr>
      <w:r>
        <w:rPr>
          <w:lang w:val="en-AU"/>
        </w:rPr>
        <w:t xml:space="preserve">The </w:t>
      </w:r>
      <w:r w:rsidR="00EA2CD9">
        <w:rPr>
          <w:lang w:val="en-AU"/>
        </w:rPr>
        <w:t xml:space="preserve">Digestive and Orthopaedic MDCs were responsible for </w:t>
      </w:r>
      <w:r>
        <w:rPr>
          <w:lang w:val="en-AU"/>
        </w:rPr>
        <w:t xml:space="preserve">most </w:t>
      </w:r>
      <w:r w:rsidR="00EA2CD9">
        <w:rPr>
          <w:lang w:val="en-AU"/>
        </w:rPr>
        <w:t>of the private sector separations (31.1 per cent).</w:t>
      </w:r>
      <w:r w:rsidR="00EA2CD9" w:rsidRPr="00EA2CD9">
        <w:t xml:space="preserve"> </w:t>
      </w:r>
      <w:r w:rsidR="003755F6">
        <w:t xml:space="preserve">In 2020-21, both separations and total cost </w:t>
      </w:r>
      <w:r w:rsidR="00195933">
        <w:t>for these MDCs increased</w:t>
      </w:r>
      <w:r w:rsidR="003755F6">
        <w:t xml:space="preserve">, </w:t>
      </w:r>
      <w:r w:rsidR="00195933">
        <w:t xml:space="preserve">driven by the </w:t>
      </w:r>
      <w:r w:rsidR="003755F6">
        <w:t>easing of</w:t>
      </w:r>
      <w:r w:rsidR="00EA2CD9">
        <w:t xml:space="preserve"> COVID-19 restrictions </w:t>
      </w:r>
      <w:r w:rsidR="003755F6">
        <w:t>on elective surger</w:t>
      </w:r>
      <w:r>
        <w:t>ies</w:t>
      </w:r>
      <w:r w:rsidR="00EA2CD9">
        <w:rPr>
          <w:lang w:val="en-AU"/>
        </w:rPr>
        <w:t>.</w:t>
      </w:r>
    </w:p>
    <w:p w14:paraId="4617CDEB" w14:textId="762546E0" w:rsidR="00EA2CD9" w:rsidRDefault="00EA2CD9" w:rsidP="005629F8">
      <w:pPr>
        <w:pStyle w:val="ListLevel1"/>
        <w:rPr>
          <w:lang w:val="en-AU"/>
        </w:rPr>
      </w:pPr>
      <w:r>
        <w:rPr>
          <w:lang w:val="en-AU"/>
        </w:rPr>
        <w:t>Within the Respiratory MDC, separat</w:t>
      </w:r>
      <w:r w:rsidR="003755F6">
        <w:rPr>
          <w:lang w:val="en-AU"/>
        </w:rPr>
        <w:t xml:space="preserve">ions decreased in 2019-20 and have remained at this level in 2020-21. </w:t>
      </w:r>
      <w:r w:rsidR="00972F11" w:rsidRPr="00972F11">
        <w:rPr>
          <w:lang w:val="en-AU"/>
        </w:rPr>
        <w:t>This trend indicates there is less respiratory support being accessed through private hospitals with the decrease consistent across most AR-DRGs within this MDC</w:t>
      </w:r>
      <w:r w:rsidR="00972F11">
        <w:rPr>
          <w:lang w:val="en-AU"/>
        </w:rPr>
        <w:t>.</w:t>
      </w:r>
    </w:p>
    <w:p w14:paraId="5A25A1D0" w14:textId="00DDDB75" w:rsidR="00972F11" w:rsidRDefault="0199AFE5" w:rsidP="005629F8">
      <w:pPr>
        <w:pStyle w:val="ListLevel1"/>
        <w:rPr>
          <w:lang w:val="en-AU"/>
        </w:rPr>
      </w:pPr>
      <w:r w:rsidRPr="1FFE3681">
        <w:rPr>
          <w:lang w:val="en-AU"/>
        </w:rPr>
        <w:t xml:space="preserve">The Mental Health MDC also saw a decrease in separations in 2019-20 and 2020-21, </w:t>
      </w:r>
      <w:r w:rsidR="682E1BB8" w:rsidRPr="1FFE3681">
        <w:rPr>
          <w:lang w:val="en-AU"/>
        </w:rPr>
        <w:t xml:space="preserve">while average </w:t>
      </w:r>
      <w:r w:rsidR="23A95909" w:rsidRPr="1FFE3681">
        <w:rPr>
          <w:lang w:val="en-AU"/>
        </w:rPr>
        <w:t>cost</w:t>
      </w:r>
      <w:r w:rsidR="682E1BB8" w:rsidRPr="1FFE3681">
        <w:rPr>
          <w:lang w:val="en-AU"/>
        </w:rPr>
        <w:t>s increased over the two years</w:t>
      </w:r>
      <w:r w:rsidRPr="1FFE3681">
        <w:rPr>
          <w:lang w:val="en-AU"/>
        </w:rPr>
        <w:t>.</w:t>
      </w:r>
    </w:p>
    <w:p w14:paraId="0D547513" w14:textId="4CF00056" w:rsidR="00972F11" w:rsidRPr="006C73A4" w:rsidRDefault="682E1BB8" w:rsidP="005629F8">
      <w:pPr>
        <w:keepNext/>
        <w:rPr>
          <w:lang w:val="en-AU"/>
        </w:rPr>
      </w:pPr>
      <w:r w:rsidRPr="1FFE3681">
        <w:rPr>
          <w:lang w:val="en-AU"/>
        </w:rPr>
        <w:lastRenderedPageBreak/>
        <w:t>Analyses a</w:t>
      </w:r>
      <w:r w:rsidR="23A95909" w:rsidRPr="1FFE3681">
        <w:rPr>
          <w:lang w:val="en-AU"/>
        </w:rPr>
        <w:t>cross the top 10 AR-DRG</w:t>
      </w:r>
      <w:r w:rsidRPr="1FFE3681">
        <w:rPr>
          <w:lang w:val="en-AU"/>
        </w:rPr>
        <w:t>s</w:t>
      </w:r>
      <w:r w:rsidR="23A95909" w:rsidRPr="1FFE3681">
        <w:rPr>
          <w:lang w:val="en-AU"/>
        </w:rPr>
        <w:t>:</w:t>
      </w:r>
    </w:p>
    <w:p w14:paraId="1A9B067A" w14:textId="52EE3055" w:rsidR="00CD7F3A" w:rsidRPr="006C73A4" w:rsidRDefault="00CD7F3A" w:rsidP="006C3F01">
      <w:pPr>
        <w:pStyle w:val="ListLevel1"/>
        <w:rPr>
          <w:lang w:val="en-AU"/>
        </w:rPr>
      </w:pPr>
      <w:r w:rsidRPr="005629F8">
        <w:rPr>
          <w:lang w:val="en-AU"/>
        </w:rPr>
        <w:t>AR-DRGs with the highest cost weights are typically high</w:t>
      </w:r>
      <w:r w:rsidR="001D1D5A" w:rsidRPr="005629F8">
        <w:rPr>
          <w:lang w:val="en-AU"/>
        </w:rPr>
        <w:t xml:space="preserve"> in</w:t>
      </w:r>
      <w:r w:rsidRPr="005629F8">
        <w:rPr>
          <w:lang w:val="en-AU"/>
        </w:rPr>
        <w:t xml:space="preserve"> cost and low in volume, with all top 10 listed AR-DRGs relating to some form of ventilation. The AR-DRG with the highest cost weight remained the same</w:t>
      </w:r>
      <w:r w:rsidR="001D1D5A" w:rsidRPr="005629F8">
        <w:rPr>
          <w:lang w:val="en-AU"/>
        </w:rPr>
        <w:t xml:space="preserve"> as the prior year</w:t>
      </w:r>
      <w:r w:rsidRPr="005629F8">
        <w:rPr>
          <w:lang w:val="en-AU"/>
        </w:rPr>
        <w:t xml:space="preserve"> </w:t>
      </w:r>
      <w:r w:rsidRPr="006C73A4">
        <w:rPr>
          <w:lang w:val="en-AU"/>
        </w:rPr>
        <w:t>(A13A: Ventilation &gt;=336hours, Major Complexity).</w:t>
      </w:r>
    </w:p>
    <w:p w14:paraId="735C1B65" w14:textId="17772176" w:rsidR="00972F11" w:rsidRPr="005629F8" w:rsidRDefault="00EF1759" w:rsidP="00972F11">
      <w:pPr>
        <w:pStyle w:val="ListLevel1"/>
        <w:rPr>
          <w:lang w:val="en-AU"/>
        </w:rPr>
      </w:pPr>
      <w:r w:rsidRPr="005629F8">
        <w:rPr>
          <w:lang w:val="en-AU"/>
        </w:rPr>
        <w:t>AR-DRGs with the highest population-adjusted separations are generally high</w:t>
      </w:r>
      <w:r w:rsidR="005E3347">
        <w:rPr>
          <w:lang w:val="en-AU"/>
        </w:rPr>
        <w:t>-</w:t>
      </w:r>
      <w:r w:rsidRPr="005629F8">
        <w:rPr>
          <w:lang w:val="en-AU"/>
        </w:rPr>
        <w:t xml:space="preserve">volume, </w:t>
      </w:r>
      <w:proofErr w:type="spellStart"/>
      <w:r w:rsidRPr="005629F8">
        <w:rPr>
          <w:lang w:val="en-AU"/>
        </w:rPr>
        <w:t>sameday</w:t>
      </w:r>
      <w:proofErr w:type="spellEnd"/>
      <w:r w:rsidRPr="005629F8">
        <w:rPr>
          <w:lang w:val="en-AU"/>
        </w:rPr>
        <w:t xml:space="preserve"> separations. </w:t>
      </w:r>
      <w:r w:rsidR="001D1D5A" w:rsidRPr="005629F8">
        <w:rPr>
          <w:lang w:val="en-AU"/>
        </w:rPr>
        <w:t>E</w:t>
      </w:r>
      <w:r w:rsidR="000024F5" w:rsidRPr="006C73A4">
        <w:rPr>
          <w:lang w:val="en-AU"/>
        </w:rPr>
        <w:t xml:space="preserve">ach of the </w:t>
      </w:r>
      <w:r w:rsidR="001D1D5A" w:rsidRPr="005629F8">
        <w:rPr>
          <w:lang w:val="en-AU"/>
        </w:rPr>
        <w:t xml:space="preserve">top 10 </w:t>
      </w:r>
      <w:r w:rsidR="000024F5" w:rsidRPr="006C73A4">
        <w:rPr>
          <w:lang w:val="en-AU"/>
        </w:rPr>
        <w:t>AR</w:t>
      </w:r>
      <w:r w:rsidR="00082AD1" w:rsidRPr="006C73A4">
        <w:rPr>
          <w:lang w:val="en-AU"/>
        </w:rPr>
        <w:noBreakHyphen/>
      </w:r>
      <w:r w:rsidR="000024F5" w:rsidRPr="006C73A4">
        <w:rPr>
          <w:lang w:val="en-AU"/>
        </w:rPr>
        <w:t xml:space="preserve">DRGs </w:t>
      </w:r>
      <w:r w:rsidR="001D1D5A" w:rsidRPr="005629F8">
        <w:rPr>
          <w:lang w:val="en-AU"/>
        </w:rPr>
        <w:t xml:space="preserve">have </w:t>
      </w:r>
      <w:r w:rsidR="000024F5" w:rsidRPr="006C73A4">
        <w:rPr>
          <w:lang w:val="en-AU"/>
        </w:rPr>
        <w:t xml:space="preserve">grown in volume since the </w:t>
      </w:r>
      <w:r w:rsidR="001D1D5A" w:rsidRPr="005629F8">
        <w:rPr>
          <w:lang w:val="en-AU"/>
        </w:rPr>
        <w:t>prior</w:t>
      </w:r>
      <w:r w:rsidR="000024F5" w:rsidRPr="006C73A4">
        <w:rPr>
          <w:lang w:val="en-AU"/>
        </w:rPr>
        <w:t xml:space="preserve"> year.</w:t>
      </w:r>
      <w:r w:rsidRPr="005629F8">
        <w:rPr>
          <w:lang w:val="en-AU"/>
        </w:rPr>
        <w:t xml:space="preserve"> The AR-DRG with the most population-adjusted separations remained the same (R63Z: Chemotherapy).</w:t>
      </w:r>
    </w:p>
    <w:p w14:paraId="30EC0AF0" w14:textId="389ECACD" w:rsidR="001D1D5A" w:rsidRPr="006C73A4" w:rsidRDefault="00EF1759">
      <w:pPr>
        <w:pStyle w:val="ListLevel1"/>
        <w:rPr>
          <w:lang w:val="en-AU"/>
        </w:rPr>
      </w:pPr>
      <w:r w:rsidRPr="005629F8">
        <w:rPr>
          <w:lang w:val="en-AU"/>
        </w:rPr>
        <w:t>AR</w:t>
      </w:r>
      <w:r w:rsidR="001D1D5A" w:rsidRPr="005629F8">
        <w:rPr>
          <w:lang w:val="en-AU"/>
        </w:rPr>
        <w:t>-</w:t>
      </w:r>
      <w:r w:rsidRPr="005629F8">
        <w:rPr>
          <w:lang w:val="en-AU"/>
        </w:rPr>
        <w:t xml:space="preserve">DRGs with the highest cost weighted separations tend to be common procedures in the private sector. </w:t>
      </w:r>
      <w:r w:rsidR="001D1D5A" w:rsidRPr="005629F8">
        <w:rPr>
          <w:lang w:val="en-AU"/>
        </w:rPr>
        <w:t>E</w:t>
      </w:r>
      <w:r w:rsidR="2389417C" w:rsidRPr="1FFE3681">
        <w:rPr>
          <w:lang w:val="en-AU"/>
        </w:rPr>
        <w:t xml:space="preserve">ach of the </w:t>
      </w:r>
      <w:r w:rsidR="47559F00" w:rsidRPr="005629F8">
        <w:rPr>
          <w:lang w:val="en-AU"/>
        </w:rPr>
        <w:t xml:space="preserve">top 10 </w:t>
      </w:r>
      <w:r w:rsidR="2389417C" w:rsidRPr="1FFE3681">
        <w:rPr>
          <w:lang w:val="en-AU"/>
        </w:rPr>
        <w:t xml:space="preserve">AR-DRGs </w:t>
      </w:r>
      <w:r w:rsidR="47559F00" w:rsidRPr="005629F8">
        <w:rPr>
          <w:lang w:val="en-AU"/>
        </w:rPr>
        <w:t xml:space="preserve">grew </w:t>
      </w:r>
      <w:r w:rsidR="2389417C" w:rsidRPr="1FFE3681">
        <w:rPr>
          <w:lang w:val="en-AU"/>
        </w:rPr>
        <w:t xml:space="preserve">in cost weighted volume since the </w:t>
      </w:r>
      <w:r w:rsidR="47559F00" w:rsidRPr="005629F8">
        <w:rPr>
          <w:lang w:val="en-AU"/>
        </w:rPr>
        <w:t>prior</w:t>
      </w:r>
      <w:r w:rsidR="2389417C" w:rsidRPr="1FFE3681">
        <w:rPr>
          <w:lang w:val="en-AU"/>
        </w:rPr>
        <w:t xml:space="preserve"> year. The top </w:t>
      </w:r>
      <w:r w:rsidR="682E1BB8" w:rsidRPr="1FFE3681">
        <w:rPr>
          <w:lang w:val="en-AU"/>
        </w:rPr>
        <w:t>two</w:t>
      </w:r>
      <w:r w:rsidR="2389417C" w:rsidRPr="1FFE3681">
        <w:rPr>
          <w:lang w:val="en-AU"/>
        </w:rPr>
        <w:t xml:space="preserve"> AR-DRGs (</w:t>
      </w:r>
      <w:r w:rsidR="2D3756A8" w:rsidRPr="005629F8">
        <w:rPr>
          <w:lang w:val="en-AU"/>
        </w:rPr>
        <w:t xml:space="preserve">I04B: </w:t>
      </w:r>
      <w:r w:rsidR="2D3756A8" w:rsidRPr="1FFE3681">
        <w:rPr>
          <w:lang w:val="en-AU"/>
        </w:rPr>
        <w:t>Knee Replacement, Minor Complexity</w:t>
      </w:r>
      <w:r w:rsidR="2389417C" w:rsidRPr="1FFE3681">
        <w:rPr>
          <w:lang w:val="en-AU"/>
        </w:rPr>
        <w:t xml:space="preserve"> and </w:t>
      </w:r>
      <w:r w:rsidR="00226422">
        <w:rPr>
          <w:lang w:val="en-AU"/>
        </w:rPr>
        <w:br/>
      </w:r>
      <w:r w:rsidR="2D3756A8" w:rsidRPr="1FFE3681">
        <w:rPr>
          <w:lang w:val="en-AU"/>
        </w:rPr>
        <w:t xml:space="preserve">I33B: </w:t>
      </w:r>
      <w:r w:rsidR="2389417C" w:rsidRPr="1FFE3681">
        <w:rPr>
          <w:lang w:val="en-AU"/>
        </w:rPr>
        <w:t xml:space="preserve">Hip </w:t>
      </w:r>
      <w:r w:rsidR="2D3756A8" w:rsidRPr="005629F8">
        <w:rPr>
          <w:lang w:val="en-AU"/>
        </w:rPr>
        <w:t>R</w:t>
      </w:r>
      <w:r w:rsidR="2389417C" w:rsidRPr="1FFE3681">
        <w:rPr>
          <w:lang w:val="en-AU"/>
        </w:rPr>
        <w:t xml:space="preserve">eplacement, Minor Complexity) both saw substantial increases in </w:t>
      </w:r>
      <w:r w:rsidR="2D3756A8" w:rsidRPr="005629F8">
        <w:rPr>
          <w:lang w:val="en-AU"/>
        </w:rPr>
        <w:t xml:space="preserve">the number of </w:t>
      </w:r>
      <w:r w:rsidR="2389417C" w:rsidRPr="1FFE3681">
        <w:rPr>
          <w:lang w:val="en-AU"/>
        </w:rPr>
        <w:t>cost weighted separations (23.7 and 17.3 per cent</w:t>
      </w:r>
      <w:r w:rsidR="2D3756A8" w:rsidRPr="005629F8">
        <w:rPr>
          <w:lang w:val="en-AU"/>
        </w:rPr>
        <w:t xml:space="preserve"> respectively</w:t>
      </w:r>
      <w:r w:rsidR="2389417C" w:rsidRPr="1FFE3681">
        <w:rPr>
          <w:lang w:val="en-AU"/>
        </w:rPr>
        <w:t>).</w:t>
      </w:r>
    </w:p>
    <w:p w14:paraId="4093D028" w14:textId="2B745E0A" w:rsidR="000024F5" w:rsidRPr="006C73A4" w:rsidRDefault="006C73A4" w:rsidP="005629F8">
      <w:pPr>
        <w:pStyle w:val="ListLevel1"/>
        <w:numPr>
          <w:ilvl w:val="0"/>
          <w:numId w:val="0"/>
        </w:numPr>
        <w:rPr>
          <w:lang w:val="en-AU"/>
        </w:rPr>
      </w:pPr>
      <w:r w:rsidRPr="005629F8">
        <w:rPr>
          <w:lang w:val="en-AU"/>
        </w:rPr>
        <w:t>Overall, t</w:t>
      </w:r>
      <w:r w:rsidR="001D1D5A" w:rsidRPr="006C73A4">
        <w:rPr>
          <w:lang w:val="en-AU"/>
        </w:rPr>
        <w:t xml:space="preserve">he </w:t>
      </w:r>
      <w:r w:rsidRPr="005629F8">
        <w:rPr>
          <w:lang w:val="en-AU"/>
        </w:rPr>
        <w:t xml:space="preserve">analysis of </w:t>
      </w:r>
      <w:r w:rsidR="001D1D5A" w:rsidRPr="006C73A4">
        <w:rPr>
          <w:lang w:val="en-AU"/>
        </w:rPr>
        <w:t>top 10 AR-DRG</w:t>
      </w:r>
      <w:r w:rsidRPr="005629F8">
        <w:rPr>
          <w:lang w:val="en-AU"/>
        </w:rPr>
        <w:t>s</w:t>
      </w:r>
      <w:r w:rsidR="001D1D5A" w:rsidRPr="006C73A4">
        <w:rPr>
          <w:lang w:val="en-AU"/>
        </w:rPr>
        <w:t xml:space="preserve"> showed a high level of consistency with the prior year, with most AR</w:t>
      </w:r>
      <w:r w:rsidR="001D1D5A" w:rsidRPr="005629F8">
        <w:rPr>
          <w:lang w:val="en-AU"/>
        </w:rPr>
        <w:noBreakHyphen/>
      </w:r>
      <w:r w:rsidR="001D1D5A" w:rsidRPr="006C73A4">
        <w:rPr>
          <w:lang w:val="en-AU"/>
        </w:rPr>
        <w:t>DRGs in the top 10 not changing.</w:t>
      </w:r>
    </w:p>
    <w:p w14:paraId="30F7281C" w14:textId="2A486506" w:rsidR="000024F5" w:rsidRPr="00E15731" w:rsidRDefault="00195933" w:rsidP="000024F5">
      <w:pPr>
        <w:rPr>
          <w:lang w:val="en-AU"/>
        </w:rPr>
      </w:pPr>
      <w:r>
        <w:rPr>
          <w:lang w:val="en-AU"/>
        </w:rPr>
        <w:t>Analysis was also undertaken at a</w:t>
      </w:r>
      <w:r w:rsidR="000024F5">
        <w:rPr>
          <w:lang w:val="en-AU"/>
        </w:rPr>
        <w:t xml:space="preserve"> cost bucket level:</w:t>
      </w:r>
    </w:p>
    <w:p w14:paraId="14CA8C12" w14:textId="5714167C" w:rsidR="000024F5" w:rsidRDefault="000024F5" w:rsidP="000024F5">
      <w:pPr>
        <w:pStyle w:val="ListLevel1"/>
        <w:rPr>
          <w:lang w:val="en-AU"/>
        </w:rPr>
      </w:pPr>
      <w:r>
        <w:rPr>
          <w:lang w:val="en-AU"/>
        </w:rPr>
        <w:t xml:space="preserve">Both </w:t>
      </w:r>
      <w:r w:rsidR="00D338A9">
        <w:rPr>
          <w:lang w:val="en-AU"/>
        </w:rPr>
        <w:t>o</w:t>
      </w:r>
      <w:r>
        <w:rPr>
          <w:lang w:val="en-AU"/>
        </w:rPr>
        <w:t xml:space="preserve">perating </w:t>
      </w:r>
      <w:r w:rsidR="00D338A9">
        <w:rPr>
          <w:lang w:val="en-AU"/>
        </w:rPr>
        <w:t>r</w:t>
      </w:r>
      <w:r>
        <w:rPr>
          <w:lang w:val="en-AU"/>
        </w:rPr>
        <w:t xml:space="preserve">oom and </w:t>
      </w:r>
      <w:r w:rsidR="00D338A9">
        <w:rPr>
          <w:lang w:val="en-AU"/>
        </w:rPr>
        <w:t>s</w:t>
      </w:r>
      <w:r>
        <w:rPr>
          <w:lang w:val="en-AU"/>
        </w:rPr>
        <w:t xml:space="preserve">pecialist </w:t>
      </w:r>
      <w:r w:rsidR="00D338A9">
        <w:rPr>
          <w:lang w:val="en-AU"/>
        </w:rPr>
        <w:t>p</w:t>
      </w:r>
      <w:r>
        <w:rPr>
          <w:lang w:val="en-AU"/>
        </w:rPr>
        <w:t xml:space="preserve">rocedure </w:t>
      </w:r>
      <w:r w:rsidR="00D338A9">
        <w:rPr>
          <w:lang w:val="en-AU"/>
        </w:rPr>
        <w:t>s</w:t>
      </w:r>
      <w:r>
        <w:rPr>
          <w:lang w:val="en-AU"/>
        </w:rPr>
        <w:t xml:space="preserve">uites (combined cost bucket) and </w:t>
      </w:r>
      <w:r w:rsidR="00226422">
        <w:rPr>
          <w:lang w:val="en-AU"/>
        </w:rPr>
        <w:t>p</w:t>
      </w:r>
      <w:r>
        <w:rPr>
          <w:lang w:val="en-AU"/>
        </w:rPr>
        <w:t xml:space="preserve">rostheses have been increasing </w:t>
      </w:r>
      <w:r w:rsidR="00082AD1">
        <w:rPr>
          <w:lang w:val="en-AU"/>
        </w:rPr>
        <w:t xml:space="preserve">in </w:t>
      </w:r>
      <w:r>
        <w:rPr>
          <w:lang w:val="en-AU"/>
        </w:rPr>
        <w:t>their proportion of total cost</w:t>
      </w:r>
      <w:r w:rsidR="00195933">
        <w:rPr>
          <w:lang w:val="en-AU"/>
        </w:rPr>
        <w:t>. Together, these cost buckets made up</w:t>
      </w:r>
      <w:r w:rsidR="00B85EF5">
        <w:rPr>
          <w:lang w:val="en-AU"/>
        </w:rPr>
        <w:t xml:space="preserve"> 47.5 per cent of total cost in 2020-21 compared to 44.9 per cent in 2019-20 and 46.1 per cent in 2018-19</w:t>
      </w:r>
      <w:r>
        <w:rPr>
          <w:lang w:val="en-AU"/>
        </w:rPr>
        <w:t>.</w:t>
      </w:r>
    </w:p>
    <w:p w14:paraId="17DB680C" w14:textId="02256CF1" w:rsidR="00B85EF5" w:rsidRDefault="682E1BB8">
      <w:pPr>
        <w:pStyle w:val="ListLevel1"/>
        <w:rPr>
          <w:lang w:val="en-AU"/>
        </w:rPr>
      </w:pPr>
      <w:r w:rsidRPr="1FFE3681">
        <w:rPr>
          <w:lang w:val="en-AU"/>
        </w:rPr>
        <w:t>T</w:t>
      </w:r>
      <w:r w:rsidR="0C7221AD" w:rsidRPr="1FFE3681">
        <w:rPr>
          <w:lang w:val="en-AU"/>
        </w:rPr>
        <w:t xml:space="preserve">he </w:t>
      </w:r>
      <w:r w:rsidR="00D338A9">
        <w:rPr>
          <w:lang w:val="en-AU"/>
        </w:rPr>
        <w:t>c</w:t>
      </w:r>
      <w:r w:rsidR="0C7221AD" w:rsidRPr="1FFE3681">
        <w:rPr>
          <w:lang w:val="en-AU"/>
        </w:rPr>
        <w:t xml:space="preserve">ritical </w:t>
      </w:r>
      <w:r w:rsidR="00D338A9">
        <w:rPr>
          <w:lang w:val="en-AU"/>
        </w:rPr>
        <w:t>c</w:t>
      </w:r>
      <w:r w:rsidR="0C7221AD" w:rsidRPr="1FFE3681">
        <w:rPr>
          <w:lang w:val="en-AU"/>
        </w:rPr>
        <w:t>are cost</w:t>
      </w:r>
      <w:r w:rsidR="6D42711E" w:rsidRPr="1FFE3681">
        <w:rPr>
          <w:lang w:val="en-AU"/>
        </w:rPr>
        <w:t xml:space="preserve"> bucket made up 5.6 per cent of total cost</w:t>
      </w:r>
      <w:r w:rsidRPr="1FFE3681">
        <w:rPr>
          <w:lang w:val="en-AU"/>
        </w:rPr>
        <w:t xml:space="preserve"> in 2020</w:t>
      </w:r>
      <w:r w:rsidR="00E37CEF">
        <w:rPr>
          <w:lang w:val="en-AU"/>
        </w:rPr>
        <w:t>-</w:t>
      </w:r>
      <w:r w:rsidRPr="1FFE3681">
        <w:rPr>
          <w:lang w:val="en-AU"/>
        </w:rPr>
        <w:t>21</w:t>
      </w:r>
      <w:r w:rsidR="18506CDE" w:rsidRPr="1FFE3681">
        <w:rPr>
          <w:lang w:val="en-AU"/>
        </w:rPr>
        <w:t>, remaining similar in proportion to total cost compared to previous years</w:t>
      </w:r>
      <w:r w:rsidR="6D42711E" w:rsidRPr="1FFE3681">
        <w:rPr>
          <w:lang w:val="en-AU"/>
        </w:rPr>
        <w:t xml:space="preserve">. </w:t>
      </w:r>
      <w:r w:rsidRPr="1FFE3681">
        <w:rPr>
          <w:lang w:val="en-AU"/>
        </w:rPr>
        <w:t xml:space="preserve">Critical </w:t>
      </w:r>
      <w:r w:rsidR="00D338A9">
        <w:rPr>
          <w:lang w:val="en-AU"/>
        </w:rPr>
        <w:t>c</w:t>
      </w:r>
      <w:r w:rsidRPr="1FFE3681">
        <w:rPr>
          <w:lang w:val="en-AU"/>
        </w:rPr>
        <w:t>are</w:t>
      </w:r>
      <w:r w:rsidR="6D42711E" w:rsidRPr="1FFE3681">
        <w:rPr>
          <w:lang w:val="en-AU"/>
        </w:rPr>
        <w:t xml:space="preserve"> is highly</w:t>
      </w:r>
      <w:r w:rsidR="0C7221AD" w:rsidRPr="1FFE3681">
        <w:rPr>
          <w:lang w:val="en-AU"/>
        </w:rPr>
        <w:t xml:space="preserve"> concentrated within certain AR-DRGs, </w:t>
      </w:r>
      <w:r w:rsidR="007B447E">
        <w:rPr>
          <w:lang w:val="en-AU"/>
        </w:rPr>
        <w:t>leading</w:t>
      </w:r>
      <w:r w:rsidR="0C7221AD" w:rsidRPr="1FFE3681">
        <w:rPr>
          <w:lang w:val="en-AU"/>
        </w:rPr>
        <w:t xml:space="preserve"> to volatility in the proportion of total cost. Of the top 10</w:t>
      </w:r>
      <w:r w:rsidR="6BC1F8A4" w:rsidRPr="1FFE3681">
        <w:rPr>
          <w:lang w:val="en-AU"/>
        </w:rPr>
        <w:t xml:space="preserve"> AR</w:t>
      </w:r>
      <w:r w:rsidR="00696D29">
        <w:rPr>
          <w:lang w:val="en-AU"/>
        </w:rPr>
        <w:noBreakHyphen/>
      </w:r>
      <w:r w:rsidR="0C7221AD" w:rsidRPr="1FFE3681">
        <w:rPr>
          <w:lang w:val="en-AU"/>
        </w:rPr>
        <w:t xml:space="preserve">DRGs with the highest </w:t>
      </w:r>
      <w:r w:rsidR="00D338A9">
        <w:rPr>
          <w:lang w:val="en-AU"/>
        </w:rPr>
        <w:t>c</w:t>
      </w:r>
      <w:r w:rsidR="0C7221AD" w:rsidRPr="1FFE3681">
        <w:rPr>
          <w:lang w:val="en-AU"/>
        </w:rPr>
        <w:t xml:space="preserve">ritical </w:t>
      </w:r>
      <w:r w:rsidR="00D338A9">
        <w:rPr>
          <w:lang w:val="en-AU"/>
        </w:rPr>
        <w:t>c</w:t>
      </w:r>
      <w:r w:rsidR="0C7221AD" w:rsidRPr="1FFE3681">
        <w:rPr>
          <w:lang w:val="en-AU"/>
        </w:rPr>
        <w:t xml:space="preserve">are cost, over </w:t>
      </w:r>
      <w:r w:rsidRPr="1FFE3681">
        <w:rPr>
          <w:lang w:val="en-AU"/>
        </w:rPr>
        <w:t xml:space="preserve">half </w:t>
      </w:r>
      <w:r w:rsidR="0C7221AD" w:rsidRPr="1FFE3681">
        <w:rPr>
          <w:lang w:val="en-AU"/>
        </w:rPr>
        <w:t xml:space="preserve">of the total cost was in </w:t>
      </w:r>
      <w:r w:rsidR="00D338A9">
        <w:rPr>
          <w:lang w:val="en-AU"/>
        </w:rPr>
        <w:t>c</w:t>
      </w:r>
      <w:r w:rsidR="0C7221AD" w:rsidRPr="1FFE3681">
        <w:rPr>
          <w:lang w:val="en-AU"/>
        </w:rPr>
        <w:t xml:space="preserve">ritical </w:t>
      </w:r>
      <w:r w:rsidR="00D338A9">
        <w:rPr>
          <w:lang w:val="en-AU"/>
        </w:rPr>
        <w:t>c</w:t>
      </w:r>
      <w:r w:rsidR="0C7221AD" w:rsidRPr="1FFE3681">
        <w:rPr>
          <w:lang w:val="en-AU"/>
        </w:rPr>
        <w:t>are.</w:t>
      </w:r>
    </w:p>
    <w:p w14:paraId="12E32415" w14:textId="2ECB4319" w:rsidR="00B14BDD" w:rsidRPr="005629F8" w:rsidRDefault="00CC36FF" w:rsidP="00FC4599">
      <w:pPr>
        <w:pStyle w:val="Heading2"/>
      </w:pPr>
      <w:bookmarkStart w:id="16" w:name="_Toc129700432"/>
      <w:bookmarkStart w:id="17" w:name="_Toc129700658"/>
      <w:bookmarkStart w:id="18" w:name="_Toc129701351"/>
      <w:r w:rsidRPr="005629F8">
        <w:t>Methodology</w:t>
      </w:r>
      <w:bookmarkEnd w:id="16"/>
      <w:bookmarkEnd w:id="17"/>
      <w:bookmarkEnd w:id="18"/>
    </w:p>
    <w:p w14:paraId="2FB6A58B" w14:textId="58638002" w:rsidR="00143863" w:rsidRPr="005629F8" w:rsidRDefault="44406675" w:rsidP="00143863">
      <w:pPr>
        <w:rPr>
          <w:lang w:val="en-AU"/>
        </w:rPr>
      </w:pPr>
      <w:r w:rsidRPr="005629F8">
        <w:rPr>
          <w:lang w:val="en-AU"/>
        </w:rPr>
        <w:t xml:space="preserve">In </w:t>
      </w:r>
      <w:r w:rsidR="585350DC" w:rsidRPr="005629F8">
        <w:rPr>
          <w:lang w:val="en-AU"/>
        </w:rPr>
        <w:t xml:space="preserve">the </w:t>
      </w:r>
      <w:r w:rsidR="5A011D9D" w:rsidRPr="005629F8">
        <w:rPr>
          <w:lang w:val="en-AU"/>
        </w:rPr>
        <w:t>20</w:t>
      </w:r>
      <w:r w:rsidR="585350DC" w:rsidRPr="005629F8">
        <w:rPr>
          <w:lang w:val="en-AU"/>
        </w:rPr>
        <w:t>20</w:t>
      </w:r>
      <w:r w:rsidR="5A011D9D" w:rsidRPr="005629F8">
        <w:rPr>
          <w:lang w:val="en-AU"/>
        </w:rPr>
        <w:t>-21</w:t>
      </w:r>
      <w:r w:rsidR="71A65878" w:rsidRPr="1FFE3681">
        <w:rPr>
          <w:lang w:val="en-AU"/>
        </w:rPr>
        <w:t xml:space="preserve"> NHCDC</w:t>
      </w:r>
      <w:r w:rsidR="5A011D9D" w:rsidRPr="005629F8">
        <w:rPr>
          <w:lang w:val="en-AU"/>
        </w:rPr>
        <w:t xml:space="preserve">, </w:t>
      </w:r>
      <w:r w:rsidRPr="005629F8">
        <w:rPr>
          <w:lang w:val="en-AU"/>
        </w:rPr>
        <w:t xml:space="preserve">private hospitals were invited to submit costed data </w:t>
      </w:r>
      <w:r w:rsidR="585350DC" w:rsidRPr="005629F8">
        <w:rPr>
          <w:lang w:val="en-AU"/>
        </w:rPr>
        <w:t xml:space="preserve">of </w:t>
      </w:r>
      <w:r w:rsidRPr="005629F8">
        <w:rPr>
          <w:lang w:val="en-AU"/>
        </w:rPr>
        <w:t>in</w:t>
      </w:r>
      <w:r w:rsidR="28CFD11C" w:rsidRPr="005629F8">
        <w:rPr>
          <w:lang w:val="en-AU"/>
        </w:rPr>
        <w:t>-</w:t>
      </w:r>
      <w:proofErr w:type="gramStart"/>
      <w:r w:rsidRPr="005629F8">
        <w:rPr>
          <w:lang w:val="en-AU"/>
        </w:rPr>
        <w:t>scope</w:t>
      </w:r>
      <w:r w:rsidR="585350DC" w:rsidRPr="005629F8">
        <w:rPr>
          <w:lang w:val="en-AU"/>
        </w:rPr>
        <w:t xml:space="preserve"> </w:t>
      </w:r>
      <w:r w:rsidRPr="005629F8">
        <w:rPr>
          <w:spacing w:val="-59"/>
          <w:lang w:val="en-AU"/>
        </w:rPr>
        <w:t xml:space="preserve"> </w:t>
      </w:r>
      <w:r w:rsidRPr="005629F8">
        <w:rPr>
          <w:lang w:val="en-AU"/>
        </w:rPr>
        <w:t>activity</w:t>
      </w:r>
      <w:proofErr w:type="gramEnd"/>
      <w:r w:rsidRPr="005629F8">
        <w:rPr>
          <w:lang w:val="en-AU"/>
        </w:rPr>
        <w:t>.</w:t>
      </w:r>
      <w:r w:rsidRPr="005629F8">
        <w:rPr>
          <w:spacing w:val="2"/>
          <w:lang w:val="en-AU"/>
        </w:rPr>
        <w:t xml:space="preserve"> </w:t>
      </w:r>
      <w:r w:rsidRPr="005629F8">
        <w:rPr>
          <w:lang w:val="en-AU"/>
        </w:rPr>
        <w:t xml:space="preserve">This included </w:t>
      </w:r>
      <w:r w:rsidR="71A65878" w:rsidRPr="1FFE3681">
        <w:rPr>
          <w:lang w:val="en-AU"/>
        </w:rPr>
        <w:t xml:space="preserve">activity in the </w:t>
      </w:r>
      <w:r w:rsidRPr="005629F8">
        <w:rPr>
          <w:lang w:val="en-AU"/>
        </w:rPr>
        <w:t>admitted</w:t>
      </w:r>
      <w:r w:rsidRPr="005629F8">
        <w:rPr>
          <w:spacing w:val="-3"/>
          <w:lang w:val="en-AU"/>
        </w:rPr>
        <w:t xml:space="preserve"> </w:t>
      </w:r>
      <w:r w:rsidRPr="005629F8">
        <w:rPr>
          <w:lang w:val="en-AU"/>
        </w:rPr>
        <w:t>acute,</w:t>
      </w:r>
      <w:r w:rsidRPr="005629F8">
        <w:rPr>
          <w:spacing w:val="-2"/>
          <w:lang w:val="en-AU"/>
        </w:rPr>
        <w:t xml:space="preserve"> </w:t>
      </w:r>
      <w:proofErr w:type="gramStart"/>
      <w:r w:rsidRPr="005629F8">
        <w:rPr>
          <w:lang w:val="en-AU"/>
        </w:rPr>
        <w:t>subacute</w:t>
      </w:r>
      <w:proofErr w:type="gramEnd"/>
      <w:r w:rsidRPr="005629F8">
        <w:rPr>
          <w:lang w:val="en-AU"/>
        </w:rPr>
        <w:t xml:space="preserve"> and</w:t>
      </w:r>
      <w:r w:rsidRPr="005629F8">
        <w:rPr>
          <w:spacing w:val="-1"/>
          <w:lang w:val="en-AU"/>
        </w:rPr>
        <w:t xml:space="preserve"> </w:t>
      </w:r>
      <w:r w:rsidRPr="005629F8">
        <w:rPr>
          <w:lang w:val="en-AU"/>
        </w:rPr>
        <w:t>mental</w:t>
      </w:r>
      <w:r w:rsidRPr="005629F8">
        <w:rPr>
          <w:spacing w:val="-2"/>
          <w:lang w:val="en-AU"/>
        </w:rPr>
        <w:t xml:space="preserve"> </w:t>
      </w:r>
      <w:r w:rsidRPr="005629F8">
        <w:rPr>
          <w:lang w:val="en-AU"/>
        </w:rPr>
        <w:t>health</w:t>
      </w:r>
      <w:r w:rsidRPr="005629F8">
        <w:rPr>
          <w:spacing w:val="-2"/>
          <w:lang w:val="en-AU"/>
        </w:rPr>
        <w:t xml:space="preserve"> </w:t>
      </w:r>
      <w:r w:rsidRPr="005629F8">
        <w:rPr>
          <w:lang w:val="en-AU"/>
        </w:rPr>
        <w:t>streams.</w:t>
      </w:r>
      <w:r w:rsidR="18506CDE" w:rsidRPr="1FFE3681">
        <w:rPr>
          <w:lang w:val="en-AU"/>
        </w:rPr>
        <w:t xml:space="preserve"> This report combines data from the admitted acute and mental health streams due to insufficient participation</w:t>
      </w:r>
      <w:r w:rsidR="60157E26" w:rsidRPr="1FFE3681">
        <w:rPr>
          <w:lang w:val="en-AU"/>
        </w:rPr>
        <w:t xml:space="preserve"> and hence volume of data</w:t>
      </w:r>
      <w:r w:rsidR="18506CDE" w:rsidRPr="1FFE3681">
        <w:rPr>
          <w:lang w:val="en-AU"/>
        </w:rPr>
        <w:t xml:space="preserve"> to enable separate reporting.</w:t>
      </w:r>
    </w:p>
    <w:p w14:paraId="0CF9820B" w14:textId="0659AB05" w:rsidR="00143863" w:rsidRPr="005629F8" w:rsidRDefault="00143863" w:rsidP="00143863">
      <w:pPr>
        <w:rPr>
          <w:lang w:val="en-AU"/>
        </w:rPr>
      </w:pPr>
      <w:r w:rsidRPr="005629F8">
        <w:rPr>
          <w:lang w:val="en-AU"/>
        </w:rPr>
        <w:t xml:space="preserve">Submitted data was validated by </w:t>
      </w:r>
      <w:r w:rsidR="00BE3E10" w:rsidRPr="005629F8">
        <w:rPr>
          <w:lang w:val="en-AU"/>
        </w:rPr>
        <w:t>IHACPA</w:t>
      </w:r>
      <w:r w:rsidRPr="005629F8">
        <w:rPr>
          <w:lang w:val="en-AU"/>
        </w:rPr>
        <w:t xml:space="preserve"> in accordance with the data request specifications</w:t>
      </w:r>
      <w:r w:rsidRPr="005629F8">
        <w:rPr>
          <w:spacing w:val="1"/>
          <w:lang w:val="en-AU"/>
        </w:rPr>
        <w:t xml:space="preserve"> </w:t>
      </w:r>
      <w:r w:rsidRPr="005629F8">
        <w:rPr>
          <w:lang w:val="en-AU"/>
        </w:rPr>
        <w:t xml:space="preserve">(DRS) that </w:t>
      </w:r>
      <w:r w:rsidR="00BE3E10" w:rsidRPr="005629F8">
        <w:rPr>
          <w:lang w:val="en-AU"/>
        </w:rPr>
        <w:t>IHACPA</w:t>
      </w:r>
      <w:r w:rsidRPr="005629F8">
        <w:rPr>
          <w:lang w:val="en-AU"/>
        </w:rPr>
        <w:t xml:space="preserve"> prepared and distributed to participants. </w:t>
      </w:r>
      <w:r w:rsidR="00BE3E10" w:rsidRPr="005629F8">
        <w:rPr>
          <w:lang w:val="en-AU"/>
        </w:rPr>
        <w:t>IHACPA</w:t>
      </w:r>
      <w:r w:rsidRPr="005629F8">
        <w:rPr>
          <w:lang w:val="en-AU"/>
        </w:rPr>
        <w:t xml:space="preserve"> performed quality </w:t>
      </w:r>
      <w:r w:rsidR="00664FDC">
        <w:rPr>
          <w:lang w:val="en-AU"/>
        </w:rPr>
        <w:t xml:space="preserve">assurance </w:t>
      </w:r>
      <w:r w:rsidRPr="005629F8">
        <w:rPr>
          <w:lang w:val="en-AU"/>
        </w:rPr>
        <w:t>(QA)</w:t>
      </w:r>
      <w:r w:rsidRPr="005629F8">
        <w:rPr>
          <w:spacing w:val="-2"/>
          <w:lang w:val="en-AU"/>
        </w:rPr>
        <w:t xml:space="preserve"> </w:t>
      </w:r>
      <w:r w:rsidRPr="005629F8">
        <w:rPr>
          <w:lang w:val="en-AU"/>
        </w:rPr>
        <w:t>checks</w:t>
      </w:r>
      <w:r w:rsidRPr="005629F8">
        <w:rPr>
          <w:spacing w:val="-2"/>
          <w:lang w:val="en-AU"/>
        </w:rPr>
        <w:t xml:space="preserve"> </w:t>
      </w:r>
      <w:r w:rsidRPr="005629F8">
        <w:rPr>
          <w:lang w:val="en-AU"/>
        </w:rPr>
        <w:t>to ensure</w:t>
      </w:r>
      <w:r w:rsidRPr="005629F8">
        <w:rPr>
          <w:spacing w:val="-2"/>
          <w:lang w:val="en-AU"/>
        </w:rPr>
        <w:t xml:space="preserve"> </w:t>
      </w:r>
      <w:r w:rsidRPr="005629F8">
        <w:rPr>
          <w:lang w:val="en-AU"/>
        </w:rPr>
        <w:t>accuracy</w:t>
      </w:r>
      <w:r w:rsidRPr="005629F8">
        <w:rPr>
          <w:spacing w:val="-3"/>
          <w:lang w:val="en-AU"/>
        </w:rPr>
        <w:t xml:space="preserve"> </w:t>
      </w:r>
      <w:r w:rsidRPr="005629F8">
        <w:rPr>
          <w:lang w:val="en-AU"/>
        </w:rPr>
        <w:t>and suitability</w:t>
      </w:r>
      <w:r w:rsidRPr="005629F8">
        <w:rPr>
          <w:spacing w:val="-2"/>
          <w:lang w:val="en-AU"/>
        </w:rPr>
        <w:t xml:space="preserve"> </w:t>
      </w:r>
      <w:r w:rsidRPr="005629F8">
        <w:rPr>
          <w:lang w:val="en-AU"/>
        </w:rPr>
        <w:t>of</w:t>
      </w:r>
      <w:r w:rsidRPr="005629F8">
        <w:rPr>
          <w:spacing w:val="1"/>
          <w:lang w:val="en-AU"/>
        </w:rPr>
        <w:t xml:space="preserve"> </w:t>
      </w:r>
      <w:r w:rsidRPr="005629F8">
        <w:rPr>
          <w:lang w:val="en-AU"/>
        </w:rPr>
        <w:t>the</w:t>
      </w:r>
      <w:r w:rsidRPr="005629F8">
        <w:rPr>
          <w:spacing w:val="-2"/>
          <w:lang w:val="en-AU"/>
        </w:rPr>
        <w:t xml:space="preserve"> </w:t>
      </w:r>
      <w:r w:rsidRPr="005629F8">
        <w:rPr>
          <w:lang w:val="en-AU"/>
        </w:rPr>
        <w:t>data</w:t>
      </w:r>
      <w:r w:rsidRPr="005629F8">
        <w:rPr>
          <w:spacing w:val="-3"/>
          <w:lang w:val="en-AU"/>
        </w:rPr>
        <w:t xml:space="preserve"> </w:t>
      </w:r>
      <w:r w:rsidRPr="005629F8">
        <w:rPr>
          <w:lang w:val="en-AU"/>
        </w:rPr>
        <w:t>submission.</w:t>
      </w:r>
    </w:p>
    <w:p w14:paraId="5AFE8A7B" w14:textId="28BF6137" w:rsidR="00143863" w:rsidRPr="005629F8" w:rsidRDefault="44406675" w:rsidP="00143863">
      <w:pPr>
        <w:rPr>
          <w:lang w:val="en-AU"/>
        </w:rPr>
      </w:pPr>
      <w:r w:rsidRPr="005629F8">
        <w:rPr>
          <w:lang w:val="en-AU"/>
        </w:rPr>
        <w:t xml:space="preserve">The validated data was then used to produce the </w:t>
      </w:r>
      <w:r w:rsidRPr="005629F8">
        <w:rPr>
          <w:i/>
          <w:iCs/>
          <w:lang w:val="en-AU"/>
        </w:rPr>
        <w:t xml:space="preserve">NHCDC </w:t>
      </w:r>
      <w:r w:rsidR="71A65878" w:rsidRPr="005629F8">
        <w:rPr>
          <w:i/>
          <w:iCs/>
          <w:lang w:val="en-AU"/>
        </w:rPr>
        <w:t>Private Hospital Report</w:t>
      </w:r>
      <w:r w:rsidR="00241F7D">
        <w:rPr>
          <w:i/>
          <w:iCs/>
          <w:lang w:val="en-AU"/>
        </w:rPr>
        <w:t xml:space="preserve"> </w:t>
      </w:r>
      <w:r w:rsidR="00241F7D" w:rsidRPr="005629F8">
        <w:rPr>
          <w:i/>
          <w:iCs/>
          <w:lang w:val="en-AU"/>
        </w:rPr>
        <w:t>2020-21</w:t>
      </w:r>
      <w:r w:rsidRPr="005629F8">
        <w:rPr>
          <w:lang w:val="en-AU"/>
        </w:rPr>
        <w:t>, and individualised reports including cost weight tables for each</w:t>
      </w:r>
      <w:r w:rsidRPr="005629F8">
        <w:rPr>
          <w:spacing w:val="1"/>
          <w:lang w:val="en-AU"/>
        </w:rPr>
        <w:t xml:space="preserve"> </w:t>
      </w:r>
      <w:r w:rsidRPr="005629F8">
        <w:rPr>
          <w:lang w:val="en-AU"/>
        </w:rPr>
        <w:t>participating</w:t>
      </w:r>
      <w:r w:rsidRPr="005629F8">
        <w:rPr>
          <w:spacing w:val="1"/>
          <w:lang w:val="en-AU"/>
        </w:rPr>
        <w:t xml:space="preserve"> </w:t>
      </w:r>
      <w:r w:rsidRPr="005629F8">
        <w:rPr>
          <w:lang w:val="en-AU"/>
        </w:rPr>
        <w:t>hospital</w:t>
      </w:r>
      <w:r w:rsidRPr="005629F8">
        <w:rPr>
          <w:spacing w:val="-3"/>
          <w:lang w:val="en-AU"/>
        </w:rPr>
        <w:t xml:space="preserve"> </w:t>
      </w:r>
      <w:r w:rsidRPr="005629F8">
        <w:rPr>
          <w:lang w:val="en-AU"/>
        </w:rPr>
        <w:t>group. The</w:t>
      </w:r>
      <w:r w:rsidR="28CFD11C" w:rsidRPr="005629F8">
        <w:rPr>
          <w:lang w:val="en-AU"/>
        </w:rPr>
        <w:t>re were no adjustments made for the impact of COVID-19 in the nati</w:t>
      </w:r>
      <w:r w:rsidR="34F46CF5" w:rsidRPr="005629F8">
        <w:rPr>
          <w:lang w:val="en-AU"/>
        </w:rPr>
        <w:t>onal costed dataset or private sector reports</w:t>
      </w:r>
      <w:r w:rsidRPr="005629F8">
        <w:rPr>
          <w:lang w:val="en-AU"/>
        </w:rPr>
        <w:t>.</w:t>
      </w:r>
    </w:p>
    <w:p w14:paraId="28B98E3B" w14:textId="4F6FEC21" w:rsidR="00914756" w:rsidRPr="005629F8" w:rsidRDefault="27B5044E" w:rsidP="005629F8">
      <w:pPr>
        <w:pStyle w:val="NoSpacing"/>
        <w:spacing w:line="276" w:lineRule="auto"/>
        <w:rPr>
          <w:rFonts w:cs="Arial"/>
        </w:rPr>
      </w:pPr>
      <w:r w:rsidRPr="005629F8">
        <w:rPr>
          <w:rFonts w:cs="Arial"/>
        </w:rPr>
        <w:t xml:space="preserve">The COVID-19 pandemic continued to impact Australia in 2020-21, resulting in jurisdictional lockdowns and varying levels of restrictions on elective surgeries. This impacted hospital operations (both public and private) and had financial impacts that are reflected in the activity volumes and cost </w:t>
      </w:r>
      <w:r w:rsidRPr="005629F8">
        <w:rPr>
          <w:rFonts w:cs="Arial"/>
        </w:rPr>
        <w:lastRenderedPageBreak/>
        <w:t>profiles of the data collection. IHACPA released a set of guidance</w:t>
      </w:r>
      <w:r w:rsidR="00241F7D">
        <w:rPr>
          <w:rFonts w:cs="Arial"/>
        </w:rPr>
        <w:t xml:space="preserve"> documents</w:t>
      </w:r>
      <w:r w:rsidRPr="005629F8">
        <w:rPr>
          <w:rFonts w:cs="Arial"/>
        </w:rPr>
        <w:t xml:space="preserve"> for costing and pricing for COVID</w:t>
      </w:r>
      <w:r w:rsidR="000C38AE">
        <w:rPr>
          <w:rFonts w:cs="Arial"/>
          <w:szCs w:val="21"/>
        </w:rPr>
        <w:noBreakHyphen/>
      </w:r>
      <w:r w:rsidRPr="005629F8">
        <w:rPr>
          <w:rFonts w:cs="Arial"/>
        </w:rPr>
        <w:t>19</w:t>
      </w:r>
      <w:r w:rsidR="00364C5F">
        <w:rPr>
          <w:rFonts w:cs="Arial"/>
        </w:rPr>
        <w:t xml:space="preserve"> and </w:t>
      </w:r>
      <w:r w:rsidRPr="005629F8">
        <w:rPr>
          <w:rFonts w:cs="Arial"/>
        </w:rPr>
        <w:t>recognises that</w:t>
      </w:r>
      <w:r w:rsidRPr="005629F8">
        <w:rPr>
          <w:rFonts w:cs="Arial"/>
          <w:b/>
          <w:bCs/>
        </w:rPr>
        <w:t xml:space="preserve"> </w:t>
      </w:r>
      <w:r w:rsidRPr="005629F8">
        <w:rPr>
          <w:rFonts w:cs="Arial"/>
        </w:rPr>
        <w:t>there may be variations in the approach to costing for 2020-21. The results in this cost report should be reviewed with this context in mind.</w:t>
      </w:r>
    </w:p>
    <w:p w14:paraId="19356244" w14:textId="41086303" w:rsidR="00CC36FF" w:rsidRPr="005629F8" w:rsidRDefault="00CC36FF" w:rsidP="00FC4599">
      <w:pPr>
        <w:pStyle w:val="Heading2"/>
      </w:pPr>
      <w:bookmarkStart w:id="19" w:name="_Toc129700433"/>
      <w:bookmarkStart w:id="20" w:name="_Toc129700659"/>
      <w:bookmarkStart w:id="21" w:name="_Toc129701352"/>
      <w:r w:rsidRPr="005629F8">
        <w:t>Considerations</w:t>
      </w:r>
      <w:bookmarkEnd w:id="19"/>
      <w:bookmarkEnd w:id="20"/>
      <w:bookmarkEnd w:id="21"/>
    </w:p>
    <w:p w14:paraId="3F2B5587" w14:textId="77777777" w:rsidR="00CC36FF" w:rsidRPr="005629F8" w:rsidRDefault="00CC36FF" w:rsidP="00143863">
      <w:pPr>
        <w:rPr>
          <w:lang w:val="en-AU"/>
        </w:rPr>
      </w:pPr>
      <w:r w:rsidRPr="005629F8">
        <w:rPr>
          <w:lang w:val="en-AU"/>
        </w:rPr>
        <w:t>The following factors can have a material impact on the reported costs and cost weights, and should be considered when interpreting the information in this report:</w:t>
      </w:r>
    </w:p>
    <w:p w14:paraId="7C7CE3AC" w14:textId="4421FC15" w:rsidR="00CC36FF" w:rsidRPr="005629F8" w:rsidRDefault="160D3FA6" w:rsidP="003A538E">
      <w:pPr>
        <w:pStyle w:val="ListLevel1"/>
        <w:rPr>
          <w:lang w:val="en-AU"/>
        </w:rPr>
      </w:pPr>
      <w:r w:rsidRPr="005629F8">
        <w:rPr>
          <w:lang w:val="en-AU"/>
        </w:rPr>
        <w:t xml:space="preserve">application of the Australian Hospital Patient Costing Standards (AHPCS) </w:t>
      </w:r>
      <w:r w:rsidR="00087B99">
        <w:rPr>
          <w:lang w:val="en-AU"/>
        </w:rPr>
        <w:t>V</w:t>
      </w:r>
      <w:r w:rsidR="71A65878" w:rsidRPr="1FFE3681">
        <w:rPr>
          <w:lang w:val="en-AU"/>
        </w:rPr>
        <w:t xml:space="preserve">ersion </w:t>
      </w:r>
      <w:r w:rsidRPr="005629F8">
        <w:rPr>
          <w:lang w:val="en-AU"/>
        </w:rPr>
        <w:t>4.</w:t>
      </w:r>
      <w:r w:rsidR="31B295BE" w:rsidRPr="005629F8">
        <w:rPr>
          <w:lang w:val="en-AU"/>
        </w:rPr>
        <w:t>1</w:t>
      </w:r>
    </w:p>
    <w:p w14:paraId="5E373033" w14:textId="70238E46" w:rsidR="00CC36FF" w:rsidRPr="005629F8" w:rsidRDefault="00CC36FF" w:rsidP="003A538E">
      <w:pPr>
        <w:pStyle w:val="ListLevel1"/>
        <w:rPr>
          <w:lang w:val="en-AU"/>
        </w:rPr>
      </w:pPr>
      <w:r w:rsidRPr="005629F8">
        <w:rPr>
          <w:lang w:val="en-AU"/>
        </w:rPr>
        <w:t>mapping of general ledger to the appropriate and consistent cost buckets</w:t>
      </w:r>
    </w:p>
    <w:p w14:paraId="0640F1F7" w14:textId="47B46F6D" w:rsidR="00CC36FF" w:rsidRPr="005629F8" w:rsidRDefault="00CC36FF" w:rsidP="003A538E">
      <w:pPr>
        <w:pStyle w:val="ListLevel1"/>
        <w:rPr>
          <w:lang w:val="en-AU"/>
        </w:rPr>
      </w:pPr>
      <w:r w:rsidRPr="005629F8">
        <w:rPr>
          <w:lang w:val="en-AU"/>
        </w:rPr>
        <w:t>allocation of cost centres to care areas</w:t>
      </w:r>
    </w:p>
    <w:p w14:paraId="048F579E" w14:textId="3A68A566" w:rsidR="00CC36FF" w:rsidRPr="005629F8" w:rsidRDefault="0081173C" w:rsidP="003A538E">
      <w:pPr>
        <w:pStyle w:val="ListLevel1"/>
        <w:rPr>
          <w:lang w:val="en-AU"/>
        </w:rPr>
      </w:pPr>
      <w:r>
        <w:rPr>
          <w:lang w:val="en-AU"/>
        </w:rPr>
        <w:t>whether costs are allocated</w:t>
      </w:r>
      <w:r w:rsidR="00143863" w:rsidRPr="005629F8">
        <w:rPr>
          <w:lang w:val="en-AU"/>
        </w:rPr>
        <w:t xml:space="preserve"> using patient level data or service weights</w:t>
      </w:r>
    </w:p>
    <w:p w14:paraId="0A20F56F" w14:textId="77777777" w:rsidR="00CC36FF" w:rsidRPr="005629F8" w:rsidRDefault="00CC36FF" w:rsidP="003A538E">
      <w:pPr>
        <w:pStyle w:val="ListLevel1"/>
        <w:rPr>
          <w:lang w:val="en-AU"/>
        </w:rPr>
      </w:pPr>
      <w:r w:rsidRPr="005629F8">
        <w:rPr>
          <w:lang w:val="en-AU"/>
        </w:rPr>
        <w:t>the impact of COVID-19 on private hospital activity and cost profile.</w:t>
      </w:r>
    </w:p>
    <w:p w14:paraId="1D233578" w14:textId="63D22214" w:rsidR="00CC36FF" w:rsidRPr="005629F8" w:rsidRDefault="18506CDE" w:rsidP="00CC36FF">
      <w:pPr>
        <w:rPr>
          <w:highlight w:val="yellow"/>
          <w:lang w:val="en-AU"/>
        </w:rPr>
      </w:pPr>
      <w:r w:rsidRPr="1FFE3681">
        <w:rPr>
          <w:lang w:val="en-AU"/>
        </w:rPr>
        <w:t>Further i</w:t>
      </w:r>
      <w:r w:rsidR="1B6FEFD6" w:rsidRPr="1FFE3681">
        <w:rPr>
          <w:lang w:val="en-AU"/>
        </w:rPr>
        <w:t>nvestigations into the 2020-21 NHCDC submission identified variations in cost profile</w:t>
      </w:r>
      <w:r w:rsidR="3FB6F49C" w:rsidRPr="1FFE3681">
        <w:rPr>
          <w:lang w:val="en-AU"/>
        </w:rPr>
        <w:t>s</w:t>
      </w:r>
      <w:r w:rsidR="1B6FEFD6" w:rsidRPr="1FFE3681">
        <w:rPr>
          <w:lang w:val="en-AU"/>
        </w:rPr>
        <w:t>, specifically the pharmacy cost</w:t>
      </w:r>
      <w:r w:rsidR="3FB6F49C" w:rsidRPr="1FFE3681">
        <w:rPr>
          <w:lang w:val="en-AU"/>
        </w:rPr>
        <w:t>s</w:t>
      </w:r>
      <w:r w:rsidR="1B6FEFD6" w:rsidRPr="1FFE3681">
        <w:rPr>
          <w:lang w:val="en-AU"/>
        </w:rPr>
        <w:t xml:space="preserve">, driven by whether a hospital’s pharmacy function is outsourced to an external vendor. Readers of this report should consider this when interpreting the results of this report, </w:t>
      </w:r>
      <w:r w:rsidR="71A65878" w:rsidRPr="1FFE3681">
        <w:rPr>
          <w:lang w:val="en-AU"/>
        </w:rPr>
        <w:t>particularly</w:t>
      </w:r>
      <w:r w:rsidR="1B6FEFD6" w:rsidRPr="1FFE3681">
        <w:rPr>
          <w:lang w:val="en-AU"/>
        </w:rPr>
        <w:t xml:space="preserve"> for AR-DRGs </w:t>
      </w:r>
      <w:r w:rsidR="0012555A">
        <w:rPr>
          <w:lang w:val="en-AU"/>
        </w:rPr>
        <w:t>that</w:t>
      </w:r>
      <w:r w:rsidR="1B6FEFD6" w:rsidRPr="1FFE3681">
        <w:rPr>
          <w:lang w:val="en-AU"/>
        </w:rPr>
        <w:t xml:space="preserve"> have a high proportion of Pharmaceutical Benefits </w:t>
      </w:r>
      <w:r w:rsidR="00241F7D">
        <w:rPr>
          <w:lang w:val="en-AU"/>
        </w:rPr>
        <w:t xml:space="preserve">Scheme </w:t>
      </w:r>
      <w:r w:rsidR="1B6FEFD6" w:rsidRPr="1FFE3681">
        <w:rPr>
          <w:lang w:val="en-AU"/>
        </w:rPr>
        <w:t xml:space="preserve">(PBS) costs. </w:t>
      </w:r>
    </w:p>
    <w:p w14:paraId="5E29DC86" w14:textId="77777777" w:rsidR="00BC0828" w:rsidRPr="005629F8" w:rsidRDefault="00BC0828">
      <w:pPr>
        <w:spacing w:line="259" w:lineRule="auto"/>
        <w:rPr>
          <w:rFonts w:ascii="Fira Sans Bold" w:eastAsiaTheme="majorEastAsia" w:hAnsi="Fira Sans Bold" w:cstheme="majorBidi"/>
          <w:color w:val="008F55" w:themeColor="accent4"/>
          <w:sz w:val="26"/>
          <w:szCs w:val="24"/>
          <w:highlight w:val="yellow"/>
          <w:lang w:val="en-AU"/>
        </w:rPr>
      </w:pPr>
      <w:r w:rsidRPr="005629F8">
        <w:rPr>
          <w:highlight w:val="yellow"/>
          <w:lang w:val="en-AU"/>
        </w:rPr>
        <w:br w:type="page"/>
      </w:r>
    </w:p>
    <w:p w14:paraId="553EC045" w14:textId="14106D30" w:rsidR="00BC0828" w:rsidRPr="005629F8" w:rsidRDefault="00BC0828" w:rsidP="00FC4599">
      <w:pPr>
        <w:pStyle w:val="Heading1"/>
      </w:pPr>
      <w:bookmarkStart w:id="22" w:name="_Toc129701353"/>
      <w:r w:rsidRPr="005629F8">
        <w:lastRenderedPageBreak/>
        <w:t>Introduction</w:t>
      </w:r>
      <w:bookmarkEnd w:id="22"/>
    </w:p>
    <w:p w14:paraId="39FF81BA" w14:textId="7EB6DC35" w:rsidR="00BC0828" w:rsidRPr="005629F8" w:rsidRDefault="00BC0828" w:rsidP="00FC4599">
      <w:pPr>
        <w:pStyle w:val="Heading2"/>
      </w:pPr>
      <w:bookmarkStart w:id="23" w:name="_Toc129700435"/>
      <w:bookmarkStart w:id="24" w:name="_Toc129700661"/>
      <w:bookmarkStart w:id="25" w:name="_Toc129701354"/>
      <w:r w:rsidRPr="005629F8">
        <w:t>Purpose of this report</w:t>
      </w:r>
      <w:bookmarkEnd w:id="23"/>
      <w:bookmarkEnd w:id="24"/>
      <w:bookmarkEnd w:id="25"/>
    </w:p>
    <w:p w14:paraId="785876B9" w14:textId="3170E8EF" w:rsidR="00143863" w:rsidRPr="005629F8" w:rsidRDefault="00143863" w:rsidP="00143863">
      <w:pPr>
        <w:rPr>
          <w:lang w:val="en-AU"/>
        </w:rPr>
      </w:pPr>
      <w:r w:rsidRPr="005629F8">
        <w:rPr>
          <w:lang w:val="en-AU"/>
        </w:rPr>
        <w:t xml:space="preserve">The purpose of this report is to provide an overview of hospital cost and activity information voluntarily reported to the </w:t>
      </w:r>
      <w:r w:rsidR="00C50DB1" w:rsidRPr="005629F8">
        <w:rPr>
          <w:lang w:val="en-AU"/>
        </w:rPr>
        <w:t>2020</w:t>
      </w:r>
      <w:r w:rsidR="00DB476A" w:rsidRPr="005629F8">
        <w:rPr>
          <w:lang w:val="en-AU"/>
        </w:rPr>
        <w:t>-21</w:t>
      </w:r>
      <w:r w:rsidRPr="005629F8">
        <w:rPr>
          <w:lang w:val="en-AU"/>
        </w:rPr>
        <w:t xml:space="preserve"> private</w:t>
      </w:r>
      <w:r w:rsidRPr="005629F8">
        <w:rPr>
          <w:spacing w:val="1"/>
          <w:lang w:val="en-AU"/>
        </w:rPr>
        <w:t xml:space="preserve"> </w:t>
      </w:r>
      <w:r w:rsidRPr="005629F8">
        <w:rPr>
          <w:lang w:val="en-AU"/>
        </w:rPr>
        <w:t>sector NHCDC.</w:t>
      </w:r>
    </w:p>
    <w:p w14:paraId="74CF972F" w14:textId="1D29782F" w:rsidR="00143863" w:rsidRPr="005629F8" w:rsidRDefault="00143863" w:rsidP="00143863">
      <w:pPr>
        <w:rPr>
          <w:lang w:val="en-AU"/>
        </w:rPr>
      </w:pPr>
      <w:r w:rsidRPr="005629F8">
        <w:rPr>
          <w:lang w:val="en-AU"/>
        </w:rPr>
        <w:t xml:space="preserve">The information is grouped by </w:t>
      </w:r>
      <w:r w:rsidR="44406675" w:rsidRPr="005629F8">
        <w:rPr>
          <w:lang w:val="en-AU"/>
        </w:rPr>
        <w:t>AR-DRG</w:t>
      </w:r>
      <w:r w:rsidR="06E318D9" w:rsidRPr="35ADAD77">
        <w:rPr>
          <w:lang w:val="en-AU"/>
        </w:rPr>
        <w:t>s,</w:t>
      </w:r>
      <w:r w:rsidRPr="005629F8">
        <w:rPr>
          <w:lang w:val="en-AU"/>
        </w:rPr>
        <w:t xml:space="preserve"> a classification system that provides a clinically meaningful way to relate the number and type of patients treated in a hospital to the resources required by the hospital</w:t>
      </w:r>
      <w:r w:rsidR="001551ED" w:rsidRPr="0088109E">
        <w:rPr>
          <w:rStyle w:val="FootnoteReference"/>
          <w:lang w:val="en-AU"/>
        </w:rPr>
        <w:footnoteReference w:id="2"/>
      </w:r>
      <w:r w:rsidRPr="005629F8">
        <w:rPr>
          <w:lang w:val="en-AU"/>
        </w:rPr>
        <w:t>. The AR-DRG is derived from a range of data collected on admitted</w:t>
      </w:r>
      <w:r w:rsidRPr="005629F8">
        <w:rPr>
          <w:spacing w:val="1"/>
          <w:lang w:val="en-AU"/>
        </w:rPr>
        <w:t xml:space="preserve"> </w:t>
      </w:r>
      <w:r w:rsidRPr="005629F8">
        <w:rPr>
          <w:lang w:val="en-AU"/>
        </w:rPr>
        <w:t>patients,</w:t>
      </w:r>
      <w:r w:rsidRPr="005629F8">
        <w:rPr>
          <w:spacing w:val="-2"/>
          <w:lang w:val="en-AU"/>
        </w:rPr>
        <w:t xml:space="preserve"> </w:t>
      </w:r>
      <w:r w:rsidRPr="005629F8">
        <w:rPr>
          <w:lang w:val="en-AU"/>
        </w:rPr>
        <w:t>including</w:t>
      </w:r>
      <w:r w:rsidRPr="005629F8">
        <w:rPr>
          <w:spacing w:val="-1"/>
          <w:lang w:val="en-AU"/>
        </w:rPr>
        <w:t xml:space="preserve"> </w:t>
      </w:r>
      <w:r w:rsidRPr="005629F8">
        <w:rPr>
          <w:lang w:val="en-AU"/>
        </w:rPr>
        <w:t>diagnosis and</w:t>
      </w:r>
      <w:r w:rsidRPr="005629F8">
        <w:rPr>
          <w:spacing w:val="-1"/>
          <w:lang w:val="en-AU"/>
        </w:rPr>
        <w:t xml:space="preserve"> </w:t>
      </w:r>
      <w:r w:rsidRPr="005629F8">
        <w:rPr>
          <w:lang w:val="en-AU"/>
        </w:rPr>
        <w:t>procedure</w:t>
      </w:r>
      <w:r w:rsidRPr="005629F8">
        <w:rPr>
          <w:spacing w:val="-3"/>
          <w:lang w:val="en-AU"/>
        </w:rPr>
        <w:t xml:space="preserve"> </w:t>
      </w:r>
      <w:r w:rsidRPr="005629F8">
        <w:rPr>
          <w:lang w:val="en-AU"/>
        </w:rPr>
        <w:t>information,</w:t>
      </w:r>
      <w:r w:rsidRPr="005629F8">
        <w:rPr>
          <w:spacing w:val="-2"/>
          <w:lang w:val="en-AU"/>
        </w:rPr>
        <w:t xml:space="preserve"> </w:t>
      </w:r>
      <w:r w:rsidRPr="005629F8">
        <w:rPr>
          <w:lang w:val="en-AU"/>
        </w:rPr>
        <w:t>classified using</w:t>
      </w:r>
      <w:r w:rsidRPr="005629F8">
        <w:rPr>
          <w:spacing w:val="3"/>
          <w:lang w:val="en-AU"/>
        </w:rPr>
        <w:t xml:space="preserve"> </w:t>
      </w:r>
      <w:r w:rsidRPr="005629F8">
        <w:rPr>
          <w:lang w:val="en-AU"/>
        </w:rPr>
        <w:t>ICD-10-AM</w:t>
      </w:r>
      <w:r w:rsidR="001551ED" w:rsidRPr="0088109E">
        <w:rPr>
          <w:rStyle w:val="FootnoteReference"/>
          <w:lang w:val="en-AU"/>
        </w:rPr>
        <w:footnoteReference w:id="3"/>
      </w:r>
      <w:r w:rsidRPr="005629F8">
        <w:rPr>
          <w:lang w:val="en-AU"/>
        </w:rPr>
        <w:t>.</w:t>
      </w:r>
    </w:p>
    <w:p w14:paraId="5AE7C934" w14:textId="00AA536F" w:rsidR="00143863" w:rsidRPr="005629F8" w:rsidRDefault="00143863" w:rsidP="00143863">
      <w:pPr>
        <w:rPr>
          <w:lang w:val="en-AU"/>
        </w:rPr>
      </w:pPr>
      <w:r w:rsidRPr="005629F8">
        <w:rPr>
          <w:lang w:val="en-AU"/>
        </w:rPr>
        <w:t>This report documents the data, processes, methodology and results for admitted acute care</w:t>
      </w:r>
      <w:r w:rsidRPr="005629F8">
        <w:rPr>
          <w:spacing w:val="1"/>
          <w:lang w:val="en-AU"/>
        </w:rPr>
        <w:t xml:space="preserve"> </w:t>
      </w:r>
      <w:r w:rsidRPr="005629F8">
        <w:rPr>
          <w:lang w:val="en-AU"/>
        </w:rPr>
        <w:t>provided by overnight private hospitals. The results of the collection are expressed as national</w:t>
      </w:r>
      <w:r w:rsidR="0081173C">
        <w:rPr>
          <w:lang w:val="en-AU"/>
        </w:rPr>
        <w:t xml:space="preserve"> </w:t>
      </w:r>
      <w:r w:rsidRPr="005629F8">
        <w:rPr>
          <w:spacing w:val="-59"/>
          <w:lang w:val="en-AU"/>
        </w:rPr>
        <w:t xml:space="preserve"> </w:t>
      </w:r>
      <w:r w:rsidR="00C50DB1" w:rsidRPr="005629F8">
        <w:rPr>
          <w:spacing w:val="-59"/>
          <w:lang w:val="en-AU"/>
        </w:rPr>
        <w:t xml:space="preserve"> </w:t>
      </w:r>
      <w:r w:rsidRPr="005629F8">
        <w:rPr>
          <w:lang w:val="en-AU"/>
        </w:rPr>
        <w:t xml:space="preserve">cost weights by AR-DRG </w:t>
      </w:r>
      <w:r w:rsidR="00087B99">
        <w:rPr>
          <w:lang w:val="en-AU"/>
        </w:rPr>
        <w:t>V</w:t>
      </w:r>
      <w:r w:rsidRPr="005629F8">
        <w:rPr>
          <w:lang w:val="en-AU"/>
        </w:rPr>
        <w:t xml:space="preserve">ersion 10.0. Cost weight tables are provided </w:t>
      </w:r>
      <w:r w:rsidR="00664FDC">
        <w:rPr>
          <w:lang w:val="en-AU"/>
        </w:rPr>
        <w:t>for</w:t>
      </w:r>
      <w:r w:rsidRPr="005629F8">
        <w:rPr>
          <w:lang w:val="en-AU"/>
        </w:rPr>
        <w:t xml:space="preserve"> AR-DRG </w:t>
      </w:r>
      <w:r w:rsidR="00087B99">
        <w:rPr>
          <w:lang w:val="en-AU"/>
        </w:rPr>
        <w:t>V</w:t>
      </w:r>
      <w:r w:rsidRPr="005629F8">
        <w:rPr>
          <w:lang w:val="en-AU"/>
        </w:rPr>
        <w:t>ersions</w:t>
      </w:r>
      <w:r w:rsidRPr="005629F8">
        <w:rPr>
          <w:spacing w:val="1"/>
          <w:lang w:val="en-AU"/>
        </w:rPr>
        <w:t xml:space="preserve"> </w:t>
      </w:r>
      <w:r w:rsidRPr="005629F8">
        <w:rPr>
          <w:lang w:val="en-AU"/>
        </w:rPr>
        <w:t>10.0</w:t>
      </w:r>
      <w:r w:rsidR="00EA2CD9">
        <w:rPr>
          <w:lang w:val="en-AU"/>
        </w:rPr>
        <w:t>, 9.0</w:t>
      </w:r>
      <w:r w:rsidR="0081530E">
        <w:rPr>
          <w:lang w:val="en-AU"/>
        </w:rPr>
        <w:t xml:space="preserve"> and</w:t>
      </w:r>
      <w:r w:rsidR="00EA2CD9">
        <w:rPr>
          <w:lang w:val="en-AU"/>
        </w:rPr>
        <w:t xml:space="preserve"> 8.0</w:t>
      </w:r>
      <w:r w:rsidRPr="005629F8">
        <w:rPr>
          <w:lang w:val="en-AU"/>
        </w:rPr>
        <w:t xml:space="preserve"> in the appendices.</w:t>
      </w:r>
    </w:p>
    <w:p w14:paraId="1EA40FD0" w14:textId="26FDF341" w:rsidR="00BC0828" w:rsidRPr="005629F8" w:rsidRDefault="00F5292B" w:rsidP="00FC4599">
      <w:pPr>
        <w:pStyle w:val="Heading2"/>
      </w:pPr>
      <w:bookmarkStart w:id="26" w:name="_Toc129700436"/>
      <w:bookmarkStart w:id="27" w:name="_Toc129700662"/>
      <w:bookmarkStart w:id="28" w:name="_Toc129701355"/>
      <w:r w:rsidRPr="005629F8">
        <w:t>History of the private sector NHCDC</w:t>
      </w:r>
      <w:bookmarkEnd w:id="26"/>
      <w:bookmarkEnd w:id="27"/>
      <w:bookmarkEnd w:id="28"/>
    </w:p>
    <w:p w14:paraId="4FB517FB" w14:textId="4CB1156E" w:rsidR="00F5292B" w:rsidRPr="005629F8" w:rsidRDefault="000531FD" w:rsidP="00F5292B">
      <w:pPr>
        <w:rPr>
          <w:highlight w:val="yellow"/>
          <w:lang w:val="en-AU"/>
        </w:rPr>
      </w:pPr>
      <w:r w:rsidRPr="005629F8">
        <w:rPr>
          <w:lang w:val="en-AU"/>
        </w:rPr>
        <w:t xml:space="preserve">The first </w:t>
      </w:r>
      <w:r w:rsidR="005F3DC5">
        <w:rPr>
          <w:lang w:val="en-AU"/>
        </w:rPr>
        <w:t>year</w:t>
      </w:r>
      <w:r w:rsidR="00F5292B" w:rsidRPr="005629F8">
        <w:rPr>
          <w:lang w:val="en-AU"/>
        </w:rPr>
        <w:t xml:space="preserve"> the private sector NHCDC was conducted </w:t>
      </w:r>
      <w:r w:rsidR="005F3DC5">
        <w:rPr>
          <w:lang w:val="en-AU"/>
        </w:rPr>
        <w:t xml:space="preserve">was </w:t>
      </w:r>
      <w:r w:rsidR="00C50DB1" w:rsidRPr="005629F8">
        <w:rPr>
          <w:lang w:val="en-AU"/>
        </w:rPr>
        <w:t>19</w:t>
      </w:r>
      <w:r w:rsidR="00F5292B" w:rsidRPr="005629F8">
        <w:rPr>
          <w:lang w:val="en-AU"/>
        </w:rPr>
        <w:t>96-97 with 23 hospitals and 240,000</w:t>
      </w:r>
      <w:r w:rsidR="00C50DB1" w:rsidRPr="005629F8">
        <w:rPr>
          <w:lang w:val="en-AU"/>
        </w:rPr>
        <w:t xml:space="preserve"> </w:t>
      </w:r>
      <w:r w:rsidR="00F5292B" w:rsidRPr="005629F8">
        <w:rPr>
          <w:spacing w:val="-59"/>
          <w:lang w:val="en-AU"/>
        </w:rPr>
        <w:t xml:space="preserve"> </w:t>
      </w:r>
      <w:r w:rsidRPr="005629F8">
        <w:rPr>
          <w:spacing w:val="-59"/>
          <w:lang w:val="en-AU"/>
        </w:rPr>
        <w:t xml:space="preserve">      </w:t>
      </w:r>
      <w:r w:rsidR="00F5292B" w:rsidRPr="005629F8">
        <w:rPr>
          <w:lang w:val="en-AU"/>
        </w:rPr>
        <w:t>episodes being represented. The collection has grown steadily since that time, although no</w:t>
      </w:r>
      <w:r w:rsidR="00F5292B" w:rsidRPr="005629F8">
        <w:rPr>
          <w:spacing w:val="1"/>
          <w:lang w:val="en-AU"/>
        </w:rPr>
        <w:t xml:space="preserve"> </w:t>
      </w:r>
      <w:r w:rsidR="00F5292B" w:rsidRPr="005629F8">
        <w:rPr>
          <w:lang w:val="en-AU"/>
        </w:rPr>
        <w:t>publication was released for</w:t>
      </w:r>
      <w:r w:rsidR="00C50DB1" w:rsidRPr="005629F8">
        <w:rPr>
          <w:lang w:val="en-AU"/>
        </w:rPr>
        <w:t xml:space="preserve"> years 20</w:t>
      </w:r>
      <w:r w:rsidRPr="005629F8">
        <w:rPr>
          <w:lang w:val="en-AU"/>
        </w:rPr>
        <w:t>03</w:t>
      </w:r>
      <w:r w:rsidR="00C82F8C">
        <w:rPr>
          <w:lang w:val="en-AU"/>
        </w:rPr>
        <w:noBreakHyphen/>
      </w:r>
      <w:r w:rsidRPr="005629F8">
        <w:rPr>
          <w:lang w:val="en-AU"/>
        </w:rPr>
        <w:t xml:space="preserve">04, </w:t>
      </w:r>
      <w:r w:rsidR="00C50DB1" w:rsidRPr="005629F8">
        <w:rPr>
          <w:lang w:val="en-AU"/>
        </w:rPr>
        <w:t>20</w:t>
      </w:r>
      <w:r w:rsidRPr="005629F8">
        <w:rPr>
          <w:lang w:val="en-AU"/>
        </w:rPr>
        <w:t xml:space="preserve">04-05 and </w:t>
      </w:r>
      <w:r w:rsidR="00C50DB1" w:rsidRPr="005629F8">
        <w:rPr>
          <w:lang w:val="en-AU"/>
        </w:rPr>
        <w:t>20</w:t>
      </w:r>
      <w:r w:rsidRPr="005629F8">
        <w:rPr>
          <w:lang w:val="en-AU"/>
        </w:rPr>
        <w:t>09</w:t>
      </w:r>
      <w:r w:rsidR="00C82F8C">
        <w:rPr>
          <w:lang w:val="en-AU"/>
        </w:rPr>
        <w:noBreakHyphen/>
      </w:r>
      <w:r w:rsidRPr="005629F8">
        <w:rPr>
          <w:lang w:val="en-AU"/>
        </w:rPr>
        <w:t xml:space="preserve">10 </w:t>
      </w:r>
      <w:r w:rsidR="00F5292B" w:rsidRPr="005629F8">
        <w:rPr>
          <w:lang w:val="en-AU"/>
        </w:rPr>
        <w:t>due to low participation rates. No collection</w:t>
      </w:r>
      <w:r w:rsidR="00F04BCD">
        <w:rPr>
          <w:lang w:val="en-AU"/>
        </w:rPr>
        <w:t>s</w:t>
      </w:r>
      <w:r w:rsidR="00F5292B" w:rsidRPr="005629F8">
        <w:rPr>
          <w:lang w:val="en-AU"/>
        </w:rPr>
        <w:t xml:space="preserve"> </w:t>
      </w:r>
      <w:r w:rsidR="00226422">
        <w:rPr>
          <w:lang w:val="en-AU"/>
        </w:rPr>
        <w:t>were carried</w:t>
      </w:r>
      <w:r w:rsidR="00F5292B" w:rsidRPr="005629F8">
        <w:rPr>
          <w:lang w:val="en-AU"/>
        </w:rPr>
        <w:t xml:space="preserve"> out for </w:t>
      </w:r>
      <w:r w:rsidR="00C50DB1" w:rsidRPr="005629F8">
        <w:rPr>
          <w:lang w:val="en-AU"/>
        </w:rPr>
        <w:t>years 20</w:t>
      </w:r>
      <w:r w:rsidRPr="005629F8">
        <w:rPr>
          <w:lang w:val="en-AU"/>
        </w:rPr>
        <w:t xml:space="preserve">05-06, </w:t>
      </w:r>
      <w:r w:rsidR="00C50DB1" w:rsidRPr="005629F8">
        <w:rPr>
          <w:lang w:val="en-AU"/>
        </w:rPr>
        <w:t>20</w:t>
      </w:r>
      <w:r w:rsidRPr="005629F8">
        <w:rPr>
          <w:lang w:val="en-AU"/>
        </w:rPr>
        <w:t xml:space="preserve">10-11 and </w:t>
      </w:r>
      <w:r w:rsidR="00C50DB1" w:rsidRPr="005629F8">
        <w:rPr>
          <w:lang w:val="en-AU"/>
        </w:rPr>
        <w:t>20</w:t>
      </w:r>
      <w:r w:rsidRPr="005629F8">
        <w:rPr>
          <w:lang w:val="en-AU"/>
        </w:rPr>
        <w:t>14-15.</w:t>
      </w:r>
    </w:p>
    <w:p w14:paraId="7447DE0C" w14:textId="7068F7A8" w:rsidR="00172E15" w:rsidRPr="005629F8" w:rsidRDefault="003B188F" w:rsidP="00172E15">
      <w:pPr>
        <w:rPr>
          <w:lang w:val="en-AU"/>
        </w:rPr>
      </w:pPr>
      <w:r>
        <w:rPr>
          <w:color w:val="auto"/>
          <w:u w:val="single"/>
          <w:lang w:val="en-AU"/>
        </w:rPr>
        <w:fldChar w:fldCharType="begin"/>
      </w:r>
      <w:r>
        <w:rPr>
          <w:color w:val="auto"/>
          <w:u w:val="single"/>
          <w:lang w:val="en-AU"/>
        </w:rPr>
        <w:instrText xml:space="preserve"> REF _Ref103175776 \h </w:instrText>
      </w:r>
      <w:r>
        <w:rPr>
          <w:color w:val="auto"/>
          <w:u w:val="single"/>
          <w:lang w:val="en-AU"/>
        </w:rPr>
      </w:r>
      <w:r>
        <w:rPr>
          <w:color w:val="auto"/>
          <w:u w:val="single"/>
          <w:lang w:val="en-AU"/>
        </w:rPr>
        <w:fldChar w:fldCharType="separate"/>
      </w:r>
      <w:r w:rsidRPr="005629F8">
        <w:rPr>
          <w:lang w:val="en-AU"/>
        </w:rPr>
        <w:t xml:space="preserve">Table </w:t>
      </w:r>
      <w:r w:rsidRPr="35ADAD77">
        <w:rPr>
          <w:noProof/>
          <w:lang w:val="en-AU"/>
        </w:rPr>
        <w:t>1</w:t>
      </w:r>
      <w:r>
        <w:rPr>
          <w:color w:val="auto"/>
          <w:u w:val="single"/>
          <w:lang w:val="en-AU"/>
        </w:rPr>
        <w:fldChar w:fldCharType="end"/>
      </w:r>
      <w:r w:rsidR="00172E15" w:rsidRPr="00664FDC">
        <w:rPr>
          <w:color w:val="auto"/>
          <w:u w:val="single"/>
          <w:lang w:val="en-AU"/>
        </w:rPr>
        <w:fldChar w:fldCharType="begin"/>
      </w:r>
      <w:r w:rsidR="0A1013F7" w:rsidRPr="00E16820">
        <w:rPr>
          <w:color w:val="auto"/>
          <w:lang w:val="en-AU"/>
        </w:rPr>
        <w:instrText xml:space="preserve">Table </w:instrText>
      </w:r>
      <w:r w:rsidR="0A1013F7" w:rsidRPr="00E16820">
        <w:rPr>
          <w:noProof/>
          <w:color w:val="auto"/>
          <w:lang w:val="en-AU"/>
        </w:rPr>
        <w:instrText>1</w:instrText>
      </w:r>
      <w:r w:rsidR="00172E15" w:rsidRPr="00664FDC">
        <w:rPr>
          <w:color w:val="auto"/>
          <w:u w:val="single"/>
          <w:lang w:val="en-AU"/>
        </w:rPr>
        <w:fldChar w:fldCharType="end"/>
      </w:r>
      <w:r w:rsidR="74E673AD" w:rsidRPr="005629F8">
        <w:rPr>
          <w:color w:val="auto"/>
          <w:spacing w:val="1"/>
          <w:lang w:val="en-AU"/>
        </w:rPr>
        <w:t xml:space="preserve"> </w:t>
      </w:r>
      <w:r w:rsidR="74E673AD" w:rsidRPr="005629F8">
        <w:rPr>
          <w:color w:val="auto"/>
          <w:lang w:val="en-AU"/>
        </w:rPr>
        <w:t xml:space="preserve">sets </w:t>
      </w:r>
      <w:r w:rsidR="74E673AD" w:rsidRPr="005629F8">
        <w:rPr>
          <w:lang w:val="en-AU"/>
        </w:rPr>
        <w:t>out</w:t>
      </w:r>
      <w:r w:rsidR="74E673AD" w:rsidRPr="005629F8">
        <w:rPr>
          <w:spacing w:val="-2"/>
          <w:lang w:val="en-AU"/>
        </w:rPr>
        <w:t xml:space="preserve"> </w:t>
      </w:r>
      <w:r w:rsidR="00172E15" w:rsidRPr="005629F8">
        <w:rPr>
          <w:lang w:val="en-AU"/>
        </w:rPr>
        <w:t>the</w:t>
      </w:r>
      <w:r w:rsidR="00172E15" w:rsidRPr="005629F8">
        <w:rPr>
          <w:spacing w:val="-1"/>
          <w:lang w:val="en-AU"/>
        </w:rPr>
        <w:t xml:space="preserve"> </w:t>
      </w:r>
      <w:r w:rsidR="00172E15" w:rsidRPr="005629F8">
        <w:rPr>
          <w:lang w:val="en-AU"/>
        </w:rPr>
        <w:t>participation</w:t>
      </w:r>
      <w:r w:rsidR="00172E15" w:rsidRPr="005629F8">
        <w:rPr>
          <w:spacing w:val="-2"/>
          <w:lang w:val="en-AU"/>
        </w:rPr>
        <w:t xml:space="preserve"> </w:t>
      </w:r>
      <w:r w:rsidR="00172E15" w:rsidRPr="005629F8">
        <w:rPr>
          <w:lang w:val="en-AU"/>
        </w:rPr>
        <w:t>rate</w:t>
      </w:r>
      <w:r w:rsidR="00172E15" w:rsidRPr="005629F8">
        <w:rPr>
          <w:spacing w:val="-3"/>
          <w:lang w:val="en-AU"/>
        </w:rPr>
        <w:t xml:space="preserve"> </w:t>
      </w:r>
      <w:r w:rsidR="00172E15" w:rsidRPr="005629F8">
        <w:rPr>
          <w:lang w:val="en-AU"/>
        </w:rPr>
        <w:t>for</w:t>
      </w:r>
      <w:r w:rsidR="00172E15" w:rsidRPr="005629F8">
        <w:rPr>
          <w:spacing w:val="-5"/>
          <w:lang w:val="en-AU"/>
        </w:rPr>
        <w:t xml:space="preserve"> </w:t>
      </w:r>
      <w:r w:rsidR="000531FD" w:rsidRPr="005629F8">
        <w:rPr>
          <w:lang w:val="en-AU"/>
        </w:rPr>
        <w:t>20</w:t>
      </w:r>
      <w:r w:rsidR="00C50DB1" w:rsidRPr="005629F8">
        <w:rPr>
          <w:lang w:val="en-AU"/>
        </w:rPr>
        <w:t>20</w:t>
      </w:r>
      <w:r w:rsidR="000531FD" w:rsidRPr="005629F8">
        <w:rPr>
          <w:lang w:val="en-AU"/>
        </w:rPr>
        <w:t>-21</w:t>
      </w:r>
      <w:r w:rsidR="00172E15" w:rsidRPr="005629F8">
        <w:rPr>
          <w:lang w:val="en-AU"/>
        </w:rPr>
        <w:t xml:space="preserve"> and</w:t>
      </w:r>
      <w:r w:rsidR="00172E15" w:rsidRPr="005629F8">
        <w:rPr>
          <w:spacing w:val="-4"/>
          <w:lang w:val="en-AU"/>
        </w:rPr>
        <w:t xml:space="preserve"> </w:t>
      </w:r>
      <w:r w:rsidR="00172E15" w:rsidRPr="005629F8">
        <w:rPr>
          <w:lang w:val="en-AU"/>
        </w:rPr>
        <w:t>the</w:t>
      </w:r>
      <w:r w:rsidR="00172E15" w:rsidRPr="005629F8">
        <w:rPr>
          <w:spacing w:val="-3"/>
          <w:lang w:val="en-AU"/>
        </w:rPr>
        <w:t xml:space="preserve"> </w:t>
      </w:r>
      <w:r w:rsidR="00172E15" w:rsidRPr="005629F8">
        <w:rPr>
          <w:lang w:val="en-AU"/>
        </w:rPr>
        <w:t>last</w:t>
      </w:r>
      <w:r w:rsidR="00172E15" w:rsidRPr="005629F8">
        <w:rPr>
          <w:spacing w:val="-2"/>
          <w:lang w:val="en-AU"/>
        </w:rPr>
        <w:t xml:space="preserve"> </w:t>
      </w:r>
      <w:r w:rsidR="0038688A" w:rsidRPr="005629F8">
        <w:rPr>
          <w:lang w:val="en-AU"/>
        </w:rPr>
        <w:t>five years</w:t>
      </w:r>
      <w:r w:rsidR="00172E15" w:rsidRPr="005629F8">
        <w:rPr>
          <w:lang w:val="en-AU"/>
        </w:rPr>
        <w:t>.</w:t>
      </w:r>
    </w:p>
    <w:p w14:paraId="26ADDDC7" w14:textId="6E9DF3A0" w:rsidR="003B1A34" w:rsidRPr="00E829BF" w:rsidRDefault="74E673AD" w:rsidP="00E829BF">
      <w:pPr>
        <w:pStyle w:val="TableFigureheading"/>
      </w:pPr>
      <w:bookmarkStart w:id="29" w:name="_bookmark4"/>
      <w:bookmarkStart w:id="30" w:name="_Ref103175776"/>
      <w:bookmarkStart w:id="31" w:name="_Toc129179295"/>
      <w:bookmarkStart w:id="32" w:name="_Toc139881774"/>
      <w:bookmarkEnd w:id="29"/>
      <w:r w:rsidRPr="00E829BF">
        <w:t xml:space="preserve">Table </w:t>
      </w:r>
      <w:r w:rsidR="00D9779B" w:rsidRPr="00E829BF">
        <w:fldChar w:fldCharType="begin"/>
      </w:r>
      <w:r w:rsidR="00D9779B" w:rsidRPr="00E829BF">
        <w:instrText xml:space="preserve"> SEQ Table \* ARABIC </w:instrText>
      </w:r>
      <w:r w:rsidR="00D9779B" w:rsidRPr="00E829BF">
        <w:fldChar w:fldCharType="separate"/>
      </w:r>
      <w:r w:rsidR="38B857ED" w:rsidRPr="00E829BF">
        <w:rPr>
          <w:noProof/>
        </w:rPr>
        <w:t>1</w:t>
      </w:r>
      <w:r w:rsidR="00D9779B" w:rsidRPr="00E829BF">
        <w:rPr>
          <w:noProof/>
        </w:rPr>
        <w:fldChar w:fldCharType="end"/>
      </w:r>
      <w:bookmarkEnd w:id="30"/>
      <w:r w:rsidRPr="00E829BF">
        <w:t>.</w:t>
      </w:r>
      <w:r w:rsidRPr="00E829BF">
        <w:rPr>
          <w:spacing w:val="-1"/>
        </w:rPr>
        <w:t xml:space="preserve"> </w:t>
      </w:r>
      <w:r w:rsidRPr="00E829BF">
        <w:t>Summary</w:t>
      </w:r>
      <w:r w:rsidRPr="00E829BF">
        <w:rPr>
          <w:spacing w:val="-8"/>
        </w:rPr>
        <w:t xml:space="preserve"> </w:t>
      </w:r>
      <w:r w:rsidRPr="00E829BF">
        <w:t>of</w:t>
      </w:r>
      <w:r w:rsidRPr="00E829BF">
        <w:rPr>
          <w:spacing w:val="-1"/>
        </w:rPr>
        <w:t xml:space="preserve"> </w:t>
      </w:r>
      <w:r w:rsidRPr="00E829BF">
        <w:t>private hospital</w:t>
      </w:r>
      <w:r w:rsidRPr="00E829BF">
        <w:rPr>
          <w:spacing w:val="-3"/>
        </w:rPr>
        <w:t xml:space="preserve"> </w:t>
      </w:r>
      <w:r w:rsidRPr="00E829BF">
        <w:t>participation,</w:t>
      </w:r>
      <w:r w:rsidRPr="00E829BF">
        <w:rPr>
          <w:spacing w:val="-1"/>
        </w:rPr>
        <w:t xml:space="preserve"> </w:t>
      </w:r>
      <w:r w:rsidR="5E0B6ABA" w:rsidRPr="00E829BF">
        <w:t>2015-16</w:t>
      </w:r>
      <w:r w:rsidRPr="00E829BF">
        <w:rPr>
          <w:spacing w:val="-1"/>
        </w:rPr>
        <w:t xml:space="preserve"> </w:t>
      </w:r>
      <w:r w:rsidRPr="00E829BF">
        <w:t>to</w:t>
      </w:r>
      <w:r w:rsidR="5E0B6ABA" w:rsidRPr="00E829BF">
        <w:t xml:space="preserve"> 2020-21</w:t>
      </w:r>
      <w:bookmarkEnd w:id="31"/>
      <w:bookmarkEnd w:id="32"/>
    </w:p>
    <w:tbl>
      <w:tblPr>
        <w:tblW w:w="0" w:type="auto"/>
        <w:tblInd w:w="-30" w:type="dxa"/>
        <w:tblLayout w:type="fixed"/>
        <w:tblLook w:val="0000" w:firstRow="0" w:lastRow="0" w:firstColumn="0" w:lastColumn="0" w:noHBand="0" w:noVBand="0"/>
        <w:tblCaption w:val="Table 1 summary of private hospital participation"/>
        <w:tblDescription w:val="Table 1 contains a summary of the private hospital participation in the NHCDC. Its columns span the Rounds from Round 16 to Round 24. Its rows are number of hospitals, sample separations, percentage of population separations and AR-DRG version."/>
      </w:tblPr>
      <w:tblGrid>
        <w:gridCol w:w="3838"/>
        <w:gridCol w:w="1025"/>
        <w:gridCol w:w="932"/>
        <w:gridCol w:w="931"/>
        <w:gridCol w:w="931"/>
        <w:gridCol w:w="932"/>
        <w:gridCol w:w="931"/>
      </w:tblGrid>
      <w:tr w:rsidR="001C45A9" w:rsidRPr="0088109E" w14:paraId="6C03ACC4" w14:textId="77777777" w:rsidTr="005629F8">
        <w:trPr>
          <w:trHeight w:val="345"/>
        </w:trPr>
        <w:tc>
          <w:tcPr>
            <w:tcW w:w="3838" w:type="dxa"/>
            <w:tcBorders>
              <w:top w:val="single" w:sz="6" w:space="0" w:color="auto"/>
              <w:left w:val="nil"/>
              <w:bottom w:val="single" w:sz="6" w:space="0" w:color="auto"/>
              <w:right w:val="single" w:sz="4" w:space="0" w:color="D9D9D9"/>
            </w:tcBorders>
            <w:shd w:val="clear" w:color="auto" w:fill="15272F" w:themeFill="text1"/>
            <w:vAlign w:val="center"/>
          </w:tcPr>
          <w:p w14:paraId="5448243C" w14:textId="77777777" w:rsidR="001C45A9" w:rsidRPr="005629F8" w:rsidRDefault="001C45A9" w:rsidP="004D1ACD">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Summary</w:t>
            </w:r>
          </w:p>
        </w:tc>
        <w:tc>
          <w:tcPr>
            <w:tcW w:w="1025" w:type="dxa"/>
            <w:tcBorders>
              <w:top w:val="single" w:sz="6" w:space="0" w:color="auto"/>
              <w:left w:val="single" w:sz="4" w:space="0" w:color="D9D9D9"/>
              <w:bottom w:val="single" w:sz="6" w:space="0" w:color="auto"/>
              <w:right w:val="nil"/>
            </w:tcBorders>
            <w:shd w:val="clear" w:color="auto" w:fill="15272F" w:themeFill="text1"/>
            <w:vAlign w:val="center"/>
          </w:tcPr>
          <w:p w14:paraId="6EA30436" w14:textId="77777777" w:rsidR="001C45A9" w:rsidRPr="005629F8" w:rsidRDefault="001C45A9" w:rsidP="000C2690">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2015-16</w:t>
            </w:r>
          </w:p>
        </w:tc>
        <w:tc>
          <w:tcPr>
            <w:tcW w:w="932" w:type="dxa"/>
            <w:tcBorders>
              <w:top w:val="single" w:sz="6" w:space="0" w:color="auto"/>
              <w:left w:val="nil"/>
              <w:bottom w:val="single" w:sz="6" w:space="0" w:color="auto"/>
              <w:right w:val="nil"/>
            </w:tcBorders>
            <w:shd w:val="clear" w:color="auto" w:fill="15272F" w:themeFill="text1"/>
            <w:vAlign w:val="center"/>
          </w:tcPr>
          <w:p w14:paraId="7EE57377" w14:textId="77777777" w:rsidR="001C45A9" w:rsidRPr="005629F8" w:rsidRDefault="001C45A9">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2016-17</w:t>
            </w:r>
          </w:p>
        </w:tc>
        <w:tc>
          <w:tcPr>
            <w:tcW w:w="931" w:type="dxa"/>
            <w:tcBorders>
              <w:top w:val="single" w:sz="6" w:space="0" w:color="auto"/>
              <w:left w:val="nil"/>
              <w:bottom w:val="single" w:sz="6" w:space="0" w:color="auto"/>
              <w:right w:val="nil"/>
            </w:tcBorders>
            <w:shd w:val="clear" w:color="auto" w:fill="15272F" w:themeFill="text1"/>
            <w:vAlign w:val="center"/>
          </w:tcPr>
          <w:p w14:paraId="438B9324" w14:textId="77777777" w:rsidR="001C45A9" w:rsidRPr="005629F8" w:rsidRDefault="001C45A9">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2017-18</w:t>
            </w:r>
          </w:p>
        </w:tc>
        <w:tc>
          <w:tcPr>
            <w:tcW w:w="931" w:type="dxa"/>
            <w:tcBorders>
              <w:top w:val="single" w:sz="6" w:space="0" w:color="auto"/>
              <w:left w:val="nil"/>
              <w:bottom w:val="single" w:sz="6" w:space="0" w:color="auto"/>
              <w:right w:val="nil"/>
            </w:tcBorders>
            <w:shd w:val="clear" w:color="auto" w:fill="15272F" w:themeFill="text1"/>
            <w:vAlign w:val="center"/>
          </w:tcPr>
          <w:p w14:paraId="5C98B01B" w14:textId="77777777" w:rsidR="001C45A9" w:rsidRPr="005629F8" w:rsidRDefault="001C45A9">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2018-19</w:t>
            </w:r>
          </w:p>
        </w:tc>
        <w:tc>
          <w:tcPr>
            <w:tcW w:w="932" w:type="dxa"/>
            <w:tcBorders>
              <w:top w:val="single" w:sz="6" w:space="0" w:color="auto"/>
              <w:left w:val="nil"/>
              <w:bottom w:val="single" w:sz="6" w:space="0" w:color="auto"/>
              <w:right w:val="nil"/>
            </w:tcBorders>
            <w:shd w:val="clear" w:color="auto" w:fill="15272F" w:themeFill="text1"/>
            <w:vAlign w:val="center"/>
          </w:tcPr>
          <w:p w14:paraId="68A8E874" w14:textId="77777777" w:rsidR="001C45A9" w:rsidRPr="005629F8" w:rsidRDefault="001C45A9">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2019-20</w:t>
            </w:r>
          </w:p>
        </w:tc>
        <w:tc>
          <w:tcPr>
            <w:tcW w:w="931" w:type="dxa"/>
            <w:tcBorders>
              <w:top w:val="single" w:sz="6" w:space="0" w:color="auto"/>
              <w:left w:val="nil"/>
              <w:bottom w:val="single" w:sz="6" w:space="0" w:color="auto"/>
              <w:right w:val="nil"/>
            </w:tcBorders>
            <w:shd w:val="clear" w:color="auto" w:fill="15272F" w:themeFill="text1"/>
            <w:vAlign w:val="center"/>
          </w:tcPr>
          <w:p w14:paraId="32EA9284" w14:textId="77777777" w:rsidR="001C45A9" w:rsidRPr="005629F8" w:rsidRDefault="001C45A9">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2020-21</w:t>
            </w:r>
          </w:p>
        </w:tc>
      </w:tr>
      <w:tr w:rsidR="001C45A9" w:rsidRPr="0088109E" w14:paraId="7BAC82C4" w14:textId="77777777" w:rsidTr="00E87B16">
        <w:trPr>
          <w:trHeight w:val="326"/>
        </w:trPr>
        <w:tc>
          <w:tcPr>
            <w:tcW w:w="3838" w:type="dxa"/>
            <w:tcBorders>
              <w:top w:val="single" w:sz="6" w:space="0" w:color="auto"/>
              <w:left w:val="nil"/>
              <w:bottom w:val="single" w:sz="4" w:space="0" w:color="D9D9D9" w:themeColor="background2" w:themeShade="D9"/>
              <w:right w:val="single" w:sz="4" w:space="0" w:color="D9D9D9"/>
            </w:tcBorders>
            <w:vAlign w:val="center"/>
          </w:tcPr>
          <w:p w14:paraId="6407BABC" w14:textId="77777777" w:rsidR="001C45A9" w:rsidRPr="005629F8" w:rsidRDefault="001C45A9"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Number of hospitals</w:t>
            </w:r>
          </w:p>
        </w:tc>
        <w:tc>
          <w:tcPr>
            <w:tcW w:w="1025" w:type="dxa"/>
            <w:tcBorders>
              <w:top w:val="single" w:sz="6" w:space="0" w:color="auto"/>
              <w:left w:val="single" w:sz="4" w:space="0" w:color="D9D9D9"/>
              <w:bottom w:val="single" w:sz="4" w:space="0" w:color="D9D9D9" w:themeColor="background2" w:themeShade="D9"/>
              <w:right w:val="nil"/>
            </w:tcBorders>
            <w:shd w:val="clear" w:color="auto" w:fill="F2F2F2" w:themeFill="accent6" w:themeFillShade="F2"/>
            <w:vAlign w:val="center"/>
          </w:tcPr>
          <w:p w14:paraId="1793AEEB" w14:textId="77777777" w:rsidR="001C45A9" w:rsidRPr="005629F8" w:rsidRDefault="001C45A9"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91</w:t>
            </w:r>
          </w:p>
        </w:tc>
        <w:tc>
          <w:tcPr>
            <w:tcW w:w="932"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17AA2113"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105</w:t>
            </w:r>
          </w:p>
        </w:tc>
        <w:tc>
          <w:tcPr>
            <w:tcW w:w="931"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74C3961D"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112</w:t>
            </w:r>
          </w:p>
        </w:tc>
        <w:tc>
          <w:tcPr>
            <w:tcW w:w="931"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0E62C9EE"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108</w:t>
            </w:r>
          </w:p>
        </w:tc>
        <w:tc>
          <w:tcPr>
            <w:tcW w:w="932"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7EE95871"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103</w:t>
            </w:r>
          </w:p>
        </w:tc>
        <w:tc>
          <w:tcPr>
            <w:tcW w:w="931" w:type="dxa"/>
            <w:tcBorders>
              <w:top w:val="single" w:sz="6" w:space="0" w:color="auto"/>
              <w:left w:val="nil"/>
              <w:bottom w:val="single" w:sz="4" w:space="0" w:color="D9D9D9" w:themeColor="background2" w:themeShade="D9"/>
              <w:right w:val="nil"/>
            </w:tcBorders>
            <w:shd w:val="clear" w:color="auto" w:fill="auto"/>
            <w:vAlign w:val="center"/>
          </w:tcPr>
          <w:p w14:paraId="58F2F4F7"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103</w:t>
            </w:r>
          </w:p>
        </w:tc>
      </w:tr>
      <w:tr w:rsidR="001C45A9" w:rsidRPr="0088109E" w14:paraId="78954E51" w14:textId="77777777" w:rsidTr="00E87B16">
        <w:trPr>
          <w:trHeight w:val="326"/>
        </w:trPr>
        <w:tc>
          <w:tcPr>
            <w:tcW w:w="383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24218DA5" w14:textId="462FC840" w:rsidR="001C45A9" w:rsidRPr="005629F8" w:rsidRDefault="001C45A9"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 xml:space="preserve">Sample </w:t>
            </w:r>
            <w:r w:rsidR="00087B99">
              <w:rPr>
                <w:rFonts w:cs="Arial"/>
                <w:color w:val="000000"/>
                <w:sz w:val="16"/>
                <w:szCs w:val="16"/>
                <w:lang w:val="en-AU"/>
              </w:rPr>
              <w:t>s</w:t>
            </w:r>
            <w:r w:rsidRPr="005629F8">
              <w:rPr>
                <w:rFonts w:cs="Arial"/>
                <w:color w:val="000000"/>
                <w:sz w:val="16"/>
                <w:szCs w:val="16"/>
                <w:lang w:val="en-AU"/>
              </w:rPr>
              <w:t>eparations</w:t>
            </w:r>
          </w:p>
        </w:tc>
        <w:tc>
          <w:tcPr>
            <w:tcW w:w="1025"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3643B0E8" w14:textId="77777777" w:rsidR="001C45A9" w:rsidRPr="005629F8" w:rsidRDefault="001C45A9"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1,781,699</w:t>
            </w:r>
          </w:p>
        </w:tc>
        <w:tc>
          <w:tcPr>
            <w:tcW w:w="93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DE69670"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1,923,310</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2261E93"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2,173,847</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B6FF014"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2,234,143</w:t>
            </w:r>
          </w:p>
        </w:tc>
        <w:tc>
          <w:tcPr>
            <w:tcW w:w="93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05A00B6"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2,067,714</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27DA30F7"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2,277,973</w:t>
            </w:r>
          </w:p>
        </w:tc>
      </w:tr>
      <w:tr w:rsidR="001C45A9" w:rsidRPr="0088109E" w14:paraId="56C6B739" w14:textId="77777777" w:rsidTr="00E87B16">
        <w:trPr>
          <w:trHeight w:val="326"/>
        </w:trPr>
        <w:tc>
          <w:tcPr>
            <w:tcW w:w="383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12EA6A6C" w14:textId="77777777" w:rsidR="001C45A9" w:rsidRPr="005629F8" w:rsidRDefault="001C45A9"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Participation rate* (%)</w:t>
            </w:r>
          </w:p>
        </w:tc>
        <w:tc>
          <w:tcPr>
            <w:tcW w:w="1025"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4601616A" w14:textId="77777777" w:rsidR="001C45A9" w:rsidRPr="005629F8" w:rsidRDefault="001C45A9"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58.4</w:t>
            </w:r>
          </w:p>
        </w:tc>
        <w:tc>
          <w:tcPr>
            <w:tcW w:w="93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E02F17B"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59.3</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1F6CA96"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65.9</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3C69A3C"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65.1</w:t>
            </w:r>
          </w:p>
        </w:tc>
        <w:tc>
          <w:tcPr>
            <w:tcW w:w="93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517BD0D"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64.9</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6ABC599C"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65.3</w:t>
            </w:r>
          </w:p>
        </w:tc>
      </w:tr>
      <w:tr w:rsidR="001C45A9" w:rsidRPr="0088109E" w14:paraId="4921FD66" w14:textId="77777777" w:rsidTr="00E87B16">
        <w:trPr>
          <w:trHeight w:val="326"/>
        </w:trPr>
        <w:tc>
          <w:tcPr>
            <w:tcW w:w="383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206FE1B9" w14:textId="77777777" w:rsidR="001C45A9" w:rsidRPr="005629F8" w:rsidRDefault="001C45A9"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AR-DRG version</w:t>
            </w:r>
          </w:p>
        </w:tc>
        <w:tc>
          <w:tcPr>
            <w:tcW w:w="1025"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7F332BC7" w14:textId="77777777" w:rsidR="001C45A9" w:rsidRPr="005629F8" w:rsidRDefault="001C45A9"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8.0</w:t>
            </w:r>
          </w:p>
        </w:tc>
        <w:tc>
          <w:tcPr>
            <w:tcW w:w="93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69236C9F"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9.0</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F0B0F5E"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9.0</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6594970"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10.0</w:t>
            </w:r>
          </w:p>
        </w:tc>
        <w:tc>
          <w:tcPr>
            <w:tcW w:w="93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A6321AF"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10.0</w:t>
            </w:r>
          </w:p>
        </w:tc>
        <w:tc>
          <w:tcPr>
            <w:tcW w:w="931"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681001CD" w14:textId="77777777" w:rsidR="001C45A9" w:rsidRPr="005629F8" w:rsidRDefault="001C45A9">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10.0</w:t>
            </w:r>
          </w:p>
        </w:tc>
      </w:tr>
    </w:tbl>
    <w:p w14:paraId="7641F446" w14:textId="77777777" w:rsidR="00F5292B" w:rsidRPr="005629F8" w:rsidRDefault="00F5292B" w:rsidP="005739FA">
      <w:pPr>
        <w:spacing w:line="240" w:lineRule="auto"/>
        <w:rPr>
          <w:sz w:val="16"/>
          <w:lang w:val="en-AU"/>
        </w:rPr>
      </w:pPr>
      <w:r w:rsidRPr="005629F8">
        <w:rPr>
          <w:sz w:val="16"/>
          <w:lang w:val="en-AU"/>
        </w:rPr>
        <w:t>*</w:t>
      </w:r>
      <w:r w:rsidRPr="005629F8">
        <w:rPr>
          <w:spacing w:val="-2"/>
          <w:sz w:val="16"/>
          <w:lang w:val="en-AU"/>
        </w:rPr>
        <w:t xml:space="preserve"> </w:t>
      </w:r>
      <w:r w:rsidRPr="005629F8">
        <w:rPr>
          <w:sz w:val="16"/>
          <w:lang w:val="en-AU"/>
        </w:rPr>
        <w:t>Participation</w:t>
      </w:r>
      <w:r w:rsidRPr="005629F8">
        <w:rPr>
          <w:spacing w:val="-2"/>
          <w:sz w:val="16"/>
          <w:lang w:val="en-AU"/>
        </w:rPr>
        <w:t xml:space="preserve"> </w:t>
      </w:r>
      <w:r w:rsidRPr="005629F8">
        <w:rPr>
          <w:sz w:val="16"/>
          <w:lang w:val="en-AU"/>
        </w:rPr>
        <w:t>rate</w:t>
      </w:r>
      <w:r w:rsidRPr="005629F8">
        <w:rPr>
          <w:spacing w:val="-3"/>
          <w:sz w:val="16"/>
          <w:lang w:val="en-AU"/>
        </w:rPr>
        <w:t xml:space="preserve"> </w:t>
      </w:r>
      <w:r w:rsidRPr="005629F8">
        <w:rPr>
          <w:sz w:val="16"/>
          <w:lang w:val="en-AU"/>
        </w:rPr>
        <w:t>refers</w:t>
      </w:r>
      <w:r w:rsidRPr="005629F8">
        <w:rPr>
          <w:spacing w:val="-3"/>
          <w:sz w:val="16"/>
          <w:lang w:val="en-AU"/>
        </w:rPr>
        <w:t xml:space="preserve"> </w:t>
      </w:r>
      <w:r w:rsidRPr="005629F8">
        <w:rPr>
          <w:sz w:val="16"/>
          <w:lang w:val="en-AU"/>
        </w:rPr>
        <w:t>to</w:t>
      </w:r>
      <w:r w:rsidRPr="005629F8">
        <w:rPr>
          <w:spacing w:val="-3"/>
          <w:sz w:val="16"/>
          <w:lang w:val="en-AU"/>
        </w:rPr>
        <w:t xml:space="preserve"> </w:t>
      </w:r>
      <w:r w:rsidRPr="005629F8">
        <w:rPr>
          <w:sz w:val="16"/>
          <w:lang w:val="en-AU"/>
        </w:rPr>
        <w:t>the</w:t>
      </w:r>
      <w:r w:rsidRPr="005629F8">
        <w:rPr>
          <w:spacing w:val="-2"/>
          <w:sz w:val="16"/>
          <w:lang w:val="en-AU"/>
        </w:rPr>
        <w:t xml:space="preserve"> </w:t>
      </w:r>
      <w:r w:rsidRPr="005629F8">
        <w:rPr>
          <w:sz w:val="16"/>
          <w:lang w:val="en-AU"/>
        </w:rPr>
        <w:t>percentage</w:t>
      </w:r>
      <w:r w:rsidRPr="005629F8">
        <w:rPr>
          <w:spacing w:val="-2"/>
          <w:sz w:val="16"/>
          <w:lang w:val="en-AU"/>
        </w:rPr>
        <w:t xml:space="preserve"> </w:t>
      </w:r>
      <w:r w:rsidRPr="005629F8">
        <w:rPr>
          <w:sz w:val="16"/>
          <w:lang w:val="en-AU"/>
        </w:rPr>
        <w:t>of</w:t>
      </w:r>
      <w:r w:rsidRPr="005629F8">
        <w:rPr>
          <w:spacing w:val="-4"/>
          <w:sz w:val="16"/>
          <w:lang w:val="en-AU"/>
        </w:rPr>
        <w:t xml:space="preserve"> </w:t>
      </w:r>
      <w:r w:rsidRPr="005629F8">
        <w:rPr>
          <w:sz w:val="16"/>
          <w:lang w:val="en-AU"/>
        </w:rPr>
        <w:t>sample</w:t>
      </w:r>
      <w:r w:rsidRPr="005629F8">
        <w:rPr>
          <w:spacing w:val="-4"/>
          <w:sz w:val="16"/>
          <w:lang w:val="en-AU"/>
        </w:rPr>
        <w:t xml:space="preserve"> </w:t>
      </w:r>
      <w:r w:rsidRPr="005629F8">
        <w:rPr>
          <w:sz w:val="16"/>
          <w:lang w:val="en-AU"/>
        </w:rPr>
        <w:t>separations</w:t>
      </w:r>
      <w:r w:rsidRPr="005629F8">
        <w:rPr>
          <w:spacing w:val="-2"/>
          <w:sz w:val="16"/>
          <w:lang w:val="en-AU"/>
        </w:rPr>
        <w:t xml:space="preserve"> </w:t>
      </w:r>
      <w:r w:rsidRPr="005629F8">
        <w:rPr>
          <w:sz w:val="16"/>
          <w:lang w:val="en-AU"/>
        </w:rPr>
        <w:t>compared</w:t>
      </w:r>
      <w:r w:rsidRPr="005629F8">
        <w:rPr>
          <w:spacing w:val="-4"/>
          <w:sz w:val="16"/>
          <w:lang w:val="en-AU"/>
        </w:rPr>
        <w:t xml:space="preserve"> </w:t>
      </w:r>
      <w:r w:rsidRPr="005629F8">
        <w:rPr>
          <w:sz w:val="16"/>
          <w:lang w:val="en-AU"/>
        </w:rPr>
        <w:t>to</w:t>
      </w:r>
      <w:r w:rsidRPr="005629F8">
        <w:rPr>
          <w:spacing w:val="-4"/>
          <w:sz w:val="16"/>
          <w:lang w:val="en-AU"/>
        </w:rPr>
        <w:t xml:space="preserve"> </w:t>
      </w:r>
      <w:r w:rsidRPr="005629F8">
        <w:rPr>
          <w:sz w:val="16"/>
          <w:lang w:val="en-AU"/>
        </w:rPr>
        <w:t>the</w:t>
      </w:r>
      <w:r w:rsidRPr="005629F8">
        <w:rPr>
          <w:spacing w:val="-1"/>
          <w:sz w:val="16"/>
          <w:lang w:val="en-AU"/>
        </w:rPr>
        <w:t xml:space="preserve"> </w:t>
      </w:r>
      <w:r w:rsidRPr="005629F8">
        <w:rPr>
          <w:sz w:val="16"/>
          <w:lang w:val="en-AU"/>
        </w:rPr>
        <w:t>population</w:t>
      </w:r>
      <w:r w:rsidRPr="005629F8">
        <w:rPr>
          <w:spacing w:val="2"/>
          <w:sz w:val="16"/>
          <w:lang w:val="en-AU"/>
        </w:rPr>
        <w:t xml:space="preserve"> </w:t>
      </w:r>
      <w:r w:rsidRPr="005629F8">
        <w:rPr>
          <w:sz w:val="16"/>
          <w:lang w:val="en-AU"/>
        </w:rPr>
        <w:t>separations.</w:t>
      </w:r>
    </w:p>
    <w:p w14:paraId="7141EF82" w14:textId="70955804" w:rsidR="00BC0828" w:rsidRPr="005629F8" w:rsidRDefault="001F3339" w:rsidP="00FC4599">
      <w:pPr>
        <w:pStyle w:val="Heading2"/>
      </w:pPr>
      <w:bookmarkStart w:id="33" w:name="_Toc129700437"/>
      <w:bookmarkStart w:id="34" w:name="_Toc129700663"/>
      <w:bookmarkStart w:id="35" w:name="_Toc129701356"/>
      <w:r w:rsidRPr="005629F8">
        <w:t xml:space="preserve">Private Hospital statistics for </w:t>
      </w:r>
      <w:r w:rsidR="0038688A" w:rsidRPr="005629F8">
        <w:t>20</w:t>
      </w:r>
      <w:r w:rsidR="000531FD" w:rsidRPr="005629F8">
        <w:t>20-21</w:t>
      </w:r>
      <w:bookmarkEnd w:id="33"/>
      <w:bookmarkEnd w:id="34"/>
      <w:bookmarkEnd w:id="35"/>
    </w:p>
    <w:p w14:paraId="7E3B936E" w14:textId="52C6EF0F" w:rsidR="00664FDC" w:rsidRDefault="00D173CD" w:rsidP="001F3339">
      <w:pPr>
        <w:rPr>
          <w:lang w:val="en-AU"/>
        </w:rPr>
      </w:pPr>
      <w:r w:rsidRPr="005629F8">
        <w:rPr>
          <w:lang w:val="en-AU"/>
        </w:rPr>
        <w:t>593 private hospitals reported to the Private Hospital Data Bureau (PHDB) in 2020</w:t>
      </w:r>
      <w:r w:rsidR="00C82F8C">
        <w:rPr>
          <w:lang w:val="en-AU"/>
        </w:rPr>
        <w:noBreakHyphen/>
      </w:r>
      <w:r w:rsidRPr="005629F8">
        <w:rPr>
          <w:lang w:val="en-AU"/>
        </w:rPr>
        <w:t xml:space="preserve">21, </w:t>
      </w:r>
      <w:r w:rsidR="00225C6A">
        <w:rPr>
          <w:lang w:val="en-AU"/>
        </w:rPr>
        <w:t xml:space="preserve">submitting </w:t>
      </w:r>
      <w:r w:rsidR="00225C6A" w:rsidRPr="001B0B5F">
        <w:rPr>
          <w:lang w:val="en-AU"/>
        </w:rPr>
        <w:t>4.8 million patient separations in 2020</w:t>
      </w:r>
      <w:r w:rsidR="00225C6A" w:rsidRPr="0068730C">
        <w:rPr>
          <w:lang w:val="en-AU"/>
        </w:rPr>
        <w:noBreakHyphen/>
      </w:r>
      <w:r w:rsidR="00225C6A" w:rsidRPr="001B0B5F">
        <w:rPr>
          <w:lang w:val="en-AU"/>
        </w:rPr>
        <w:t>21</w:t>
      </w:r>
      <w:r w:rsidR="00225C6A">
        <w:rPr>
          <w:lang w:val="en-AU"/>
        </w:rPr>
        <w:t xml:space="preserve">. Of this total, </w:t>
      </w:r>
      <w:r w:rsidRPr="005629F8">
        <w:rPr>
          <w:lang w:val="en-AU"/>
        </w:rPr>
        <w:t>280 (4</w:t>
      </w:r>
      <w:r w:rsidR="00A86AC3">
        <w:rPr>
          <w:lang w:val="en-AU"/>
        </w:rPr>
        <w:t>7 per cent</w:t>
      </w:r>
      <w:r w:rsidRPr="005629F8">
        <w:rPr>
          <w:lang w:val="en-AU"/>
        </w:rPr>
        <w:t>) were overnight hospitals</w:t>
      </w:r>
      <w:r w:rsidR="00225C6A">
        <w:rPr>
          <w:lang w:val="en-AU"/>
        </w:rPr>
        <w:t xml:space="preserve"> submitting </w:t>
      </w:r>
      <w:r w:rsidRPr="005629F8">
        <w:rPr>
          <w:lang w:val="en-AU"/>
        </w:rPr>
        <w:t>3.8 million (80</w:t>
      </w:r>
      <w:r w:rsidR="00A86AC3">
        <w:rPr>
          <w:lang w:val="en-AU"/>
        </w:rPr>
        <w:t xml:space="preserve"> per cent</w:t>
      </w:r>
      <w:r w:rsidRPr="005629F8">
        <w:rPr>
          <w:lang w:val="en-AU"/>
        </w:rPr>
        <w:t>) separations.</w:t>
      </w:r>
    </w:p>
    <w:p w14:paraId="447BB370" w14:textId="77777777" w:rsidR="00664FDC" w:rsidRDefault="00664FDC">
      <w:pPr>
        <w:spacing w:line="259" w:lineRule="auto"/>
        <w:rPr>
          <w:lang w:val="en-AU"/>
        </w:rPr>
      </w:pPr>
      <w:r>
        <w:rPr>
          <w:lang w:val="en-AU"/>
        </w:rPr>
        <w:br w:type="page"/>
      </w:r>
    </w:p>
    <w:p w14:paraId="177A2018" w14:textId="408FEF28" w:rsidR="00D173CD" w:rsidRPr="005629F8" w:rsidRDefault="002F6119" w:rsidP="001F3339">
      <w:pPr>
        <w:rPr>
          <w:lang w:val="en-AU"/>
        </w:rPr>
      </w:pPr>
      <w:r w:rsidRPr="005629F8">
        <w:rPr>
          <w:color w:val="auto"/>
          <w:lang w:val="en-AU"/>
        </w:rPr>
        <w:lastRenderedPageBreak/>
        <w:fldChar w:fldCharType="begin"/>
      </w:r>
      <w:r w:rsidRPr="005629F8">
        <w:rPr>
          <w:color w:val="auto"/>
          <w:lang w:val="en-AU"/>
        </w:rPr>
        <w:instrText xml:space="preserve"> REF _Ref126742605 \h </w:instrText>
      </w:r>
      <w:r w:rsidR="00A06572" w:rsidRPr="005629F8">
        <w:rPr>
          <w:color w:val="auto"/>
          <w:lang w:val="en-AU"/>
        </w:rPr>
        <w:instrText xml:space="preserve"> \* MERGEFORMAT </w:instrText>
      </w:r>
      <w:r w:rsidRPr="005629F8">
        <w:rPr>
          <w:color w:val="auto"/>
          <w:lang w:val="en-AU"/>
        </w:rPr>
      </w:r>
      <w:r w:rsidRPr="005629F8">
        <w:rPr>
          <w:color w:val="auto"/>
          <w:lang w:val="en-AU"/>
        </w:rPr>
        <w:fldChar w:fldCharType="separate"/>
      </w:r>
      <w:r w:rsidR="00E16820" w:rsidRPr="005629F8">
        <w:rPr>
          <w:color w:val="auto"/>
          <w:lang w:val="en-AU"/>
        </w:rPr>
        <w:t xml:space="preserve">Table </w:t>
      </w:r>
      <w:r w:rsidR="00E16820" w:rsidRPr="005629F8">
        <w:rPr>
          <w:noProof/>
          <w:color w:val="auto"/>
          <w:lang w:val="en-AU"/>
        </w:rPr>
        <w:t>2</w:t>
      </w:r>
      <w:r w:rsidRPr="005629F8">
        <w:rPr>
          <w:color w:val="auto"/>
          <w:lang w:val="en-AU"/>
        </w:rPr>
        <w:fldChar w:fldCharType="end"/>
      </w:r>
      <w:r w:rsidR="00D173CD" w:rsidRPr="005629F8">
        <w:rPr>
          <w:color w:val="auto"/>
          <w:lang w:val="en-AU"/>
        </w:rPr>
        <w:t xml:space="preserve"> </w:t>
      </w:r>
      <w:r w:rsidR="00D173CD" w:rsidRPr="005629F8">
        <w:rPr>
          <w:lang w:val="en-AU"/>
        </w:rPr>
        <w:t xml:space="preserve">sets out private hospital statistics for overnight hospitals only. </w:t>
      </w:r>
    </w:p>
    <w:p w14:paraId="42FB1C19" w14:textId="3A06B662" w:rsidR="006A3ACF" w:rsidRPr="005629F8" w:rsidRDefault="002F6119" w:rsidP="00E87B16">
      <w:pPr>
        <w:pStyle w:val="TableFigureheading"/>
      </w:pPr>
      <w:bookmarkStart w:id="36" w:name="_Ref126742605"/>
      <w:bookmarkStart w:id="37" w:name="_Toc139881775"/>
      <w:bookmarkStart w:id="38" w:name="_Toc129179296"/>
      <w:r>
        <w:t xml:space="preserve">Table </w:t>
      </w:r>
      <w:r>
        <w:fldChar w:fldCharType="begin"/>
      </w:r>
      <w:r>
        <w:instrText xml:space="preserve"> SEQ Table \* ARABIC </w:instrText>
      </w:r>
      <w:r>
        <w:fldChar w:fldCharType="separate"/>
      </w:r>
      <w:r w:rsidR="00D3454D" w:rsidRPr="35ADAD77">
        <w:rPr>
          <w:noProof/>
        </w:rPr>
        <w:t>2</w:t>
      </w:r>
      <w:r>
        <w:fldChar w:fldCharType="end"/>
      </w:r>
      <w:bookmarkEnd w:id="36"/>
      <w:r w:rsidRPr="35ADAD77">
        <w:rPr>
          <w:noProof/>
        </w:rPr>
        <w:t xml:space="preserve">. Summary of private </w:t>
      </w:r>
      <w:r w:rsidR="7ADA4C10" w:rsidRPr="35ADAD77">
        <w:rPr>
          <w:noProof/>
        </w:rPr>
        <w:t>hospital</w:t>
      </w:r>
      <w:r w:rsidRPr="35ADAD77">
        <w:rPr>
          <w:noProof/>
        </w:rPr>
        <w:t xml:space="preserve"> statistics</w:t>
      </w:r>
      <w:r w:rsidR="00664FDC" w:rsidRPr="35ADAD77">
        <w:rPr>
          <w:noProof/>
        </w:rPr>
        <w:t xml:space="preserve"> for overnight hospitals</w:t>
      </w:r>
      <w:bookmarkEnd w:id="37"/>
      <w:r w:rsidRPr="35ADAD77">
        <w:rPr>
          <w:noProof/>
        </w:rPr>
        <w:t xml:space="preserve"> </w:t>
      </w:r>
      <w:bookmarkEnd w:id="38"/>
    </w:p>
    <w:tbl>
      <w:tblPr>
        <w:tblW w:w="0" w:type="auto"/>
        <w:tblInd w:w="-30" w:type="dxa"/>
        <w:tblLayout w:type="fixed"/>
        <w:tblLook w:val="0000" w:firstRow="0" w:lastRow="0" w:firstColumn="0" w:lastColumn="0" w:noHBand="0" w:noVBand="0"/>
      </w:tblPr>
      <w:tblGrid>
        <w:gridCol w:w="4166"/>
        <w:gridCol w:w="1327"/>
        <w:gridCol w:w="1327"/>
        <w:gridCol w:w="1326"/>
        <w:gridCol w:w="1327"/>
      </w:tblGrid>
      <w:tr w:rsidR="00A910B5" w:rsidRPr="00A910B5" w14:paraId="14C4B047"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15272F" w:themeFill="accent1"/>
            <w:vAlign w:val="center"/>
          </w:tcPr>
          <w:p w14:paraId="0140D674" w14:textId="77777777" w:rsidR="00C739CB" w:rsidRPr="005629F8" w:rsidRDefault="00C739CB">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Summary</w:t>
            </w:r>
          </w:p>
        </w:tc>
        <w:tc>
          <w:tcPr>
            <w:tcW w:w="1327"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15272F" w:themeFill="accent1"/>
            <w:vAlign w:val="center"/>
          </w:tcPr>
          <w:p w14:paraId="2F6FDF4E" w14:textId="77777777" w:rsidR="00C739CB" w:rsidRPr="005629F8" w:rsidRDefault="00C739CB" w:rsidP="005629F8">
            <w:pPr>
              <w:autoSpaceDE w:val="0"/>
              <w:autoSpaceDN w:val="0"/>
              <w:adjustRightInd w:val="0"/>
              <w:spacing w:after="0" w:line="240" w:lineRule="auto"/>
              <w:jc w:val="center"/>
              <w:rPr>
                <w:rFonts w:cs="Arial"/>
                <w:b/>
                <w:bCs/>
                <w:color w:val="FFFFFF" w:themeColor="background2"/>
                <w:sz w:val="16"/>
                <w:szCs w:val="16"/>
                <w:lang w:val="en-AU"/>
              </w:rPr>
            </w:pPr>
            <w:r w:rsidRPr="005629F8">
              <w:rPr>
                <w:rFonts w:cs="Arial"/>
                <w:b/>
                <w:bCs/>
                <w:color w:val="FFFFFF" w:themeColor="background2"/>
                <w:sz w:val="16"/>
                <w:szCs w:val="16"/>
                <w:lang w:val="en-AU"/>
              </w:rPr>
              <w:t>2019-20</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15272F" w:themeFill="accent1"/>
            <w:vAlign w:val="center"/>
          </w:tcPr>
          <w:p w14:paraId="71D691E5" w14:textId="77777777" w:rsidR="00C739CB" w:rsidRPr="005629F8" w:rsidRDefault="00C739CB" w:rsidP="005629F8">
            <w:pPr>
              <w:autoSpaceDE w:val="0"/>
              <w:autoSpaceDN w:val="0"/>
              <w:adjustRightInd w:val="0"/>
              <w:spacing w:after="0" w:line="240" w:lineRule="auto"/>
              <w:jc w:val="center"/>
              <w:rPr>
                <w:rFonts w:cs="Arial"/>
                <w:b/>
                <w:bCs/>
                <w:color w:val="FFFFFF" w:themeColor="background2"/>
                <w:sz w:val="16"/>
                <w:szCs w:val="16"/>
                <w:lang w:val="en-AU"/>
              </w:rPr>
            </w:pPr>
            <w:r w:rsidRPr="005629F8">
              <w:rPr>
                <w:rFonts w:cs="Arial"/>
                <w:b/>
                <w:bCs/>
                <w:color w:val="FFFFFF" w:themeColor="background2"/>
                <w:sz w:val="16"/>
                <w:szCs w:val="16"/>
                <w:lang w:val="en-AU"/>
              </w:rPr>
              <w:t>2020-21</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15272F" w:themeFill="accent1"/>
            <w:vAlign w:val="center"/>
          </w:tcPr>
          <w:p w14:paraId="4FA7EC5F" w14:textId="77777777" w:rsidR="00C739CB" w:rsidRPr="005629F8" w:rsidRDefault="00C739CB" w:rsidP="005629F8">
            <w:pPr>
              <w:autoSpaceDE w:val="0"/>
              <w:autoSpaceDN w:val="0"/>
              <w:adjustRightInd w:val="0"/>
              <w:spacing w:after="0" w:line="240" w:lineRule="auto"/>
              <w:jc w:val="center"/>
              <w:rPr>
                <w:rFonts w:cs="Arial"/>
                <w:b/>
                <w:bCs/>
                <w:color w:val="FFFFFF" w:themeColor="background2"/>
                <w:sz w:val="16"/>
                <w:szCs w:val="16"/>
                <w:lang w:val="en-AU"/>
              </w:rPr>
            </w:pPr>
            <w:r w:rsidRPr="005629F8">
              <w:rPr>
                <w:rFonts w:cs="Arial"/>
                <w:b/>
                <w:bCs/>
                <w:color w:val="FFFFFF" w:themeColor="background2"/>
                <w:sz w:val="16"/>
                <w:szCs w:val="16"/>
                <w:lang w:val="en-AU"/>
              </w:rPr>
              <w:t>Change</w:t>
            </w:r>
          </w:p>
        </w:tc>
        <w:tc>
          <w:tcPr>
            <w:tcW w:w="1327" w:type="dxa"/>
            <w:tcBorders>
              <w:top w:val="single" w:sz="4" w:space="0" w:color="D9D9D9" w:themeColor="accent6" w:themeShade="D9"/>
              <w:left w:val="nil"/>
              <w:bottom w:val="single" w:sz="4" w:space="0" w:color="D9D9D9" w:themeColor="accent6" w:themeShade="D9"/>
              <w:right w:val="nil"/>
            </w:tcBorders>
            <w:shd w:val="clear" w:color="auto" w:fill="15272F" w:themeFill="accent1"/>
            <w:vAlign w:val="center"/>
          </w:tcPr>
          <w:p w14:paraId="7823E993" w14:textId="77777777" w:rsidR="00C739CB" w:rsidRPr="005629F8" w:rsidRDefault="00C739CB" w:rsidP="005629F8">
            <w:pPr>
              <w:autoSpaceDE w:val="0"/>
              <w:autoSpaceDN w:val="0"/>
              <w:adjustRightInd w:val="0"/>
              <w:spacing w:after="0" w:line="240" w:lineRule="auto"/>
              <w:jc w:val="center"/>
              <w:rPr>
                <w:rFonts w:cs="Arial"/>
                <w:b/>
                <w:bCs/>
                <w:color w:val="FFFFFF" w:themeColor="background2"/>
                <w:sz w:val="16"/>
                <w:szCs w:val="16"/>
                <w:lang w:val="en-AU"/>
              </w:rPr>
            </w:pPr>
            <w:r w:rsidRPr="005629F8">
              <w:rPr>
                <w:rFonts w:cs="Arial"/>
                <w:b/>
                <w:bCs/>
                <w:color w:val="FFFFFF" w:themeColor="background2"/>
                <w:sz w:val="16"/>
                <w:szCs w:val="16"/>
                <w:lang w:val="en-AU"/>
              </w:rPr>
              <w:t>Change (%)</w:t>
            </w:r>
          </w:p>
        </w:tc>
      </w:tr>
      <w:tr w:rsidR="00C739CB" w:rsidRPr="0088109E" w14:paraId="3EC59AF3"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58AB61A4" w14:textId="747B713D" w:rsidR="00C739CB" w:rsidRPr="005629F8" w:rsidRDefault="00C739CB">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Number of overnight hospitals reporting to PHDB</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vAlign w:val="center"/>
          </w:tcPr>
          <w:p w14:paraId="41CDC637"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293</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vAlign w:val="center"/>
          </w:tcPr>
          <w:p w14:paraId="0E3A0C91"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280</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vAlign w:val="center"/>
          </w:tcPr>
          <w:p w14:paraId="6400CF52" w14:textId="7A10E35D"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-13</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vAlign w:val="center"/>
          </w:tcPr>
          <w:p w14:paraId="0E1E62EB"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-4.4%</w:t>
            </w:r>
          </w:p>
        </w:tc>
      </w:tr>
      <w:tr w:rsidR="00C739CB" w:rsidRPr="0088109E" w14:paraId="0EB3BF01"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3DD6445A" w14:textId="77777777" w:rsidR="00C739CB" w:rsidRPr="005629F8" w:rsidRDefault="00C739CB">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Total separations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vAlign w:val="center"/>
          </w:tcPr>
          <w:p w14:paraId="600915FF"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3.5</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vAlign w:val="center"/>
          </w:tcPr>
          <w:p w14:paraId="579DC7A7"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3.8</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vAlign w:val="center"/>
          </w:tcPr>
          <w:p w14:paraId="5B0140B6"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0.3</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vAlign w:val="center"/>
          </w:tcPr>
          <w:p w14:paraId="5A1C674C"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8.6%</w:t>
            </w:r>
          </w:p>
        </w:tc>
      </w:tr>
      <w:tr w:rsidR="00C739CB" w:rsidRPr="0088109E" w14:paraId="7360D9F7"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20B34E86" w14:textId="74EF694F" w:rsidR="00C739CB" w:rsidRPr="005629F8" w:rsidRDefault="00C739CB">
            <w:pPr>
              <w:autoSpaceDE w:val="0"/>
              <w:autoSpaceDN w:val="0"/>
              <w:adjustRightInd w:val="0"/>
              <w:spacing w:after="0" w:line="240" w:lineRule="auto"/>
              <w:rPr>
                <w:rFonts w:cs="Arial"/>
                <w:color w:val="000000"/>
                <w:sz w:val="16"/>
                <w:szCs w:val="16"/>
                <w:lang w:val="en-AU"/>
              </w:rPr>
            </w:pPr>
            <w:proofErr w:type="spellStart"/>
            <w:r w:rsidRPr="005629F8">
              <w:rPr>
                <w:rFonts w:cs="Arial"/>
                <w:color w:val="000000"/>
                <w:sz w:val="16"/>
                <w:szCs w:val="16"/>
                <w:lang w:val="en-AU"/>
              </w:rPr>
              <w:t>Sameday</w:t>
            </w:r>
            <w:proofErr w:type="spellEnd"/>
            <w:r w:rsidRPr="005629F8">
              <w:rPr>
                <w:rFonts w:cs="Arial"/>
                <w:color w:val="000000"/>
                <w:sz w:val="16"/>
                <w:szCs w:val="16"/>
                <w:lang w:val="en-AU"/>
              </w:rPr>
              <w:t xml:space="preserve"> separations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vAlign w:val="center"/>
          </w:tcPr>
          <w:p w14:paraId="19D83742" w14:textId="17EF9D60" w:rsidR="00C739CB" w:rsidRPr="005629F8" w:rsidRDefault="291CB932"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2.3</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vAlign w:val="center"/>
          </w:tcPr>
          <w:p w14:paraId="16CCAAE2"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2.5</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vAlign w:val="center"/>
          </w:tcPr>
          <w:p w14:paraId="44C453A7"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0.2</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vAlign w:val="center"/>
          </w:tcPr>
          <w:p w14:paraId="3ACA064F"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8.7%</w:t>
            </w:r>
          </w:p>
        </w:tc>
      </w:tr>
      <w:tr w:rsidR="00C739CB" w:rsidRPr="0088109E" w14:paraId="6D79F1AB"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6596CDB1" w14:textId="0B071F2F" w:rsidR="00C739CB" w:rsidRPr="005629F8" w:rsidRDefault="00C739CB">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Acute</w:t>
            </w:r>
            <w:r w:rsidR="00225C6A">
              <w:rPr>
                <w:rFonts w:cs="Arial"/>
                <w:color w:val="000000"/>
                <w:sz w:val="16"/>
                <w:szCs w:val="16"/>
                <w:lang w:val="en-AU"/>
              </w:rPr>
              <w:t xml:space="preserve">, </w:t>
            </w:r>
            <w:r w:rsidRPr="005629F8">
              <w:rPr>
                <w:rFonts w:cs="Arial"/>
                <w:color w:val="000000"/>
                <w:sz w:val="16"/>
                <w:szCs w:val="16"/>
                <w:lang w:val="en-AU"/>
              </w:rPr>
              <w:t xml:space="preserve">Newborn </w:t>
            </w:r>
            <w:r w:rsidR="00225C6A">
              <w:rPr>
                <w:rFonts w:cs="Arial"/>
                <w:color w:val="000000"/>
                <w:sz w:val="16"/>
                <w:szCs w:val="16"/>
                <w:lang w:val="en-AU"/>
              </w:rPr>
              <w:t>and Mental Health C</w:t>
            </w:r>
            <w:r w:rsidRPr="005629F8">
              <w:rPr>
                <w:rFonts w:cs="Arial"/>
                <w:color w:val="000000"/>
                <w:sz w:val="16"/>
                <w:szCs w:val="16"/>
                <w:lang w:val="en-AU"/>
              </w:rPr>
              <w:t>are separations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vAlign w:val="center"/>
          </w:tcPr>
          <w:p w14:paraId="655DEDF8" w14:textId="2B44036D" w:rsidR="00C739CB" w:rsidRPr="005629F8" w:rsidRDefault="00225C6A" w:rsidP="005629F8">
            <w:pPr>
              <w:autoSpaceDE w:val="0"/>
              <w:autoSpaceDN w:val="0"/>
              <w:adjustRightInd w:val="0"/>
              <w:spacing w:after="0" w:line="240" w:lineRule="auto"/>
              <w:jc w:val="center"/>
              <w:rPr>
                <w:rFonts w:cs="Arial"/>
                <w:color w:val="000000"/>
                <w:sz w:val="16"/>
                <w:szCs w:val="16"/>
                <w:lang w:val="en-AU"/>
              </w:rPr>
            </w:pPr>
            <w:r>
              <w:rPr>
                <w:rFonts w:cs="Arial"/>
                <w:color w:val="000000"/>
                <w:sz w:val="16"/>
                <w:szCs w:val="16"/>
                <w:lang w:val="en-AU"/>
              </w:rPr>
              <w:t>3.1</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vAlign w:val="center"/>
          </w:tcPr>
          <w:p w14:paraId="5F7F27CC" w14:textId="6B442CA9"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3.</w:t>
            </w:r>
            <w:r w:rsidR="00225C6A">
              <w:rPr>
                <w:rFonts w:cs="Arial"/>
                <w:color w:val="000000"/>
                <w:sz w:val="16"/>
                <w:szCs w:val="16"/>
                <w:lang w:val="en-AU"/>
              </w:rPr>
              <w:t>4</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vAlign w:val="center"/>
          </w:tcPr>
          <w:p w14:paraId="2C269BBF"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0.3</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vAlign w:val="center"/>
          </w:tcPr>
          <w:p w14:paraId="6031B1AC"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10.7%</w:t>
            </w:r>
          </w:p>
        </w:tc>
      </w:tr>
      <w:tr w:rsidR="00C739CB" w:rsidRPr="0088109E" w14:paraId="31F6C846"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7A391352" w14:textId="317234D9" w:rsidR="00C739CB" w:rsidRPr="005629F8" w:rsidRDefault="00225C6A">
            <w:pPr>
              <w:autoSpaceDE w:val="0"/>
              <w:autoSpaceDN w:val="0"/>
              <w:adjustRightInd w:val="0"/>
              <w:spacing w:after="0" w:line="240" w:lineRule="auto"/>
              <w:rPr>
                <w:rFonts w:cs="Arial"/>
                <w:color w:val="000000"/>
                <w:sz w:val="16"/>
                <w:szCs w:val="16"/>
                <w:lang w:val="en-AU"/>
              </w:rPr>
            </w:pPr>
            <w:r>
              <w:rPr>
                <w:rFonts w:cs="Arial"/>
                <w:color w:val="000000"/>
                <w:sz w:val="16"/>
                <w:szCs w:val="16"/>
                <w:lang w:val="en-AU"/>
              </w:rPr>
              <w:t>Total p</w:t>
            </w:r>
            <w:r w:rsidR="00C739CB" w:rsidRPr="005629F8">
              <w:rPr>
                <w:rFonts w:cs="Arial"/>
                <w:color w:val="000000"/>
                <w:sz w:val="16"/>
                <w:szCs w:val="16"/>
                <w:lang w:val="en-AU"/>
              </w:rPr>
              <w:t>atient days of care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vAlign w:val="center"/>
          </w:tcPr>
          <w:p w14:paraId="7AA727B2"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8.7</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vAlign w:val="center"/>
          </w:tcPr>
          <w:p w14:paraId="79AAE20E"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9.1</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vAlign w:val="center"/>
          </w:tcPr>
          <w:p w14:paraId="2BAF1FCF"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0.4</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vAlign w:val="center"/>
          </w:tcPr>
          <w:p w14:paraId="78641140"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4.6%</w:t>
            </w:r>
          </w:p>
        </w:tc>
      </w:tr>
      <w:tr w:rsidR="00C739CB" w:rsidRPr="0088109E" w14:paraId="22BD4544"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636E015D" w14:textId="77777777" w:rsidR="00C739CB" w:rsidRPr="005629F8" w:rsidRDefault="00C739CB">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Average Length of Stay (day)</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vAlign w:val="center"/>
          </w:tcPr>
          <w:p w14:paraId="0E37481F"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2.5</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vAlign w:val="center"/>
          </w:tcPr>
          <w:p w14:paraId="79D67FFC"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2.4</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vAlign w:val="center"/>
          </w:tcPr>
          <w:p w14:paraId="34F8E5A0"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-0.1</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vAlign w:val="center"/>
          </w:tcPr>
          <w:p w14:paraId="4B8E075D" w14:textId="77777777" w:rsidR="00C739CB" w:rsidRPr="005629F8" w:rsidRDefault="00C739CB" w:rsidP="005629F8">
            <w:pPr>
              <w:autoSpaceDE w:val="0"/>
              <w:autoSpaceDN w:val="0"/>
              <w:adjustRightInd w:val="0"/>
              <w:spacing w:after="0" w:line="240" w:lineRule="auto"/>
              <w:jc w:val="center"/>
              <w:rPr>
                <w:rFonts w:cs="Arial"/>
                <w:color w:val="000000"/>
                <w:sz w:val="16"/>
                <w:szCs w:val="16"/>
                <w:lang w:val="en-AU"/>
              </w:rPr>
            </w:pPr>
            <w:r w:rsidRPr="005629F8">
              <w:rPr>
                <w:rFonts w:cs="Arial"/>
                <w:color w:val="000000"/>
                <w:sz w:val="16"/>
                <w:szCs w:val="16"/>
                <w:lang w:val="en-AU"/>
              </w:rPr>
              <w:t>-4.0%</w:t>
            </w:r>
          </w:p>
        </w:tc>
      </w:tr>
    </w:tbl>
    <w:p w14:paraId="40D98AF8" w14:textId="7E48AA5E" w:rsidR="00BC0828" w:rsidRPr="005629F8" w:rsidRDefault="00EB71F7" w:rsidP="00FC4599">
      <w:pPr>
        <w:pStyle w:val="Heading2"/>
      </w:pPr>
      <w:bookmarkStart w:id="39" w:name="_Toc129700438"/>
      <w:bookmarkStart w:id="40" w:name="_Toc129700664"/>
      <w:bookmarkStart w:id="41" w:name="_Toc129701357"/>
      <w:r w:rsidRPr="005629F8">
        <w:t>COVID-19 and the NHCDC</w:t>
      </w:r>
      <w:bookmarkEnd w:id="39"/>
      <w:bookmarkEnd w:id="40"/>
      <w:bookmarkEnd w:id="41"/>
    </w:p>
    <w:p w14:paraId="3C277F25" w14:textId="7B5EE168" w:rsidR="003640D7" w:rsidRDefault="00A41CAF" w:rsidP="005629F8">
      <w:pPr>
        <w:rPr>
          <w:rFonts w:eastAsiaTheme="majorEastAsia" w:cstheme="majorBidi"/>
          <w:color w:val="104F99" w:themeColor="accent2"/>
          <w:sz w:val="36"/>
          <w:szCs w:val="26"/>
          <w:lang w:val="en-AU"/>
        </w:rPr>
      </w:pPr>
      <w:r>
        <w:t xml:space="preserve">The COVID-19 global pandemic impacted Australia from March 2020 onwards, resulting in national lockdowns and jurisdictional restrictions on elective surgeries. This impacted hospital operations (both public and private) and had financial impacts that were reflected in the activity volumes and cost profiles of the data collection. </w:t>
      </w:r>
      <w:r w:rsidR="000C687C">
        <w:t>The pandemic continued into 2</w:t>
      </w:r>
      <w:r>
        <w:t>020-21</w:t>
      </w:r>
      <w:r w:rsidR="000C687C">
        <w:t xml:space="preserve">, though the impact on the </w:t>
      </w:r>
      <w:r>
        <w:t xml:space="preserve">private sector </w:t>
      </w:r>
      <w:r w:rsidR="000C687C">
        <w:t>activity and costs differed to the impact in 2019-20 due to varying public health responses across the country</w:t>
      </w:r>
      <w:r>
        <w:t xml:space="preserve">. Section </w:t>
      </w:r>
      <w:r>
        <w:fldChar w:fldCharType="begin"/>
      </w:r>
      <w:r>
        <w:instrText xml:space="preserve"> REF _Ref128382891 \r \h </w:instrText>
      </w:r>
      <w:r w:rsidR="0068730C" w:rsidRPr="0068730C">
        <w:instrText xml:space="preserve"> \* MERGEFORMAT </w:instrText>
      </w:r>
      <w:r>
        <w:fldChar w:fldCharType="separate"/>
      </w:r>
      <w:r w:rsidRPr="005629F8">
        <w:t>5</w:t>
      </w:r>
      <w:r>
        <w:fldChar w:fldCharType="end"/>
      </w:r>
      <w:r>
        <w:t xml:space="preserve"> of this report provides further background information, </w:t>
      </w:r>
      <w:r w:rsidR="00A86AC3">
        <w:t>outlining</w:t>
      </w:r>
      <w:r>
        <w:t xml:space="preserve"> the costing approach</w:t>
      </w:r>
      <w:r w:rsidR="00605F54">
        <w:t>es</w:t>
      </w:r>
      <w:r>
        <w:t xml:space="preserve"> </w:t>
      </w:r>
      <w:proofErr w:type="spellStart"/>
      <w:r>
        <w:t>utilised</w:t>
      </w:r>
      <w:proofErr w:type="spellEnd"/>
      <w:r>
        <w:t xml:space="preserve"> for COVID-19 and shows analys</w:t>
      </w:r>
      <w:r w:rsidR="00225C6A">
        <w:t>e</w:t>
      </w:r>
      <w:r>
        <w:t xml:space="preserve">s </w:t>
      </w:r>
      <w:r w:rsidR="000C687C">
        <w:t>on the activity volumes in the private sector</w:t>
      </w:r>
      <w:r>
        <w:t>.</w:t>
      </w:r>
    </w:p>
    <w:p w14:paraId="7BBEECF7" w14:textId="6F1DB170" w:rsidR="00BC0828" w:rsidRPr="005629F8" w:rsidRDefault="00EB71F7" w:rsidP="00FC4599">
      <w:pPr>
        <w:pStyle w:val="Heading2"/>
      </w:pPr>
      <w:bookmarkStart w:id="42" w:name="_Toc129700439"/>
      <w:bookmarkStart w:id="43" w:name="_Toc129700665"/>
      <w:bookmarkStart w:id="44" w:name="_Toc129701358"/>
      <w:r w:rsidRPr="005629F8">
        <w:t>Public and private sector differences</w:t>
      </w:r>
      <w:bookmarkEnd w:id="42"/>
      <w:bookmarkEnd w:id="43"/>
      <w:bookmarkEnd w:id="44"/>
    </w:p>
    <w:p w14:paraId="6E98BC44" w14:textId="5AECD085" w:rsidR="00787078" w:rsidRDefault="008D5204" w:rsidP="005629F8">
      <w:pPr>
        <w:rPr>
          <w:lang w:val="en-AU"/>
        </w:rPr>
      </w:pPr>
      <w:r w:rsidRPr="005629F8">
        <w:rPr>
          <w:lang w:val="en-AU"/>
        </w:rPr>
        <w:t>This report does not compare the average cost per separation between the public and private</w:t>
      </w:r>
      <w:r w:rsidRPr="005629F8">
        <w:rPr>
          <w:spacing w:val="1"/>
          <w:lang w:val="en-AU"/>
        </w:rPr>
        <w:t xml:space="preserve"> </w:t>
      </w:r>
      <w:r w:rsidRPr="005629F8">
        <w:rPr>
          <w:lang w:val="en-AU"/>
        </w:rPr>
        <w:t>sectors as the scope of costs between the two sectors is different.</w:t>
      </w:r>
    </w:p>
    <w:p w14:paraId="30CD2C7E" w14:textId="330C3B74" w:rsidR="00787078" w:rsidRPr="005629F8" w:rsidRDefault="008D5204" w:rsidP="008D5204">
      <w:pPr>
        <w:rPr>
          <w:lang w:val="en-AU"/>
        </w:rPr>
      </w:pPr>
      <w:r w:rsidRPr="005629F8">
        <w:rPr>
          <w:lang w:val="en-AU"/>
        </w:rPr>
        <w:t>Many of the cost items</w:t>
      </w:r>
      <w:r w:rsidRPr="005629F8">
        <w:rPr>
          <w:spacing w:val="1"/>
          <w:lang w:val="en-AU"/>
        </w:rPr>
        <w:t xml:space="preserve"> </w:t>
      </w:r>
      <w:r w:rsidRPr="005629F8">
        <w:rPr>
          <w:lang w:val="en-AU"/>
        </w:rPr>
        <w:t xml:space="preserve">present in the public sector such as medical specialist costs, including </w:t>
      </w:r>
      <w:r w:rsidR="0036164B" w:rsidRPr="005629F8">
        <w:rPr>
          <w:lang w:val="en-AU"/>
        </w:rPr>
        <w:t>doctors’</w:t>
      </w:r>
      <w:r w:rsidRPr="005629F8">
        <w:rPr>
          <w:lang w:val="en-AU"/>
        </w:rPr>
        <w:t xml:space="preserve"> fees, </w:t>
      </w:r>
      <w:r w:rsidR="0036164B" w:rsidRPr="005629F8">
        <w:rPr>
          <w:lang w:val="en-AU"/>
        </w:rPr>
        <w:t>pathology</w:t>
      </w:r>
      <w:r w:rsidRPr="005629F8">
        <w:rPr>
          <w:lang w:val="en-AU"/>
        </w:rPr>
        <w:t xml:space="preserve"> and </w:t>
      </w:r>
      <w:proofErr w:type="gramStart"/>
      <w:r w:rsidRPr="005629F8">
        <w:rPr>
          <w:lang w:val="en-AU"/>
        </w:rPr>
        <w:t>imaging</w:t>
      </w:r>
      <w:r w:rsidR="00225C6A">
        <w:rPr>
          <w:lang w:val="en-AU"/>
        </w:rPr>
        <w:t xml:space="preserve"> </w:t>
      </w:r>
      <w:r w:rsidRPr="005629F8">
        <w:rPr>
          <w:spacing w:val="-59"/>
          <w:lang w:val="en-AU"/>
        </w:rPr>
        <w:t xml:space="preserve"> </w:t>
      </w:r>
      <w:r w:rsidRPr="005629F8">
        <w:rPr>
          <w:lang w:val="en-AU"/>
        </w:rPr>
        <w:t>are</w:t>
      </w:r>
      <w:proofErr w:type="gramEnd"/>
      <w:r w:rsidRPr="005629F8">
        <w:rPr>
          <w:lang w:val="en-AU"/>
        </w:rPr>
        <w:t xml:space="preserve"> not represented in private hospital general ledgers. These costs are generally not</w:t>
      </w:r>
      <w:r w:rsidRPr="005629F8">
        <w:rPr>
          <w:spacing w:val="1"/>
          <w:lang w:val="en-AU"/>
        </w:rPr>
        <w:t xml:space="preserve"> </w:t>
      </w:r>
      <w:r w:rsidRPr="005629F8">
        <w:rPr>
          <w:lang w:val="en-AU"/>
        </w:rPr>
        <w:t>reported for the private sector as they are funded through arrangement</w:t>
      </w:r>
      <w:r w:rsidR="0014205B">
        <w:rPr>
          <w:lang w:val="en-AU"/>
        </w:rPr>
        <w:t>s</w:t>
      </w:r>
      <w:r w:rsidRPr="005629F8">
        <w:rPr>
          <w:lang w:val="en-AU"/>
        </w:rPr>
        <w:t xml:space="preserve"> between patients and medical professionals.</w:t>
      </w:r>
    </w:p>
    <w:p w14:paraId="6FB12381" w14:textId="6E25965B" w:rsidR="00EB71F7" w:rsidRPr="005629F8" w:rsidRDefault="000C687C" w:rsidP="005629F8">
      <w:pPr>
        <w:rPr>
          <w:lang w:val="en-AU"/>
        </w:rPr>
      </w:pPr>
      <w:r>
        <w:rPr>
          <w:lang w:val="en-AU"/>
        </w:rPr>
        <w:t>Additionally, s</w:t>
      </w:r>
      <w:r w:rsidR="00FE6A89" w:rsidRPr="0068730C">
        <w:rPr>
          <w:lang w:val="en-AU"/>
        </w:rPr>
        <w:t>ome</w:t>
      </w:r>
      <w:r w:rsidR="00787078" w:rsidRPr="0068730C">
        <w:rPr>
          <w:lang w:val="en-AU"/>
        </w:rPr>
        <w:t xml:space="preserve"> </w:t>
      </w:r>
      <w:r w:rsidR="0014205B">
        <w:rPr>
          <w:lang w:val="en-AU"/>
        </w:rPr>
        <w:t xml:space="preserve">private </w:t>
      </w:r>
      <w:r w:rsidR="00787078" w:rsidRPr="0068730C">
        <w:rPr>
          <w:lang w:val="en-AU"/>
        </w:rPr>
        <w:t>hospitals outsource their pharmacy function to external vendors</w:t>
      </w:r>
      <w:r w:rsidR="00B84E73">
        <w:rPr>
          <w:lang w:val="en-AU"/>
        </w:rPr>
        <w:t xml:space="preserve">. This results </w:t>
      </w:r>
      <w:r w:rsidR="00225C6A">
        <w:rPr>
          <w:lang w:val="en-AU"/>
        </w:rPr>
        <w:t xml:space="preserve">in </w:t>
      </w:r>
      <w:r w:rsidR="00B84E73">
        <w:rPr>
          <w:lang w:val="en-AU"/>
        </w:rPr>
        <w:t xml:space="preserve">variations </w:t>
      </w:r>
      <w:r w:rsidR="00225C6A">
        <w:rPr>
          <w:lang w:val="en-AU"/>
        </w:rPr>
        <w:t>in</w:t>
      </w:r>
      <w:r w:rsidR="00B84E73">
        <w:rPr>
          <w:lang w:val="en-AU"/>
        </w:rPr>
        <w:t xml:space="preserve"> whether </w:t>
      </w:r>
      <w:r w:rsidR="0014205B">
        <w:rPr>
          <w:lang w:val="en-AU"/>
        </w:rPr>
        <w:t xml:space="preserve">PBS rebates are received by the hospitals, and whether </w:t>
      </w:r>
      <w:r w:rsidR="00B84E73">
        <w:rPr>
          <w:lang w:val="en-AU"/>
        </w:rPr>
        <w:t>pharmacy costs</w:t>
      </w:r>
      <w:r w:rsidR="0014205B">
        <w:rPr>
          <w:lang w:val="en-AU"/>
        </w:rPr>
        <w:t xml:space="preserve"> are </w:t>
      </w:r>
      <w:r w:rsidR="00FE6A89" w:rsidRPr="0068730C">
        <w:rPr>
          <w:lang w:val="en-AU"/>
        </w:rPr>
        <w:t xml:space="preserve">reported </w:t>
      </w:r>
      <w:r w:rsidR="00B84E73">
        <w:rPr>
          <w:lang w:val="en-AU"/>
        </w:rPr>
        <w:t xml:space="preserve">including or excluding the </w:t>
      </w:r>
      <w:r w:rsidR="00FE6A89" w:rsidRPr="0068730C">
        <w:rPr>
          <w:lang w:val="en-AU"/>
        </w:rPr>
        <w:t>PBS rebate</w:t>
      </w:r>
      <w:r w:rsidR="001022AF" w:rsidRPr="0068730C">
        <w:rPr>
          <w:lang w:val="en-AU"/>
        </w:rPr>
        <w:t>.</w:t>
      </w:r>
    </w:p>
    <w:p w14:paraId="611FC7D3" w14:textId="1C649428" w:rsidR="00EB71F7" w:rsidRPr="005629F8" w:rsidRDefault="00EB71F7" w:rsidP="00FC4599">
      <w:pPr>
        <w:pStyle w:val="Heading2"/>
      </w:pPr>
      <w:bookmarkStart w:id="45" w:name="_Toc129700440"/>
      <w:bookmarkStart w:id="46" w:name="_Toc129700666"/>
      <w:bookmarkStart w:id="47" w:name="_Toc129701359"/>
      <w:r w:rsidRPr="005629F8">
        <w:t>Confidentiality of data</w:t>
      </w:r>
      <w:bookmarkEnd w:id="45"/>
      <w:bookmarkEnd w:id="46"/>
      <w:bookmarkEnd w:id="47"/>
    </w:p>
    <w:p w14:paraId="2A7B3C68" w14:textId="3306137A" w:rsidR="00EB71F7" w:rsidRPr="005629F8" w:rsidRDefault="00EB71F7" w:rsidP="00EB71F7">
      <w:pPr>
        <w:rPr>
          <w:lang w:val="en-AU"/>
        </w:rPr>
      </w:pPr>
      <w:r w:rsidRPr="005629F8">
        <w:rPr>
          <w:lang w:val="en-AU"/>
        </w:rPr>
        <w:t xml:space="preserve">Due to the commercial nature of the sector, all participating hospitals in </w:t>
      </w:r>
      <w:r w:rsidR="00F27379">
        <w:rPr>
          <w:lang w:val="en-AU"/>
        </w:rPr>
        <w:t>20</w:t>
      </w:r>
      <w:r w:rsidR="000531FD" w:rsidRPr="005629F8">
        <w:rPr>
          <w:lang w:val="en-AU"/>
        </w:rPr>
        <w:t>20-21</w:t>
      </w:r>
      <w:r w:rsidRPr="005629F8">
        <w:rPr>
          <w:lang w:val="en-AU"/>
        </w:rPr>
        <w:t xml:space="preserve"> are </w:t>
      </w:r>
      <w:proofErr w:type="gramStart"/>
      <w:r w:rsidRPr="005629F8">
        <w:rPr>
          <w:lang w:val="en-AU"/>
        </w:rPr>
        <w:t>requested</w:t>
      </w:r>
      <w:r w:rsidRPr="005629F8">
        <w:rPr>
          <w:spacing w:val="-59"/>
          <w:lang w:val="en-AU"/>
        </w:rPr>
        <w:t xml:space="preserve"> </w:t>
      </w:r>
      <w:r w:rsidR="008D5204" w:rsidRPr="005629F8">
        <w:rPr>
          <w:lang w:val="en-AU"/>
        </w:rPr>
        <w:t xml:space="preserve"> to</w:t>
      </w:r>
      <w:proofErr w:type="gramEnd"/>
      <w:r w:rsidR="008D5204" w:rsidRPr="005629F8">
        <w:rPr>
          <w:lang w:val="en-AU"/>
        </w:rPr>
        <w:t xml:space="preserve"> </w:t>
      </w:r>
      <w:r w:rsidRPr="005629F8">
        <w:rPr>
          <w:lang w:val="en-AU"/>
        </w:rPr>
        <w:t>sign a</w:t>
      </w:r>
      <w:r w:rsidRPr="005629F8">
        <w:rPr>
          <w:spacing w:val="-3"/>
          <w:lang w:val="en-AU"/>
        </w:rPr>
        <w:t xml:space="preserve"> </w:t>
      </w:r>
      <w:r w:rsidRPr="005629F8">
        <w:rPr>
          <w:lang w:val="en-AU"/>
        </w:rPr>
        <w:t>confidentiality</w:t>
      </w:r>
      <w:r w:rsidRPr="005629F8">
        <w:rPr>
          <w:spacing w:val="-2"/>
          <w:lang w:val="en-AU"/>
        </w:rPr>
        <w:t xml:space="preserve"> </w:t>
      </w:r>
      <w:r w:rsidRPr="005629F8">
        <w:rPr>
          <w:lang w:val="en-AU"/>
        </w:rPr>
        <w:t>agreement</w:t>
      </w:r>
      <w:r w:rsidRPr="005629F8">
        <w:rPr>
          <w:spacing w:val="2"/>
          <w:lang w:val="en-AU"/>
        </w:rPr>
        <w:t xml:space="preserve"> </w:t>
      </w:r>
      <w:r w:rsidRPr="005629F8">
        <w:rPr>
          <w:lang w:val="en-AU"/>
        </w:rPr>
        <w:t>before</w:t>
      </w:r>
      <w:r w:rsidRPr="005629F8">
        <w:rPr>
          <w:spacing w:val="-3"/>
          <w:lang w:val="en-AU"/>
        </w:rPr>
        <w:t xml:space="preserve"> </w:t>
      </w:r>
      <w:r w:rsidRPr="005629F8">
        <w:rPr>
          <w:lang w:val="en-AU"/>
        </w:rPr>
        <w:t>any</w:t>
      </w:r>
      <w:r w:rsidRPr="005629F8">
        <w:rPr>
          <w:spacing w:val="-4"/>
          <w:lang w:val="en-AU"/>
        </w:rPr>
        <w:t xml:space="preserve"> </w:t>
      </w:r>
      <w:r w:rsidRPr="005629F8">
        <w:rPr>
          <w:lang w:val="en-AU"/>
        </w:rPr>
        <w:t>final reports are</w:t>
      </w:r>
      <w:r w:rsidRPr="005629F8">
        <w:rPr>
          <w:spacing w:val="-2"/>
          <w:lang w:val="en-AU"/>
        </w:rPr>
        <w:t xml:space="preserve"> </w:t>
      </w:r>
      <w:r w:rsidRPr="005629F8">
        <w:rPr>
          <w:lang w:val="en-AU"/>
        </w:rPr>
        <w:t>released.</w:t>
      </w:r>
    </w:p>
    <w:p w14:paraId="66289592" w14:textId="4FB31870" w:rsidR="00EB71F7" w:rsidRPr="005629F8" w:rsidRDefault="00EB71F7">
      <w:pPr>
        <w:spacing w:line="259" w:lineRule="auto"/>
        <w:rPr>
          <w:rFonts w:ascii="Fira Sans Bold" w:eastAsiaTheme="majorEastAsia" w:hAnsi="Fira Sans Bold" w:cstheme="majorBidi"/>
          <w:color w:val="008F55" w:themeColor="accent4"/>
          <w:sz w:val="26"/>
          <w:szCs w:val="24"/>
          <w:lang w:val="en-AU"/>
        </w:rPr>
      </w:pPr>
      <w:r w:rsidRPr="005629F8">
        <w:rPr>
          <w:lang w:val="en-AU"/>
        </w:rPr>
        <w:t>In this report, cost weight information will not be presented (masked) if there is insufficient</w:t>
      </w:r>
      <w:r w:rsidRPr="005629F8">
        <w:rPr>
          <w:spacing w:val="1"/>
          <w:lang w:val="en-AU"/>
        </w:rPr>
        <w:t xml:space="preserve"> </w:t>
      </w:r>
      <w:r w:rsidRPr="005629F8">
        <w:rPr>
          <w:lang w:val="en-AU"/>
        </w:rPr>
        <w:t>volume. If a cost weight for an AR-DRG is based on fewer than five separations</w:t>
      </w:r>
      <w:r w:rsidR="00D418D9">
        <w:rPr>
          <w:lang w:val="en-AU"/>
        </w:rPr>
        <w:t xml:space="preserve"> </w:t>
      </w:r>
      <w:r w:rsidR="000512E3">
        <w:rPr>
          <w:lang w:val="en-AU"/>
        </w:rPr>
        <w:t>and/</w:t>
      </w:r>
      <w:r w:rsidR="00D418D9">
        <w:rPr>
          <w:lang w:val="en-AU"/>
        </w:rPr>
        <w:t xml:space="preserve">or fewer than three hospitals contributing to </w:t>
      </w:r>
      <w:r w:rsidR="00D418D9" w:rsidRPr="005629F8">
        <w:rPr>
          <w:lang w:val="en-AU"/>
        </w:rPr>
        <w:t>a</w:t>
      </w:r>
      <w:r w:rsidR="00D418D9" w:rsidRPr="005629F8">
        <w:rPr>
          <w:spacing w:val="1"/>
          <w:lang w:val="en-AU"/>
        </w:rPr>
        <w:t xml:space="preserve"> </w:t>
      </w:r>
      <w:r w:rsidR="00D418D9" w:rsidRPr="005629F8">
        <w:rPr>
          <w:lang w:val="en-AU"/>
        </w:rPr>
        <w:t>particular AR-DRG</w:t>
      </w:r>
      <w:r w:rsidRPr="005629F8">
        <w:rPr>
          <w:lang w:val="en-AU"/>
        </w:rPr>
        <w:t>, the figures for this</w:t>
      </w:r>
      <w:r w:rsidRPr="005629F8">
        <w:rPr>
          <w:spacing w:val="1"/>
          <w:lang w:val="en-AU"/>
        </w:rPr>
        <w:t xml:space="preserve"> </w:t>
      </w:r>
      <w:r w:rsidRPr="005629F8">
        <w:rPr>
          <w:lang w:val="en-AU"/>
        </w:rPr>
        <w:t>cost weight have been replaced by asterisks (*****).</w:t>
      </w:r>
    </w:p>
    <w:p w14:paraId="6DE23C9A" w14:textId="0DC5B2ED" w:rsidR="00EB71F7" w:rsidRPr="005629F8" w:rsidRDefault="00B7555D" w:rsidP="00FC4599">
      <w:pPr>
        <w:pStyle w:val="Heading1"/>
      </w:pPr>
      <w:bookmarkStart w:id="48" w:name="_Toc129701360"/>
      <w:r w:rsidRPr="005629F8">
        <w:lastRenderedPageBreak/>
        <w:t>Scope and methodology</w:t>
      </w:r>
      <w:bookmarkEnd w:id="48"/>
    </w:p>
    <w:p w14:paraId="76A7A880" w14:textId="7B9DA77D" w:rsidR="00EB71F7" w:rsidRPr="005629F8" w:rsidRDefault="00B7555D" w:rsidP="00FC4599">
      <w:pPr>
        <w:pStyle w:val="Heading2"/>
        <w:rPr>
          <w:highlight w:val="yellow"/>
        </w:rPr>
      </w:pPr>
      <w:bookmarkStart w:id="49" w:name="_Toc129700442"/>
      <w:bookmarkStart w:id="50" w:name="_Toc129700668"/>
      <w:bookmarkStart w:id="51" w:name="_Toc129701361"/>
      <w:r w:rsidRPr="005629F8">
        <w:t>Scope</w:t>
      </w:r>
      <w:bookmarkEnd w:id="49"/>
      <w:bookmarkEnd w:id="50"/>
      <w:bookmarkEnd w:id="51"/>
    </w:p>
    <w:p w14:paraId="03DA7B99" w14:textId="3A786095" w:rsidR="00B7555D" w:rsidRPr="005629F8" w:rsidRDefault="00B7555D" w:rsidP="00B7555D">
      <w:pPr>
        <w:rPr>
          <w:lang w:val="en-AU"/>
        </w:rPr>
      </w:pPr>
      <w:r w:rsidRPr="005629F8">
        <w:rPr>
          <w:lang w:val="en-AU"/>
        </w:rPr>
        <w:t xml:space="preserve">The scope of the </w:t>
      </w:r>
      <w:r w:rsidR="008B2AA0" w:rsidRPr="005629F8">
        <w:rPr>
          <w:lang w:val="en-AU"/>
        </w:rPr>
        <w:t xml:space="preserve">2020-21 </w:t>
      </w:r>
      <w:r w:rsidRPr="005629F8">
        <w:rPr>
          <w:lang w:val="en-AU"/>
        </w:rPr>
        <w:t>private sector NHCDC includes acute patients admitted to overnight</w:t>
      </w:r>
      <w:r w:rsidRPr="005629F8">
        <w:rPr>
          <w:spacing w:val="1"/>
          <w:lang w:val="en-AU"/>
        </w:rPr>
        <w:t xml:space="preserve"> </w:t>
      </w:r>
      <w:r w:rsidRPr="005629F8">
        <w:rPr>
          <w:lang w:val="en-AU"/>
        </w:rPr>
        <w:t>private hospitals in Australia who were discharged in</w:t>
      </w:r>
      <w:r w:rsidR="00B84E73">
        <w:rPr>
          <w:lang w:val="en-AU"/>
        </w:rPr>
        <w:t xml:space="preserve"> the </w:t>
      </w:r>
      <w:r w:rsidR="006A3ACF" w:rsidRPr="005629F8">
        <w:rPr>
          <w:lang w:val="en-AU"/>
        </w:rPr>
        <w:t>20</w:t>
      </w:r>
      <w:r w:rsidR="008B2AA0" w:rsidRPr="005629F8">
        <w:rPr>
          <w:lang w:val="en-AU"/>
        </w:rPr>
        <w:t>20-21</w:t>
      </w:r>
      <w:r w:rsidR="00B84E73">
        <w:rPr>
          <w:lang w:val="en-AU"/>
        </w:rPr>
        <w:t xml:space="preserve"> financial year</w:t>
      </w:r>
      <w:r w:rsidRPr="005629F8">
        <w:rPr>
          <w:lang w:val="en-AU"/>
        </w:rPr>
        <w:t>. This includes</w:t>
      </w:r>
      <w:r w:rsidRPr="005629F8">
        <w:rPr>
          <w:spacing w:val="1"/>
          <w:lang w:val="en-AU"/>
        </w:rPr>
        <w:t xml:space="preserve"> </w:t>
      </w:r>
      <w:r w:rsidRPr="005629F8">
        <w:rPr>
          <w:lang w:val="en-AU"/>
        </w:rPr>
        <w:t xml:space="preserve">patients that were admitted to a hospital, were classified under the AR-DRG and had a care </w:t>
      </w:r>
      <w:proofErr w:type="gramStart"/>
      <w:r w:rsidRPr="005629F8">
        <w:rPr>
          <w:lang w:val="en-AU"/>
        </w:rPr>
        <w:t>type</w:t>
      </w:r>
      <w:r w:rsidR="008B2AA0" w:rsidRPr="005629F8">
        <w:rPr>
          <w:lang w:val="en-AU"/>
        </w:rPr>
        <w:t xml:space="preserve"> </w:t>
      </w:r>
      <w:r w:rsidRPr="005629F8">
        <w:rPr>
          <w:spacing w:val="-59"/>
          <w:lang w:val="en-AU"/>
        </w:rPr>
        <w:t xml:space="preserve"> </w:t>
      </w:r>
      <w:r w:rsidRPr="005629F8">
        <w:rPr>
          <w:lang w:val="en-AU"/>
        </w:rPr>
        <w:t>of</w:t>
      </w:r>
      <w:proofErr w:type="gramEnd"/>
      <w:r w:rsidRPr="005629F8">
        <w:rPr>
          <w:lang w:val="en-AU"/>
        </w:rPr>
        <w:t xml:space="preserve"> admitted acute, qualified newborn</w:t>
      </w:r>
      <w:r w:rsidR="002A31F6" w:rsidRPr="005629F8">
        <w:rPr>
          <w:rStyle w:val="FootnoteReference"/>
          <w:lang w:val="en-AU"/>
        </w:rPr>
        <w:footnoteReference w:id="4"/>
      </w:r>
      <w:r w:rsidRPr="005629F8">
        <w:rPr>
          <w:lang w:val="en-AU"/>
        </w:rPr>
        <w:t>, mental health or other admitted patient care (see ‘</w:t>
      </w:r>
      <w:r w:rsidR="00443BA0" w:rsidRPr="005629F8">
        <w:rPr>
          <w:lang w:val="en-AU"/>
        </w:rPr>
        <w:t>I</w:t>
      </w:r>
      <w:r w:rsidRPr="005629F8">
        <w:rPr>
          <w:lang w:val="en-AU"/>
        </w:rPr>
        <w:t>n</w:t>
      </w:r>
      <w:r w:rsidR="002759D9" w:rsidRPr="005629F8">
        <w:rPr>
          <w:lang w:val="en-AU"/>
        </w:rPr>
        <w:t>-</w:t>
      </w:r>
      <w:r w:rsidR="007C6198" w:rsidRPr="005629F8">
        <w:rPr>
          <w:lang w:val="en-AU"/>
        </w:rPr>
        <w:t xml:space="preserve">scope care </w:t>
      </w:r>
      <w:r w:rsidRPr="005629F8">
        <w:rPr>
          <w:lang w:val="en-AU"/>
        </w:rPr>
        <w:t>types’</w:t>
      </w:r>
      <w:r w:rsidR="00443BA0" w:rsidRPr="005629F8">
        <w:rPr>
          <w:lang w:val="en-AU"/>
        </w:rPr>
        <w:t xml:space="preserve"> below</w:t>
      </w:r>
      <w:r w:rsidRPr="005629F8">
        <w:rPr>
          <w:lang w:val="en-AU"/>
        </w:rPr>
        <w:t>). Any references to admitted acute in this report relate to these care types unless</w:t>
      </w:r>
      <w:r w:rsidRPr="005629F8">
        <w:rPr>
          <w:spacing w:val="1"/>
          <w:lang w:val="en-AU"/>
        </w:rPr>
        <w:t xml:space="preserve"> </w:t>
      </w:r>
      <w:r w:rsidRPr="005629F8">
        <w:rPr>
          <w:lang w:val="en-AU"/>
        </w:rPr>
        <w:t>stated</w:t>
      </w:r>
      <w:r w:rsidRPr="005629F8">
        <w:rPr>
          <w:spacing w:val="-3"/>
          <w:lang w:val="en-AU"/>
        </w:rPr>
        <w:t xml:space="preserve"> </w:t>
      </w:r>
      <w:r w:rsidRPr="005629F8">
        <w:rPr>
          <w:lang w:val="en-AU"/>
        </w:rPr>
        <w:t>otherwise.</w:t>
      </w:r>
    </w:p>
    <w:p w14:paraId="6FC44D35" w14:textId="23E44AB8" w:rsidR="00B7555D" w:rsidRPr="005629F8" w:rsidRDefault="00B7555D" w:rsidP="00B7555D">
      <w:pPr>
        <w:rPr>
          <w:lang w:val="en-AU"/>
        </w:rPr>
      </w:pPr>
      <w:r w:rsidRPr="005629F8">
        <w:rPr>
          <w:lang w:val="en-AU"/>
        </w:rPr>
        <w:t>For this report, an overnight hospital was considered in</w:t>
      </w:r>
      <w:r w:rsidR="0012555A">
        <w:rPr>
          <w:lang w:val="en-AU"/>
        </w:rPr>
        <w:t>-</w:t>
      </w:r>
      <w:r w:rsidRPr="005629F8">
        <w:rPr>
          <w:lang w:val="en-AU"/>
        </w:rPr>
        <w:t>scope if it performed at least 200</w:t>
      </w:r>
      <w:r w:rsidRPr="005629F8">
        <w:rPr>
          <w:spacing w:val="-59"/>
          <w:lang w:val="en-AU"/>
        </w:rPr>
        <w:t xml:space="preserve"> </w:t>
      </w:r>
      <w:r w:rsidR="007C6198" w:rsidRPr="005629F8">
        <w:rPr>
          <w:spacing w:val="-59"/>
          <w:lang w:val="en-AU"/>
        </w:rPr>
        <w:t xml:space="preserve"> </w:t>
      </w:r>
      <w:r w:rsidR="007C6198" w:rsidRPr="005629F8">
        <w:rPr>
          <w:lang w:val="en-AU"/>
        </w:rPr>
        <w:t xml:space="preserve"> admitted</w:t>
      </w:r>
      <w:r w:rsidRPr="005629F8">
        <w:rPr>
          <w:spacing w:val="-3"/>
          <w:lang w:val="en-AU"/>
        </w:rPr>
        <w:t xml:space="preserve"> </w:t>
      </w:r>
      <w:r w:rsidRPr="005629F8">
        <w:rPr>
          <w:lang w:val="en-AU"/>
        </w:rPr>
        <w:t>acute separations</w:t>
      </w:r>
      <w:r w:rsidRPr="005629F8">
        <w:rPr>
          <w:spacing w:val="2"/>
          <w:lang w:val="en-AU"/>
        </w:rPr>
        <w:t xml:space="preserve"> </w:t>
      </w:r>
      <w:r w:rsidRPr="005629F8">
        <w:rPr>
          <w:lang w:val="en-AU"/>
        </w:rPr>
        <w:t>in the</w:t>
      </w:r>
      <w:r w:rsidRPr="005629F8">
        <w:rPr>
          <w:spacing w:val="-2"/>
          <w:lang w:val="en-AU"/>
        </w:rPr>
        <w:t xml:space="preserve"> </w:t>
      </w:r>
      <w:r w:rsidRPr="005629F8">
        <w:rPr>
          <w:lang w:val="en-AU"/>
        </w:rPr>
        <w:t>relevant</w:t>
      </w:r>
      <w:r w:rsidRPr="005629F8">
        <w:rPr>
          <w:spacing w:val="1"/>
          <w:lang w:val="en-AU"/>
        </w:rPr>
        <w:t xml:space="preserve"> </w:t>
      </w:r>
      <w:r w:rsidRPr="005629F8">
        <w:rPr>
          <w:lang w:val="en-AU"/>
        </w:rPr>
        <w:t>year.</w:t>
      </w:r>
    </w:p>
    <w:p w14:paraId="58D2E609" w14:textId="6EB92598" w:rsidR="00B7555D" w:rsidRPr="005629F8" w:rsidRDefault="00B84E73" w:rsidP="00B7555D">
      <w:pPr>
        <w:rPr>
          <w:lang w:val="en-AU"/>
        </w:rPr>
      </w:pPr>
      <w:r>
        <w:rPr>
          <w:lang w:val="en-AU"/>
        </w:rPr>
        <w:t>Participants</w:t>
      </w:r>
      <w:r w:rsidR="00B7555D" w:rsidRPr="005629F8">
        <w:rPr>
          <w:lang w:val="en-AU"/>
        </w:rPr>
        <w:t xml:space="preserve"> were invited to submit subacute data again</w:t>
      </w:r>
      <w:r w:rsidR="008B2AA0" w:rsidRPr="005629F8">
        <w:rPr>
          <w:lang w:val="en-AU"/>
        </w:rPr>
        <w:t xml:space="preserve"> in 2020</w:t>
      </w:r>
      <w:r w:rsidR="00C82F8C">
        <w:rPr>
          <w:lang w:val="en-AU"/>
        </w:rPr>
        <w:noBreakHyphen/>
      </w:r>
      <w:r w:rsidR="008B2AA0" w:rsidRPr="005629F8">
        <w:rPr>
          <w:lang w:val="en-AU"/>
        </w:rPr>
        <w:t>21</w:t>
      </w:r>
      <w:r w:rsidR="00B7555D" w:rsidRPr="005629F8">
        <w:rPr>
          <w:lang w:val="en-AU"/>
        </w:rPr>
        <w:t xml:space="preserve">, but analysis of subacute data has not been included due to insufficient participation. This remains unchanged from the previous </w:t>
      </w:r>
      <w:r w:rsidR="00EE6138">
        <w:rPr>
          <w:lang w:val="en-AU"/>
        </w:rPr>
        <w:t xml:space="preserve">two </w:t>
      </w:r>
      <w:r w:rsidR="007164B7" w:rsidRPr="005629F8">
        <w:rPr>
          <w:lang w:val="en-AU"/>
        </w:rPr>
        <w:t>financial year</w:t>
      </w:r>
      <w:r w:rsidR="00EE6138">
        <w:rPr>
          <w:lang w:val="en-AU"/>
        </w:rPr>
        <w:t>s</w:t>
      </w:r>
      <w:r w:rsidR="00B7555D" w:rsidRPr="005629F8">
        <w:rPr>
          <w:lang w:val="en-AU"/>
        </w:rPr>
        <w:t>, as its inclusion would lead to potentially inappropriate or biased representation of the cost profile for</w:t>
      </w:r>
      <w:r w:rsidR="00B7555D" w:rsidRPr="005629F8">
        <w:rPr>
          <w:spacing w:val="1"/>
          <w:lang w:val="en-AU"/>
        </w:rPr>
        <w:t xml:space="preserve"> </w:t>
      </w:r>
      <w:r w:rsidR="00B7555D" w:rsidRPr="005629F8">
        <w:rPr>
          <w:lang w:val="en-AU"/>
        </w:rPr>
        <w:t>subacute</w:t>
      </w:r>
      <w:r w:rsidR="00B7555D" w:rsidRPr="005629F8">
        <w:rPr>
          <w:spacing w:val="-1"/>
          <w:lang w:val="en-AU"/>
        </w:rPr>
        <w:t xml:space="preserve"> </w:t>
      </w:r>
      <w:r w:rsidR="00B7555D" w:rsidRPr="005629F8">
        <w:rPr>
          <w:lang w:val="en-AU"/>
        </w:rPr>
        <w:t>activity</w:t>
      </w:r>
      <w:r w:rsidR="00B7555D" w:rsidRPr="005629F8">
        <w:rPr>
          <w:spacing w:val="-2"/>
          <w:lang w:val="en-AU"/>
        </w:rPr>
        <w:t xml:space="preserve"> </w:t>
      </w:r>
      <w:r w:rsidR="00B7555D" w:rsidRPr="005629F8">
        <w:rPr>
          <w:lang w:val="en-AU"/>
        </w:rPr>
        <w:t>in the</w:t>
      </w:r>
      <w:r w:rsidR="00B7555D" w:rsidRPr="005629F8">
        <w:rPr>
          <w:spacing w:val="1"/>
          <w:lang w:val="en-AU"/>
        </w:rPr>
        <w:t xml:space="preserve"> </w:t>
      </w:r>
      <w:r w:rsidR="00B7555D" w:rsidRPr="005629F8">
        <w:rPr>
          <w:lang w:val="en-AU"/>
        </w:rPr>
        <w:t>population.</w:t>
      </w:r>
    </w:p>
    <w:p w14:paraId="2DCFC3CF" w14:textId="1989605F" w:rsidR="00B7555D" w:rsidRPr="005629F8" w:rsidRDefault="00B84E73" w:rsidP="00B7555D">
      <w:pPr>
        <w:rPr>
          <w:lang w:val="en-AU"/>
        </w:rPr>
      </w:pPr>
      <w:r>
        <w:rPr>
          <w:lang w:val="en-AU"/>
        </w:rPr>
        <w:t xml:space="preserve">The </w:t>
      </w:r>
      <w:r w:rsidR="007164B7" w:rsidRPr="005629F8">
        <w:rPr>
          <w:lang w:val="en-AU"/>
        </w:rPr>
        <w:t>2018-19</w:t>
      </w:r>
      <w:r w:rsidR="00B7555D" w:rsidRPr="005629F8">
        <w:rPr>
          <w:lang w:val="en-AU"/>
        </w:rPr>
        <w:t xml:space="preserve"> </w:t>
      </w:r>
      <w:r>
        <w:rPr>
          <w:lang w:val="en-AU"/>
        </w:rPr>
        <w:t xml:space="preserve">NHCDC </w:t>
      </w:r>
      <w:r w:rsidR="00B7555D" w:rsidRPr="005629F8">
        <w:rPr>
          <w:lang w:val="en-AU"/>
        </w:rPr>
        <w:t xml:space="preserve">was the first </w:t>
      </w:r>
      <w:r w:rsidR="006A3ACF" w:rsidRPr="005629F8">
        <w:rPr>
          <w:lang w:val="en-AU"/>
        </w:rPr>
        <w:t xml:space="preserve">year </w:t>
      </w:r>
      <w:r w:rsidR="00B7555D" w:rsidRPr="005629F8">
        <w:rPr>
          <w:lang w:val="en-AU"/>
        </w:rPr>
        <w:t>in which some hospital groups began submitting</w:t>
      </w:r>
      <w:r w:rsidR="00B7555D" w:rsidRPr="005629F8">
        <w:rPr>
          <w:spacing w:val="1"/>
          <w:lang w:val="en-AU"/>
        </w:rPr>
        <w:t xml:space="preserve"> </w:t>
      </w:r>
      <w:r w:rsidR="00B7555D" w:rsidRPr="005629F8">
        <w:rPr>
          <w:lang w:val="en-AU"/>
        </w:rPr>
        <w:t xml:space="preserve">admitted mental health episodes under care type 11.0. Prior to the introduction of care type 11.0, admitted mental health episodes were classified as admitted acute. </w:t>
      </w:r>
      <w:r w:rsidR="002759D9" w:rsidRPr="005629F8">
        <w:rPr>
          <w:lang w:val="en-AU"/>
        </w:rPr>
        <w:t xml:space="preserve">In </w:t>
      </w:r>
      <w:r w:rsidR="00EE6138">
        <w:rPr>
          <w:lang w:val="en-AU"/>
        </w:rPr>
        <w:t>the past three years</w:t>
      </w:r>
      <w:r>
        <w:rPr>
          <w:lang w:val="en-AU"/>
        </w:rPr>
        <w:t>,</w:t>
      </w:r>
      <w:r w:rsidR="007164B7" w:rsidRPr="005629F8">
        <w:rPr>
          <w:lang w:val="en-AU"/>
        </w:rPr>
        <w:t xml:space="preserve"> </w:t>
      </w:r>
      <w:r w:rsidR="00B7555D" w:rsidRPr="005629F8">
        <w:rPr>
          <w:lang w:val="en-AU"/>
        </w:rPr>
        <w:t xml:space="preserve">mental health activity </w:t>
      </w:r>
      <w:r w:rsidR="00EE6138">
        <w:rPr>
          <w:lang w:val="en-AU"/>
        </w:rPr>
        <w:t xml:space="preserve">has been </w:t>
      </w:r>
      <w:r w:rsidR="002759D9" w:rsidRPr="005629F8">
        <w:rPr>
          <w:lang w:val="en-AU"/>
        </w:rPr>
        <w:t xml:space="preserve">combined </w:t>
      </w:r>
      <w:r w:rsidR="00B7555D" w:rsidRPr="005629F8">
        <w:rPr>
          <w:lang w:val="en-AU"/>
        </w:rPr>
        <w:t>with other admitted acute activity due to insufficient volume.</w:t>
      </w:r>
      <w:r w:rsidR="007164B7" w:rsidRPr="005629F8">
        <w:rPr>
          <w:lang w:val="en-AU"/>
        </w:rPr>
        <w:t xml:space="preserve"> </w:t>
      </w:r>
      <w:r w:rsidR="002759D9" w:rsidRPr="005629F8">
        <w:rPr>
          <w:lang w:val="en-AU"/>
        </w:rPr>
        <w:t xml:space="preserve">As </w:t>
      </w:r>
      <w:r w:rsidR="00EE6138">
        <w:rPr>
          <w:lang w:val="en-AU"/>
        </w:rPr>
        <w:t xml:space="preserve">all three </w:t>
      </w:r>
      <w:r w:rsidR="002759D9" w:rsidRPr="005629F8">
        <w:rPr>
          <w:lang w:val="en-AU"/>
        </w:rPr>
        <w:t>years include mental health</w:t>
      </w:r>
      <w:r w:rsidR="00443BA0" w:rsidRPr="005629F8">
        <w:rPr>
          <w:lang w:val="en-AU"/>
        </w:rPr>
        <w:t>, it enables like-for-like</w:t>
      </w:r>
      <w:r w:rsidR="00B7555D" w:rsidRPr="005629F8">
        <w:rPr>
          <w:spacing w:val="-3"/>
          <w:lang w:val="en-AU"/>
        </w:rPr>
        <w:t xml:space="preserve"> </w:t>
      </w:r>
      <w:r w:rsidR="00B7555D" w:rsidRPr="005629F8">
        <w:rPr>
          <w:lang w:val="en-AU"/>
        </w:rPr>
        <w:t>comparisons</w:t>
      </w:r>
      <w:r w:rsidR="00B7555D" w:rsidRPr="005629F8">
        <w:rPr>
          <w:spacing w:val="-2"/>
          <w:lang w:val="en-AU"/>
        </w:rPr>
        <w:t xml:space="preserve"> </w:t>
      </w:r>
      <w:r w:rsidR="00B7555D" w:rsidRPr="005629F8">
        <w:rPr>
          <w:lang w:val="en-AU"/>
        </w:rPr>
        <w:t>to</w:t>
      </w:r>
      <w:r w:rsidR="00B7555D" w:rsidRPr="005629F8">
        <w:rPr>
          <w:spacing w:val="-2"/>
          <w:lang w:val="en-AU"/>
        </w:rPr>
        <w:t xml:space="preserve"> </w:t>
      </w:r>
      <w:r w:rsidR="00B7555D" w:rsidRPr="005629F8">
        <w:rPr>
          <w:lang w:val="en-AU"/>
        </w:rPr>
        <w:t>be</w:t>
      </w:r>
      <w:r w:rsidR="00B7555D" w:rsidRPr="005629F8">
        <w:rPr>
          <w:spacing w:val="-2"/>
          <w:lang w:val="en-AU"/>
        </w:rPr>
        <w:t xml:space="preserve"> </w:t>
      </w:r>
      <w:r w:rsidR="00B7555D" w:rsidRPr="005629F8">
        <w:rPr>
          <w:lang w:val="en-AU"/>
        </w:rPr>
        <w:t>made</w:t>
      </w:r>
      <w:r w:rsidR="00B7555D" w:rsidRPr="005629F8">
        <w:rPr>
          <w:spacing w:val="-1"/>
          <w:lang w:val="en-AU"/>
        </w:rPr>
        <w:t xml:space="preserve"> </w:t>
      </w:r>
      <w:r w:rsidR="002759D9" w:rsidRPr="005629F8">
        <w:rPr>
          <w:lang w:val="en-AU"/>
        </w:rPr>
        <w:t>between</w:t>
      </w:r>
      <w:r w:rsidR="002759D9" w:rsidRPr="005629F8">
        <w:rPr>
          <w:spacing w:val="-2"/>
          <w:lang w:val="en-AU"/>
        </w:rPr>
        <w:t xml:space="preserve"> </w:t>
      </w:r>
      <w:r w:rsidR="00EE6138">
        <w:rPr>
          <w:spacing w:val="-2"/>
          <w:lang w:val="en-AU"/>
        </w:rPr>
        <w:t xml:space="preserve">the </w:t>
      </w:r>
      <w:r w:rsidR="007164B7" w:rsidRPr="005629F8">
        <w:rPr>
          <w:lang w:val="en-AU"/>
        </w:rPr>
        <w:t>years</w:t>
      </w:r>
      <w:r w:rsidR="00B7555D" w:rsidRPr="005629F8">
        <w:rPr>
          <w:lang w:val="en-AU"/>
        </w:rPr>
        <w:t>.</w:t>
      </w:r>
    </w:p>
    <w:p w14:paraId="16979C31" w14:textId="6CBD0C7A" w:rsidR="00B7555D" w:rsidRPr="005629F8" w:rsidRDefault="00B84E73" w:rsidP="00B7555D">
      <w:pPr>
        <w:rPr>
          <w:lang w:val="en-AU"/>
        </w:rPr>
      </w:pPr>
      <w:proofErr w:type="gramStart"/>
      <w:r>
        <w:rPr>
          <w:lang w:val="en-AU"/>
        </w:rPr>
        <w:t>Similar to</w:t>
      </w:r>
      <w:proofErr w:type="gramEnd"/>
      <w:r w:rsidR="007164B7" w:rsidRPr="005629F8">
        <w:rPr>
          <w:lang w:val="en-AU"/>
        </w:rPr>
        <w:t xml:space="preserve"> the previous financial year, </w:t>
      </w:r>
      <w:r w:rsidR="00443BA0" w:rsidRPr="005629F8">
        <w:rPr>
          <w:lang w:val="en-AU"/>
        </w:rPr>
        <w:t>p</w:t>
      </w:r>
      <w:r w:rsidR="00B7555D" w:rsidRPr="005629F8">
        <w:rPr>
          <w:lang w:val="en-AU"/>
        </w:rPr>
        <w:t>articipants were invited to submit phase-level data</w:t>
      </w:r>
      <w:r w:rsidR="007164B7" w:rsidRPr="005629F8">
        <w:rPr>
          <w:lang w:val="en-AU"/>
        </w:rPr>
        <w:t xml:space="preserve"> </w:t>
      </w:r>
      <w:r w:rsidR="00B7555D" w:rsidRPr="005629F8">
        <w:rPr>
          <w:lang w:val="en-AU"/>
        </w:rPr>
        <w:t xml:space="preserve">for both subacute and mental health activity in </w:t>
      </w:r>
      <w:r w:rsidR="006A3ACF" w:rsidRPr="005629F8">
        <w:rPr>
          <w:lang w:val="en-AU"/>
        </w:rPr>
        <w:t>20</w:t>
      </w:r>
      <w:r w:rsidR="007164B7" w:rsidRPr="005629F8">
        <w:rPr>
          <w:lang w:val="en-AU"/>
        </w:rPr>
        <w:t>20-21</w:t>
      </w:r>
      <w:r w:rsidR="00B7555D" w:rsidRPr="005629F8">
        <w:rPr>
          <w:lang w:val="en-AU"/>
        </w:rPr>
        <w:t>. The</w:t>
      </w:r>
      <w:r w:rsidR="00B7555D" w:rsidRPr="005629F8">
        <w:rPr>
          <w:spacing w:val="1"/>
          <w:lang w:val="en-AU"/>
        </w:rPr>
        <w:t xml:space="preserve"> </w:t>
      </w:r>
      <w:r w:rsidR="00B7555D" w:rsidRPr="005629F8">
        <w:rPr>
          <w:lang w:val="en-AU"/>
        </w:rPr>
        <w:t xml:space="preserve">results of the analysis using this data were not included in this report due to insufficient participation. </w:t>
      </w:r>
    </w:p>
    <w:p w14:paraId="514FBBEC" w14:textId="2B948880" w:rsidR="00B7555D" w:rsidRPr="005629F8" w:rsidRDefault="005C4EDC" w:rsidP="00B7555D">
      <w:pPr>
        <w:rPr>
          <w:lang w:val="en-AU"/>
        </w:rPr>
      </w:pPr>
      <w:r w:rsidRPr="005629F8">
        <w:rPr>
          <w:lang w:val="en-AU"/>
        </w:rPr>
        <w:t>IHACPA</w:t>
      </w:r>
      <w:r w:rsidR="00B7555D" w:rsidRPr="005629F8">
        <w:rPr>
          <w:lang w:val="en-AU"/>
        </w:rPr>
        <w:t xml:space="preserve"> will continue to work with the sector to improve the data collection so that </w:t>
      </w:r>
      <w:r w:rsidR="00EE6138">
        <w:rPr>
          <w:lang w:val="en-AU"/>
        </w:rPr>
        <w:t xml:space="preserve">the </w:t>
      </w:r>
      <w:r w:rsidR="00B7555D" w:rsidRPr="005629F8">
        <w:rPr>
          <w:lang w:val="en-AU"/>
        </w:rPr>
        <w:t>subacute and</w:t>
      </w:r>
      <w:r w:rsidR="00B7555D" w:rsidRPr="005629F8">
        <w:rPr>
          <w:spacing w:val="-59"/>
          <w:lang w:val="en-AU"/>
        </w:rPr>
        <w:t xml:space="preserve"> </w:t>
      </w:r>
      <w:r w:rsidR="00B7555D" w:rsidRPr="005629F8">
        <w:rPr>
          <w:lang w:val="en-AU"/>
        </w:rPr>
        <w:t>mental</w:t>
      </w:r>
      <w:r w:rsidR="00B7555D" w:rsidRPr="005629F8">
        <w:rPr>
          <w:spacing w:val="-2"/>
          <w:lang w:val="en-AU"/>
        </w:rPr>
        <w:t xml:space="preserve"> </w:t>
      </w:r>
      <w:r w:rsidR="00B7555D" w:rsidRPr="005629F8">
        <w:rPr>
          <w:lang w:val="en-AU"/>
        </w:rPr>
        <w:t>health</w:t>
      </w:r>
      <w:r w:rsidR="00B7555D" w:rsidRPr="005629F8">
        <w:rPr>
          <w:spacing w:val="1"/>
          <w:lang w:val="en-AU"/>
        </w:rPr>
        <w:t xml:space="preserve"> </w:t>
      </w:r>
      <w:r w:rsidR="00EE6138">
        <w:rPr>
          <w:spacing w:val="1"/>
          <w:lang w:val="en-AU"/>
        </w:rPr>
        <w:t xml:space="preserve">streams </w:t>
      </w:r>
      <w:r w:rsidR="00B7555D" w:rsidRPr="005629F8">
        <w:rPr>
          <w:lang w:val="en-AU"/>
        </w:rPr>
        <w:t>can</w:t>
      </w:r>
      <w:r w:rsidR="00B7555D" w:rsidRPr="005629F8">
        <w:rPr>
          <w:spacing w:val="-2"/>
          <w:lang w:val="en-AU"/>
        </w:rPr>
        <w:t xml:space="preserve"> </w:t>
      </w:r>
      <w:r w:rsidR="00B7555D" w:rsidRPr="005629F8">
        <w:rPr>
          <w:lang w:val="en-AU"/>
        </w:rPr>
        <w:t>be</w:t>
      </w:r>
      <w:r w:rsidR="00B7555D" w:rsidRPr="005629F8">
        <w:rPr>
          <w:spacing w:val="-2"/>
          <w:lang w:val="en-AU"/>
        </w:rPr>
        <w:t xml:space="preserve"> </w:t>
      </w:r>
      <w:r w:rsidR="00B7555D" w:rsidRPr="005629F8">
        <w:rPr>
          <w:lang w:val="en-AU"/>
        </w:rPr>
        <w:t>reported</w:t>
      </w:r>
      <w:r w:rsidR="00B7555D" w:rsidRPr="005629F8">
        <w:rPr>
          <w:spacing w:val="-2"/>
          <w:lang w:val="en-AU"/>
        </w:rPr>
        <w:t xml:space="preserve"> </w:t>
      </w:r>
      <w:r w:rsidR="00B7555D" w:rsidRPr="005629F8">
        <w:rPr>
          <w:lang w:val="en-AU"/>
        </w:rPr>
        <w:t>separately</w:t>
      </w:r>
      <w:r w:rsidR="00B7555D" w:rsidRPr="005629F8">
        <w:rPr>
          <w:spacing w:val="-2"/>
          <w:lang w:val="en-AU"/>
        </w:rPr>
        <w:t xml:space="preserve"> </w:t>
      </w:r>
      <w:r w:rsidR="00B7555D" w:rsidRPr="005629F8">
        <w:rPr>
          <w:lang w:val="en-AU"/>
        </w:rPr>
        <w:t>in</w:t>
      </w:r>
      <w:r w:rsidR="00B7555D" w:rsidRPr="005629F8">
        <w:rPr>
          <w:spacing w:val="-2"/>
          <w:lang w:val="en-AU"/>
        </w:rPr>
        <w:t xml:space="preserve"> </w:t>
      </w:r>
      <w:r w:rsidR="00B7555D" w:rsidRPr="005629F8">
        <w:rPr>
          <w:lang w:val="en-AU"/>
        </w:rPr>
        <w:t>future</w:t>
      </w:r>
      <w:r w:rsidR="00B7555D" w:rsidRPr="005629F8">
        <w:rPr>
          <w:spacing w:val="-2"/>
          <w:lang w:val="en-AU"/>
        </w:rPr>
        <w:t xml:space="preserve"> </w:t>
      </w:r>
      <w:r w:rsidR="006A3ACF" w:rsidRPr="005629F8">
        <w:rPr>
          <w:lang w:val="en-AU"/>
        </w:rPr>
        <w:t>years</w:t>
      </w:r>
      <w:r w:rsidR="00B7555D" w:rsidRPr="005629F8">
        <w:rPr>
          <w:lang w:val="en-AU"/>
        </w:rPr>
        <w:t>.</w:t>
      </w:r>
    </w:p>
    <w:p w14:paraId="0C6B783B" w14:textId="7E91CAEE" w:rsidR="00B7555D" w:rsidRPr="005629F8" w:rsidRDefault="00B7555D" w:rsidP="00E829BF">
      <w:pPr>
        <w:pStyle w:val="Heading3"/>
      </w:pPr>
      <w:bookmarkStart w:id="52" w:name="_Toc129700443"/>
      <w:bookmarkStart w:id="53" w:name="_Toc129700669"/>
      <w:bookmarkStart w:id="54" w:name="_Toc129701362"/>
      <w:r w:rsidRPr="005629F8">
        <w:t>In</w:t>
      </w:r>
      <w:r w:rsidR="000C115F" w:rsidRPr="005629F8">
        <w:t>-</w:t>
      </w:r>
      <w:r w:rsidRPr="005629F8">
        <w:t xml:space="preserve">scope care </w:t>
      </w:r>
      <w:r w:rsidRPr="00E829BF">
        <w:t>types</w:t>
      </w:r>
      <w:bookmarkEnd w:id="52"/>
      <w:bookmarkEnd w:id="53"/>
      <w:bookmarkEnd w:id="54"/>
    </w:p>
    <w:p w14:paraId="04E03EC6" w14:textId="0E1ED4DA" w:rsidR="00B7555D" w:rsidRPr="005629F8" w:rsidRDefault="00B7555D" w:rsidP="00B7555D">
      <w:pPr>
        <w:rPr>
          <w:lang w:val="en-AU"/>
        </w:rPr>
      </w:pPr>
      <w:r w:rsidRPr="005629F8">
        <w:rPr>
          <w:lang w:val="en-AU"/>
        </w:rPr>
        <w:t>Separations for admitted acute care and newborn care with qualified care days are in</w:t>
      </w:r>
      <w:r w:rsidR="00443BA0" w:rsidRPr="005629F8">
        <w:rPr>
          <w:lang w:val="en-AU"/>
        </w:rPr>
        <w:t>-</w:t>
      </w:r>
      <w:r w:rsidR="00F26CC6" w:rsidRPr="005629F8">
        <w:rPr>
          <w:lang w:val="en-AU"/>
        </w:rPr>
        <w:t xml:space="preserve">scope </w:t>
      </w:r>
      <w:proofErr w:type="gramStart"/>
      <w:r w:rsidR="00F26CC6" w:rsidRPr="005629F8">
        <w:rPr>
          <w:lang w:val="en-AU"/>
        </w:rPr>
        <w:t>and</w:t>
      </w:r>
      <w:r w:rsidR="00B84E73">
        <w:rPr>
          <w:lang w:val="en-AU"/>
        </w:rPr>
        <w:t xml:space="preserve"> </w:t>
      </w:r>
      <w:r w:rsidRPr="005629F8">
        <w:rPr>
          <w:spacing w:val="-59"/>
          <w:lang w:val="en-AU"/>
        </w:rPr>
        <w:t xml:space="preserve"> </w:t>
      </w:r>
      <w:r w:rsidRPr="005629F8">
        <w:rPr>
          <w:lang w:val="en-AU"/>
        </w:rPr>
        <w:t>are</w:t>
      </w:r>
      <w:proofErr w:type="gramEnd"/>
      <w:r w:rsidRPr="005629F8">
        <w:rPr>
          <w:spacing w:val="3"/>
          <w:lang w:val="en-AU"/>
        </w:rPr>
        <w:t xml:space="preserve"> </w:t>
      </w:r>
      <w:r w:rsidRPr="005629F8">
        <w:rPr>
          <w:lang w:val="en-AU"/>
        </w:rPr>
        <w:t>included</w:t>
      </w:r>
      <w:r w:rsidRPr="005629F8">
        <w:rPr>
          <w:spacing w:val="3"/>
          <w:lang w:val="en-AU"/>
        </w:rPr>
        <w:t xml:space="preserve"> </w:t>
      </w:r>
      <w:r w:rsidRPr="005629F8">
        <w:rPr>
          <w:lang w:val="en-AU"/>
        </w:rPr>
        <w:t>in the</w:t>
      </w:r>
      <w:r w:rsidRPr="005629F8">
        <w:rPr>
          <w:spacing w:val="1"/>
          <w:lang w:val="en-AU"/>
        </w:rPr>
        <w:t xml:space="preserve"> </w:t>
      </w:r>
      <w:r w:rsidRPr="005629F8">
        <w:rPr>
          <w:lang w:val="en-AU"/>
        </w:rPr>
        <w:t>calculation</w:t>
      </w:r>
      <w:r w:rsidRPr="005629F8">
        <w:rPr>
          <w:spacing w:val="2"/>
          <w:lang w:val="en-AU"/>
        </w:rPr>
        <w:t xml:space="preserve"> </w:t>
      </w:r>
      <w:r w:rsidRPr="005629F8">
        <w:rPr>
          <w:lang w:val="en-AU"/>
        </w:rPr>
        <w:t>of</w:t>
      </w:r>
      <w:r w:rsidRPr="005629F8">
        <w:rPr>
          <w:spacing w:val="5"/>
          <w:lang w:val="en-AU"/>
        </w:rPr>
        <w:t xml:space="preserve"> </w:t>
      </w:r>
      <w:r w:rsidRPr="005629F8">
        <w:rPr>
          <w:lang w:val="en-AU"/>
        </w:rPr>
        <w:t>the AR-DRG</w:t>
      </w:r>
      <w:r w:rsidRPr="005629F8">
        <w:rPr>
          <w:spacing w:val="2"/>
          <w:lang w:val="en-AU"/>
        </w:rPr>
        <w:t xml:space="preserve"> </w:t>
      </w:r>
      <w:r w:rsidRPr="005629F8">
        <w:rPr>
          <w:lang w:val="en-AU"/>
        </w:rPr>
        <w:t>cost</w:t>
      </w:r>
      <w:r w:rsidRPr="005629F8">
        <w:rPr>
          <w:spacing w:val="4"/>
          <w:lang w:val="en-AU"/>
        </w:rPr>
        <w:t xml:space="preserve"> </w:t>
      </w:r>
      <w:r w:rsidRPr="005629F8">
        <w:rPr>
          <w:lang w:val="en-AU"/>
        </w:rPr>
        <w:t>weights.</w:t>
      </w:r>
      <w:r w:rsidRPr="005629F8">
        <w:rPr>
          <w:spacing w:val="2"/>
          <w:lang w:val="en-AU"/>
        </w:rPr>
        <w:t xml:space="preserve"> </w:t>
      </w:r>
      <w:r w:rsidRPr="005629F8">
        <w:rPr>
          <w:lang w:val="en-AU"/>
        </w:rPr>
        <w:t>The costs</w:t>
      </w:r>
      <w:r w:rsidRPr="005629F8">
        <w:rPr>
          <w:spacing w:val="4"/>
          <w:lang w:val="en-AU"/>
        </w:rPr>
        <w:t xml:space="preserve"> </w:t>
      </w:r>
      <w:r w:rsidRPr="005629F8">
        <w:rPr>
          <w:lang w:val="en-AU"/>
        </w:rPr>
        <w:t>associated</w:t>
      </w:r>
      <w:r w:rsidRPr="005629F8">
        <w:rPr>
          <w:spacing w:val="2"/>
          <w:lang w:val="en-AU"/>
        </w:rPr>
        <w:t xml:space="preserve"> </w:t>
      </w:r>
      <w:r w:rsidRPr="005629F8">
        <w:rPr>
          <w:lang w:val="en-AU"/>
        </w:rPr>
        <w:t>with</w:t>
      </w:r>
      <w:r w:rsidRPr="005629F8">
        <w:rPr>
          <w:spacing w:val="1"/>
          <w:lang w:val="en-AU"/>
        </w:rPr>
        <w:t xml:space="preserve"> </w:t>
      </w:r>
      <w:r w:rsidRPr="005629F8">
        <w:rPr>
          <w:lang w:val="en-AU"/>
        </w:rPr>
        <w:t>unqualified neonate separations</w:t>
      </w:r>
      <w:r w:rsidR="001F188B">
        <w:rPr>
          <w:rStyle w:val="FootnoteReference"/>
          <w:lang w:val="en-AU"/>
        </w:rPr>
        <w:footnoteReference w:id="5"/>
      </w:r>
      <w:r w:rsidR="001F188B">
        <w:rPr>
          <w:lang w:val="en-AU"/>
        </w:rPr>
        <w:t xml:space="preserve"> </w:t>
      </w:r>
      <w:r w:rsidRPr="005629F8">
        <w:rPr>
          <w:lang w:val="en-AU"/>
        </w:rPr>
        <w:t>have been included in the costs of the maternal separations (</w:t>
      </w:r>
      <w:proofErr w:type="gramStart"/>
      <w:r w:rsidRPr="005629F8">
        <w:t>as</w:t>
      </w:r>
      <w:r w:rsidR="00B84E73" w:rsidRPr="005629F8">
        <w:t xml:space="preserve"> </w:t>
      </w:r>
      <w:r w:rsidRPr="005629F8">
        <w:rPr>
          <w:spacing w:val="-59"/>
        </w:rPr>
        <w:t xml:space="preserve"> </w:t>
      </w:r>
      <w:r w:rsidRPr="005629F8">
        <w:rPr>
          <w:lang w:val="en-AU"/>
        </w:rPr>
        <w:t>described</w:t>
      </w:r>
      <w:proofErr w:type="gramEnd"/>
      <w:r w:rsidRPr="005629F8">
        <w:rPr>
          <w:lang w:val="en-AU"/>
        </w:rPr>
        <w:t xml:space="preserve"> below</w:t>
      </w:r>
      <w:r w:rsidRPr="005629F8">
        <w:rPr>
          <w:spacing w:val="-5"/>
          <w:lang w:val="en-AU"/>
        </w:rPr>
        <w:t xml:space="preserve"> </w:t>
      </w:r>
      <w:r w:rsidRPr="005629F8">
        <w:rPr>
          <w:lang w:val="en-AU"/>
        </w:rPr>
        <w:t>for</w:t>
      </w:r>
      <w:r w:rsidRPr="005629F8">
        <w:rPr>
          <w:spacing w:val="-1"/>
          <w:lang w:val="en-AU"/>
        </w:rPr>
        <w:t xml:space="preserve"> </w:t>
      </w:r>
      <w:r w:rsidRPr="005629F8">
        <w:rPr>
          <w:lang w:val="en-AU"/>
        </w:rPr>
        <w:t>the</w:t>
      </w:r>
      <w:r w:rsidRPr="005629F8">
        <w:rPr>
          <w:spacing w:val="-5"/>
          <w:lang w:val="en-AU"/>
        </w:rPr>
        <w:t xml:space="preserve"> </w:t>
      </w:r>
      <w:r w:rsidRPr="005629F8">
        <w:rPr>
          <w:lang w:val="en-AU"/>
        </w:rPr>
        <w:t>neonatal adjustment).</w:t>
      </w:r>
    </w:p>
    <w:p w14:paraId="29D4E4F5" w14:textId="77777777" w:rsidR="00B7555D" w:rsidRPr="005629F8" w:rsidRDefault="00B7555D" w:rsidP="00B7555D">
      <w:pPr>
        <w:rPr>
          <w:lang w:val="en-AU"/>
        </w:rPr>
      </w:pPr>
      <w:r w:rsidRPr="005629F8">
        <w:rPr>
          <w:lang w:val="en-AU"/>
        </w:rPr>
        <w:t>Admitted</w:t>
      </w:r>
      <w:r w:rsidRPr="005629F8">
        <w:rPr>
          <w:spacing w:val="-3"/>
          <w:lang w:val="en-AU"/>
        </w:rPr>
        <w:t xml:space="preserve"> </w:t>
      </w:r>
      <w:r w:rsidRPr="005629F8">
        <w:rPr>
          <w:lang w:val="en-AU"/>
        </w:rPr>
        <w:t>acute</w:t>
      </w:r>
      <w:r w:rsidRPr="005629F8">
        <w:rPr>
          <w:spacing w:val="-2"/>
          <w:lang w:val="en-AU"/>
        </w:rPr>
        <w:t xml:space="preserve"> </w:t>
      </w:r>
      <w:r w:rsidRPr="005629F8">
        <w:rPr>
          <w:lang w:val="en-AU"/>
        </w:rPr>
        <w:t>care</w:t>
      </w:r>
      <w:r w:rsidRPr="005629F8">
        <w:rPr>
          <w:spacing w:val="-3"/>
          <w:lang w:val="en-AU"/>
        </w:rPr>
        <w:t xml:space="preserve"> </w:t>
      </w:r>
      <w:r w:rsidRPr="005629F8">
        <w:rPr>
          <w:lang w:val="en-AU"/>
        </w:rPr>
        <w:t>type 1.0</w:t>
      </w:r>
      <w:r w:rsidRPr="005629F8">
        <w:rPr>
          <w:spacing w:val="-3"/>
          <w:lang w:val="en-AU"/>
        </w:rPr>
        <w:t xml:space="preserve"> </w:t>
      </w:r>
      <w:r w:rsidRPr="005629F8">
        <w:rPr>
          <w:lang w:val="en-AU"/>
        </w:rPr>
        <w:t>is care in</w:t>
      </w:r>
      <w:r w:rsidRPr="005629F8">
        <w:rPr>
          <w:spacing w:val="-1"/>
          <w:lang w:val="en-AU"/>
        </w:rPr>
        <w:t xml:space="preserve"> </w:t>
      </w:r>
      <w:r w:rsidRPr="005629F8">
        <w:rPr>
          <w:lang w:val="en-AU"/>
        </w:rPr>
        <w:t>which</w:t>
      </w:r>
      <w:r w:rsidRPr="005629F8">
        <w:rPr>
          <w:spacing w:val="-1"/>
          <w:lang w:val="en-AU"/>
        </w:rPr>
        <w:t xml:space="preserve"> </w:t>
      </w:r>
      <w:r w:rsidRPr="005629F8">
        <w:rPr>
          <w:lang w:val="en-AU"/>
        </w:rPr>
        <w:t>the</w:t>
      </w:r>
      <w:r w:rsidRPr="005629F8">
        <w:rPr>
          <w:spacing w:val="-5"/>
          <w:lang w:val="en-AU"/>
        </w:rPr>
        <w:t xml:space="preserve"> </w:t>
      </w:r>
      <w:r w:rsidRPr="005629F8">
        <w:rPr>
          <w:lang w:val="en-AU"/>
        </w:rPr>
        <w:t>clinical</w:t>
      </w:r>
      <w:r w:rsidRPr="005629F8">
        <w:rPr>
          <w:spacing w:val="-2"/>
          <w:lang w:val="en-AU"/>
        </w:rPr>
        <w:t xml:space="preserve"> </w:t>
      </w:r>
      <w:r w:rsidRPr="005629F8">
        <w:rPr>
          <w:lang w:val="en-AU"/>
        </w:rPr>
        <w:t>intent or</w:t>
      </w:r>
      <w:r w:rsidRPr="005629F8">
        <w:rPr>
          <w:spacing w:val="-1"/>
          <w:lang w:val="en-AU"/>
        </w:rPr>
        <w:t xml:space="preserve"> </w:t>
      </w:r>
      <w:r w:rsidRPr="005629F8">
        <w:rPr>
          <w:lang w:val="en-AU"/>
        </w:rPr>
        <w:t>treatment</w:t>
      </w:r>
      <w:r w:rsidRPr="005629F8">
        <w:rPr>
          <w:spacing w:val="-2"/>
          <w:lang w:val="en-AU"/>
        </w:rPr>
        <w:t xml:space="preserve"> </w:t>
      </w:r>
      <w:r w:rsidRPr="005629F8">
        <w:rPr>
          <w:lang w:val="en-AU"/>
        </w:rPr>
        <w:t>goal</w:t>
      </w:r>
      <w:r w:rsidRPr="005629F8">
        <w:rPr>
          <w:spacing w:val="-1"/>
          <w:lang w:val="en-AU"/>
        </w:rPr>
        <w:t xml:space="preserve"> </w:t>
      </w:r>
      <w:r w:rsidRPr="005629F8">
        <w:rPr>
          <w:lang w:val="en-AU"/>
        </w:rPr>
        <w:t>is</w:t>
      </w:r>
      <w:r w:rsidRPr="005629F8">
        <w:rPr>
          <w:spacing w:val="-2"/>
          <w:lang w:val="en-AU"/>
        </w:rPr>
        <w:t xml:space="preserve"> </w:t>
      </w:r>
      <w:r w:rsidRPr="005629F8">
        <w:rPr>
          <w:lang w:val="en-AU"/>
        </w:rPr>
        <w:t>to:</w:t>
      </w:r>
    </w:p>
    <w:p w14:paraId="6760593A" w14:textId="77777777" w:rsidR="00B7555D" w:rsidRPr="005629F8" w:rsidRDefault="00B7555D" w:rsidP="003A538E">
      <w:pPr>
        <w:pStyle w:val="ListLevel1"/>
        <w:rPr>
          <w:lang w:val="en-AU"/>
        </w:rPr>
      </w:pPr>
      <w:r w:rsidRPr="005629F8">
        <w:rPr>
          <w:lang w:val="en-AU"/>
        </w:rPr>
        <w:t>manage labour (obstetric)</w:t>
      </w:r>
    </w:p>
    <w:p w14:paraId="764BF82F" w14:textId="77777777" w:rsidR="00B7555D" w:rsidRPr="005629F8" w:rsidRDefault="00B7555D" w:rsidP="003A538E">
      <w:pPr>
        <w:pStyle w:val="ListLevel1"/>
        <w:rPr>
          <w:lang w:val="en-AU"/>
        </w:rPr>
      </w:pPr>
      <w:r w:rsidRPr="005629F8">
        <w:rPr>
          <w:lang w:val="en-AU"/>
        </w:rPr>
        <w:t>cure illness or provide definitive treatment of injury</w:t>
      </w:r>
    </w:p>
    <w:p w14:paraId="5B7D156A" w14:textId="77777777" w:rsidR="00B7555D" w:rsidRPr="005629F8" w:rsidRDefault="00B7555D" w:rsidP="003A538E">
      <w:pPr>
        <w:pStyle w:val="ListLevel1"/>
        <w:rPr>
          <w:lang w:val="en-AU"/>
        </w:rPr>
      </w:pPr>
      <w:r w:rsidRPr="005629F8">
        <w:rPr>
          <w:lang w:val="en-AU"/>
        </w:rPr>
        <w:t>perform surgery</w:t>
      </w:r>
    </w:p>
    <w:p w14:paraId="68AB648A" w14:textId="77777777" w:rsidR="00B7555D" w:rsidRPr="005629F8" w:rsidRDefault="00B7555D" w:rsidP="003A538E">
      <w:pPr>
        <w:pStyle w:val="ListLevel1"/>
        <w:rPr>
          <w:lang w:val="en-AU"/>
        </w:rPr>
      </w:pPr>
      <w:r w:rsidRPr="005629F8">
        <w:rPr>
          <w:lang w:val="en-AU"/>
        </w:rPr>
        <w:lastRenderedPageBreak/>
        <w:t>relieve symptoms of illness or injury (excluding palliative care)</w:t>
      </w:r>
    </w:p>
    <w:p w14:paraId="123CE497" w14:textId="77777777" w:rsidR="00B7555D" w:rsidRPr="005629F8" w:rsidRDefault="00B7555D" w:rsidP="003A538E">
      <w:pPr>
        <w:pStyle w:val="ListLevel1"/>
        <w:rPr>
          <w:lang w:val="en-AU"/>
        </w:rPr>
      </w:pPr>
      <w:r w:rsidRPr="005629F8">
        <w:rPr>
          <w:lang w:val="en-AU"/>
        </w:rPr>
        <w:t>reduce severity of an illness or injury</w:t>
      </w:r>
    </w:p>
    <w:p w14:paraId="451A4242" w14:textId="77777777" w:rsidR="00B7555D" w:rsidRPr="005629F8" w:rsidRDefault="00B7555D" w:rsidP="003A538E">
      <w:pPr>
        <w:pStyle w:val="ListLevel1"/>
        <w:rPr>
          <w:lang w:val="en-AU"/>
        </w:rPr>
      </w:pPr>
      <w:r w:rsidRPr="005629F8">
        <w:rPr>
          <w:lang w:val="en-AU"/>
        </w:rPr>
        <w:t>protect against exacerbation and/or complication of an illness and/or injury which could threaten life or normal function</w:t>
      </w:r>
    </w:p>
    <w:p w14:paraId="1B6CA9CE" w14:textId="5E989996" w:rsidR="00B7555D" w:rsidRPr="005629F8" w:rsidRDefault="00B7555D" w:rsidP="003A538E">
      <w:pPr>
        <w:pStyle w:val="ListLevel1"/>
        <w:rPr>
          <w:lang w:val="en-AU"/>
        </w:rPr>
      </w:pPr>
      <w:r w:rsidRPr="005629F8">
        <w:rPr>
          <w:lang w:val="en-AU"/>
        </w:rPr>
        <w:t>perform diagnostic or therapeutic procedures</w:t>
      </w:r>
      <w:r w:rsidR="00023F91">
        <w:rPr>
          <w:rStyle w:val="FootnoteReference"/>
          <w:lang w:val="en-AU"/>
        </w:rPr>
        <w:footnoteReference w:id="6"/>
      </w:r>
      <w:r w:rsidRPr="005629F8">
        <w:rPr>
          <w:lang w:val="en-AU"/>
        </w:rPr>
        <w:t>.</w:t>
      </w:r>
    </w:p>
    <w:p w14:paraId="28CD22FB" w14:textId="471BC892" w:rsidR="00B7555D" w:rsidRPr="005629F8" w:rsidRDefault="00B7555D" w:rsidP="00B7555D">
      <w:pPr>
        <w:rPr>
          <w:lang w:val="en-AU"/>
        </w:rPr>
      </w:pPr>
      <w:r w:rsidRPr="005629F8">
        <w:rPr>
          <w:lang w:val="en-AU"/>
        </w:rPr>
        <w:t xml:space="preserve">Newborn care type 7.0 is initiated when the patient is born in hospital or is nine days old or </w:t>
      </w:r>
      <w:proofErr w:type="gramStart"/>
      <w:r w:rsidRPr="005629F8">
        <w:rPr>
          <w:lang w:val="en-AU"/>
        </w:rPr>
        <w:t>less</w:t>
      </w:r>
      <w:r w:rsidR="006D18E4">
        <w:rPr>
          <w:lang w:val="en-AU"/>
        </w:rPr>
        <w:t xml:space="preserve"> </w:t>
      </w:r>
      <w:r w:rsidRPr="005629F8">
        <w:rPr>
          <w:spacing w:val="-59"/>
          <w:lang w:val="en-AU"/>
        </w:rPr>
        <w:t xml:space="preserve"> </w:t>
      </w:r>
      <w:r w:rsidRPr="005629F8">
        <w:rPr>
          <w:lang w:val="en-AU"/>
        </w:rPr>
        <w:t>at</w:t>
      </w:r>
      <w:proofErr w:type="gramEnd"/>
      <w:r w:rsidRPr="005629F8">
        <w:rPr>
          <w:lang w:val="en-AU"/>
        </w:rPr>
        <w:t xml:space="preserve"> the time of admission. Newborn care continues until the care type changes or the patient is</w:t>
      </w:r>
      <w:r w:rsidRPr="005629F8">
        <w:rPr>
          <w:spacing w:val="1"/>
          <w:lang w:val="en-AU"/>
        </w:rPr>
        <w:t xml:space="preserve"> </w:t>
      </w:r>
      <w:r w:rsidRPr="005629F8">
        <w:rPr>
          <w:lang w:val="en-AU"/>
        </w:rPr>
        <w:t>separated:</w:t>
      </w:r>
    </w:p>
    <w:p w14:paraId="60C3D092" w14:textId="6794566A" w:rsidR="00B7555D" w:rsidRPr="005629F8" w:rsidRDefault="0023226B" w:rsidP="003A538E">
      <w:pPr>
        <w:pStyle w:val="ListLevel1"/>
        <w:rPr>
          <w:lang w:val="en-AU"/>
        </w:rPr>
      </w:pPr>
      <w:r>
        <w:rPr>
          <w:lang w:val="en-AU"/>
        </w:rPr>
        <w:t>P</w:t>
      </w:r>
      <w:r w:rsidR="00B7555D" w:rsidRPr="005629F8">
        <w:rPr>
          <w:lang w:val="en-AU"/>
        </w:rPr>
        <w:t>atients who turn 10 days of age and do not require clinical care are separated and, if</w:t>
      </w:r>
      <w:r w:rsidR="00A869FB" w:rsidRPr="005629F8">
        <w:rPr>
          <w:lang w:val="en-AU"/>
        </w:rPr>
        <w:t xml:space="preserve"> they</w:t>
      </w:r>
      <w:r w:rsidR="00B7555D" w:rsidRPr="005629F8">
        <w:rPr>
          <w:lang w:val="en-AU"/>
        </w:rPr>
        <w:t xml:space="preserve"> remain in the hospital, are designated as boarders</w:t>
      </w:r>
      <w:r>
        <w:rPr>
          <w:lang w:val="en-AU"/>
        </w:rPr>
        <w:t>.</w:t>
      </w:r>
    </w:p>
    <w:p w14:paraId="532565A0" w14:textId="2971D1B3" w:rsidR="00B7555D" w:rsidRPr="005629F8" w:rsidRDefault="0023226B" w:rsidP="003A538E">
      <w:pPr>
        <w:pStyle w:val="ListLevel1"/>
        <w:rPr>
          <w:lang w:val="en-AU"/>
        </w:rPr>
      </w:pPr>
      <w:r>
        <w:rPr>
          <w:lang w:val="en-AU"/>
        </w:rPr>
        <w:t>P</w:t>
      </w:r>
      <w:r w:rsidR="00B7555D" w:rsidRPr="005629F8">
        <w:rPr>
          <w:lang w:val="en-AU"/>
        </w:rPr>
        <w:t>atients who turn 10 days of age and require clinical care continue in a newborn episode</w:t>
      </w:r>
      <w:r w:rsidR="00D061C4" w:rsidRPr="005629F8">
        <w:rPr>
          <w:lang w:val="en-AU"/>
        </w:rPr>
        <w:t xml:space="preserve"> of care </w:t>
      </w:r>
      <w:r w:rsidR="00B7555D" w:rsidRPr="005629F8">
        <w:rPr>
          <w:lang w:val="en-AU"/>
        </w:rPr>
        <w:t>until separated</w:t>
      </w:r>
      <w:r>
        <w:rPr>
          <w:lang w:val="en-AU"/>
        </w:rPr>
        <w:t>.</w:t>
      </w:r>
    </w:p>
    <w:p w14:paraId="5CB89D3D" w14:textId="380394D1" w:rsidR="00B7555D" w:rsidRPr="005629F8" w:rsidRDefault="0023226B" w:rsidP="003A538E">
      <w:pPr>
        <w:pStyle w:val="ListLevel1"/>
        <w:rPr>
          <w:lang w:val="en-AU"/>
        </w:rPr>
      </w:pPr>
      <w:r>
        <w:rPr>
          <w:lang w:val="en-AU"/>
        </w:rPr>
        <w:t>P</w:t>
      </w:r>
      <w:r w:rsidR="00B7555D" w:rsidRPr="005629F8">
        <w:rPr>
          <w:lang w:val="en-AU"/>
        </w:rPr>
        <w:t>atients aged less than 10 days and not admitted at birth (e.g., transferred from another hospital) are admitted with newborn care type</w:t>
      </w:r>
      <w:r>
        <w:rPr>
          <w:lang w:val="en-AU"/>
        </w:rPr>
        <w:t>.</w:t>
      </w:r>
    </w:p>
    <w:p w14:paraId="31751F80" w14:textId="444CC9EB" w:rsidR="00B7555D" w:rsidRPr="005629F8" w:rsidRDefault="0023226B" w:rsidP="003A538E">
      <w:pPr>
        <w:pStyle w:val="ListLevel1"/>
        <w:rPr>
          <w:lang w:val="en-AU"/>
        </w:rPr>
      </w:pPr>
      <w:r>
        <w:rPr>
          <w:lang w:val="en-AU"/>
        </w:rPr>
        <w:t>P</w:t>
      </w:r>
      <w:r w:rsidR="00B7555D" w:rsidRPr="005629F8">
        <w:rPr>
          <w:lang w:val="en-AU"/>
        </w:rPr>
        <w:t>atients aged greater than 9 days not previously admitted (e.g., transferred from another hospital) are either boarders or admitted with an acute care type</w:t>
      </w:r>
      <w:r>
        <w:rPr>
          <w:lang w:val="en-AU"/>
        </w:rPr>
        <w:t>.</w:t>
      </w:r>
    </w:p>
    <w:p w14:paraId="75465261" w14:textId="7E07EF02" w:rsidR="00B7555D" w:rsidRPr="005629F8" w:rsidRDefault="0023226B" w:rsidP="003A538E">
      <w:pPr>
        <w:pStyle w:val="ListLevel1"/>
        <w:rPr>
          <w:lang w:val="en-AU"/>
        </w:rPr>
      </w:pPr>
      <w:r>
        <w:rPr>
          <w:lang w:val="en-AU"/>
        </w:rPr>
        <w:t>W</w:t>
      </w:r>
      <w:r w:rsidR="00B7555D" w:rsidRPr="005629F8">
        <w:rPr>
          <w:lang w:val="en-AU"/>
        </w:rPr>
        <w:t>ithin a newborn episode of care, until the baby turns 10 days of age, each day is either a qualified or unqualified day</w:t>
      </w:r>
      <w:r>
        <w:rPr>
          <w:lang w:val="en-AU"/>
        </w:rPr>
        <w:t>.</w:t>
      </w:r>
    </w:p>
    <w:p w14:paraId="25D34E1F" w14:textId="0ADDA97C" w:rsidR="00B7555D" w:rsidRPr="005629F8" w:rsidRDefault="0023226B" w:rsidP="003A538E">
      <w:pPr>
        <w:pStyle w:val="ListLevel1"/>
        <w:rPr>
          <w:lang w:val="en-AU"/>
        </w:rPr>
      </w:pPr>
      <w:r>
        <w:rPr>
          <w:lang w:val="en-AU"/>
        </w:rPr>
        <w:t>A</w:t>
      </w:r>
      <w:r w:rsidR="00B7555D" w:rsidRPr="005629F8">
        <w:rPr>
          <w:lang w:val="en-AU"/>
        </w:rPr>
        <w:t xml:space="preserve"> newborn is qualified when it meets at least one of the criteria detailed in </w:t>
      </w:r>
      <w:r w:rsidR="00D63660">
        <w:rPr>
          <w:lang w:val="en-AU"/>
        </w:rPr>
        <w:t>n</w:t>
      </w:r>
      <w:r w:rsidR="00B7555D" w:rsidRPr="005629F8">
        <w:rPr>
          <w:lang w:val="en-AU"/>
        </w:rPr>
        <w:t>ewborn qualification status.</w:t>
      </w:r>
    </w:p>
    <w:p w14:paraId="3668D0E8" w14:textId="6CB78278" w:rsidR="00B7555D" w:rsidRPr="005629F8" w:rsidRDefault="00B7555D" w:rsidP="00B7555D">
      <w:pPr>
        <w:rPr>
          <w:lang w:val="en-AU"/>
        </w:rPr>
      </w:pPr>
      <w:r w:rsidRPr="005629F8">
        <w:rPr>
          <w:lang w:val="en-AU"/>
        </w:rPr>
        <w:t>Within a newborn episode of care, each day after the baby turns 10 days of age is counted as a</w:t>
      </w:r>
      <w:r w:rsidRPr="005629F8">
        <w:rPr>
          <w:spacing w:val="-59"/>
          <w:lang w:val="en-AU"/>
        </w:rPr>
        <w:t xml:space="preserve"> </w:t>
      </w:r>
      <w:r w:rsidRPr="005629F8">
        <w:rPr>
          <w:lang w:val="en-AU"/>
        </w:rPr>
        <w:t xml:space="preserve">qualified patient day. Newborn qualified days are equivalent to acute days and may be </w:t>
      </w:r>
      <w:proofErr w:type="gramStart"/>
      <w:r w:rsidR="00EE6138">
        <w:rPr>
          <w:lang w:val="en-AU"/>
        </w:rPr>
        <w:t xml:space="preserve">denoted </w:t>
      </w:r>
      <w:r w:rsidR="00EE6138" w:rsidRPr="005629F8">
        <w:rPr>
          <w:spacing w:val="-59"/>
          <w:lang w:val="en-AU"/>
        </w:rPr>
        <w:t xml:space="preserve"> </w:t>
      </w:r>
      <w:r w:rsidRPr="005629F8">
        <w:rPr>
          <w:lang w:val="en-AU"/>
        </w:rPr>
        <w:t>as</w:t>
      </w:r>
      <w:proofErr w:type="gramEnd"/>
      <w:r w:rsidRPr="005629F8">
        <w:rPr>
          <w:spacing w:val="-1"/>
          <w:lang w:val="en-AU"/>
        </w:rPr>
        <w:t xml:space="preserve"> </w:t>
      </w:r>
      <w:r w:rsidRPr="005629F8">
        <w:rPr>
          <w:lang w:val="en-AU"/>
        </w:rPr>
        <w:t>such.</w:t>
      </w:r>
      <w:r w:rsidR="00D55E31" w:rsidRPr="005629F8">
        <w:rPr>
          <w:rStyle w:val="FootnoteReference"/>
          <w:lang w:val="en-AU"/>
        </w:rPr>
        <w:footnoteReference w:id="7"/>
      </w:r>
    </w:p>
    <w:p w14:paraId="6E231F5B" w14:textId="7477A724" w:rsidR="00B7555D" w:rsidRPr="005629F8" w:rsidRDefault="00B7555D" w:rsidP="00B7555D">
      <w:pPr>
        <w:rPr>
          <w:lang w:val="en-AU"/>
        </w:rPr>
      </w:pPr>
      <w:r w:rsidRPr="005629F8">
        <w:rPr>
          <w:lang w:val="en-AU"/>
        </w:rPr>
        <w:t>Mental health care type 11.0</w:t>
      </w:r>
      <w:r w:rsidR="00D61BE1" w:rsidRPr="005629F8">
        <w:rPr>
          <w:rStyle w:val="FootnoteReference"/>
          <w:lang w:val="en-AU"/>
        </w:rPr>
        <w:footnoteReference w:id="8"/>
      </w:r>
      <w:r w:rsidRPr="005629F8">
        <w:rPr>
          <w:lang w:val="en-AU"/>
        </w:rPr>
        <w:t xml:space="preserve"> is care in which the primary clinical purpose or treatment goal is</w:t>
      </w:r>
      <w:r w:rsidRPr="005629F8">
        <w:rPr>
          <w:spacing w:val="-60"/>
          <w:lang w:val="en-AU"/>
        </w:rPr>
        <w:t xml:space="preserve"> </w:t>
      </w:r>
      <w:r w:rsidRPr="005629F8">
        <w:rPr>
          <w:lang w:val="en-AU"/>
        </w:rPr>
        <w:t xml:space="preserve">improvement in the symptoms and/or psychosocial, </w:t>
      </w:r>
      <w:r w:rsidR="00C17880" w:rsidRPr="005629F8">
        <w:rPr>
          <w:lang w:val="en-AU"/>
        </w:rPr>
        <w:t>environmental,</w:t>
      </w:r>
      <w:r w:rsidRPr="005629F8">
        <w:rPr>
          <w:lang w:val="en-AU"/>
        </w:rPr>
        <w:t xml:space="preserve"> and physical functioning</w:t>
      </w:r>
      <w:r w:rsidRPr="005629F8">
        <w:rPr>
          <w:spacing w:val="1"/>
          <w:lang w:val="en-AU"/>
        </w:rPr>
        <w:t xml:space="preserve"> </w:t>
      </w:r>
      <w:r w:rsidRPr="005629F8">
        <w:rPr>
          <w:lang w:val="en-AU"/>
        </w:rPr>
        <w:t>related</w:t>
      </w:r>
      <w:r w:rsidRPr="005629F8">
        <w:rPr>
          <w:spacing w:val="-3"/>
          <w:lang w:val="en-AU"/>
        </w:rPr>
        <w:t xml:space="preserve"> </w:t>
      </w:r>
      <w:r w:rsidRPr="005629F8">
        <w:rPr>
          <w:lang w:val="en-AU"/>
        </w:rPr>
        <w:t>to a</w:t>
      </w:r>
      <w:r w:rsidRPr="005629F8">
        <w:rPr>
          <w:spacing w:val="-3"/>
          <w:lang w:val="en-AU"/>
        </w:rPr>
        <w:t xml:space="preserve"> </w:t>
      </w:r>
      <w:r w:rsidRPr="005629F8">
        <w:rPr>
          <w:lang w:val="en-AU"/>
        </w:rPr>
        <w:t>patient’s</w:t>
      </w:r>
      <w:r w:rsidRPr="005629F8">
        <w:rPr>
          <w:spacing w:val="-2"/>
          <w:lang w:val="en-AU"/>
        </w:rPr>
        <w:t xml:space="preserve"> </w:t>
      </w:r>
      <w:r w:rsidRPr="005629F8">
        <w:rPr>
          <w:lang w:val="en-AU"/>
        </w:rPr>
        <w:t>mental disorder.</w:t>
      </w:r>
      <w:r w:rsidRPr="005629F8">
        <w:rPr>
          <w:spacing w:val="-2"/>
          <w:lang w:val="en-AU"/>
        </w:rPr>
        <w:t xml:space="preserve"> </w:t>
      </w:r>
      <w:r w:rsidRPr="005629F8">
        <w:rPr>
          <w:lang w:val="en-AU"/>
        </w:rPr>
        <w:t>Mental</w:t>
      </w:r>
      <w:r w:rsidRPr="005629F8">
        <w:rPr>
          <w:spacing w:val="-1"/>
          <w:lang w:val="en-AU"/>
        </w:rPr>
        <w:t xml:space="preserve"> </w:t>
      </w:r>
      <w:r w:rsidRPr="005629F8">
        <w:rPr>
          <w:lang w:val="en-AU"/>
        </w:rPr>
        <w:t>health</w:t>
      </w:r>
      <w:r w:rsidRPr="005629F8">
        <w:rPr>
          <w:spacing w:val="-1"/>
          <w:lang w:val="en-AU"/>
        </w:rPr>
        <w:t xml:space="preserve"> </w:t>
      </w:r>
      <w:r w:rsidRPr="005629F8">
        <w:rPr>
          <w:lang w:val="en-AU"/>
        </w:rPr>
        <w:t>care:</w:t>
      </w:r>
    </w:p>
    <w:p w14:paraId="5476E669" w14:textId="77777777" w:rsidR="00B7555D" w:rsidRPr="005629F8" w:rsidRDefault="00B7555D" w:rsidP="003A538E">
      <w:pPr>
        <w:pStyle w:val="ListLevel1"/>
        <w:rPr>
          <w:lang w:val="en-AU"/>
        </w:rPr>
      </w:pPr>
      <w:r w:rsidRPr="005629F8">
        <w:rPr>
          <w:lang w:val="en-AU"/>
        </w:rPr>
        <w:t>is delivered under the management of, or regularly informed by, a clinician with specialised expertise in mental health</w:t>
      </w:r>
    </w:p>
    <w:p w14:paraId="707229D3" w14:textId="77777777" w:rsidR="00B7555D" w:rsidRPr="005629F8" w:rsidRDefault="00B7555D" w:rsidP="003A538E">
      <w:pPr>
        <w:pStyle w:val="ListLevel1"/>
        <w:rPr>
          <w:lang w:val="en-AU"/>
        </w:rPr>
      </w:pPr>
      <w:r w:rsidRPr="005629F8">
        <w:rPr>
          <w:lang w:val="en-AU"/>
        </w:rPr>
        <w:t>is evidenced by an individualised formal mental health assessment and the implementation of a documented mental health plan</w:t>
      </w:r>
    </w:p>
    <w:p w14:paraId="66BB8221" w14:textId="77777777" w:rsidR="00B7555D" w:rsidRPr="005629F8" w:rsidRDefault="00B7555D" w:rsidP="003A538E">
      <w:pPr>
        <w:pStyle w:val="ListLevel1"/>
        <w:rPr>
          <w:lang w:val="en-AU"/>
        </w:rPr>
      </w:pPr>
      <w:r w:rsidRPr="005629F8">
        <w:rPr>
          <w:lang w:val="en-AU"/>
        </w:rPr>
        <w:t>may include significant psychosocial components, including family and carer support.</w:t>
      </w:r>
    </w:p>
    <w:p w14:paraId="427C1D35" w14:textId="1B7425DE" w:rsidR="00B7555D" w:rsidRPr="005629F8" w:rsidRDefault="00B7555D" w:rsidP="00B7555D">
      <w:pPr>
        <w:rPr>
          <w:lang w:val="en-AU"/>
        </w:rPr>
      </w:pPr>
      <w:r w:rsidRPr="005629F8">
        <w:rPr>
          <w:lang w:val="en-AU"/>
        </w:rPr>
        <w:t>Other admitted patient care (care type 88</w:t>
      </w:r>
      <w:r w:rsidR="00D61BE1" w:rsidRPr="005629F8">
        <w:rPr>
          <w:rStyle w:val="FootnoteReference"/>
          <w:lang w:val="en-AU"/>
        </w:rPr>
        <w:footnoteReference w:id="9"/>
      </w:r>
      <w:r w:rsidRPr="005629F8">
        <w:rPr>
          <w:lang w:val="en-AU"/>
        </w:rPr>
        <w:t xml:space="preserve">) is care that does not meet the definitions for </w:t>
      </w:r>
      <w:r w:rsidR="00EE6138">
        <w:rPr>
          <w:lang w:val="en-AU"/>
        </w:rPr>
        <w:t xml:space="preserve">other </w:t>
      </w:r>
      <w:r w:rsidRPr="005629F8">
        <w:rPr>
          <w:lang w:val="en-AU"/>
        </w:rPr>
        <w:t>care</w:t>
      </w:r>
      <w:r w:rsidRPr="005629F8">
        <w:rPr>
          <w:spacing w:val="-3"/>
          <w:lang w:val="en-AU"/>
        </w:rPr>
        <w:t xml:space="preserve"> </w:t>
      </w:r>
      <w:r w:rsidRPr="005629F8">
        <w:rPr>
          <w:lang w:val="en-AU"/>
        </w:rPr>
        <w:t>types</w:t>
      </w:r>
      <w:r w:rsidRPr="005629F8">
        <w:rPr>
          <w:spacing w:val="1"/>
          <w:lang w:val="en-AU"/>
        </w:rPr>
        <w:t xml:space="preserve"> </w:t>
      </w:r>
      <w:r w:rsidRPr="005629F8">
        <w:rPr>
          <w:lang w:val="en-AU"/>
        </w:rPr>
        <w:t>but</w:t>
      </w:r>
      <w:r w:rsidRPr="005629F8">
        <w:rPr>
          <w:spacing w:val="-1"/>
          <w:lang w:val="en-AU"/>
        </w:rPr>
        <w:t xml:space="preserve"> </w:t>
      </w:r>
      <w:r w:rsidR="00EE6138">
        <w:rPr>
          <w:spacing w:val="-1"/>
          <w:lang w:val="en-AU"/>
        </w:rPr>
        <w:t xml:space="preserve">is </w:t>
      </w:r>
      <w:r w:rsidRPr="005629F8">
        <w:rPr>
          <w:lang w:val="en-AU"/>
        </w:rPr>
        <w:t>deemed</w:t>
      </w:r>
      <w:r w:rsidRPr="005629F8">
        <w:rPr>
          <w:spacing w:val="-2"/>
          <w:lang w:val="en-AU"/>
        </w:rPr>
        <w:t xml:space="preserve"> </w:t>
      </w:r>
      <w:r w:rsidRPr="005629F8">
        <w:rPr>
          <w:lang w:val="en-AU"/>
        </w:rPr>
        <w:t>in</w:t>
      </w:r>
      <w:r w:rsidR="000C115F" w:rsidRPr="005629F8">
        <w:rPr>
          <w:lang w:val="en-AU"/>
        </w:rPr>
        <w:t>-</w:t>
      </w:r>
      <w:r w:rsidRPr="005629F8">
        <w:rPr>
          <w:lang w:val="en-AU"/>
        </w:rPr>
        <w:t>scope</w:t>
      </w:r>
      <w:r w:rsidRPr="005629F8">
        <w:rPr>
          <w:spacing w:val="-2"/>
          <w:lang w:val="en-AU"/>
        </w:rPr>
        <w:t xml:space="preserve"> </w:t>
      </w:r>
      <w:r w:rsidRPr="005629F8">
        <w:rPr>
          <w:lang w:val="en-AU"/>
        </w:rPr>
        <w:t>for</w:t>
      </w:r>
      <w:r w:rsidRPr="005629F8">
        <w:rPr>
          <w:spacing w:val="-4"/>
          <w:lang w:val="en-AU"/>
        </w:rPr>
        <w:t xml:space="preserve"> </w:t>
      </w:r>
      <w:r w:rsidRPr="005629F8">
        <w:rPr>
          <w:lang w:val="en-AU"/>
        </w:rPr>
        <w:t>this</w:t>
      </w:r>
      <w:r w:rsidRPr="005629F8">
        <w:rPr>
          <w:spacing w:val="1"/>
          <w:lang w:val="en-AU"/>
        </w:rPr>
        <w:t xml:space="preserve"> </w:t>
      </w:r>
      <w:r w:rsidRPr="005629F8">
        <w:rPr>
          <w:lang w:val="en-AU"/>
        </w:rPr>
        <w:t>report.</w:t>
      </w:r>
    </w:p>
    <w:p w14:paraId="5855418C" w14:textId="20CE67C2" w:rsidR="00982B6B" w:rsidRPr="00E829BF" w:rsidRDefault="00982B6B" w:rsidP="00E829BF">
      <w:pPr>
        <w:pStyle w:val="Heading3"/>
      </w:pPr>
      <w:bookmarkStart w:id="56" w:name="_Toc129700444"/>
      <w:bookmarkStart w:id="57" w:name="_Toc129700670"/>
      <w:bookmarkStart w:id="58" w:name="_Toc129701363"/>
      <w:r w:rsidRPr="00E829BF">
        <w:t>Reporting</w:t>
      </w:r>
      <w:r w:rsidRPr="00E87B16">
        <w:t xml:space="preserve"> </w:t>
      </w:r>
      <w:r w:rsidRPr="00E829BF">
        <w:t>requirements</w:t>
      </w:r>
      <w:bookmarkEnd w:id="56"/>
      <w:bookmarkEnd w:id="57"/>
      <w:bookmarkEnd w:id="58"/>
    </w:p>
    <w:p w14:paraId="59C06B07" w14:textId="4E9749C8" w:rsidR="00982B6B" w:rsidRPr="005629F8" w:rsidRDefault="00982B6B" w:rsidP="00982B6B">
      <w:pPr>
        <w:rPr>
          <w:lang w:val="en-AU"/>
        </w:rPr>
      </w:pPr>
      <w:r w:rsidRPr="005629F8">
        <w:rPr>
          <w:lang w:val="en-AU"/>
        </w:rPr>
        <w:t>The Australian Hospital Patient Costing Standards Version 4.</w:t>
      </w:r>
      <w:r w:rsidR="000C115F" w:rsidRPr="005629F8">
        <w:rPr>
          <w:lang w:val="en-AU"/>
        </w:rPr>
        <w:t>1</w:t>
      </w:r>
      <w:r w:rsidR="00D61BE1" w:rsidRPr="009E6836">
        <w:rPr>
          <w:rStyle w:val="FootnoteReference"/>
          <w:lang w:val="en-AU"/>
        </w:rPr>
        <w:footnoteReference w:id="10"/>
      </w:r>
      <w:r w:rsidRPr="005629F8">
        <w:rPr>
          <w:lang w:val="en-AU"/>
        </w:rPr>
        <w:t xml:space="preserve"> (AHPCS) guide the hospitals</w:t>
      </w:r>
      <w:r w:rsidRPr="005629F8">
        <w:rPr>
          <w:spacing w:val="1"/>
          <w:lang w:val="en-AU"/>
        </w:rPr>
        <w:t xml:space="preserve"> </w:t>
      </w:r>
      <w:r w:rsidRPr="005629F8">
        <w:rPr>
          <w:lang w:val="en-AU"/>
        </w:rPr>
        <w:t>with costing processes for their NHCDC submissions to ensure a consistent treatment of costs</w:t>
      </w:r>
      <w:r w:rsidRPr="005629F8">
        <w:rPr>
          <w:spacing w:val="-59"/>
          <w:lang w:val="en-AU"/>
        </w:rPr>
        <w:t xml:space="preserve"> </w:t>
      </w:r>
      <w:r w:rsidR="007C6198" w:rsidRPr="005629F8">
        <w:rPr>
          <w:spacing w:val="-59"/>
          <w:lang w:val="en-AU"/>
        </w:rPr>
        <w:t xml:space="preserve"> </w:t>
      </w:r>
      <w:r w:rsidR="007C6198" w:rsidRPr="005629F8">
        <w:rPr>
          <w:lang w:val="en-AU"/>
        </w:rPr>
        <w:t xml:space="preserve"> between</w:t>
      </w:r>
      <w:r w:rsidRPr="005629F8">
        <w:rPr>
          <w:lang w:val="en-AU"/>
        </w:rPr>
        <w:t xml:space="preserve"> </w:t>
      </w:r>
      <w:r w:rsidRPr="005629F8">
        <w:rPr>
          <w:lang w:val="en-AU"/>
        </w:rPr>
        <w:lastRenderedPageBreak/>
        <w:t>hospitals nationally. Version 4.</w:t>
      </w:r>
      <w:r w:rsidR="000C115F" w:rsidRPr="005629F8">
        <w:rPr>
          <w:lang w:val="en-AU"/>
        </w:rPr>
        <w:t xml:space="preserve">1 </w:t>
      </w:r>
      <w:r w:rsidRPr="005629F8">
        <w:rPr>
          <w:lang w:val="en-AU"/>
        </w:rPr>
        <w:t xml:space="preserve">of the AHPCS was released in </w:t>
      </w:r>
      <w:r w:rsidR="00EE6138" w:rsidRPr="35ADAD77">
        <w:rPr>
          <w:lang w:val="en-AU"/>
        </w:rPr>
        <w:t>August 2021</w:t>
      </w:r>
      <w:r w:rsidRPr="005629F8">
        <w:rPr>
          <w:lang w:val="en-AU"/>
        </w:rPr>
        <w:t xml:space="preserve"> and</w:t>
      </w:r>
      <w:r w:rsidRPr="005629F8">
        <w:rPr>
          <w:spacing w:val="1"/>
          <w:lang w:val="en-AU"/>
        </w:rPr>
        <w:t xml:space="preserve"> </w:t>
      </w:r>
      <w:r w:rsidRPr="005629F8">
        <w:rPr>
          <w:lang w:val="en-AU"/>
        </w:rPr>
        <w:t>applied</w:t>
      </w:r>
      <w:r w:rsidRPr="005629F8">
        <w:rPr>
          <w:spacing w:val="-1"/>
          <w:lang w:val="en-AU"/>
        </w:rPr>
        <w:t xml:space="preserve"> </w:t>
      </w:r>
      <w:r w:rsidRPr="005629F8">
        <w:rPr>
          <w:lang w:val="en-AU"/>
        </w:rPr>
        <w:t>for</w:t>
      </w:r>
      <w:r w:rsidRPr="005629F8">
        <w:rPr>
          <w:spacing w:val="-1"/>
          <w:lang w:val="en-AU"/>
        </w:rPr>
        <w:t xml:space="preserve"> </w:t>
      </w:r>
      <w:r w:rsidRPr="005629F8">
        <w:rPr>
          <w:lang w:val="en-AU"/>
        </w:rPr>
        <w:t>the</w:t>
      </w:r>
      <w:r w:rsidRPr="005629F8">
        <w:rPr>
          <w:spacing w:val="-5"/>
          <w:lang w:val="en-AU"/>
        </w:rPr>
        <w:t xml:space="preserve"> </w:t>
      </w:r>
      <w:r w:rsidRPr="005629F8">
        <w:rPr>
          <w:lang w:val="en-AU"/>
        </w:rPr>
        <w:t>first</w:t>
      </w:r>
      <w:r w:rsidRPr="005629F8">
        <w:rPr>
          <w:spacing w:val="-1"/>
          <w:lang w:val="en-AU"/>
        </w:rPr>
        <w:t xml:space="preserve"> </w:t>
      </w:r>
      <w:r w:rsidRPr="005629F8">
        <w:rPr>
          <w:lang w:val="en-AU"/>
        </w:rPr>
        <w:t>time</w:t>
      </w:r>
      <w:r w:rsidRPr="005629F8">
        <w:rPr>
          <w:spacing w:val="-2"/>
          <w:lang w:val="en-AU"/>
        </w:rPr>
        <w:t xml:space="preserve"> </w:t>
      </w:r>
      <w:r w:rsidRPr="005629F8">
        <w:rPr>
          <w:lang w:val="en-AU"/>
        </w:rPr>
        <w:t xml:space="preserve">in </w:t>
      </w:r>
      <w:r w:rsidR="002B4425" w:rsidRPr="005629F8">
        <w:rPr>
          <w:lang w:val="en-AU"/>
        </w:rPr>
        <w:t xml:space="preserve">the </w:t>
      </w:r>
      <w:r w:rsidR="00EE6138" w:rsidRPr="35ADAD77">
        <w:rPr>
          <w:lang w:val="en-AU"/>
        </w:rPr>
        <w:t>2020</w:t>
      </w:r>
      <w:r w:rsidR="002358F4">
        <w:rPr>
          <w:lang w:val="en-AU"/>
        </w:rPr>
        <w:t>-</w:t>
      </w:r>
      <w:r w:rsidR="00EE6138" w:rsidRPr="35ADAD77">
        <w:rPr>
          <w:lang w:val="en-AU"/>
        </w:rPr>
        <w:t xml:space="preserve">21 </w:t>
      </w:r>
      <w:r w:rsidRPr="005629F8">
        <w:rPr>
          <w:lang w:val="en-AU"/>
        </w:rPr>
        <w:t>NHCDC.</w:t>
      </w:r>
    </w:p>
    <w:p w14:paraId="45D6DD36" w14:textId="726B2D66" w:rsidR="00982B6B" w:rsidRPr="005629F8" w:rsidRDefault="00982B6B" w:rsidP="00982B6B">
      <w:pPr>
        <w:rPr>
          <w:lang w:val="en-AU"/>
        </w:rPr>
      </w:pPr>
      <w:r w:rsidRPr="005629F8">
        <w:rPr>
          <w:lang w:val="en-AU"/>
        </w:rPr>
        <w:t>The AHPCS prescribe</w:t>
      </w:r>
      <w:r w:rsidR="00F73634" w:rsidRPr="005629F8">
        <w:rPr>
          <w:lang w:val="en-AU"/>
        </w:rPr>
        <w:t>s</w:t>
      </w:r>
      <w:r w:rsidRPr="005629F8">
        <w:rPr>
          <w:lang w:val="en-AU"/>
        </w:rPr>
        <w:t xml:space="preserve"> the set of line items and cost centres used for mapping hospital costs in</w:t>
      </w:r>
      <w:r w:rsidRPr="005629F8">
        <w:rPr>
          <w:spacing w:val="1"/>
          <w:lang w:val="en-AU"/>
        </w:rPr>
        <w:t xml:space="preserve"> </w:t>
      </w:r>
      <w:r w:rsidRPr="005629F8">
        <w:rPr>
          <w:lang w:val="en-AU"/>
        </w:rPr>
        <w:t>the costing process. These costs are then allocated to, and reported under, the NHCDC-</w:t>
      </w:r>
      <w:r w:rsidR="00C7224F" w:rsidRPr="005629F8">
        <w:rPr>
          <w:lang w:val="en-AU"/>
        </w:rPr>
        <w:t>defined ‘cost</w:t>
      </w:r>
      <w:r w:rsidRPr="005629F8">
        <w:rPr>
          <w:lang w:val="en-AU"/>
        </w:rPr>
        <w:t xml:space="preserve"> buckets’ (see </w:t>
      </w:r>
      <w:r w:rsidRPr="005629F8">
        <w:rPr>
          <w:lang w:val="en-AU"/>
        </w:rPr>
        <w:fldChar w:fldCharType="begin"/>
      </w:r>
      <w:r w:rsidRPr="005629F8">
        <w:rPr>
          <w:lang w:val="en-AU"/>
        </w:rPr>
        <w:instrText xml:space="preserve"> REF _Ref103176152 \h  \* MERGEFORMAT </w:instrText>
      </w:r>
      <w:r w:rsidRPr="005629F8">
        <w:rPr>
          <w:lang w:val="en-AU"/>
        </w:rPr>
      </w:r>
      <w:r w:rsidRPr="005629F8">
        <w:rPr>
          <w:lang w:val="en-AU"/>
        </w:rPr>
        <w:fldChar w:fldCharType="separate"/>
      </w:r>
      <w:r w:rsidR="00EA09CD" w:rsidRPr="005629F8">
        <w:rPr>
          <w:lang w:val="en-AU"/>
        </w:rPr>
        <w:t>Appendix</w:t>
      </w:r>
      <w:r w:rsidR="00EA09CD" w:rsidRPr="005629F8">
        <w:rPr>
          <w:spacing w:val="-1"/>
          <w:lang w:val="en-AU"/>
        </w:rPr>
        <w:t xml:space="preserve"> </w:t>
      </w:r>
      <w:r w:rsidR="001B1A76">
        <w:rPr>
          <w:lang w:val="en-AU"/>
        </w:rPr>
        <w:t>G</w:t>
      </w:r>
      <w:r w:rsidR="00EA09CD" w:rsidRPr="005629F8">
        <w:rPr>
          <w:lang w:val="en-AU"/>
        </w:rPr>
        <w:t xml:space="preserve">: </w:t>
      </w:r>
      <w:r w:rsidR="00EA09CD" w:rsidRPr="005629F8">
        <w:rPr>
          <w:color w:val="212121"/>
          <w:lang w:val="en-AU"/>
        </w:rPr>
        <w:t>Cost bucket matrix</w:t>
      </w:r>
      <w:r w:rsidRPr="005629F8">
        <w:rPr>
          <w:lang w:val="en-AU"/>
        </w:rPr>
        <w:fldChar w:fldCharType="end"/>
      </w:r>
      <w:r w:rsidRPr="005629F8">
        <w:rPr>
          <w:lang w:val="en-AU"/>
        </w:rPr>
        <w:t>). Cost buckets represent different</w:t>
      </w:r>
      <w:r w:rsidRPr="005629F8">
        <w:rPr>
          <w:spacing w:val="1"/>
          <w:lang w:val="en-AU"/>
        </w:rPr>
        <w:t xml:space="preserve"> </w:t>
      </w:r>
      <w:r w:rsidRPr="005629F8">
        <w:rPr>
          <w:lang w:val="en-AU"/>
        </w:rPr>
        <w:t>combinations of the NHCDC line items and cost centres and can be considered as cost pools</w:t>
      </w:r>
      <w:r w:rsidRPr="005629F8">
        <w:rPr>
          <w:spacing w:val="1"/>
          <w:lang w:val="en-AU"/>
        </w:rPr>
        <w:t xml:space="preserve"> </w:t>
      </w:r>
      <w:r w:rsidRPr="005629F8">
        <w:rPr>
          <w:lang w:val="en-AU"/>
        </w:rPr>
        <w:t>within</w:t>
      </w:r>
      <w:r w:rsidRPr="005629F8">
        <w:rPr>
          <w:spacing w:val="-1"/>
          <w:lang w:val="en-AU"/>
        </w:rPr>
        <w:t xml:space="preserve"> </w:t>
      </w:r>
      <w:r w:rsidRPr="005629F8">
        <w:rPr>
          <w:lang w:val="en-AU"/>
        </w:rPr>
        <w:t>the hospital.</w:t>
      </w:r>
    </w:p>
    <w:p w14:paraId="56E985DA" w14:textId="3FF1F6FE" w:rsidR="008669D3" w:rsidRPr="005629F8" w:rsidRDefault="008669D3" w:rsidP="00E829BF">
      <w:pPr>
        <w:pStyle w:val="Heading3"/>
      </w:pPr>
      <w:bookmarkStart w:id="59" w:name="_Toc129700445"/>
      <w:bookmarkStart w:id="60" w:name="_Toc129700671"/>
      <w:bookmarkStart w:id="61" w:name="_Toc129701364"/>
      <w:r w:rsidRPr="005629F8">
        <w:t>Work in</w:t>
      </w:r>
      <w:r w:rsidRPr="005629F8">
        <w:rPr>
          <w:spacing w:val="-4"/>
        </w:rPr>
        <w:t xml:space="preserve"> </w:t>
      </w:r>
      <w:r w:rsidRPr="005629F8">
        <w:t>progress</w:t>
      </w:r>
      <w:r w:rsidRPr="005629F8">
        <w:rPr>
          <w:spacing w:val="-1"/>
        </w:rPr>
        <w:t xml:space="preserve"> </w:t>
      </w:r>
      <w:r w:rsidRPr="005629F8">
        <w:t>patients</w:t>
      </w:r>
      <w:bookmarkEnd w:id="59"/>
      <w:bookmarkEnd w:id="60"/>
      <w:bookmarkEnd w:id="61"/>
    </w:p>
    <w:p w14:paraId="57C0CEFE" w14:textId="1EF50A6E" w:rsidR="008669D3" w:rsidRPr="005629F8" w:rsidRDefault="008669D3" w:rsidP="008669D3">
      <w:pPr>
        <w:rPr>
          <w:lang w:val="en-AU"/>
        </w:rPr>
      </w:pPr>
      <w:r w:rsidRPr="005629F8">
        <w:rPr>
          <w:lang w:val="en-AU"/>
        </w:rPr>
        <w:t xml:space="preserve">A work in progress (WIP) episode is a patient who was discharged within the reporting period for </w:t>
      </w:r>
      <w:r w:rsidR="007164B7" w:rsidRPr="005629F8">
        <w:rPr>
          <w:lang w:val="en-AU"/>
        </w:rPr>
        <w:t>20</w:t>
      </w:r>
      <w:r w:rsidR="002B4425" w:rsidRPr="005629F8">
        <w:rPr>
          <w:lang w:val="en-AU"/>
        </w:rPr>
        <w:t>20</w:t>
      </w:r>
      <w:r w:rsidR="00C82F8C">
        <w:rPr>
          <w:lang w:val="en-AU"/>
        </w:rPr>
        <w:noBreakHyphen/>
      </w:r>
      <w:r w:rsidR="007164B7" w:rsidRPr="005629F8">
        <w:rPr>
          <w:lang w:val="en-AU"/>
        </w:rPr>
        <w:t>21</w:t>
      </w:r>
      <w:r w:rsidRPr="005629F8">
        <w:rPr>
          <w:lang w:val="en-AU"/>
        </w:rPr>
        <w:t>, but who was admitted prior to the reporting period. Patients who have not been discharged in 20</w:t>
      </w:r>
      <w:r w:rsidR="007164B7" w:rsidRPr="005629F8">
        <w:rPr>
          <w:lang w:val="en-AU"/>
        </w:rPr>
        <w:t>20</w:t>
      </w:r>
      <w:r w:rsidRPr="005629F8">
        <w:rPr>
          <w:lang w:val="en-AU"/>
        </w:rPr>
        <w:t>-2</w:t>
      </w:r>
      <w:r w:rsidR="007164B7" w:rsidRPr="005629F8">
        <w:rPr>
          <w:lang w:val="en-AU"/>
        </w:rPr>
        <w:t>1</w:t>
      </w:r>
      <w:r w:rsidRPr="005629F8">
        <w:rPr>
          <w:lang w:val="en-AU"/>
        </w:rPr>
        <w:t xml:space="preserve"> are out of scope.</w:t>
      </w:r>
    </w:p>
    <w:p w14:paraId="1AD1CC1B" w14:textId="39C5D3D7" w:rsidR="008669D3" w:rsidRPr="005629F8" w:rsidRDefault="008669D3" w:rsidP="008669D3">
      <w:pPr>
        <w:rPr>
          <w:lang w:val="en-AU"/>
        </w:rPr>
      </w:pPr>
      <w:r w:rsidRPr="005629F8">
        <w:rPr>
          <w:lang w:val="en-AU"/>
        </w:rPr>
        <w:t xml:space="preserve">In </w:t>
      </w:r>
      <w:r w:rsidR="002B4425" w:rsidRPr="005629F8">
        <w:rPr>
          <w:lang w:val="en-AU"/>
        </w:rPr>
        <w:t>20</w:t>
      </w:r>
      <w:r w:rsidR="007164B7" w:rsidRPr="005629F8">
        <w:rPr>
          <w:lang w:val="en-AU"/>
        </w:rPr>
        <w:t>20-21</w:t>
      </w:r>
      <w:r w:rsidRPr="005629F8">
        <w:rPr>
          <w:lang w:val="en-AU"/>
        </w:rPr>
        <w:t>, all WIP patients were admitted in 20</w:t>
      </w:r>
      <w:r w:rsidR="00D41A2F" w:rsidRPr="005629F8">
        <w:rPr>
          <w:lang w:val="en-AU"/>
        </w:rPr>
        <w:t>19</w:t>
      </w:r>
      <w:r w:rsidRPr="005629F8">
        <w:rPr>
          <w:lang w:val="en-AU"/>
        </w:rPr>
        <w:t>-</w:t>
      </w:r>
      <w:r w:rsidR="00D41A2F" w:rsidRPr="005629F8">
        <w:rPr>
          <w:lang w:val="en-AU"/>
        </w:rPr>
        <w:t>20</w:t>
      </w:r>
      <w:r w:rsidRPr="005629F8">
        <w:rPr>
          <w:lang w:val="en-AU"/>
        </w:rPr>
        <w:t xml:space="preserve"> and discharged in </w:t>
      </w:r>
      <w:r w:rsidR="00D41A2F" w:rsidRPr="005629F8">
        <w:rPr>
          <w:lang w:val="en-AU"/>
        </w:rPr>
        <w:t>2020</w:t>
      </w:r>
      <w:r w:rsidR="00C82F8C">
        <w:rPr>
          <w:lang w:val="en-AU"/>
        </w:rPr>
        <w:noBreakHyphen/>
      </w:r>
      <w:r w:rsidRPr="005629F8">
        <w:rPr>
          <w:lang w:val="en-AU"/>
        </w:rPr>
        <w:t>2</w:t>
      </w:r>
      <w:r w:rsidR="00D41A2F" w:rsidRPr="005629F8">
        <w:rPr>
          <w:lang w:val="en-AU"/>
        </w:rPr>
        <w:t>1</w:t>
      </w:r>
      <w:r w:rsidRPr="005629F8">
        <w:rPr>
          <w:lang w:val="en-AU"/>
        </w:rPr>
        <w:t>. These records are in</w:t>
      </w:r>
      <w:r w:rsidR="00F73634" w:rsidRPr="005629F8">
        <w:rPr>
          <w:lang w:val="en-AU"/>
        </w:rPr>
        <w:t>-</w:t>
      </w:r>
      <w:r w:rsidRPr="005629F8">
        <w:rPr>
          <w:lang w:val="en-AU"/>
        </w:rPr>
        <w:t>scope and they have been included in the results.</w:t>
      </w:r>
    </w:p>
    <w:p w14:paraId="2D8E06D7" w14:textId="49E935B1" w:rsidR="007E5599" w:rsidRPr="005629F8" w:rsidRDefault="007E5599" w:rsidP="00FC4599">
      <w:pPr>
        <w:pStyle w:val="Heading2"/>
      </w:pPr>
      <w:bookmarkStart w:id="62" w:name="_Toc129700446"/>
      <w:bookmarkStart w:id="63" w:name="_Toc129700672"/>
      <w:bookmarkStart w:id="64" w:name="_Toc129701365"/>
      <w:r w:rsidRPr="005629F8">
        <w:t>Data</w:t>
      </w:r>
      <w:r w:rsidRPr="005629F8">
        <w:rPr>
          <w:spacing w:val="-1"/>
        </w:rPr>
        <w:t xml:space="preserve"> </w:t>
      </w:r>
      <w:r w:rsidRPr="005629F8">
        <w:t>adjustments</w:t>
      </w:r>
      <w:bookmarkEnd w:id="62"/>
      <w:bookmarkEnd w:id="63"/>
      <w:bookmarkEnd w:id="64"/>
    </w:p>
    <w:p w14:paraId="3CA9402B" w14:textId="77777777" w:rsidR="007E5599" w:rsidRPr="005629F8" w:rsidRDefault="007E5599" w:rsidP="007E5599">
      <w:pPr>
        <w:rPr>
          <w:lang w:val="en-AU"/>
        </w:rPr>
      </w:pPr>
      <w:r w:rsidRPr="005629F8">
        <w:rPr>
          <w:lang w:val="en-AU"/>
        </w:rPr>
        <w:t>The</w:t>
      </w:r>
      <w:r w:rsidRPr="005629F8">
        <w:rPr>
          <w:spacing w:val="-7"/>
          <w:lang w:val="en-AU"/>
        </w:rPr>
        <w:t xml:space="preserve"> </w:t>
      </w:r>
      <w:r w:rsidRPr="005629F8">
        <w:rPr>
          <w:lang w:val="en-AU"/>
        </w:rPr>
        <w:t>following</w:t>
      </w:r>
      <w:r w:rsidRPr="005629F8">
        <w:rPr>
          <w:spacing w:val="1"/>
          <w:lang w:val="en-AU"/>
        </w:rPr>
        <w:t xml:space="preserve"> </w:t>
      </w:r>
      <w:r w:rsidRPr="005629F8">
        <w:rPr>
          <w:lang w:val="en-AU"/>
        </w:rPr>
        <w:t>adjustments were applied</w:t>
      </w:r>
      <w:r w:rsidRPr="005629F8">
        <w:rPr>
          <w:spacing w:val="-1"/>
          <w:lang w:val="en-AU"/>
        </w:rPr>
        <w:t xml:space="preserve"> </w:t>
      </w:r>
      <w:r w:rsidRPr="005629F8">
        <w:rPr>
          <w:lang w:val="en-AU"/>
        </w:rPr>
        <w:t>to</w:t>
      </w:r>
      <w:r w:rsidRPr="005629F8">
        <w:rPr>
          <w:spacing w:val="-3"/>
          <w:lang w:val="en-AU"/>
        </w:rPr>
        <w:t xml:space="preserve"> </w:t>
      </w:r>
      <w:r w:rsidRPr="005629F8">
        <w:rPr>
          <w:lang w:val="en-AU"/>
        </w:rPr>
        <w:t>the</w:t>
      </w:r>
      <w:r w:rsidRPr="005629F8">
        <w:rPr>
          <w:spacing w:val="-3"/>
          <w:lang w:val="en-AU"/>
        </w:rPr>
        <w:t xml:space="preserve"> </w:t>
      </w:r>
      <w:r w:rsidRPr="005629F8">
        <w:rPr>
          <w:lang w:val="en-AU"/>
        </w:rPr>
        <w:t>dataset during</w:t>
      </w:r>
      <w:r w:rsidRPr="005629F8">
        <w:rPr>
          <w:spacing w:val="-1"/>
          <w:lang w:val="en-AU"/>
        </w:rPr>
        <w:t xml:space="preserve"> </w:t>
      </w:r>
      <w:r w:rsidRPr="005629F8">
        <w:rPr>
          <w:lang w:val="en-AU"/>
        </w:rPr>
        <w:t>the</w:t>
      </w:r>
      <w:r w:rsidRPr="005629F8">
        <w:rPr>
          <w:spacing w:val="-1"/>
          <w:lang w:val="en-AU"/>
        </w:rPr>
        <w:t xml:space="preserve"> </w:t>
      </w:r>
      <w:r w:rsidRPr="005629F8">
        <w:rPr>
          <w:lang w:val="en-AU"/>
        </w:rPr>
        <w:t>NHCDC</w:t>
      </w:r>
      <w:r w:rsidRPr="005629F8">
        <w:rPr>
          <w:spacing w:val="-4"/>
          <w:lang w:val="en-AU"/>
        </w:rPr>
        <w:t xml:space="preserve"> </w:t>
      </w:r>
      <w:r w:rsidRPr="005629F8">
        <w:rPr>
          <w:lang w:val="en-AU"/>
        </w:rPr>
        <w:t>process.</w:t>
      </w:r>
    </w:p>
    <w:p w14:paraId="254EA98E" w14:textId="6745F6EC" w:rsidR="007E5599" w:rsidRPr="005629F8" w:rsidRDefault="007E5599" w:rsidP="00E829BF">
      <w:pPr>
        <w:pStyle w:val="Heading3"/>
      </w:pPr>
      <w:bookmarkStart w:id="65" w:name="_Toc129700447"/>
      <w:bookmarkStart w:id="66" w:name="_Toc129700673"/>
      <w:bookmarkStart w:id="67" w:name="_Toc129701366"/>
      <w:r w:rsidRPr="005629F8">
        <w:t>Neonate adjustment</w:t>
      </w:r>
      <w:bookmarkEnd w:id="65"/>
      <w:bookmarkEnd w:id="66"/>
      <w:bookmarkEnd w:id="67"/>
    </w:p>
    <w:p w14:paraId="55CB7BEF" w14:textId="755CAD67" w:rsidR="007E5599" w:rsidRPr="005629F8" w:rsidRDefault="007E5599" w:rsidP="007E5599">
      <w:pPr>
        <w:rPr>
          <w:lang w:val="en-AU"/>
        </w:rPr>
      </w:pPr>
      <w:r w:rsidRPr="005629F8">
        <w:rPr>
          <w:lang w:val="en-AU"/>
        </w:rPr>
        <w:t>The costs for newborn infants with zero qualified days in respect of care type 7.0 (newborn care) were allocated to</w:t>
      </w:r>
      <w:r w:rsidRPr="005629F8">
        <w:rPr>
          <w:spacing w:val="-3"/>
          <w:lang w:val="en-AU"/>
        </w:rPr>
        <w:t xml:space="preserve"> </w:t>
      </w:r>
      <w:r w:rsidRPr="005629F8">
        <w:rPr>
          <w:lang w:val="en-AU"/>
        </w:rPr>
        <w:t>the</w:t>
      </w:r>
      <w:r w:rsidRPr="005629F8">
        <w:rPr>
          <w:spacing w:val="-2"/>
          <w:lang w:val="en-AU"/>
        </w:rPr>
        <w:t xml:space="preserve"> </w:t>
      </w:r>
      <w:r w:rsidRPr="005629F8">
        <w:rPr>
          <w:lang w:val="en-AU"/>
        </w:rPr>
        <w:t>delivery</w:t>
      </w:r>
      <w:r w:rsidRPr="005629F8">
        <w:rPr>
          <w:spacing w:val="-1"/>
          <w:lang w:val="en-AU"/>
        </w:rPr>
        <w:t xml:space="preserve"> </w:t>
      </w:r>
      <w:r w:rsidRPr="005629F8">
        <w:rPr>
          <w:lang w:val="en-AU"/>
        </w:rPr>
        <w:t>episodes of</w:t>
      </w:r>
      <w:r w:rsidRPr="005629F8">
        <w:rPr>
          <w:spacing w:val="2"/>
          <w:lang w:val="en-AU"/>
        </w:rPr>
        <w:t xml:space="preserve"> </w:t>
      </w:r>
      <w:r w:rsidRPr="005629F8">
        <w:rPr>
          <w:lang w:val="en-AU"/>
        </w:rPr>
        <w:t>mothers</w:t>
      </w:r>
      <w:r w:rsidRPr="005629F8">
        <w:rPr>
          <w:spacing w:val="1"/>
          <w:lang w:val="en-AU"/>
        </w:rPr>
        <w:t xml:space="preserve"> </w:t>
      </w:r>
      <w:r w:rsidRPr="005629F8">
        <w:rPr>
          <w:lang w:val="en-AU"/>
        </w:rPr>
        <w:t>at</w:t>
      </w:r>
      <w:r w:rsidRPr="005629F8">
        <w:rPr>
          <w:spacing w:val="-2"/>
          <w:lang w:val="en-AU"/>
        </w:rPr>
        <w:t xml:space="preserve"> </w:t>
      </w:r>
      <w:r w:rsidRPr="005629F8">
        <w:rPr>
          <w:lang w:val="en-AU"/>
        </w:rPr>
        <w:t>the</w:t>
      </w:r>
      <w:r w:rsidRPr="005629F8">
        <w:rPr>
          <w:spacing w:val="-2"/>
          <w:lang w:val="en-AU"/>
        </w:rPr>
        <w:t xml:space="preserve"> </w:t>
      </w:r>
      <w:r w:rsidRPr="005629F8">
        <w:rPr>
          <w:lang w:val="en-AU"/>
        </w:rPr>
        <w:t>same hospital.</w:t>
      </w:r>
    </w:p>
    <w:p w14:paraId="7A5E675F" w14:textId="4784BB54" w:rsidR="007E5599" w:rsidRPr="005629F8" w:rsidRDefault="007E5599" w:rsidP="007E5599">
      <w:pPr>
        <w:rPr>
          <w:highlight w:val="yellow"/>
          <w:lang w:val="en-AU"/>
        </w:rPr>
      </w:pPr>
      <w:r w:rsidRPr="005629F8">
        <w:rPr>
          <w:lang w:val="en-AU"/>
        </w:rPr>
        <w:t>The definition of unqualified days in the National Health Data Dictionary</w:t>
      </w:r>
      <w:r w:rsidR="00D61BE1" w:rsidRPr="005629F8">
        <w:rPr>
          <w:rStyle w:val="FootnoteReference"/>
          <w:lang w:val="en-AU"/>
        </w:rPr>
        <w:footnoteReference w:id="11"/>
      </w:r>
      <w:r w:rsidRPr="005629F8">
        <w:rPr>
          <w:rFonts w:ascii="Georgia" w:hAnsi="Georgia"/>
          <w:position w:val="6"/>
          <w:sz w:val="14"/>
          <w:lang w:val="en-AU"/>
        </w:rPr>
        <w:t xml:space="preserve"> </w:t>
      </w:r>
      <w:r w:rsidRPr="005629F8">
        <w:rPr>
          <w:lang w:val="en-AU"/>
        </w:rPr>
        <w:t>relates to the first nine</w:t>
      </w:r>
      <w:r w:rsidRPr="005629F8">
        <w:rPr>
          <w:spacing w:val="-59"/>
          <w:lang w:val="en-AU"/>
        </w:rPr>
        <w:t xml:space="preserve"> </w:t>
      </w:r>
      <w:r w:rsidRPr="005629F8">
        <w:rPr>
          <w:lang w:val="en-AU"/>
        </w:rPr>
        <w:t xml:space="preserve">days of a newborn’s </w:t>
      </w:r>
      <w:r w:rsidR="00C7224F" w:rsidRPr="005629F8">
        <w:rPr>
          <w:lang w:val="en-AU"/>
        </w:rPr>
        <w:t>life unless</w:t>
      </w:r>
      <w:r w:rsidRPr="005629F8">
        <w:rPr>
          <w:lang w:val="en-AU"/>
        </w:rPr>
        <w:t xml:space="preserve"> the newborn is a second or subsequent live born infant or i</w:t>
      </w:r>
      <w:r w:rsidR="00A53980">
        <w:rPr>
          <w:lang w:val="en-AU"/>
        </w:rPr>
        <w:t xml:space="preserve">f </w:t>
      </w:r>
      <w:r w:rsidRPr="005629F8">
        <w:rPr>
          <w:lang w:val="en-AU"/>
        </w:rPr>
        <w:t>intensive care</w:t>
      </w:r>
      <w:r w:rsidR="00A53980">
        <w:rPr>
          <w:lang w:val="en-AU"/>
        </w:rPr>
        <w:t xml:space="preserve"> is required</w:t>
      </w:r>
      <w:r w:rsidRPr="005629F8">
        <w:rPr>
          <w:lang w:val="en-AU"/>
        </w:rPr>
        <w:t xml:space="preserve">. The adjustment for unqualified days for </w:t>
      </w:r>
      <w:r w:rsidR="007164B7" w:rsidRPr="005629F8">
        <w:rPr>
          <w:lang w:val="en-AU"/>
        </w:rPr>
        <w:t xml:space="preserve">this financial year </w:t>
      </w:r>
      <w:r w:rsidRPr="005629F8">
        <w:rPr>
          <w:lang w:val="en-AU"/>
        </w:rPr>
        <w:t>was conducted in a</w:t>
      </w:r>
      <w:r w:rsidRPr="005629F8">
        <w:rPr>
          <w:spacing w:val="1"/>
          <w:lang w:val="en-AU"/>
        </w:rPr>
        <w:t xml:space="preserve"> </w:t>
      </w:r>
      <w:r w:rsidRPr="005629F8">
        <w:rPr>
          <w:lang w:val="en-AU"/>
        </w:rPr>
        <w:t>similar way</w:t>
      </w:r>
      <w:r w:rsidRPr="005629F8">
        <w:rPr>
          <w:spacing w:val="-2"/>
          <w:lang w:val="en-AU"/>
        </w:rPr>
        <w:t xml:space="preserve"> </w:t>
      </w:r>
      <w:r w:rsidRPr="005629F8">
        <w:rPr>
          <w:lang w:val="en-AU"/>
        </w:rPr>
        <w:t>to</w:t>
      </w:r>
      <w:r w:rsidRPr="005629F8">
        <w:rPr>
          <w:spacing w:val="2"/>
          <w:lang w:val="en-AU"/>
        </w:rPr>
        <w:t xml:space="preserve"> </w:t>
      </w:r>
      <w:r w:rsidR="007164B7" w:rsidRPr="005629F8">
        <w:rPr>
          <w:lang w:val="en-AU"/>
        </w:rPr>
        <w:t>the previous financial year</w:t>
      </w:r>
      <w:r w:rsidRPr="005629F8">
        <w:rPr>
          <w:lang w:val="en-AU"/>
        </w:rPr>
        <w:t>.</w:t>
      </w:r>
    </w:p>
    <w:p w14:paraId="6F77B47E" w14:textId="4B619C6A" w:rsidR="007E5599" w:rsidRPr="005629F8" w:rsidRDefault="007E5599" w:rsidP="00E829BF">
      <w:pPr>
        <w:pStyle w:val="Heading3"/>
      </w:pPr>
      <w:bookmarkStart w:id="68" w:name="_Toc129700448"/>
      <w:bookmarkStart w:id="69" w:name="_Toc129700674"/>
      <w:bookmarkStart w:id="70" w:name="_Toc129701367"/>
      <w:r w:rsidRPr="005629F8">
        <w:t>Market share adjustment process</w:t>
      </w:r>
      <w:bookmarkEnd w:id="68"/>
      <w:bookmarkEnd w:id="69"/>
      <w:bookmarkEnd w:id="70"/>
    </w:p>
    <w:p w14:paraId="5E542874" w14:textId="0714FE13" w:rsidR="007E5599" w:rsidRPr="005629F8" w:rsidRDefault="007E5599" w:rsidP="007E5599">
      <w:pPr>
        <w:rPr>
          <w:highlight w:val="yellow"/>
          <w:lang w:val="en-AU"/>
        </w:rPr>
      </w:pPr>
      <w:r w:rsidRPr="005629F8">
        <w:rPr>
          <w:lang w:val="en-AU"/>
        </w:rPr>
        <w:t xml:space="preserve">To ensure appropriate representation in the report, market share was determined for each hospital group. This was calculated as the relevant group’s share of the PHDB separations amongst all participating hospital groups. The market share was then compared to the submitted data to determine if any hospital groups submitted more separations than their market share would warrant, and if so, whether this would lead to an inappropriate representation. </w:t>
      </w:r>
      <w:r w:rsidR="00CB4778" w:rsidRPr="35ADAD77">
        <w:rPr>
          <w:lang w:val="en-AU"/>
        </w:rPr>
        <w:t>An</w:t>
      </w:r>
      <w:r w:rsidRPr="005629F8">
        <w:rPr>
          <w:lang w:val="en-AU"/>
        </w:rPr>
        <w:t xml:space="preserve"> adjustment was made </w:t>
      </w:r>
      <w:r w:rsidR="00A06572" w:rsidRPr="005629F8">
        <w:rPr>
          <w:lang w:val="en-AU"/>
        </w:rPr>
        <w:t xml:space="preserve">for the </w:t>
      </w:r>
      <w:r w:rsidR="0078625D" w:rsidRPr="005629F8">
        <w:rPr>
          <w:lang w:val="en-AU"/>
        </w:rPr>
        <w:t>2020-21</w:t>
      </w:r>
      <w:r w:rsidR="00CB4778" w:rsidRPr="35ADAD77">
        <w:rPr>
          <w:lang w:val="en-AU"/>
        </w:rPr>
        <w:t xml:space="preserve"> NHCDC to better align the share for hospital groups in the NHCDC to their market share</w:t>
      </w:r>
      <w:r w:rsidRPr="005629F8">
        <w:rPr>
          <w:lang w:val="en-AU"/>
        </w:rPr>
        <w:t>.</w:t>
      </w:r>
    </w:p>
    <w:p w14:paraId="17F9DC97" w14:textId="65FAE6E5" w:rsidR="007E5599" w:rsidRPr="005629F8" w:rsidRDefault="007E5599" w:rsidP="00E829BF">
      <w:pPr>
        <w:pStyle w:val="Heading3"/>
      </w:pPr>
      <w:bookmarkStart w:id="71" w:name="_Toc129700449"/>
      <w:bookmarkStart w:id="72" w:name="_Toc129700675"/>
      <w:bookmarkStart w:id="73" w:name="_Toc129701368"/>
      <w:r w:rsidRPr="005629F8">
        <w:t>Population adjustment process</w:t>
      </w:r>
      <w:bookmarkEnd w:id="71"/>
      <w:bookmarkEnd w:id="72"/>
      <w:bookmarkEnd w:id="73"/>
    </w:p>
    <w:p w14:paraId="67903D68" w14:textId="4B63DF44" w:rsidR="007E5599" w:rsidRPr="005629F8" w:rsidRDefault="007E5599" w:rsidP="007E5599">
      <w:pPr>
        <w:rPr>
          <w:lang w:val="en-AU"/>
        </w:rPr>
      </w:pPr>
      <w:r w:rsidRPr="005629F8">
        <w:rPr>
          <w:lang w:val="en-AU"/>
        </w:rPr>
        <w:t xml:space="preserve">To ensure the results reflect the full range of Australia’s private hospitals, an estimation process was undertaken to create representative national costing and activity figures from sample data. The estimation process produces population data by estimating “strata weights” based on admitted acute separations. These are applied to the sample data so that the admitted acute separations </w:t>
      </w:r>
      <w:r w:rsidRPr="005629F8">
        <w:rPr>
          <w:lang w:val="en-AU"/>
        </w:rPr>
        <w:lastRenderedPageBreak/>
        <w:t>equal the total population figures. The weights are calculated based on the number of separations in each hospital group in the submitted data and nationally, as per the total population in PHDB.</w:t>
      </w:r>
    </w:p>
    <w:p w14:paraId="0146AEE1" w14:textId="427F2AD4" w:rsidR="007E5599" w:rsidRPr="005629F8" w:rsidRDefault="00690CB7" w:rsidP="007E5599">
      <w:pPr>
        <w:rPr>
          <w:lang w:val="en-AU"/>
        </w:rPr>
      </w:pPr>
      <w:r>
        <w:rPr>
          <w:color w:val="14272E"/>
        </w:rPr>
        <w:t xml:space="preserve">The total population was defined as the total number of private acute separations in the PHDB data in 2020-21. All private acute hospitals in Australia (excluding private day hospital facilities) with more than 200 admitted acute separations during the financial year were included. The number of in-scope hospitals in the population file for 2020-21 is 246, down from the 280 hospitals submitted as 34 were found </w:t>
      </w:r>
      <w:r>
        <w:rPr>
          <w:color w:val="14272E"/>
        </w:rPr>
        <w:t xml:space="preserve">to </w:t>
      </w:r>
      <w:r>
        <w:rPr>
          <w:color w:val="14272E"/>
        </w:rPr>
        <w:t xml:space="preserve">not </w:t>
      </w:r>
      <w:r>
        <w:rPr>
          <w:color w:val="14272E"/>
        </w:rPr>
        <w:t xml:space="preserve">be </w:t>
      </w:r>
      <w:r>
        <w:rPr>
          <w:color w:val="14272E"/>
        </w:rPr>
        <w:t xml:space="preserve">in-scope. </w:t>
      </w:r>
    </w:p>
    <w:p w14:paraId="619A37B3" w14:textId="690F6BBB" w:rsidR="007E5599" w:rsidRPr="005629F8" w:rsidRDefault="007E5599" w:rsidP="00E829BF">
      <w:pPr>
        <w:pStyle w:val="Heading3"/>
      </w:pPr>
      <w:bookmarkStart w:id="74" w:name="_Toc129700450"/>
      <w:bookmarkStart w:id="75" w:name="_Toc129700676"/>
      <w:bookmarkStart w:id="76" w:name="_Toc129701369"/>
      <w:r w:rsidRPr="005629F8">
        <w:t>AR-DRG flipping adjustment process</w:t>
      </w:r>
      <w:bookmarkEnd w:id="74"/>
      <w:bookmarkEnd w:id="75"/>
      <w:bookmarkEnd w:id="76"/>
    </w:p>
    <w:p w14:paraId="7457C9D8" w14:textId="5093DE06" w:rsidR="007E5599" w:rsidRPr="005629F8" w:rsidRDefault="007E5599" w:rsidP="007E5599">
      <w:pPr>
        <w:rPr>
          <w:sz w:val="20"/>
          <w:lang w:val="en-AU"/>
        </w:rPr>
      </w:pPr>
      <w:r w:rsidRPr="005629F8">
        <w:rPr>
          <w:lang w:val="en-AU"/>
        </w:rPr>
        <w:t>The dataset was reviewed for AR-DRG flipping</w:t>
      </w:r>
      <w:r w:rsidR="00204852">
        <w:rPr>
          <w:lang w:val="en-AU"/>
        </w:rPr>
        <w:t>.</w:t>
      </w:r>
      <w:r w:rsidR="00F73634" w:rsidRPr="005629F8">
        <w:rPr>
          <w:lang w:val="en-AU"/>
        </w:rPr>
        <w:t xml:space="preserve"> </w:t>
      </w:r>
      <w:r w:rsidR="00204852">
        <w:rPr>
          <w:lang w:val="en-AU"/>
        </w:rPr>
        <w:t>T</w:t>
      </w:r>
      <w:r w:rsidR="007B447E">
        <w:rPr>
          <w:lang w:val="en-AU"/>
        </w:rPr>
        <w:t>his</w:t>
      </w:r>
      <w:r w:rsidRPr="005629F8">
        <w:rPr>
          <w:lang w:val="en-AU"/>
        </w:rPr>
        <w:t xml:space="preserve"> occurs when the cost weight of a lower complexity AR-DRG within the related adjacent AR-DRG is greater than the one with higher complexity. For example, AR-DRG flipping would occur if the cost weight for the lower complexity </w:t>
      </w:r>
      <w:r w:rsidR="00CB4778">
        <w:rPr>
          <w:lang w:val="en-AU"/>
        </w:rPr>
        <w:t xml:space="preserve">AR-DRG </w:t>
      </w:r>
      <w:r w:rsidRPr="005629F8">
        <w:rPr>
          <w:lang w:val="en-AU"/>
        </w:rPr>
        <w:t xml:space="preserve">E40B: Respiratory System Disorders W Ventilator Support, Minor Complexity was greater than the cost weight of the higher complexity </w:t>
      </w:r>
      <w:r w:rsidR="00CB4778">
        <w:rPr>
          <w:lang w:val="en-AU"/>
        </w:rPr>
        <w:t xml:space="preserve">AR-DRG </w:t>
      </w:r>
      <w:r w:rsidRPr="005629F8">
        <w:rPr>
          <w:lang w:val="en-AU"/>
        </w:rPr>
        <w:t>E40A: Respiratory System Disorders W Ventilator Support, Major Complexity.</w:t>
      </w:r>
    </w:p>
    <w:p w14:paraId="1870C835" w14:textId="1390F8CA" w:rsidR="00253343" w:rsidRPr="005629F8" w:rsidRDefault="00690CB7" w:rsidP="00253343">
      <w:pPr>
        <w:rPr>
          <w:lang w:val="en-AU"/>
        </w:rPr>
      </w:pPr>
      <w:r>
        <w:rPr>
          <w:color w:val="14272E"/>
        </w:rPr>
        <w:t xml:space="preserve">A small number of instances of AR-DRG flipping were identified in 2020-21. Each instance was </w:t>
      </w:r>
      <w:proofErr w:type="spellStart"/>
      <w:r>
        <w:rPr>
          <w:color w:val="14272E"/>
        </w:rPr>
        <w:t>analysed</w:t>
      </w:r>
      <w:proofErr w:type="spellEnd"/>
      <w:r>
        <w:rPr>
          <w:color w:val="14272E"/>
        </w:rPr>
        <w:t xml:space="preserve"> and investigated by the key stakeholders to ensure the appropriate treatment had been applied. This included reviewing patient data. It was determined that no adjustments were required for these occurrences.</w:t>
      </w:r>
    </w:p>
    <w:p w14:paraId="2FCDA13E" w14:textId="41640DDB" w:rsidR="00253343" w:rsidRPr="005629F8" w:rsidRDefault="000A56B6" w:rsidP="00E829BF">
      <w:pPr>
        <w:pStyle w:val="Heading3"/>
      </w:pPr>
      <w:bookmarkStart w:id="77" w:name="_Toc129700451"/>
      <w:bookmarkStart w:id="78" w:name="_Toc129700677"/>
      <w:bookmarkStart w:id="79" w:name="_Toc129701370"/>
      <w:r w:rsidRPr="35ADAD77">
        <w:t>Additional data considerations for PBS rebates for this collection</w:t>
      </w:r>
      <w:bookmarkEnd w:id="77"/>
      <w:bookmarkEnd w:id="78"/>
      <w:bookmarkEnd w:id="79"/>
    </w:p>
    <w:p w14:paraId="702565A7" w14:textId="0A590089" w:rsidR="001022AF" w:rsidRDefault="001022AF" w:rsidP="00253343">
      <w:pPr>
        <w:rPr>
          <w:lang w:val="en-AU"/>
        </w:rPr>
      </w:pPr>
      <w:r>
        <w:rPr>
          <w:lang w:val="en-AU"/>
        </w:rPr>
        <w:t xml:space="preserve">For some AR-DRGs, significant differences </w:t>
      </w:r>
      <w:r w:rsidR="00C57029">
        <w:rPr>
          <w:lang w:val="en-AU"/>
        </w:rPr>
        <w:t xml:space="preserve">were observed </w:t>
      </w:r>
      <w:r>
        <w:rPr>
          <w:lang w:val="en-AU"/>
        </w:rPr>
        <w:t>by hospital group</w:t>
      </w:r>
      <w:r w:rsidR="00C57029">
        <w:rPr>
          <w:lang w:val="en-AU"/>
        </w:rPr>
        <w:t xml:space="preserve"> for the pharmacy cost bucket</w:t>
      </w:r>
      <w:r>
        <w:rPr>
          <w:lang w:val="en-AU"/>
        </w:rPr>
        <w:t xml:space="preserve">. </w:t>
      </w:r>
      <w:r w:rsidR="00C57029">
        <w:rPr>
          <w:lang w:val="en-AU"/>
        </w:rPr>
        <w:t xml:space="preserve">For 2020-21, </w:t>
      </w:r>
      <w:r w:rsidR="006D18E4">
        <w:rPr>
          <w:lang w:val="en-AU"/>
        </w:rPr>
        <w:t xml:space="preserve">a </w:t>
      </w:r>
      <w:r>
        <w:rPr>
          <w:lang w:val="en-AU"/>
        </w:rPr>
        <w:t>de</w:t>
      </w:r>
      <w:r w:rsidR="006D18E4">
        <w:rPr>
          <w:lang w:val="en-AU"/>
        </w:rPr>
        <w:t xml:space="preserve">tailed </w:t>
      </w:r>
      <w:r w:rsidR="00C57029">
        <w:rPr>
          <w:lang w:val="en-AU"/>
        </w:rPr>
        <w:t xml:space="preserve">analysis was carried out </w:t>
      </w:r>
      <w:r>
        <w:rPr>
          <w:lang w:val="en-AU"/>
        </w:rPr>
        <w:t>to understand the differences and develop an approach to align the hospital groups.</w:t>
      </w:r>
    </w:p>
    <w:p w14:paraId="20BA35FA" w14:textId="319527EC" w:rsidR="00614201" w:rsidRDefault="00253343">
      <w:pPr>
        <w:rPr>
          <w:lang w:val="en-AU"/>
        </w:rPr>
      </w:pPr>
      <w:r w:rsidRPr="005629F8">
        <w:rPr>
          <w:lang w:val="en-AU"/>
        </w:rPr>
        <w:t xml:space="preserve">Investigations </w:t>
      </w:r>
      <w:r w:rsidR="00F920B2" w:rsidRPr="005629F8">
        <w:rPr>
          <w:lang w:val="en-AU"/>
        </w:rPr>
        <w:t xml:space="preserve">conducted </w:t>
      </w:r>
      <w:r w:rsidRPr="005629F8">
        <w:rPr>
          <w:lang w:val="en-AU"/>
        </w:rPr>
        <w:t xml:space="preserve">with the hospital groups </w:t>
      </w:r>
      <w:r w:rsidR="00F920B2" w:rsidRPr="005629F8">
        <w:rPr>
          <w:lang w:val="en-AU"/>
        </w:rPr>
        <w:t>ha</w:t>
      </w:r>
      <w:r w:rsidR="00614201" w:rsidRPr="35ADAD77">
        <w:rPr>
          <w:lang w:val="en-AU"/>
        </w:rPr>
        <w:t>ve</w:t>
      </w:r>
      <w:r w:rsidR="00F920B2" w:rsidRPr="005629F8">
        <w:rPr>
          <w:lang w:val="en-AU"/>
        </w:rPr>
        <w:t xml:space="preserve"> uncovered that the variance </w:t>
      </w:r>
      <w:r w:rsidR="00681FC4" w:rsidRPr="005629F8">
        <w:rPr>
          <w:lang w:val="en-AU"/>
        </w:rPr>
        <w:t>is</w:t>
      </w:r>
      <w:r w:rsidR="00C57029" w:rsidRPr="35ADAD77">
        <w:rPr>
          <w:lang w:val="en-AU"/>
        </w:rPr>
        <w:t xml:space="preserve"> primarily</w:t>
      </w:r>
      <w:r w:rsidR="00681FC4" w:rsidRPr="005629F8">
        <w:rPr>
          <w:lang w:val="en-AU"/>
        </w:rPr>
        <w:t xml:space="preserve"> driven by whether the pharmacy function is outsourced to an external vendor</w:t>
      </w:r>
      <w:r w:rsidR="00614201" w:rsidRPr="35ADAD77">
        <w:rPr>
          <w:lang w:val="en-AU"/>
        </w:rPr>
        <w:t xml:space="preserve"> and the subsequent treatment of the PBS rebate</w:t>
      </w:r>
      <w:r w:rsidR="00681FC4" w:rsidRPr="005629F8">
        <w:rPr>
          <w:lang w:val="en-AU"/>
        </w:rPr>
        <w:t>. For those that do</w:t>
      </w:r>
      <w:r w:rsidR="00752DE9" w:rsidRPr="35ADAD77">
        <w:rPr>
          <w:lang w:val="en-AU"/>
        </w:rPr>
        <w:t xml:space="preserve"> outsource</w:t>
      </w:r>
      <w:r w:rsidR="00681FC4" w:rsidRPr="005629F8">
        <w:rPr>
          <w:lang w:val="en-AU"/>
        </w:rPr>
        <w:t xml:space="preserve">, the </w:t>
      </w:r>
      <w:r w:rsidR="00752DE9" w:rsidRPr="35ADAD77">
        <w:rPr>
          <w:lang w:val="en-AU"/>
        </w:rPr>
        <w:t xml:space="preserve">hospital group does not receive the PBS rebate and so the </w:t>
      </w:r>
      <w:r w:rsidR="00681FC4" w:rsidRPr="005629F8">
        <w:rPr>
          <w:lang w:val="en-AU"/>
        </w:rPr>
        <w:t>pharmacy cost</w:t>
      </w:r>
      <w:r w:rsidR="00614201" w:rsidRPr="35ADAD77">
        <w:rPr>
          <w:lang w:val="en-AU"/>
        </w:rPr>
        <w:t xml:space="preserve"> reported</w:t>
      </w:r>
      <w:r w:rsidR="00752DE9" w:rsidRPr="35ADAD77">
        <w:rPr>
          <w:lang w:val="en-AU"/>
        </w:rPr>
        <w:t xml:space="preserve"> in the NHCDC </w:t>
      </w:r>
      <w:r w:rsidR="00614201" w:rsidRPr="35ADAD77">
        <w:rPr>
          <w:lang w:val="en-AU"/>
        </w:rPr>
        <w:t xml:space="preserve">reflects the amount charged to the hospital, </w:t>
      </w:r>
      <w:r w:rsidR="007B447E">
        <w:rPr>
          <w:lang w:val="en-AU"/>
        </w:rPr>
        <w:t>resulting in the</w:t>
      </w:r>
      <w:r w:rsidR="00614201" w:rsidRPr="35ADAD77">
        <w:rPr>
          <w:lang w:val="en-AU"/>
        </w:rPr>
        <w:t xml:space="preserve"> cost</w:t>
      </w:r>
      <w:r w:rsidR="00752DE9" w:rsidRPr="35ADAD77">
        <w:rPr>
          <w:lang w:val="en-AU"/>
        </w:rPr>
        <w:t xml:space="preserve"> n</w:t>
      </w:r>
      <w:r w:rsidR="00681FC4" w:rsidRPr="005629F8">
        <w:rPr>
          <w:lang w:val="en-AU"/>
        </w:rPr>
        <w:t xml:space="preserve">et of </w:t>
      </w:r>
      <w:r w:rsidR="00614201" w:rsidRPr="35ADAD77">
        <w:rPr>
          <w:lang w:val="en-AU"/>
        </w:rPr>
        <w:t xml:space="preserve">the </w:t>
      </w:r>
      <w:r w:rsidR="00681FC4" w:rsidRPr="005629F8">
        <w:rPr>
          <w:lang w:val="en-AU"/>
        </w:rPr>
        <w:t>PBS rebate. For those with an internal pharmacy function, the</w:t>
      </w:r>
      <w:r w:rsidR="00614201" w:rsidRPr="35ADAD77">
        <w:rPr>
          <w:lang w:val="en-AU"/>
        </w:rPr>
        <w:t xml:space="preserve"> PBS rebate is received and recorded as revenue (in line with the AHPCS Version 4.1 costing standards) and the pharmacy cost is reported as the </w:t>
      </w:r>
      <w:r w:rsidR="00681FC4" w:rsidRPr="005629F8">
        <w:rPr>
          <w:lang w:val="en-AU"/>
        </w:rPr>
        <w:t xml:space="preserve">gross </w:t>
      </w:r>
      <w:r w:rsidR="00614201" w:rsidRPr="35ADAD77">
        <w:rPr>
          <w:lang w:val="en-AU"/>
        </w:rPr>
        <w:t>amount.</w:t>
      </w:r>
      <w:r w:rsidR="00752DE9" w:rsidRPr="35ADAD77">
        <w:rPr>
          <w:lang w:val="en-AU"/>
        </w:rPr>
        <w:t xml:space="preserve"> </w:t>
      </w:r>
    </w:p>
    <w:p w14:paraId="019E2CA0" w14:textId="422967E5" w:rsidR="001022AF" w:rsidRPr="00D72EDF" w:rsidRDefault="00614201">
      <w:pPr>
        <w:rPr>
          <w:lang w:val="en-AU"/>
        </w:rPr>
      </w:pPr>
      <w:r>
        <w:rPr>
          <w:lang w:val="en-AU"/>
        </w:rPr>
        <w:t>This variation is most notable in AR-</w:t>
      </w:r>
      <w:r w:rsidRPr="007B46E1">
        <w:rPr>
          <w:lang w:val="en-AU"/>
        </w:rPr>
        <w:t xml:space="preserve">DRGs </w:t>
      </w:r>
      <w:r w:rsidR="007B447E">
        <w:rPr>
          <w:lang w:val="en-AU"/>
        </w:rPr>
        <w:t xml:space="preserve">that </w:t>
      </w:r>
      <w:r>
        <w:rPr>
          <w:lang w:val="en-AU"/>
        </w:rPr>
        <w:t>attract pharmaceuticals with PBS rebates</w:t>
      </w:r>
      <w:r w:rsidRPr="007B46E1">
        <w:rPr>
          <w:lang w:val="en-AU"/>
        </w:rPr>
        <w:t xml:space="preserve">, such as </w:t>
      </w:r>
      <w:r>
        <w:rPr>
          <w:lang w:val="en-AU"/>
        </w:rPr>
        <w:t>R63Z: C</w:t>
      </w:r>
      <w:r w:rsidRPr="007B46E1">
        <w:rPr>
          <w:lang w:val="en-AU"/>
        </w:rPr>
        <w:t>hemotherapy</w:t>
      </w:r>
      <w:r>
        <w:rPr>
          <w:lang w:val="en-AU"/>
        </w:rPr>
        <w:t>.</w:t>
      </w:r>
    </w:p>
    <w:p w14:paraId="000FABBF" w14:textId="56F57A83" w:rsidR="001D17A7" w:rsidRPr="00894FAD" w:rsidRDefault="00786138" w:rsidP="001D17A7">
      <w:pPr>
        <w:rPr>
          <w:lang w:val="en-AU"/>
        </w:rPr>
      </w:pPr>
      <w:r>
        <w:rPr>
          <w:lang w:val="en-AU"/>
        </w:rPr>
        <w:t>For 202</w:t>
      </w:r>
      <w:r w:rsidR="00855591">
        <w:rPr>
          <w:lang w:val="en-AU"/>
        </w:rPr>
        <w:t>0</w:t>
      </w:r>
      <w:r>
        <w:rPr>
          <w:lang w:val="en-AU"/>
        </w:rPr>
        <w:t>-2</w:t>
      </w:r>
      <w:r w:rsidR="00855591">
        <w:rPr>
          <w:lang w:val="en-AU"/>
        </w:rPr>
        <w:t>1</w:t>
      </w:r>
      <w:r>
        <w:rPr>
          <w:lang w:val="en-AU"/>
        </w:rPr>
        <w:t xml:space="preserve">, </w:t>
      </w:r>
      <w:r w:rsidR="00C57029">
        <w:rPr>
          <w:lang w:val="en-AU"/>
        </w:rPr>
        <w:t xml:space="preserve">no </w:t>
      </w:r>
      <w:r w:rsidR="001D17A7" w:rsidRPr="00894FAD">
        <w:rPr>
          <w:lang w:val="en-AU"/>
        </w:rPr>
        <w:t xml:space="preserve">adjustment has been made </w:t>
      </w:r>
      <w:r w:rsidR="00C57029">
        <w:rPr>
          <w:lang w:val="en-AU"/>
        </w:rPr>
        <w:t xml:space="preserve">in this </w:t>
      </w:r>
      <w:r w:rsidR="00855591">
        <w:rPr>
          <w:lang w:val="en-AU"/>
        </w:rPr>
        <w:t>report</w:t>
      </w:r>
      <w:r w:rsidR="001D17A7" w:rsidRPr="00894FAD">
        <w:rPr>
          <w:lang w:val="en-AU"/>
        </w:rPr>
        <w:t>.</w:t>
      </w:r>
      <w:r w:rsidR="001D17A7">
        <w:rPr>
          <w:lang w:val="en-AU"/>
        </w:rPr>
        <w:t xml:space="preserve"> T</w:t>
      </w:r>
      <w:r w:rsidR="001D17A7" w:rsidRPr="007B46E1">
        <w:rPr>
          <w:lang w:val="en-AU"/>
        </w:rPr>
        <w:t xml:space="preserve">he reader should </w:t>
      </w:r>
      <w:r w:rsidR="00C57029">
        <w:rPr>
          <w:lang w:val="en-AU"/>
        </w:rPr>
        <w:t xml:space="preserve">be aware of these variations when </w:t>
      </w:r>
      <w:r w:rsidR="001D17A7" w:rsidRPr="007B46E1">
        <w:rPr>
          <w:lang w:val="en-AU"/>
        </w:rPr>
        <w:t>interpret</w:t>
      </w:r>
      <w:r w:rsidR="00C57029">
        <w:rPr>
          <w:lang w:val="en-AU"/>
        </w:rPr>
        <w:t>ing the</w:t>
      </w:r>
      <w:r w:rsidR="001D17A7" w:rsidRPr="007B46E1">
        <w:rPr>
          <w:lang w:val="en-AU"/>
        </w:rPr>
        <w:t xml:space="preserve"> results in this report</w:t>
      </w:r>
      <w:r w:rsidR="00614201">
        <w:rPr>
          <w:lang w:val="en-AU"/>
        </w:rPr>
        <w:t>.</w:t>
      </w:r>
    </w:p>
    <w:p w14:paraId="7EAF972B" w14:textId="68164526" w:rsidR="00253343" w:rsidRPr="005629F8" w:rsidRDefault="00C57029">
      <w:pPr>
        <w:rPr>
          <w:lang w:val="en-AU"/>
        </w:rPr>
      </w:pPr>
      <w:r w:rsidRPr="005629F8">
        <w:rPr>
          <w:lang w:val="en-AU"/>
        </w:rPr>
        <w:t>IHACPA will work with hospital groups on an approach to better align the costing process for future collections.</w:t>
      </w:r>
    </w:p>
    <w:p w14:paraId="5115CA47" w14:textId="4BFDDC69" w:rsidR="00253343" w:rsidRPr="005629F8" w:rsidRDefault="00253343">
      <w:pPr>
        <w:spacing w:line="259" w:lineRule="auto"/>
        <w:rPr>
          <w:rFonts w:ascii="Fira Sans Bold" w:eastAsiaTheme="majorEastAsia" w:hAnsi="Fira Sans Bold" w:cstheme="majorBidi"/>
          <w:color w:val="008F55" w:themeColor="accent4"/>
          <w:sz w:val="26"/>
          <w:szCs w:val="24"/>
          <w:highlight w:val="yellow"/>
          <w:lang w:val="en-AU"/>
        </w:rPr>
      </w:pPr>
      <w:r w:rsidRPr="005629F8">
        <w:rPr>
          <w:rFonts w:ascii="Fira Sans Bold" w:eastAsiaTheme="majorEastAsia" w:hAnsi="Fira Sans Bold" w:cstheme="majorBidi"/>
          <w:color w:val="008F55" w:themeColor="accent4"/>
          <w:sz w:val="26"/>
          <w:szCs w:val="24"/>
          <w:highlight w:val="yellow"/>
          <w:lang w:val="en-AU"/>
        </w:rPr>
        <w:br w:type="page"/>
      </w:r>
    </w:p>
    <w:p w14:paraId="64FD8115" w14:textId="1247F757" w:rsidR="00253343" w:rsidRPr="005629F8" w:rsidRDefault="00253343" w:rsidP="00FC4599">
      <w:pPr>
        <w:pStyle w:val="Heading1"/>
      </w:pPr>
      <w:bookmarkStart w:id="80" w:name="_Toc129701371"/>
      <w:r w:rsidRPr="005629F8">
        <w:lastRenderedPageBreak/>
        <w:t>Results</w:t>
      </w:r>
      <w:bookmarkEnd w:id="80"/>
    </w:p>
    <w:p w14:paraId="2902C75D" w14:textId="4DB065C2" w:rsidR="00253343" w:rsidRPr="005629F8" w:rsidRDefault="00253343" w:rsidP="00FC4599">
      <w:pPr>
        <w:pStyle w:val="Heading2"/>
      </w:pPr>
      <w:bookmarkStart w:id="81" w:name="_Toc129700679"/>
      <w:bookmarkStart w:id="82" w:name="_Toc129701372"/>
      <w:r w:rsidRPr="005629F8">
        <w:t>Participation</w:t>
      </w:r>
      <w:bookmarkEnd w:id="81"/>
      <w:bookmarkEnd w:id="82"/>
    </w:p>
    <w:p w14:paraId="400A7982" w14:textId="7DF955D1" w:rsidR="00874297" w:rsidRDefault="00C01755" w:rsidP="00253343">
      <w:r>
        <w:rPr>
          <w:lang w:val="en-AU"/>
        </w:rPr>
        <w:t xml:space="preserve">The participation of the </w:t>
      </w:r>
      <w:r w:rsidR="00855591">
        <w:rPr>
          <w:lang w:val="en-AU"/>
        </w:rPr>
        <w:t>p</w:t>
      </w:r>
      <w:r>
        <w:rPr>
          <w:lang w:val="en-AU"/>
        </w:rPr>
        <w:t xml:space="preserve">rivate </w:t>
      </w:r>
      <w:r w:rsidR="00855591">
        <w:rPr>
          <w:lang w:val="en-AU"/>
        </w:rPr>
        <w:t>s</w:t>
      </w:r>
      <w:r>
        <w:rPr>
          <w:lang w:val="en-AU"/>
        </w:rPr>
        <w:t xml:space="preserve">ector NHCDC has changed over time, with hospital groups entering and exiting the collection, as well as individual hospitals changing hospital groups or ceasing to operate. The following figures illustrate how the participation has </w:t>
      </w:r>
      <w:r w:rsidR="00BC533D">
        <w:rPr>
          <w:lang w:val="en-AU"/>
        </w:rPr>
        <w:t>changed</w:t>
      </w:r>
      <w:r>
        <w:rPr>
          <w:lang w:val="en-AU"/>
        </w:rPr>
        <w:t xml:space="preserve"> over the last six years.</w:t>
      </w:r>
    </w:p>
    <w:p w14:paraId="6CE4427F" w14:textId="363C09C2" w:rsidR="00874297" w:rsidRDefault="00874297" w:rsidP="00E87B16">
      <w:pPr>
        <w:pStyle w:val="TableFigureheading"/>
      </w:pPr>
      <w:bookmarkStart w:id="83" w:name="_Toc129263240"/>
      <w:r>
        <w:t xml:space="preserve">Figure </w:t>
      </w:r>
      <w:r>
        <w:fldChar w:fldCharType="begin"/>
      </w:r>
      <w:r>
        <w:instrText xml:space="preserve"> SEQ Figure \* ARABIC </w:instrText>
      </w:r>
      <w:r>
        <w:fldChar w:fldCharType="separate"/>
      </w:r>
      <w:r>
        <w:rPr>
          <w:noProof/>
        </w:rPr>
        <w:t>1</w:t>
      </w:r>
      <w:r>
        <w:fldChar w:fldCharType="end"/>
      </w:r>
      <w:r>
        <w:t>. Participating hospitals in the NHCDC</w:t>
      </w:r>
      <w:bookmarkEnd w:id="83"/>
    </w:p>
    <w:p w14:paraId="5DE9095C" w14:textId="392AF51F" w:rsidR="00831484" w:rsidRPr="005629F8" w:rsidRDefault="00C15507" w:rsidP="00253343">
      <w:pPr>
        <w:rPr>
          <w:lang w:val="en-AU"/>
        </w:rPr>
      </w:pPr>
      <w:r w:rsidRPr="00C15507">
        <w:rPr>
          <w:noProof/>
          <w:lang w:val="en-US"/>
        </w:rPr>
        <w:drawing>
          <wp:inline distT="0" distB="0" distL="0" distR="0" wp14:anchorId="6455F3FF" wp14:editId="5FCB38C2">
            <wp:extent cx="4461272" cy="2546944"/>
            <wp:effectExtent l="0" t="0" r="0" b="6350"/>
            <wp:docPr id="4" name="Picture 4" descr="This is a column graph which shows the number of participating hospitals in the NHCDC between 2015-16 and 2020-21." title="Participating hospitals in the NH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7604" cy="2556268"/>
                    </a:xfrm>
                    <a:prstGeom prst="rect">
                      <a:avLst/>
                    </a:prstGeom>
                    <a:noFill/>
                    <a:ln>
                      <a:noFill/>
                    </a:ln>
                  </pic:spPr>
                </pic:pic>
              </a:graphicData>
            </a:graphic>
          </wp:inline>
        </w:drawing>
      </w:r>
    </w:p>
    <w:p w14:paraId="7F4B5808" w14:textId="3E38F1B0" w:rsidR="00874297" w:rsidRDefault="00C01755">
      <w:r w:rsidRPr="35ADAD77">
        <w:rPr>
          <w:lang w:val="en-AU"/>
        </w:rPr>
        <w:t>The population of separations in 2020</w:t>
      </w:r>
      <w:r>
        <w:rPr>
          <w:lang w:val="en-AU"/>
        </w:rPr>
        <w:noBreakHyphen/>
      </w:r>
      <w:r w:rsidRPr="35ADAD77">
        <w:rPr>
          <w:lang w:val="en-AU"/>
        </w:rPr>
        <w:t>21 is defined as all private admitted acute separations performed at 246 in-scope overnight private hospitals in 2020</w:t>
      </w:r>
      <w:r>
        <w:rPr>
          <w:lang w:val="en-AU"/>
        </w:rPr>
        <w:noBreakHyphen/>
      </w:r>
      <w:r w:rsidRPr="35ADAD77">
        <w:rPr>
          <w:lang w:val="en-AU"/>
        </w:rPr>
        <w:t xml:space="preserve">21, </w:t>
      </w:r>
      <w:r w:rsidR="00CB4778" w:rsidRPr="35ADAD77">
        <w:rPr>
          <w:lang w:val="en-AU"/>
        </w:rPr>
        <w:t xml:space="preserve">totalling </w:t>
      </w:r>
      <w:r w:rsidRPr="35ADAD77">
        <w:rPr>
          <w:lang w:val="en-AU"/>
        </w:rPr>
        <w:t>3,487,127 separations.</w:t>
      </w:r>
    </w:p>
    <w:p w14:paraId="087D25CB" w14:textId="4EDC5F59" w:rsidR="00874297" w:rsidRPr="00E829BF" w:rsidRDefault="00874297" w:rsidP="00E87B16">
      <w:pPr>
        <w:pStyle w:val="TableFigureheading"/>
      </w:pPr>
      <w:bookmarkStart w:id="84" w:name="_Toc129263241"/>
      <w:r w:rsidRPr="00E829BF">
        <w:t xml:space="preserve">Figure </w:t>
      </w:r>
      <w:r w:rsidRPr="00E829BF">
        <w:fldChar w:fldCharType="begin"/>
      </w:r>
      <w:r w:rsidRPr="00E829BF">
        <w:instrText xml:space="preserve"> SEQ Figure \* ARABIC </w:instrText>
      </w:r>
      <w:r w:rsidRPr="00E829BF">
        <w:fldChar w:fldCharType="separate"/>
      </w:r>
      <w:r w:rsidRPr="00E829BF">
        <w:rPr>
          <w:noProof/>
        </w:rPr>
        <w:t>2</w:t>
      </w:r>
      <w:r w:rsidRPr="00E829BF">
        <w:fldChar w:fldCharType="end"/>
      </w:r>
      <w:r w:rsidRPr="00E829BF">
        <w:t xml:space="preserve">. </w:t>
      </w:r>
      <w:r w:rsidR="00BA45CC" w:rsidRPr="00E829BF">
        <w:t>Total private hospital s</w:t>
      </w:r>
      <w:r w:rsidRPr="00E829BF">
        <w:t xml:space="preserve">eparations and </w:t>
      </w:r>
      <w:r w:rsidR="00BA45CC" w:rsidRPr="00E829BF">
        <w:t xml:space="preserve">NHCDC </w:t>
      </w:r>
      <w:r w:rsidRPr="00E829BF">
        <w:t>participation rate</w:t>
      </w:r>
      <w:bookmarkEnd w:id="84"/>
    </w:p>
    <w:p w14:paraId="51AC289E" w14:textId="1C40AC35" w:rsidR="004724ED" w:rsidRDefault="004724ED">
      <w:pPr>
        <w:rPr>
          <w:lang w:val="en-AU"/>
        </w:rPr>
      </w:pPr>
      <w:r w:rsidRPr="004724ED">
        <w:rPr>
          <w:noProof/>
          <w:lang w:val="en-US"/>
        </w:rPr>
        <w:drawing>
          <wp:inline distT="0" distB="0" distL="0" distR="0" wp14:anchorId="1A0AC9B7" wp14:editId="79A72426">
            <wp:extent cx="4707731" cy="2658868"/>
            <wp:effectExtent l="0" t="0" r="0" b="8255"/>
            <wp:docPr id="12" name="Picture 12" descr="Total private hospital separations and NHCDC participation rate &#10;&#10;This is a column graph which shows total private hospital separations (breakdown down by sameday separations, overnight separations, and separations not included in the NHCDC). The NHCDC participation rate is shown as a line graph on the secondary axis. The graph shows the period between 2015-16 and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tal private hospital separations and NHCDC participation rate &#10;&#10;This is a column graph which shows total private hospital separations (breakdown down by sameday separations, overnight separations, and separations not included in the NHCDC). The NHCDC participation rate is shown as a line graph on the secondary axis. The graph shows the period between 2015-16 and 202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702" cy="2678055"/>
                    </a:xfrm>
                    <a:prstGeom prst="rect">
                      <a:avLst/>
                    </a:prstGeom>
                    <a:noFill/>
                    <a:ln>
                      <a:noFill/>
                    </a:ln>
                  </pic:spPr>
                </pic:pic>
              </a:graphicData>
            </a:graphic>
          </wp:inline>
        </w:drawing>
      </w:r>
    </w:p>
    <w:p w14:paraId="781B2A18" w14:textId="77777777" w:rsidR="00FC4599" w:rsidRPr="005629F8" w:rsidRDefault="00FC4599">
      <w:pPr>
        <w:rPr>
          <w:lang w:val="en-AU"/>
        </w:rPr>
      </w:pPr>
    </w:p>
    <w:p w14:paraId="79A62F7A" w14:textId="564DD787" w:rsidR="00AE569D" w:rsidRDefault="00AE569D" w:rsidP="00253343">
      <w:pPr>
        <w:rPr>
          <w:lang w:val="en-AU"/>
        </w:rPr>
      </w:pPr>
      <w:bookmarkStart w:id="85" w:name="_Hlk129336992"/>
      <w:r w:rsidRPr="00563730">
        <w:rPr>
          <w:lang w:val="en-AU"/>
        </w:rPr>
        <w:t>The number of sample separations (that is, separations submitted to the NHCDC) in 2020</w:t>
      </w:r>
      <w:r>
        <w:rPr>
          <w:lang w:val="en-AU"/>
        </w:rPr>
        <w:noBreakHyphen/>
      </w:r>
      <w:r w:rsidRPr="00563730">
        <w:rPr>
          <w:lang w:val="en-AU"/>
        </w:rPr>
        <w:t>21 was 2,2</w:t>
      </w:r>
      <w:r w:rsidR="00B80354">
        <w:rPr>
          <w:lang w:val="en-AU"/>
        </w:rPr>
        <w:t>7</w:t>
      </w:r>
      <w:r w:rsidRPr="00563730">
        <w:rPr>
          <w:lang w:val="en-AU"/>
        </w:rPr>
        <w:t>7,97</w:t>
      </w:r>
      <w:r w:rsidR="00CB4778">
        <w:rPr>
          <w:lang w:val="en-AU"/>
        </w:rPr>
        <w:t>3</w:t>
      </w:r>
      <w:r w:rsidRPr="00563730">
        <w:rPr>
          <w:lang w:val="en-AU"/>
        </w:rPr>
        <w:t xml:space="preserve">, </w:t>
      </w:r>
      <w:r w:rsidRPr="0068730C">
        <w:rPr>
          <w:lang w:val="en-AU"/>
        </w:rPr>
        <w:t>represent</w:t>
      </w:r>
      <w:r w:rsidR="007B447E">
        <w:rPr>
          <w:lang w:val="en-AU"/>
        </w:rPr>
        <w:t>ing</w:t>
      </w:r>
      <w:r w:rsidRPr="0068730C">
        <w:rPr>
          <w:lang w:val="en-AU"/>
        </w:rPr>
        <w:t xml:space="preserve"> a 10.2 per cent increase in the sample separations compared to 2019-20. This increase in separations is also observed in the population overall, potentially reflecting the increase in activity due to </w:t>
      </w:r>
      <w:r w:rsidR="00BC533D">
        <w:rPr>
          <w:lang w:val="en-AU"/>
        </w:rPr>
        <w:t xml:space="preserve">the relaxing of </w:t>
      </w:r>
      <w:r w:rsidRPr="0068730C">
        <w:rPr>
          <w:lang w:val="en-AU"/>
        </w:rPr>
        <w:t>COVID-19 restrictions.</w:t>
      </w:r>
    </w:p>
    <w:bookmarkEnd w:id="85"/>
    <w:p w14:paraId="77CB54A3" w14:textId="37A9F0CB" w:rsidR="009168EC" w:rsidRPr="009E3F6F" w:rsidRDefault="00CB4778" w:rsidP="00D13419">
      <w:r>
        <w:rPr>
          <w:lang w:val="en-AU"/>
        </w:rPr>
        <w:t xml:space="preserve">The participation rate is calculated as the number of sample separations submitted to the NHCDC as a proportion of </w:t>
      </w:r>
      <w:r w:rsidR="00B42837">
        <w:rPr>
          <w:lang w:val="en-AU"/>
        </w:rPr>
        <w:t xml:space="preserve">the </w:t>
      </w:r>
      <w:r>
        <w:rPr>
          <w:lang w:val="en-AU"/>
        </w:rPr>
        <w:t>total population separations.</w:t>
      </w:r>
      <w:r w:rsidRPr="005629F8">
        <w:rPr>
          <w:color w:val="auto"/>
          <w:lang w:val="en-AU"/>
        </w:rPr>
        <w:t xml:space="preserve"> </w:t>
      </w:r>
      <w:r w:rsidR="00926033">
        <w:rPr>
          <w:color w:val="auto"/>
          <w:lang w:val="en-AU"/>
        </w:rPr>
        <w:fldChar w:fldCharType="begin"/>
      </w:r>
      <w:r w:rsidR="00926033">
        <w:rPr>
          <w:color w:val="auto"/>
          <w:lang w:val="en-AU"/>
        </w:rPr>
        <w:instrText xml:space="preserve"> REF _Ref129170540 \h </w:instrText>
      </w:r>
      <w:r w:rsidR="00926033">
        <w:rPr>
          <w:color w:val="auto"/>
          <w:lang w:val="en-AU"/>
        </w:rPr>
      </w:r>
      <w:r w:rsidR="00926033">
        <w:rPr>
          <w:color w:val="auto"/>
          <w:lang w:val="en-AU"/>
        </w:rPr>
        <w:fldChar w:fldCharType="separate"/>
      </w:r>
      <w:r w:rsidR="00E16820">
        <w:t xml:space="preserve">Figure </w:t>
      </w:r>
      <w:r w:rsidR="00E16820">
        <w:rPr>
          <w:noProof/>
        </w:rPr>
        <w:t>3</w:t>
      </w:r>
      <w:r w:rsidR="00926033">
        <w:rPr>
          <w:color w:val="auto"/>
          <w:lang w:val="en-AU"/>
        </w:rPr>
        <w:fldChar w:fldCharType="end"/>
      </w:r>
      <w:r w:rsidR="00926033">
        <w:rPr>
          <w:color w:val="auto"/>
          <w:lang w:val="en-AU"/>
        </w:rPr>
        <w:t xml:space="preserve"> </w:t>
      </w:r>
      <w:r>
        <w:rPr>
          <w:color w:val="auto"/>
          <w:lang w:val="en-AU"/>
        </w:rPr>
        <w:t>shows the participation rate in the NHCDC from 2015</w:t>
      </w:r>
      <w:r>
        <w:rPr>
          <w:color w:val="auto"/>
          <w:lang w:val="en-AU"/>
        </w:rPr>
        <w:noBreakHyphen/>
        <w:t>16 to 2020</w:t>
      </w:r>
      <w:r>
        <w:rPr>
          <w:color w:val="auto"/>
          <w:lang w:val="en-AU"/>
        </w:rPr>
        <w:noBreakHyphen/>
        <w:t>21.</w:t>
      </w:r>
    </w:p>
    <w:p w14:paraId="3BEE135C" w14:textId="08FA7D26" w:rsidR="00874297" w:rsidRDefault="00874297" w:rsidP="00E87B16">
      <w:pPr>
        <w:pStyle w:val="TableFigureheading"/>
      </w:pPr>
      <w:bookmarkStart w:id="86" w:name="_Ref129170540"/>
      <w:bookmarkStart w:id="87" w:name="_Toc129263242"/>
      <w:r>
        <w:t xml:space="preserve">Figure </w:t>
      </w:r>
      <w:r>
        <w:fldChar w:fldCharType="begin"/>
      </w:r>
      <w:r>
        <w:instrText xml:space="preserve"> SEQ Figure \* ARABIC </w:instrText>
      </w:r>
      <w:r>
        <w:fldChar w:fldCharType="separate"/>
      </w:r>
      <w:r>
        <w:rPr>
          <w:noProof/>
        </w:rPr>
        <w:t>3</w:t>
      </w:r>
      <w:r>
        <w:fldChar w:fldCharType="end"/>
      </w:r>
      <w:bookmarkEnd w:id="86"/>
      <w:r>
        <w:t>. Participation rate over 2015-16 to 2020-21</w:t>
      </w:r>
      <w:bookmarkEnd w:id="87"/>
    </w:p>
    <w:p w14:paraId="04929D66" w14:textId="4C5BDC7A" w:rsidR="00AE569D" w:rsidRDefault="00CB4778" w:rsidP="00AE569D">
      <w:pPr>
        <w:rPr>
          <w:lang w:val="en-AU"/>
        </w:rPr>
      </w:pPr>
      <w:r w:rsidRPr="00CB4778">
        <w:rPr>
          <w:noProof/>
          <w:lang w:val="en-US"/>
        </w:rPr>
        <w:drawing>
          <wp:inline distT="0" distB="0" distL="0" distR="0" wp14:anchorId="781FF8C8" wp14:editId="323394FC">
            <wp:extent cx="5342157" cy="2700000"/>
            <wp:effectExtent l="0" t="0" r="0" b="5715"/>
            <wp:docPr id="455" name="Picture 455" descr="This line graph shows the participation rate (%) between 2015-16 and 2020-21." title="Participation rate over 2015-16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319"/>
                    <a:stretch/>
                  </pic:blipFill>
                  <pic:spPr bwMode="auto">
                    <a:xfrm>
                      <a:off x="0" y="0"/>
                      <a:ext cx="5342157"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1A84618E" w14:textId="59DA7355" w:rsidR="00874297" w:rsidRDefault="00AE569D">
      <w:r w:rsidRPr="00727FDA">
        <w:rPr>
          <w:lang w:val="en-AU"/>
        </w:rPr>
        <w:t>In 2020</w:t>
      </w:r>
      <w:r>
        <w:rPr>
          <w:lang w:val="en-AU"/>
        </w:rPr>
        <w:noBreakHyphen/>
      </w:r>
      <w:r w:rsidRPr="00727FDA">
        <w:rPr>
          <w:lang w:val="en-AU"/>
        </w:rPr>
        <w:t xml:space="preserve">21, the participation rate was 65.3 per cent of separations, compared to 64.9 per cent of separations in </w:t>
      </w:r>
      <w:r w:rsidR="00CB4778">
        <w:rPr>
          <w:lang w:val="en-AU"/>
        </w:rPr>
        <w:t>2019</w:t>
      </w:r>
      <w:r w:rsidR="00CB4778">
        <w:rPr>
          <w:lang w:val="en-AU"/>
        </w:rPr>
        <w:noBreakHyphen/>
        <w:t>20</w:t>
      </w:r>
      <w:r w:rsidRPr="00727FDA">
        <w:rPr>
          <w:lang w:val="en-AU"/>
        </w:rPr>
        <w:t xml:space="preserve"> (a marginal increase of 0.6 per cent).</w:t>
      </w:r>
    </w:p>
    <w:p w14:paraId="639F4C71" w14:textId="6559BA09" w:rsidR="00874297" w:rsidRDefault="00874297" w:rsidP="00E87B16">
      <w:pPr>
        <w:pStyle w:val="TableFigureheading"/>
      </w:pPr>
      <w:bookmarkStart w:id="88" w:name="_Toc129263243"/>
      <w:r>
        <w:t xml:space="preserve">Figure </w:t>
      </w:r>
      <w:r>
        <w:fldChar w:fldCharType="begin"/>
      </w:r>
      <w:r>
        <w:instrText xml:space="preserve"> SEQ Figure \* ARABIC </w:instrText>
      </w:r>
      <w:r>
        <w:fldChar w:fldCharType="separate"/>
      </w:r>
      <w:r>
        <w:rPr>
          <w:noProof/>
        </w:rPr>
        <w:t>4</w:t>
      </w:r>
      <w:r>
        <w:fldChar w:fldCharType="end"/>
      </w:r>
      <w:r>
        <w:t>. Average Length of Stay</w:t>
      </w:r>
      <w:bookmarkEnd w:id="88"/>
    </w:p>
    <w:p w14:paraId="522D93DB" w14:textId="4BEE92D9" w:rsidR="004724ED" w:rsidRPr="005629F8" w:rsidRDefault="00E22802">
      <w:pPr>
        <w:rPr>
          <w:lang w:val="en-AU"/>
        </w:rPr>
      </w:pPr>
      <w:r w:rsidRPr="00E22802">
        <w:rPr>
          <w:noProof/>
          <w:lang w:val="en-US"/>
        </w:rPr>
        <w:drawing>
          <wp:inline distT="0" distB="0" distL="0" distR="0" wp14:anchorId="25EC48DF" wp14:editId="5BCDA5CB">
            <wp:extent cx="5249008" cy="2740194"/>
            <wp:effectExtent l="0" t="0" r="8890" b="3175"/>
            <wp:docPr id="24" name="Picture 24" descr="This line graph shows the average length of stay for the period between 2015-16 and 2020-21." title="Average length of 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299" cy="2743478"/>
                    </a:xfrm>
                    <a:prstGeom prst="rect">
                      <a:avLst/>
                    </a:prstGeom>
                    <a:noFill/>
                    <a:ln>
                      <a:noFill/>
                    </a:ln>
                  </pic:spPr>
                </pic:pic>
              </a:graphicData>
            </a:graphic>
          </wp:inline>
        </w:drawing>
      </w:r>
    </w:p>
    <w:p w14:paraId="4D470205" w14:textId="3063AABE" w:rsidR="00AE569D" w:rsidRDefault="00AE569D" w:rsidP="00253343">
      <w:pPr>
        <w:rPr>
          <w:highlight w:val="cyan"/>
          <w:lang w:val="en-AU"/>
        </w:rPr>
      </w:pPr>
    </w:p>
    <w:p w14:paraId="61B328E8" w14:textId="38C8A629" w:rsidR="00253343" w:rsidRPr="005629F8" w:rsidRDefault="00AE569D" w:rsidP="005629F8">
      <w:pPr>
        <w:rPr>
          <w:highlight w:val="yellow"/>
          <w:lang w:val="en-AU"/>
        </w:rPr>
      </w:pPr>
      <w:r w:rsidRPr="0068730C">
        <w:rPr>
          <w:lang w:val="en-AU"/>
        </w:rPr>
        <w:t>The average length of stay for 2020-21 has decreased by 0.08 days</w:t>
      </w:r>
      <w:r w:rsidR="005B1CF4">
        <w:rPr>
          <w:lang w:val="en-AU"/>
        </w:rPr>
        <w:t xml:space="preserve"> </w:t>
      </w:r>
      <w:r w:rsidR="00CB4778">
        <w:rPr>
          <w:lang w:val="en-AU"/>
        </w:rPr>
        <w:t xml:space="preserve">compared </w:t>
      </w:r>
      <w:r w:rsidRPr="0068730C">
        <w:rPr>
          <w:lang w:val="en-AU"/>
        </w:rPr>
        <w:t>to 2019-20</w:t>
      </w:r>
      <w:r w:rsidR="00CB4778">
        <w:rPr>
          <w:lang w:val="en-AU"/>
        </w:rPr>
        <w:t xml:space="preserve"> (-3.4 per cent)</w:t>
      </w:r>
      <w:r w:rsidRPr="0068730C">
        <w:rPr>
          <w:lang w:val="en-AU"/>
        </w:rPr>
        <w:t>. The overnight average length of stay for 2020-21 has also decreased by 0.14 days compar</w:t>
      </w:r>
      <w:r w:rsidR="00CB4778">
        <w:rPr>
          <w:lang w:val="en-AU"/>
        </w:rPr>
        <w:t xml:space="preserve">ed to </w:t>
      </w:r>
      <w:r w:rsidRPr="0068730C">
        <w:rPr>
          <w:lang w:val="en-AU"/>
        </w:rPr>
        <w:t>2019-20</w:t>
      </w:r>
      <w:r w:rsidR="00CB4778">
        <w:rPr>
          <w:lang w:val="en-AU"/>
        </w:rPr>
        <w:t xml:space="preserve"> (-3.4 per cent)</w:t>
      </w:r>
      <w:r w:rsidRPr="0068730C">
        <w:rPr>
          <w:lang w:val="en-AU"/>
        </w:rPr>
        <w:t>.</w:t>
      </w:r>
    </w:p>
    <w:p w14:paraId="487C05C9" w14:textId="473D638F" w:rsidR="00253343" w:rsidRPr="005629F8" w:rsidRDefault="00253343" w:rsidP="00E829BF">
      <w:pPr>
        <w:pStyle w:val="TableFigureheading"/>
      </w:pPr>
      <w:bookmarkStart w:id="89" w:name="_Ref103175746"/>
      <w:bookmarkStart w:id="90" w:name="_Toc129179297"/>
      <w:bookmarkStart w:id="91" w:name="_Toc105084244"/>
      <w:bookmarkStart w:id="92" w:name="_Toc139881776"/>
      <w:r w:rsidRPr="005629F8">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3</w:t>
      </w:r>
      <w:r w:rsidR="00D9779B" w:rsidRPr="005629F8">
        <w:rPr>
          <w:noProof/>
        </w:rPr>
        <w:fldChar w:fldCharType="end"/>
      </w:r>
      <w:bookmarkEnd w:id="89"/>
      <w:r w:rsidRPr="005629F8">
        <w:t>.</w:t>
      </w:r>
      <w:r w:rsidRPr="005629F8">
        <w:rPr>
          <w:spacing w:val="-2"/>
        </w:rPr>
        <w:t xml:space="preserve"> </w:t>
      </w:r>
      <w:r w:rsidRPr="005629F8">
        <w:t>Comparison</w:t>
      </w:r>
      <w:r w:rsidRPr="005629F8">
        <w:rPr>
          <w:spacing w:val="-3"/>
        </w:rPr>
        <w:t xml:space="preserve"> </w:t>
      </w:r>
      <w:r w:rsidRPr="005629F8">
        <w:t>of</w:t>
      </w:r>
      <w:r w:rsidRPr="005629F8">
        <w:rPr>
          <w:spacing w:val="-2"/>
        </w:rPr>
        <w:t xml:space="preserve"> </w:t>
      </w:r>
      <w:r w:rsidRPr="005629F8">
        <w:t>separations</w:t>
      </w:r>
      <w:r w:rsidRPr="005629F8">
        <w:rPr>
          <w:spacing w:val="-2"/>
        </w:rPr>
        <w:t xml:space="preserve"> </w:t>
      </w:r>
      <w:r w:rsidRPr="005629F8">
        <w:t>and</w:t>
      </w:r>
      <w:r w:rsidRPr="005629F8">
        <w:rPr>
          <w:spacing w:val="-2"/>
        </w:rPr>
        <w:t xml:space="preserve"> </w:t>
      </w:r>
      <w:r w:rsidRPr="005629F8">
        <w:t>hospitals,</w:t>
      </w:r>
      <w:r w:rsidRPr="005629F8">
        <w:rPr>
          <w:spacing w:val="-1"/>
        </w:rPr>
        <w:t xml:space="preserve"> </w:t>
      </w:r>
      <w:r w:rsidRPr="005629F8">
        <w:t>201</w:t>
      </w:r>
      <w:r w:rsidR="00831484" w:rsidRPr="005629F8">
        <w:t>5</w:t>
      </w:r>
      <w:r w:rsidRPr="005629F8">
        <w:t>-1</w:t>
      </w:r>
      <w:r w:rsidR="00831484" w:rsidRPr="005629F8">
        <w:t>6</w:t>
      </w:r>
      <w:r w:rsidRPr="005629F8">
        <w:rPr>
          <w:spacing w:val="-1"/>
        </w:rPr>
        <w:t xml:space="preserve"> </w:t>
      </w:r>
      <w:r w:rsidRPr="005629F8">
        <w:t>to</w:t>
      </w:r>
      <w:r w:rsidR="00831484" w:rsidRPr="005629F8">
        <w:t xml:space="preserve"> </w:t>
      </w:r>
      <w:r w:rsidRPr="005629F8">
        <w:t>20</w:t>
      </w:r>
      <w:r w:rsidR="00831484" w:rsidRPr="005629F8">
        <w:t>20</w:t>
      </w:r>
      <w:r w:rsidRPr="005629F8">
        <w:t>-2</w:t>
      </w:r>
      <w:r w:rsidR="00831484" w:rsidRPr="005629F8">
        <w:t>1</w:t>
      </w:r>
      <w:bookmarkEnd w:id="90"/>
      <w:bookmarkEnd w:id="91"/>
      <w:bookmarkEnd w:id="92"/>
    </w:p>
    <w:tbl>
      <w:tblPr>
        <w:tblW w:w="0" w:type="auto"/>
        <w:tblInd w:w="-30" w:type="dxa"/>
        <w:tblLayout w:type="fixed"/>
        <w:tblLook w:val="0000" w:firstRow="0" w:lastRow="0" w:firstColumn="0" w:lastColumn="0" w:noHBand="0" w:noVBand="0"/>
        <w:tblCaption w:val="Table 2 Comparison of separations and hospitals"/>
        <w:tblDescription w:val="Table 2 contains a more detailed summary of the private hospital participation in the NHCDC. Its columns span the Rounds from Round 17 to Round 24. Its rows are number of sample separations, population separations, participation rate, sample hospitals, population hospitals, average separations per participant, average separation per population hospital, average length of stay and overnight average length of stay."/>
      </w:tblPr>
      <w:tblGrid>
        <w:gridCol w:w="3718"/>
        <w:gridCol w:w="993"/>
        <w:gridCol w:w="989"/>
        <w:gridCol w:w="993"/>
        <w:gridCol w:w="992"/>
        <w:gridCol w:w="992"/>
        <w:gridCol w:w="992"/>
      </w:tblGrid>
      <w:tr w:rsidR="009168EC" w:rsidRPr="0088109E" w14:paraId="266A6D48" w14:textId="77777777" w:rsidTr="005629F8">
        <w:trPr>
          <w:trHeight w:val="305"/>
        </w:trPr>
        <w:tc>
          <w:tcPr>
            <w:tcW w:w="3718" w:type="dxa"/>
            <w:tcBorders>
              <w:top w:val="single" w:sz="6" w:space="0" w:color="auto"/>
              <w:left w:val="nil"/>
              <w:bottom w:val="single" w:sz="6" w:space="0" w:color="auto"/>
              <w:right w:val="single" w:sz="4" w:space="0" w:color="D9D9D9"/>
            </w:tcBorders>
            <w:shd w:val="clear" w:color="auto" w:fill="15272F" w:themeFill="text1"/>
            <w:vAlign w:val="center"/>
          </w:tcPr>
          <w:p w14:paraId="42799919" w14:textId="77777777" w:rsidR="009168EC" w:rsidRPr="005629F8" w:rsidRDefault="009168EC" w:rsidP="004D1ACD">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Summary</w:t>
            </w:r>
          </w:p>
        </w:tc>
        <w:tc>
          <w:tcPr>
            <w:tcW w:w="993" w:type="dxa"/>
            <w:tcBorders>
              <w:top w:val="single" w:sz="6" w:space="0" w:color="auto"/>
              <w:left w:val="single" w:sz="4" w:space="0" w:color="D9D9D9"/>
              <w:bottom w:val="single" w:sz="6" w:space="0" w:color="auto"/>
              <w:right w:val="nil"/>
            </w:tcBorders>
            <w:shd w:val="clear" w:color="auto" w:fill="15272F" w:themeFill="text1"/>
            <w:vAlign w:val="center"/>
          </w:tcPr>
          <w:p w14:paraId="4DF322C2" w14:textId="77777777" w:rsidR="009168EC" w:rsidRPr="005629F8" w:rsidRDefault="009168EC" w:rsidP="000C2690">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2015-16</w:t>
            </w:r>
          </w:p>
        </w:tc>
        <w:tc>
          <w:tcPr>
            <w:tcW w:w="989" w:type="dxa"/>
            <w:tcBorders>
              <w:top w:val="single" w:sz="6" w:space="0" w:color="auto"/>
              <w:left w:val="nil"/>
              <w:bottom w:val="single" w:sz="6" w:space="0" w:color="auto"/>
              <w:right w:val="nil"/>
            </w:tcBorders>
            <w:shd w:val="clear" w:color="auto" w:fill="15272F" w:themeFill="text1"/>
            <w:vAlign w:val="center"/>
          </w:tcPr>
          <w:p w14:paraId="03893BAE" w14:textId="77777777" w:rsidR="009168EC" w:rsidRPr="005629F8" w:rsidRDefault="009168EC">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2016-17</w:t>
            </w:r>
          </w:p>
        </w:tc>
        <w:tc>
          <w:tcPr>
            <w:tcW w:w="993" w:type="dxa"/>
            <w:tcBorders>
              <w:top w:val="single" w:sz="6" w:space="0" w:color="auto"/>
              <w:left w:val="nil"/>
              <w:bottom w:val="single" w:sz="6" w:space="0" w:color="auto"/>
              <w:right w:val="nil"/>
            </w:tcBorders>
            <w:shd w:val="clear" w:color="auto" w:fill="15272F" w:themeFill="text1"/>
            <w:vAlign w:val="center"/>
          </w:tcPr>
          <w:p w14:paraId="42C33576" w14:textId="77777777" w:rsidR="009168EC" w:rsidRPr="005629F8" w:rsidRDefault="009168EC">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2017-18</w:t>
            </w:r>
          </w:p>
        </w:tc>
        <w:tc>
          <w:tcPr>
            <w:tcW w:w="992" w:type="dxa"/>
            <w:tcBorders>
              <w:top w:val="single" w:sz="6" w:space="0" w:color="auto"/>
              <w:left w:val="nil"/>
              <w:bottom w:val="single" w:sz="6" w:space="0" w:color="auto"/>
              <w:right w:val="nil"/>
            </w:tcBorders>
            <w:shd w:val="clear" w:color="auto" w:fill="15272F" w:themeFill="text1"/>
            <w:vAlign w:val="center"/>
          </w:tcPr>
          <w:p w14:paraId="55E6D2FF" w14:textId="77777777" w:rsidR="009168EC" w:rsidRPr="005629F8" w:rsidRDefault="009168EC">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2018-19</w:t>
            </w:r>
          </w:p>
        </w:tc>
        <w:tc>
          <w:tcPr>
            <w:tcW w:w="992" w:type="dxa"/>
            <w:tcBorders>
              <w:top w:val="single" w:sz="6" w:space="0" w:color="auto"/>
              <w:left w:val="nil"/>
              <w:bottom w:val="single" w:sz="6" w:space="0" w:color="auto"/>
              <w:right w:val="nil"/>
            </w:tcBorders>
            <w:shd w:val="clear" w:color="auto" w:fill="15272F" w:themeFill="text1"/>
            <w:vAlign w:val="center"/>
          </w:tcPr>
          <w:p w14:paraId="13396664" w14:textId="77777777" w:rsidR="009168EC" w:rsidRPr="005629F8" w:rsidRDefault="009168EC">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2019-20</w:t>
            </w:r>
          </w:p>
        </w:tc>
        <w:tc>
          <w:tcPr>
            <w:tcW w:w="992" w:type="dxa"/>
            <w:tcBorders>
              <w:top w:val="single" w:sz="6" w:space="0" w:color="auto"/>
              <w:left w:val="nil"/>
              <w:bottom w:val="single" w:sz="6" w:space="0" w:color="auto"/>
              <w:right w:val="nil"/>
            </w:tcBorders>
            <w:shd w:val="clear" w:color="auto" w:fill="15272F" w:themeFill="text1"/>
            <w:vAlign w:val="center"/>
          </w:tcPr>
          <w:p w14:paraId="1C19D76F" w14:textId="77777777" w:rsidR="009168EC" w:rsidRPr="005629F8" w:rsidRDefault="009168EC">
            <w:pPr>
              <w:autoSpaceDE w:val="0"/>
              <w:autoSpaceDN w:val="0"/>
              <w:adjustRightInd w:val="0"/>
              <w:spacing w:after="0" w:line="240" w:lineRule="auto"/>
              <w:rPr>
                <w:rFonts w:cs="Arial"/>
                <w:b/>
                <w:bCs/>
                <w:color w:val="FFFFFF" w:themeColor="background2"/>
                <w:sz w:val="16"/>
                <w:szCs w:val="16"/>
                <w:lang w:val="en-AU"/>
              </w:rPr>
            </w:pPr>
            <w:r w:rsidRPr="005629F8">
              <w:rPr>
                <w:rFonts w:cs="Arial"/>
                <w:b/>
                <w:bCs/>
                <w:color w:val="FFFFFF" w:themeColor="background2"/>
                <w:sz w:val="16"/>
                <w:szCs w:val="16"/>
                <w:lang w:val="en-AU"/>
              </w:rPr>
              <w:t>2020-21</w:t>
            </w:r>
          </w:p>
        </w:tc>
      </w:tr>
      <w:tr w:rsidR="009168EC" w:rsidRPr="0088109E" w14:paraId="7E005438" w14:textId="77777777" w:rsidTr="00E87B16">
        <w:trPr>
          <w:trHeight w:val="302"/>
        </w:trPr>
        <w:tc>
          <w:tcPr>
            <w:tcW w:w="3718" w:type="dxa"/>
            <w:tcBorders>
              <w:top w:val="single" w:sz="6" w:space="0" w:color="auto"/>
              <w:left w:val="nil"/>
              <w:bottom w:val="single" w:sz="4" w:space="0" w:color="D9D9D9" w:themeColor="background2" w:themeShade="D9"/>
              <w:right w:val="single" w:sz="4" w:space="0" w:color="D9D9D9"/>
            </w:tcBorders>
            <w:vAlign w:val="center"/>
          </w:tcPr>
          <w:p w14:paraId="5BEF2039"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Sample separations</w:t>
            </w:r>
          </w:p>
        </w:tc>
        <w:tc>
          <w:tcPr>
            <w:tcW w:w="993" w:type="dxa"/>
            <w:tcBorders>
              <w:top w:val="single" w:sz="6" w:space="0" w:color="auto"/>
              <w:left w:val="single" w:sz="4" w:space="0" w:color="D9D9D9"/>
              <w:bottom w:val="single" w:sz="4" w:space="0" w:color="D9D9D9" w:themeColor="background2" w:themeShade="D9"/>
              <w:right w:val="nil"/>
            </w:tcBorders>
            <w:shd w:val="clear" w:color="auto" w:fill="F2F2F2" w:themeFill="accent6" w:themeFillShade="F2"/>
            <w:vAlign w:val="center"/>
          </w:tcPr>
          <w:p w14:paraId="7FB405F7"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1,781,699</w:t>
            </w:r>
          </w:p>
        </w:tc>
        <w:tc>
          <w:tcPr>
            <w:tcW w:w="989"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3855DE13"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1,923,310</w:t>
            </w:r>
          </w:p>
        </w:tc>
        <w:tc>
          <w:tcPr>
            <w:tcW w:w="993"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513556CB"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2,173,847</w:t>
            </w:r>
          </w:p>
        </w:tc>
        <w:tc>
          <w:tcPr>
            <w:tcW w:w="992"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064F861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2,234,143</w:t>
            </w:r>
          </w:p>
        </w:tc>
        <w:tc>
          <w:tcPr>
            <w:tcW w:w="992" w:type="dxa"/>
            <w:tcBorders>
              <w:top w:val="single" w:sz="6" w:space="0" w:color="auto"/>
              <w:left w:val="nil"/>
              <w:bottom w:val="single" w:sz="4" w:space="0" w:color="D9D9D9" w:themeColor="background2" w:themeShade="D9"/>
              <w:right w:val="nil"/>
            </w:tcBorders>
            <w:shd w:val="clear" w:color="auto" w:fill="F2F2F2" w:themeFill="accent6" w:themeFillShade="F2"/>
            <w:vAlign w:val="center"/>
          </w:tcPr>
          <w:p w14:paraId="33D6BEE6"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2,067,714</w:t>
            </w:r>
          </w:p>
        </w:tc>
        <w:tc>
          <w:tcPr>
            <w:tcW w:w="992" w:type="dxa"/>
            <w:tcBorders>
              <w:top w:val="single" w:sz="6" w:space="0" w:color="auto"/>
              <w:left w:val="nil"/>
              <w:bottom w:val="single" w:sz="4" w:space="0" w:color="D9D9D9" w:themeColor="background2" w:themeShade="D9"/>
              <w:right w:val="nil"/>
            </w:tcBorders>
            <w:shd w:val="clear" w:color="auto" w:fill="auto"/>
            <w:vAlign w:val="center"/>
          </w:tcPr>
          <w:p w14:paraId="5066420A"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2,277,973</w:t>
            </w:r>
          </w:p>
        </w:tc>
      </w:tr>
      <w:tr w:rsidR="009168EC" w:rsidRPr="0088109E" w14:paraId="61694FA5"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6DABD955"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Change in separations (%)</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74BD8EC8"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5.0</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71B8711"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7.9</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66196D1E"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13.0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87BFED9"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7ECBAB3"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-7.4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5FC34635"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10.2</w:t>
            </w:r>
          </w:p>
        </w:tc>
      </w:tr>
      <w:tr w:rsidR="009168EC" w:rsidRPr="0088109E" w14:paraId="480B66F0"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20215877"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proofErr w:type="spellStart"/>
            <w:r w:rsidRPr="005629F8">
              <w:rPr>
                <w:rFonts w:cs="Arial"/>
                <w:color w:val="000000"/>
                <w:sz w:val="16"/>
                <w:szCs w:val="16"/>
                <w:lang w:val="en-AU"/>
              </w:rPr>
              <w:t>Sameday</w:t>
            </w:r>
            <w:proofErr w:type="spellEnd"/>
            <w:r w:rsidRPr="005629F8">
              <w:rPr>
                <w:rFonts w:cs="Arial"/>
                <w:color w:val="000000"/>
                <w:sz w:val="16"/>
                <w:szCs w:val="16"/>
                <w:lang w:val="en-AU"/>
              </w:rPr>
              <w:t xml:space="preserve"> separations^</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3A4B99CF"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1,021,254</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158661B"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1,145,180</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751CD5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1,276,764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8401B1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1,333,671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E5B158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1,240,161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7756627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1,381,333</w:t>
            </w:r>
          </w:p>
        </w:tc>
      </w:tr>
      <w:tr w:rsidR="009168EC" w:rsidRPr="0088109E" w14:paraId="4B291C3A"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7878CF97"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 xml:space="preserve">Change in </w:t>
            </w:r>
            <w:proofErr w:type="spellStart"/>
            <w:r w:rsidRPr="005629F8">
              <w:rPr>
                <w:rFonts w:cs="Arial"/>
                <w:color w:val="000000"/>
                <w:sz w:val="16"/>
                <w:szCs w:val="16"/>
                <w:lang w:val="en-AU"/>
              </w:rPr>
              <w:t>sameday</w:t>
            </w:r>
            <w:proofErr w:type="spellEnd"/>
            <w:r w:rsidRPr="005629F8">
              <w:rPr>
                <w:rFonts w:cs="Arial"/>
                <w:color w:val="000000"/>
                <w:sz w:val="16"/>
                <w:szCs w:val="16"/>
                <w:lang w:val="en-AU"/>
              </w:rPr>
              <w:t xml:space="preserve"> separations (%)</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4DC0BBDB"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n/a</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5F39EE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12.1</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E2384F8"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11.5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3B0E68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4897B8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-7.0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6953B3E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11.4</w:t>
            </w:r>
          </w:p>
        </w:tc>
      </w:tr>
      <w:tr w:rsidR="009168EC" w:rsidRPr="0088109E" w14:paraId="133DEA71"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032CB437"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Population separations</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650A5EF8"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3,051,681</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9EA4AC1"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3,242,411</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C42A5D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3,297,288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3E190EE"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3,430,288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F81FA8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3,184,312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28745DC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3,487,127</w:t>
            </w:r>
          </w:p>
        </w:tc>
      </w:tr>
      <w:tr w:rsidR="009168EC" w:rsidRPr="0088109E" w14:paraId="588DFCEA"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4957BA68"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Participation rate (%)</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4596FAF4"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58.4</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C262DF1"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59.3</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6FBD6571"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65.9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FE999A9"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65.1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FB8BAB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64.9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7CE0D666"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65.3</w:t>
            </w:r>
          </w:p>
        </w:tc>
      </w:tr>
      <w:tr w:rsidR="009168EC" w:rsidRPr="0088109E" w14:paraId="290BA920"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5A2C9292"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Sample hospitals</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7AFFC4A6"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91</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1281DC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105</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B0C00F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112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68CCB42"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25E752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2CC1FCCA"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103</w:t>
            </w:r>
          </w:p>
        </w:tc>
      </w:tr>
      <w:tr w:rsidR="009168EC" w:rsidRPr="0088109E" w14:paraId="370E3CB7"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3F63FF00"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Change in sample hospitals (%)</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7A3A7CB0"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-5.2</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0CE560A"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15.4</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6C778E6"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6.7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D76036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36D0CA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598AA5FA"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0.0</w:t>
            </w:r>
          </w:p>
        </w:tc>
      </w:tr>
      <w:tr w:rsidR="009168EC" w:rsidRPr="0088109E" w14:paraId="0204EB94"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383C0A9A"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Population hospitals</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726F92C7"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246</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D5EDE85"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251</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B8B6277"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260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D4D5A61"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262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B910B7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255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5672827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246</w:t>
            </w:r>
          </w:p>
        </w:tc>
      </w:tr>
      <w:tr w:rsidR="009168EC" w:rsidRPr="0088109E" w14:paraId="5AFCA788"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11CE2B0A"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Sample hospitals to population hospitals (%)</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2D55E0CC"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37.0</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529DCB7F"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41.8</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A94BBBB"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43.1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6F29A5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41.2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4172E22"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40.4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285188DF"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41.9</w:t>
            </w:r>
          </w:p>
        </w:tc>
      </w:tr>
      <w:tr w:rsidR="009168EC" w:rsidRPr="0088109E" w14:paraId="1B728540"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29B3E20D" w14:textId="476D6402"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 xml:space="preserve">Average </w:t>
            </w:r>
            <w:r w:rsidR="00B80354">
              <w:rPr>
                <w:rFonts w:cs="Arial"/>
                <w:color w:val="000000"/>
                <w:sz w:val="16"/>
                <w:szCs w:val="16"/>
                <w:lang w:val="en-AU"/>
              </w:rPr>
              <w:t xml:space="preserve">sample </w:t>
            </w:r>
            <w:r w:rsidRPr="005629F8">
              <w:rPr>
                <w:rFonts w:cs="Arial"/>
                <w:color w:val="000000"/>
                <w:sz w:val="16"/>
                <w:szCs w:val="16"/>
                <w:lang w:val="en-AU"/>
              </w:rPr>
              <w:t xml:space="preserve">separations per </w:t>
            </w:r>
            <w:r w:rsidR="00B80354">
              <w:rPr>
                <w:rFonts w:cs="Arial"/>
                <w:color w:val="000000"/>
                <w:sz w:val="16"/>
                <w:szCs w:val="16"/>
                <w:lang w:val="en-AU"/>
              </w:rPr>
              <w:t>hospital</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74F3D7CC"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19,579</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49AAAD76"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18,317</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3CD678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19,409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6A0A6456"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20,687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BB82876"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20,075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52F4FBF3"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22,116</w:t>
            </w:r>
          </w:p>
        </w:tc>
      </w:tr>
      <w:tr w:rsidR="009168EC" w:rsidRPr="0088109E" w14:paraId="7165B55D"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136EB847" w14:textId="6ACB861F"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 xml:space="preserve">Average </w:t>
            </w:r>
            <w:r w:rsidR="00B80354">
              <w:rPr>
                <w:rFonts w:cs="Arial"/>
                <w:color w:val="000000"/>
                <w:sz w:val="16"/>
                <w:szCs w:val="16"/>
                <w:lang w:val="en-AU"/>
              </w:rPr>
              <w:t xml:space="preserve">population </w:t>
            </w:r>
            <w:r w:rsidRPr="005629F8">
              <w:rPr>
                <w:rFonts w:cs="Arial"/>
                <w:color w:val="000000"/>
                <w:sz w:val="16"/>
                <w:szCs w:val="16"/>
                <w:lang w:val="en-AU"/>
              </w:rPr>
              <w:t>separations per hospital</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19A02EF9"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12,405</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136BC42"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12,918</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BE0F37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12,682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FE9CF24"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13,093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67BC4B8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12,487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3DAB5842"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14,175</w:t>
            </w:r>
          </w:p>
        </w:tc>
      </w:tr>
      <w:tr w:rsidR="009168EC" w:rsidRPr="0088109E" w14:paraId="02E8F1F4"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65EBA55F"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Average Length of Stay</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1C341FA1"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2.3</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16AE2F78"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2.3</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35FC91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7CB3320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019418BC"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29858917"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2.2</w:t>
            </w:r>
          </w:p>
        </w:tc>
      </w:tr>
      <w:tr w:rsidR="009168EC" w:rsidRPr="0088109E" w14:paraId="3285BDB2" w14:textId="77777777" w:rsidTr="00E87B16">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3D96DE44" w14:textId="203AF50D"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 xml:space="preserve">Change </w:t>
            </w:r>
            <w:r w:rsidR="00B80354">
              <w:rPr>
                <w:rFonts w:cs="Arial"/>
                <w:color w:val="000000"/>
                <w:sz w:val="16"/>
                <w:szCs w:val="16"/>
                <w:lang w:val="en-AU"/>
              </w:rPr>
              <w:t xml:space="preserve">in Average Length of Stay </w:t>
            </w:r>
            <w:r w:rsidRPr="005629F8">
              <w:rPr>
                <w:rFonts w:cs="Arial"/>
                <w:color w:val="000000"/>
                <w:sz w:val="16"/>
                <w:szCs w:val="16"/>
                <w:lang w:val="en-AU"/>
              </w:rPr>
              <w:t>(%)</w:t>
            </w:r>
          </w:p>
        </w:tc>
        <w:tc>
          <w:tcPr>
            <w:tcW w:w="993" w:type="dxa"/>
            <w:tcBorders>
              <w:top w:val="single" w:sz="4" w:space="0" w:color="D9D9D9" w:themeColor="background2" w:themeShade="D9"/>
              <w:left w:val="single" w:sz="4" w:space="0" w:color="D9D9D9"/>
              <w:bottom w:val="single" w:sz="4" w:space="0" w:color="D9D9D9" w:themeColor="background2" w:themeShade="D9"/>
              <w:right w:val="nil"/>
            </w:tcBorders>
            <w:shd w:val="clear" w:color="auto" w:fill="F2F2F2" w:themeFill="accent6" w:themeFillShade="F2"/>
            <w:vAlign w:val="center"/>
          </w:tcPr>
          <w:p w14:paraId="5FD9B6E0"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-4.6</w:t>
            </w:r>
          </w:p>
        </w:tc>
        <w:tc>
          <w:tcPr>
            <w:tcW w:w="989"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E499235"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-3.2</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77AC523"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0.9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2BE986F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1.4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vAlign w:val="center"/>
          </w:tcPr>
          <w:p w14:paraId="38EA7A02"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-0.2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auto"/>
            <w:vAlign w:val="center"/>
          </w:tcPr>
          <w:p w14:paraId="165769E2"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-3.4</w:t>
            </w:r>
          </w:p>
        </w:tc>
      </w:tr>
      <w:tr w:rsidR="009168EC" w:rsidRPr="0088109E" w14:paraId="7CB55EB3" w14:textId="77777777" w:rsidTr="00E87B16">
        <w:trPr>
          <w:trHeight w:val="302"/>
        </w:trPr>
        <w:tc>
          <w:tcPr>
            <w:tcW w:w="3718" w:type="dxa"/>
            <w:tcBorders>
              <w:top w:val="single" w:sz="4" w:space="0" w:color="D9D9D9" w:themeColor="background2" w:themeShade="D9"/>
              <w:left w:val="nil"/>
              <w:bottom w:val="single" w:sz="4" w:space="0" w:color="D9D9D9"/>
              <w:right w:val="single" w:sz="4" w:space="0" w:color="D9D9D9"/>
            </w:tcBorders>
            <w:shd w:val="clear" w:color="auto" w:fill="auto"/>
            <w:vAlign w:val="center"/>
          </w:tcPr>
          <w:p w14:paraId="4FCB3127" w14:textId="77777777" w:rsidR="009168EC" w:rsidRPr="005629F8" w:rsidRDefault="009168EC" w:rsidP="004D1ACD">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Overnight Average Length of Stay</w:t>
            </w:r>
          </w:p>
        </w:tc>
        <w:tc>
          <w:tcPr>
            <w:tcW w:w="993" w:type="dxa"/>
            <w:tcBorders>
              <w:top w:val="single" w:sz="4" w:space="0" w:color="D9D9D9" w:themeColor="background2" w:themeShade="D9"/>
              <w:left w:val="single" w:sz="4" w:space="0" w:color="D9D9D9"/>
              <w:bottom w:val="single" w:sz="4" w:space="0" w:color="D9D9D9"/>
              <w:right w:val="nil"/>
            </w:tcBorders>
            <w:shd w:val="clear" w:color="auto" w:fill="F2F2F2" w:themeFill="accent6" w:themeFillShade="F2"/>
            <w:vAlign w:val="center"/>
          </w:tcPr>
          <w:p w14:paraId="412976B1" w14:textId="77777777" w:rsidR="009168EC" w:rsidRPr="005629F8" w:rsidRDefault="009168EC" w:rsidP="000C2690">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4.2</w:t>
            </w:r>
          </w:p>
        </w:tc>
        <w:tc>
          <w:tcPr>
            <w:tcW w:w="989" w:type="dxa"/>
            <w:tcBorders>
              <w:top w:val="single" w:sz="4" w:space="0" w:color="D9D9D9" w:themeColor="background2" w:themeShade="D9"/>
              <w:left w:val="nil"/>
              <w:bottom w:val="single" w:sz="4" w:space="0" w:color="D9D9D9"/>
              <w:right w:val="nil"/>
            </w:tcBorders>
            <w:shd w:val="clear" w:color="auto" w:fill="F2F2F2" w:themeFill="accent6" w:themeFillShade="F2"/>
            <w:vAlign w:val="center"/>
          </w:tcPr>
          <w:p w14:paraId="6EBB2FC0"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4.1</w:t>
            </w:r>
          </w:p>
        </w:tc>
        <w:tc>
          <w:tcPr>
            <w:tcW w:w="993" w:type="dxa"/>
            <w:tcBorders>
              <w:top w:val="single" w:sz="4" w:space="0" w:color="D9D9D9" w:themeColor="background2" w:themeShade="D9"/>
              <w:left w:val="nil"/>
              <w:bottom w:val="single" w:sz="4" w:space="0" w:color="D9D9D9"/>
              <w:right w:val="nil"/>
            </w:tcBorders>
            <w:shd w:val="clear" w:color="auto" w:fill="F2F2F2" w:themeFill="accent6" w:themeFillShade="F2"/>
            <w:vAlign w:val="center"/>
          </w:tcPr>
          <w:p w14:paraId="1E23D595"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4.1</w:t>
            </w:r>
          </w:p>
        </w:tc>
        <w:tc>
          <w:tcPr>
            <w:tcW w:w="992" w:type="dxa"/>
            <w:tcBorders>
              <w:top w:val="single" w:sz="4" w:space="0" w:color="D9D9D9" w:themeColor="background2" w:themeShade="D9"/>
              <w:left w:val="nil"/>
              <w:bottom w:val="single" w:sz="4" w:space="0" w:color="D9D9D9"/>
              <w:right w:val="nil"/>
            </w:tcBorders>
            <w:shd w:val="clear" w:color="auto" w:fill="F2F2F2" w:themeFill="accent6" w:themeFillShade="F2"/>
            <w:vAlign w:val="center"/>
          </w:tcPr>
          <w:p w14:paraId="5FC58048"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4.3</w:t>
            </w:r>
          </w:p>
        </w:tc>
        <w:tc>
          <w:tcPr>
            <w:tcW w:w="992" w:type="dxa"/>
            <w:tcBorders>
              <w:top w:val="single" w:sz="4" w:space="0" w:color="D9D9D9" w:themeColor="background2" w:themeShade="D9"/>
              <w:left w:val="nil"/>
              <w:bottom w:val="single" w:sz="4" w:space="0" w:color="D9D9D9"/>
              <w:right w:val="nil"/>
            </w:tcBorders>
            <w:shd w:val="clear" w:color="auto" w:fill="F2F2F2" w:themeFill="accent6" w:themeFillShade="F2"/>
            <w:vAlign w:val="center"/>
          </w:tcPr>
          <w:p w14:paraId="36D72B1D"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4.3</w:t>
            </w:r>
          </w:p>
        </w:tc>
        <w:tc>
          <w:tcPr>
            <w:tcW w:w="992" w:type="dxa"/>
            <w:tcBorders>
              <w:top w:val="single" w:sz="4" w:space="0" w:color="D9D9D9" w:themeColor="background2" w:themeShade="D9"/>
              <w:left w:val="nil"/>
              <w:bottom w:val="single" w:sz="4" w:space="0" w:color="D9D9D9"/>
              <w:right w:val="nil"/>
            </w:tcBorders>
            <w:shd w:val="clear" w:color="auto" w:fill="auto"/>
            <w:vAlign w:val="center"/>
          </w:tcPr>
          <w:p w14:paraId="779DD305" w14:textId="77777777" w:rsidR="009168EC" w:rsidRPr="005629F8" w:rsidRDefault="009168EC">
            <w:pPr>
              <w:autoSpaceDE w:val="0"/>
              <w:autoSpaceDN w:val="0"/>
              <w:adjustRightInd w:val="0"/>
              <w:spacing w:after="0" w:line="240" w:lineRule="auto"/>
              <w:rPr>
                <w:rFonts w:cs="Arial"/>
                <w:color w:val="000000"/>
                <w:sz w:val="16"/>
                <w:szCs w:val="16"/>
                <w:lang w:val="en-AU"/>
              </w:rPr>
            </w:pPr>
            <w:r w:rsidRPr="005629F8">
              <w:rPr>
                <w:rFonts w:cs="Arial"/>
                <w:color w:val="000000"/>
                <w:sz w:val="16"/>
                <w:szCs w:val="16"/>
                <w:lang w:val="en-AU"/>
              </w:rPr>
              <w:t>4.1</w:t>
            </w:r>
          </w:p>
        </w:tc>
      </w:tr>
    </w:tbl>
    <w:p w14:paraId="1C45ED1C" w14:textId="7902E84C" w:rsidR="003D677B" w:rsidRPr="005629F8" w:rsidRDefault="003D677B" w:rsidP="005739FA">
      <w:pPr>
        <w:spacing w:after="0" w:line="240" w:lineRule="auto"/>
        <w:rPr>
          <w:sz w:val="14"/>
          <w:szCs w:val="14"/>
          <w:highlight w:val="yellow"/>
          <w:lang w:val="en-AU"/>
        </w:rPr>
      </w:pPr>
    </w:p>
    <w:p w14:paraId="0A8F268E" w14:textId="103D9950" w:rsidR="00D84D32" w:rsidRPr="005629F8" w:rsidRDefault="00D84D32" w:rsidP="005739FA">
      <w:pPr>
        <w:spacing w:after="0" w:line="240" w:lineRule="auto"/>
        <w:rPr>
          <w:sz w:val="14"/>
          <w:szCs w:val="14"/>
          <w:lang w:val="en-AU"/>
        </w:rPr>
      </w:pPr>
      <w:r w:rsidRPr="005629F8">
        <w:rPr>
          <w:sz w:val="14"/>
          <w:szCs w:val="14"/>
          <w:lang w:val="en-AU"/>
        </w:rPr>
        <w:t>*</w:t>
      </w:r>
      <w:r w:rsidRPr="005629F8">
        <w:rPr>
          <w:spacing w:val="-1"/>
          <w:sz w:val="14"/>
          <w:szCs w:val="14"/>
          <w:lang w:val="en-AU"/>
        </w:rPr>
        <w:t xml:space="preserve"> </w:t>
      </w:r>
      <w:r w:rsidRPr="005629F8">
        <w:rPr>
          <w:sz w:val="14"/>
          <w:szCs w:val="14"/>
          <w:lang w:val="en-AU"/>
        </w:rPr>
        <w:t>Figures</w:t>
      </w:r>
      <w:r w:rsidRPr="005629F8">
        <w:rPr>
          <w:spacing w:val="-4"/>
          <w:sz w:val="14"/>
          <w:szCs w:val="14"/>
          <w:lang w:val="en-AU"/>
        </w:rPr>
        <w:t xml:space="preserve"> </w:t>
      </w:r>
      <w:r w:rsidRPr="005629F8">
        <w:rPr>
          <w:sz w:val="14"/>
          <w:szCs w:val="14"/>
          <w:lang w:val="en-AU"/>
        </w:rPr>
        <w:t>may</w:t>
      </w:r>
      <w:r w:rsidRPr="005629F8">
        <w:rPr>
          <w:spacing w:val="-2"/>
          <w:sz w:val="14"/>
          <w:szCs w:val="14"/>
          <w:lang w:val="en-AU"/>
        </w:rPr>
        <w:t xml:space="preserve"> </w:t>
      </w:r>
      <w:r w:rsidRPr="005629F8">
        <w:rPr>
          <w:sz w:val="14"/>
          <w:szCs w:val="14"/>
          <w:lang w:val="en-AU"/>
        </w:rPr>
        <w:t>not reconcile</w:t>
      </w:r>
      <w:r w:rsidRPr="005629F8">
        <w:rPr>
          <w:spacing w:val="-2"/>
          <w:sz w:val="14"/>
          <w:szCs w:val="14"/>
          <w:lang w:val="en-AU"/>
        </w:rPr>
        <w:t xml:space="preserve"> </w:t>
      </w:r>
      <w:r w:rsidRPr="005629F8">
        <w:rPr>
          <w:sz w:val="14"/>
          <w:szCs w:val="14"/>
          <w:lang w:val="en-AU"/>
        </w:rPr>
        <w:t>due</w:t>
      </w:r>
      <w:r w:rsidRPr="005629F8">
        <w:rPr>
          <w:spacing w:val="-1"/>
          <w:sz w:val="14"/>
          <w:szCs w:val="14"/>
          <w:lang w:val="en-AU"/>
        </w:rPr>
        <w:t xml:space="preserve"> </w:t>
      </w:r>
      <w:r w:rsidRPr="005629F8">
        <w:rPr>
          <w:sz w:val="14"/>
          <w:szCs w:val="14"/>
          <w:lang w:val="en-AU"/>
        </w:rPr>
        <w:t>to</w:t>
      </w:r>
      <w:r w:rsidRPr="005629F8">
        <w:rPr>
          <w:spacing w:val="-3"/>
          <w:sz w:val="14"/>
          <w:szCs w:val="14"/>
          <w:lang w:val="en-AU"/>
        </w:rPr>
        <w:t xml:space="preserve"> </w:t>
      </w:r>
      <w:r w:rsidRPr="005629F8">
        <w:rPr>
          <w:sz w:val="14"/>
          <w:szCs w:val="14"/>
          <w:lang w:val="en-AU"/>
        </w:rPr>
        <w:t>rounding.</w:t>
      </w:r>
    </w:p>
    <w:p w14:paraId="30C6D9ED" w14:textId="41DD443B" w:rsidR="00D84D32" w:rsidRPr="005629F8" w:rsidRDefault="00D84D32" w:rsidP="005739FA">
      <w:pPr>
        <w:spacing w:after="0" w:line="240" w:lineRule="auto"/>
        <w:rPr>
          <w:sz w:val="14"/>
          <w:szCs w:val="14"/>
          <w:lang w:val="en-AU"/>
        </w:rPr>
      </w:pPr>
      <w:r w:rsidRPr="005629F8">
        <w:rPr>
          <w:sz w:val="14"/>
          <w:szCs w:val="14"/>
          <w:lang w:val="en-AU"/>
        </w:rPr>
        <w:t>^</w:t>
      </w:r>
      <w:r w:rsidRPr="005629F8">
        <w:rPr>
          <w:spacing w:val="-5"/>
          <w:sz w:val="14"/>
          <w:szCs w:val="14"/>
          <w:lang w:val="en-AU"/>
        </w:rPr>
        <w:t xml:space="preserve"> </w:t>
      </w:r>
      <w:proofErr w:type="spellStart"/>
      <w:r w:rsidRPr="005629F8">
        <w:rPr>
          <w:sz w:val="14"/>
          <w:szCs w:val="14"/>
          <w:lang w:val="en-AU"/>
        </w:rPr>
        <w:t>Sameday</w:t>
      </w:r>
      <w:proofErr w:type="spellEnd"/>
      <w:r w:rsidRPr="005629F8">
        <w:rPr>
          <w:spacing w:val="-5"/>
          <w:sz w:val="14"/>
          <w:szCs w:val="14"/>
          <w:lang w:val="en-AU"/>
        </w:rPr>
        <w:t xml:space="preserve"> </w:t>
      </w:r>
      <w:r w:rsidRPr="005629F8">
        <w:rPr>
          <w:sz w:val="14"/>
          <w:szCs w:val="14"/>
          <w:lang w:val="en-AU"/>
        </w:rPr>
        <w:t>separations</w:t>
      </w:r>
      <w:r w:rsidRPr="005629F8">
        <w:rPr>
          <w:spacing w:val="-2"/>
          <w:sz w:val="14"/>
          <w:szCs w:val="14"/>
          <w:lang w:val="en-AU"/>
        </w:rPr>
        <w:t xml:space="preserve"> </w:t>
      </w:r>
      <w:r w:rsidRPr="005629F8">
        <w:rPr>
          <w:sz w:val="14"/>
          <w:szCs w:val="14"/>
          <w:lang w:val="en-AU"/>
        </w:rPr>
        <w:t>are</w:t>
      </w:r>
      <w:r w:rsidRPr="005629F8">
        <w:rPr>
          <w:spacing w:val="-2"/>
          <w:sz w:val="14"/>
          <w:szCs w:val="14"/>
          <w:lang w:val="en-AU"/>
        </w:rPr>
        <w:t xml:space="preserve"> </w:t>
      </w:r>
      <w:r w:rsidRPr="005629F8">
        <w:rPr>
          <w:sz w:val="14"/>
          <w:szCs w:val="14"/>
          <w:lang w:val="en-AU"/>
        </w:rPr>
        <w:t>a</w:t>
      </w:r>
      <w:r w:rsidRPr="005629F8">
        <w:rPr>
          <w:spacing w:val="-3"/>
          <w:sz w:val="14"/>
          <w:szCs w:val="14"/>
          <w:lang w:val="en-AU"/>
        </w:rPr>
        <w:t xml:space="preserve"> </w:t>
      </w:r>
      <w:r w:rsidRPr="005629F8">
        <w:rPr>
          <w:sz w:val="14"/>
          <w:szCs w:val="14"/>
          <w:lang w:val="en-AU"/>
        </w:rPr>
        <w:t>subset</w:t>
      </w:r>
      <w:r w:rsidRPr="005629F8">
        <w:rPr>
          <w:spacing w:val="-3"/>
          <w:sz w:val="14"/>
          <w:szCs w:val="14"/>
          <w:lang w:val="en-AU"/>
        </w:rPr>
        <w:t xml:space="preserve"> </w:t>
      </w:r>
      <w:r w:rsidRPr="005629F8">
        <w:rPr>
          <w:sz w:val="14"/>
          <w:szCs w:val="14"/>
          <w:lang w:val="en-AU"/>
        </w:rPr>
        <w:t>of</w:t>
      </w:r>
      <w:r w:rsidRPr="005629F8">
        <w:rPr>
          <w:spacing w:val="-3"/>
          <w:sz w:val="14"/>
          <w:szCs w:val="14"/>
          <w:lang w:val="en-AU"/>
        </w:rPr>
        <w:t xml:space="preserve"> </w:t>
      </w:r>
      <w:r w:rsidRPr="005629F8">
        <w:rPr>
          <w:sz w:val="14"/>
          <w:szCs w:val="14"/>
          <w:lang w:val="en-AU"/>
        </w:rPr>
        <w:t>sample</w:t>
      </w:r>
      <w:r w:rsidRPr="005629F8">
        <w:rPr>
          <w:spacing w:val="-3"/>
          <w:sz w:val="14"/>
          <w:szCs w:val="14"/>
          <w:lang w:val="en-AU"/>
        </w:rPr>
        <w:t xml:space="preserve"> </w:t>
      </w:r>
      <w:r w:rsidRPr="005629F8">
        <w:rPr>
          <w:sz w:val="14"/>
          <w:szCs w:val="14"/>
          <w:lang w:val="en-AU"/>
        </w:rPr>
        <w:t>separations.</w:t>
      </w:r>
    </w:p>
    <w:p w14:paraId="76B2BBDC" w14:textId="688AD1E5" w:rsidR="00AE569D" w:rsidRDefault="00AE569D" w:rsidP="005629F8">
      <w:pPr>
        <w:rPr>
          <w:lang w:val="en-AU"/>
        </w:rPr>
      </w:pPr>
    </w:p>
    <w:p w14:paraId="40DBACCF" w14:textId="3D065CCA" w:rsidR="00AE569D" w:rsidRDefault="00AE569D" w:rsidP="005629F8">
      <w:pPr>
        <w:rPr>
          <w:lang w:val="en-AU"/>
        </w:rPr>
      </w:pPr>
      <w:r w:rsidRPr="005629F8">
        <w:rPr>
          <w:color w:val="auto"/>
          <w:lang w:val="en-AU"/>
        </w:rPr>
        <w:t xml:space="preserve">In </w:t>
      </w:r>
      <w:r w:rsidRPr="005629F8">
        <w:rPr>
          <w:color w:val="auto"/>
          <w:lang w:val="en-AU"/>
        </w:rPr>
        <w:fldChar w:fldCharType="begin"/>
      </w:r>
      <w:r w:rsidRPr="005629F8">
        <w:rPr>
          <w:color w:val="auto"/>
          <w:lang w:val="en-AU"/>
        </w:rPr>
        <w:instrText xml:space="preserve"> REF _Ref103175746 \h </w:instrText>
      </w:r>
      <w:r w:rsidRPr="005629F8">
        <w:rPr>
          <w:color w:val="auto"/>
          <w:lang w:val="en-AU"/>
        </w:rPr>
      </w:r>
      <w:r w:rsidRPr="005629F8">
        <w:rPr>
          <w:color w:val="auto"/>
          <w:lang w:val="en-AU"/>
        </w:rPr>
        <w:fldChar w:fldCharType="separate"/>
      </w:r>
      <w:r w:rsidR="00E16820" w:rsidRPr="005629F8">
        <w:rPr>
          <w:lang w:val="en-AU"/>
        </w:rPr>
        <w:t xml:space="preserve">Table </w:t>
      </w:r>
      <w:r w:rsidR="00E16820">
        <w:rPr>
          <w:noProof/>
          <w:lang w:val="en-AU"/>
        </w:rPr>
        <w:t>3</w:t>
      </w:r>
      <w:r w:rsidRPr="005629F8">
        <w:rPr>
          <w:color w:val="auto"/>
          <w:lang w:val="en-AU"/>
        </w:rPr>
        <w:fldChar w:fldCharType="end"/>
      </w:r>
      <w:r w:rsidRPr="005629F8">
        <w:rPr>
          <w:color w:val="auto"/>
          <w:lang w:val="en-AU"/>
        </w:rPr>
        <w:t xml:space="preserve">, percentage </w:t>
      </w:r>
      <w:r w:rsidRPr="00FF0568">
        <w:rPr>
          <w:lang w:val="en-AU"/>
        </w:rPr>
        <w:t>change represents a comparison to the previous NHCDC year.</w:t>
      </w:r>
      <w:r>
        <w:rPr>
          <w:lang w:val="en-AU"/>
        </w:rPr>
        <w:t xml:space="preserve"> </w:t>
      </w:r>
      <w:r w:rsidR="005B1CF4">
        <w:rPr>
          <w:lang w:val="en-AU"/>
        </w:rPr>
        <w:t>T</w:t>
      </w:r>
      <w:r w:rsidRPr="00446F5A">
        <w:rPr>
          <w:lang w:val="en-AU"/>
        </w:rPr>
        <w:t>here was a 10.2 per cent increase in sample separations</w:t>
      </w:r>
      <w:r w:rsidR="005B1CF4">
        <w:rPr>
          <w:lang w:val="en-AU"/>
        </w:rPr>
        <w:t xml:space="preserve"> between 2019-20 and 2020-21.</w:t>
      </w:r>
      <w:r w:rsidRPr="00446F5A">
        <w:rPr>
          <w:lang w:val="en-AU"/>
        </w:rPr>
        <w:t xml:space="preserve"> The number of participating hospitals was unchanged, with the increase </w:t>
      </w:r>
      <w:r w:rsidR="00CB4778">
        <w:rPr>
          <w:lang w:val="en-AU"/>
        </w:rPr>
        <w:t xml:space="preserve">in separations </w:t>
      </w:r>
      <w:r w:rsidRPr="00446F5A">
        <w:rPr>
          <w:lang w:val="en-AU"/>
        </w:rPr>
        <w:t xml:space="preserve">driven by </w:t>
      </w:r>
      <w:r w:rsidR="00CB4778">
        <w:rPr>
          <w:lang w:val="en-AU"/>
        </w:rPr>
        <w:t xml:space="preserve">a higher </w:t>
      </w:r>
      <w:r w:rsidRPr="00446F5A">
        <w:rPr>
          <w:lang w:val="en-AU"/>
        </w:rPr>
        <w:t xml:space="preserve">average number of separations per hospital. It is likely that both population growth and the recovery from </w:t>
      </w:r>
      <w:r w:rsidR="00CB4778">
        <w:rPr>
          <w:lang w:val="en-AU"/>
        </w:rPr>
        <w:t xml:space="preserve">the impact of </w:t>
      </w:r>
      <w:r w:rsidRPr="00446F5A">
        <w:rPr>
          <w:lang w:val="en-AU"/>
        </w:rPr>
        <w:t xml:space="preserve">COVID-19 contributed to this increase. In addition, there were hospitals entering and leaving the sample which </w:t>
      </w:r>
      <w:r w:rsidR="00CB4778">
        <w:rPr>
          <w:lang w:val="en-AU"/>
        </w:rPr>
        <w:t>may</w:t>
      </w:r>
      <w:r w:rsidRPr="00446F5A">
        <w:rPr>
          <w:lang w:val="en-AU"/>
        </w:rPr>
        <w:t xml:space="preserve"> have contributed to the variation.</w:t>
      </w:r>
    </w:p>
    <w:p w14:paraId="13C62A8A" w14:textId="175D12B3" w:rsidR="00914756" w:rsidRPr="005629F8" w:rsidRDefault="00914756" w:rsidP="00FC4599">
      <w:pPr>
        <w:pStyle w:val="Heading2"/>
      </w:pPr>
      <w:bookmarkStart w:id="93" w:name="_Toc129700680"/>
      <w:bookmarkStart w:id="94" w:name="_Toc129701373"/>
      <w:r w:rsidRPr="005629F8">
        <w:t>Analysis</w:t>
      </w:r>
      <w:r w:rsidRPr="005629F8">
        <w:rPr>
          <w:spacing w:val="-2"/>
        </w:rPr>
        <w:t xml:space="preserve"> </w:t>
      </w:r>
      <w:r w:rsidRPr="005629F8">
        <w:t>by MDC</w:t>
      </w:r>
      <w:bookmarkEnd w:id="93"/>
      <w:bookmarkEnd w:id="94"/>
    </w:p>
    <w:p w14:paraId="52B240A9" w14:textId="39505C8E" w:rsidR="00817378" w:rsidRPr="005629F8" w:rsidRDefault="00164DF2">
      <w:pPr>
        <w:rPr>
          <w:lang w:val="en-AU"/>
        </w:rPr>
      </w:pPr>
      <w:r w:rsidRPr="00164DF2">
        <w:rPr>
          <w:lang w:val="en-AU"/>
        </w:rPr>
        <w:t>The 2020-21 NHCDC submission has been analysed by Major Diagnosis Category (MDC)</w:t>
      </w:r>
      <w:r w:rsidR="00015C1F">
        <w:rPr>
          <w:lang w:val="en-AU"/>
        </w:rPr>
        <w:t xml:space="preserve"> </w:t>
      </w:r>
      <w:r w:rsidRPr="00164DF2">
        <w:rPr>
          <w:lang w:val="en-AU"/>
        </w:rPr>
        <w:t>a summarised categorisati</w:t>
      </w:r>
      <w:r>
        <w:rPr>
          <w:lang w:val="en-AU"/>
        </w:rPr>
        <w:t xml:space="preserve">on in the AR-DRG classification, </w:t>
      </w:r>
      <w:r w:rsidRPr="00164DF2">
        <w:rPr>
          <w:lang w:val="en-AU"/>
        </w:rPr>
        <w:t>broadly aligned to the specialty</w:t>
      </w:r>
      <w:r w:rsidR="001F67FA">
        <w:rPr>
          <w:lang w:val="en-AU"/>
        </w:rPr>
        <w:t xml:space="preserve"> of</w:t>
      </w:r>
      <w:r w:rsidRPr="00164DF2">
        <w:rPr>
          <w:lang w:val="en-AU"/>
        </w:rPr>
        <w:t xml:space="preserve"> provider care.</w:t>
      </w:r>
      <w:r>
        <w:rPr>
          <w:lang w:val="en-AU"/>
        </w:rPr>
        <w:t xml:space="preserve"> </w:t>
      </w:r>
      <w:r w:rsidR="00275A8B" w:rsidRPr="005629F8">
        <w:rPr>
          <w:lang w:val="en-AU"/>
        </w:rPr>
        <w:t xml:space="preserve">Episodes are assigned to </w:t>
      </w:r>
      <w:r w:rsidR="00B80354" w:rsidRPr="005629F8">
        <w:rPr>
          <w:lang w:val="en-AU"/>
        </w:rPr>
        <w:t>an</w:t>
      </w:r>
      <w:r w:rsidR="00275A8B" w:rsidRPr="005629F8">
        <w:rPr>
          <w:lang w:val="en-AU"/>
        </w:rPr>
        <w:t xml:space="preserve"> </w:t>
      </w:r>
      <w:r w:rsidR="00817378" w:rsidRPr="005629F8">
        <w:rPr>
          <w:lang w:val="en-AU"/>
        </w:rPr>
        <w:t xml:space="preserve">MDC </w:t>
      </w:r>
      <w:r w:rsidR="00275A8B" w:rsidRPr="005629F8">
        <w:rPr>
          <w:lang w:val="en-AU"/>
        </w:rPr>
        <w:t>based on their principal diagnosis</w:t>
      </w:r>
      <w:r w:rsidR="00817378" w:rsidRPr="005629F8">
        <w:rPr>
          <w:lang w:val="en-AU"/>
        </w:rPr>
        <w:t>. This se</w:t>
      </w:r>
      <w:r w:rsidR="009D310D" w:rsidRPr="005629F8">
        <w:rPr>
          <w:lang w:val="en-AU"/>
        </w:rPr>
        <w:t>ction of the report provides a breakdown by MDC to highlight trends and drivers of cost</w:t>
      </w:r>
      <w:r>
        <w:rPr>
          <w:lang w:val="en-AU"/>
        </w:rPr>
        <w:t xml:space="preserve"> in different medical specialities.</w:t>
      </w:r>
    </w:p>
    <w:p w14:paraId="1DA8F963" w14:textId="77777777" w:rsidR="00B42837" w:rsidRDefault="00B42837">
      <w:pPr>
        <w:spacing w:line="259" w:lineRule="auto"/>
        <w:rPr>
          <w:rFonts w:eastAsiaTheme="majorEastAsia" w:cstheme="majorBidi"/>
          <w:b/>
          <w:iCs/>
          <w:lang w:val="en-AU"/>
        </w:rPr>
      </w:pPr>
      <w:r>
        <w:rPr>
          <w:lang w:val="en-AU"/>
        </w:rPr>
        <w:br w:type="page"/>
      </w:r>
    </w:p>
    <w:p w14:paraId="6241A912" w14:textId="382279D7" w:rsidR="006A1F5C" w:rsidRPr="005629F8" w:rsidRDefault="006A1F5C" w:rsidP="006A1F5C">
      <w:pPr>
        <w:pStyle w:val="Heading4"/>
        <w:rPr>
          <w:lang w:val="en-AU"/>
        </w:rPr>
      </w:pPr>
      <w:r w:rsidRPr="005629F8">
        <w:rPr>
          <w:lang w:val="en-AU"/>
        </w:rPr>
        <w:lastRenderedPageBreak/>
        <w:t>Key</w:t>
      </w:r>
      <w:r w:rsidRPr="005629F8">
        <w:rPr>
          <w:spacing w:val="-3"/>
          <w:lang w:val="en-AU"/>
        </w:rPr>
        <w:t xml:space="preserve"> </w:t>
      </w:r>
      <w:r w:rsidRPr="005629F8">
        <w:rPr>
          <w:lang w:val="en-AU"/>
        </w:rPr>
        <w:t>findings</w:t>
      </w:r>
    </w:p>
    <w:p w14:paraId="5FA3BEF1" w14:textId="6308AFCC" w:rsidR="009D310D" w:rsidRPr="0068730C" w:rsidRDefault="00E91FC1">
      <w:pPr>
        <w:rPr>
          <w:lang w:val="en-AU"/>
        </w:rPr>
      </w:pPr>
      <w:r w:rsidRPr="005629F8">
        <w:rPr>
          <w:color w:val="auto"/>
          <w:lang w:val="en-AU"/>
        </w:rPr>
        <w:fldChar w:fldCharType="begin"/>
      </w:r>
      <w:r w:rsidRPr="005629F8">
        <w:rPr>
          <w:color w:val="auto"/>
          <w:lang w:val="en-AU"/>
        </w:rPr>
        <w:instrText xml:space="preserve"> REF _Ref127861435 \h </w:instrText>
      </w:r>
      <w:r w:rsidR="00A06572" w:rsidRPr="005629F8">
        <w:rPr>
          <w:color w:val="auto"/>
          <w:lang w:val="en-AU"/>
        </w:rPr>
        <w:instrText xml:space="preserve"> \* MERGEFORMAT </w:instrText>
      </w:r>
      <w:r w:rsidRPr="005629F8">
        <w:rPr>
          <w:color w:val="auto"/>
          <w:lang w:val="en-AU"/>
        </w:rPr>
      </w:r>
      <w:r w:rsidRPr="005629F8">
        <w:rPr>
          <w:color w:val="auto"/>
          <w:lang w:val="en-AU"/>
        </w:rPr>
        <w:fldChar w:fldCharType="separate"/>
      </w:r>
      <w:r w:rsidR="00E16820" w:rsidRPr="005629F8">
        <w:rPr>
          <w:color w:val="auto"/>
          <w:lang w:val="en-AU"/>
        </w:rPr>
        <w:t xml:space="preserve">Table </w:t>
      </w:r>
      <w:r w:rsidR="00E16820" w:rsidRPr="005629F8">
        <w:rPr>
          <w:noProof/>
          <w:color w:val="auto"/>
          <w:lang w:val="en-AU"/>
        </w:rPr>
        <w:t>4</w:t>
      </w:r>
      <w:r w:rsidRPr="005629F8">
        <w:rPr>
          <w:color w:val="auto"/>
          <w:lang w:val="en-AU"/>
        </w:rPr>
        <w:fldChar w:fldCharType="end"/>
      </w:r>
      <w:r w:rsidR="006A1F5C" w:rsidRPr="005629F8">
        <w:rPr>
          <w:color w:val="auto"/>
          <w:lang w:val="en-AU"/>
        </w:rPr>
        <w:t xml:space="preserve"> captures </w:t>
      </w:r>
      <w:r w:rsidR="009D310D" w:rsidRPr="005629F8">
        <w:rPr>
          <w:lang w:val="en-AU"/>
        </w:rPr>
        <w:t xml:space="preserve">data for each MDC and the </w:t>
      </w:r>
      <w:r w:rsidR="00164DF2">
        <w:rPr>
          <w:lang w:val="en-AU"/>
        </w:rPr>
        <w:t xml:space="preserve">key findings </w:t>
      </w:r>
      <w:r w:rsidR="003B6747" w:rsidRPr="005629F8">
        <w:rPr>
          <w:lang w:val="en-AU"/>
        </w:rPr>
        <w:t>are</w:t>
      </w:r>
      <w:r w:rsidR="009D310D" w:rsidRPr="005629F8">
        <w:rPr>
          <w:lang w:val="en-AU"/>
        </w:rPr>
        <w:t>:</w:t>
      </w:r>
    </w:p>
    <w:p w14:paraId="139D0BE3" w14:textId="4A40C6B5" w:rsidR="00163C8C" w:rsidRPr="0068730C" w:rsidRDefault="00163C8C" w:rsidP="009D310D">
      <w:pPr>
        <w:pStyle w:val="ListLevel1"/>
        <w:rPr>
          <w:lang w:val="en-AU"/>
        </w:rPr>
      </w:pPr>
      <w:r w:rsidRPr="0068730C">
        <w:rPr>
          <w:lang w:val="en-AU"/>
        </w:rPr>
        <w:t xml:space="preserve">MDC 00 (Pre MDC) </w:t>
      </w:r>
      <w:r w:rsidR="001F67FA">
        <w:rPr>
          <w:lang w:val="en-AU"/>
        </w:rPr>
        <w:t xml:space="preserve">consists of episodes that relate to critical care and life support and as such </w:t>
      </w:r>
      <w:r w:rsidRPr="0068730C">
        <w:rPr>
          <w:lang w:val="en-AU"/>
        </w:rPr>
        <w:t>has the highest cost weight (25.27) and average length of stay (30.9)</w:t>
      </w:r>
      <w:r w:rsidR="00263B4F" w:rsidRPr="0068730C">
        <w:rPr>
          <w:lang w:val="en-AU"/>
        </w:rPr>
        <w:t>.</w:t>
      </w:r>
    </w:p>
    <w:p w14:paraId="631C648C" w14:textId="6B95F589" w:rsidR="00C90FAC" w:rsidRPr="0068730C" w:rsidRDefault="00263B4F" w:rsidP="009D310D">
      <w:pPr>
        <w:pStyle w:val="ListLevel1"/>
        <w:rPr>
          <w:lang w:val="en-AU"/>
        </w:rPr>
      </w:pPr>
      <w:r w:rsidRPr="0068730C">
        <w:rPr>
          <w:lang w:val="en-AU"/>
        </w:rPr>
        <w:t>MDC 06 (Digestive System) has the highest volume of episodes</w:t>
      </w:r>
      <w:r w:rsidR="00C90FAC" w:rsidRPr="0068730C">
        <w:rPr>
          <w:lang w:val="en-AU"/>
        </w:rPr>
        <w:t xml:space="preserve"> (595,745</w:t>
      </w:r>
      <w:r w:rsidR="00DB117A">
        <w:rPr>
          <w:lang w:val="en-AU"/>
        </w:rPr>
        <w:t xml:space="preserve"> weighted separations</w:t>
      </w:r>
      <w:r w:rsidR="007858CA" w:rsidRPr="0068730C">
        <w:rPr>
          <w:lang w:val="en-AU"/>
        </w:rPr>
        <w:t xml:space="preserve"> or 17.1 per cent</w:t>
      </w:r>
      <w:r w:rsidR="00C90FAC" w:rsidRPr="0068730C">
        <w:rPr>
          <w:lang w:val="en-AU"/>
        </w:rPr>
        <w:t>)</w:t>
      </w:r>
      <w:r w:rsidR="00491E4C" w:rsidRPr="0068730C">
        <w:rPr>
          <w:lang w:val="en-AU"/>
        </w:rPr>
        <w:t xml:space="preserve">. Minor elective </w:t>
      </w:r>
      <w:r w:rsidR="00164DF2">
        <w:rPr>
          <w:lang w:val="en-AU"/>
        </w:rPr>
        <w:t xml:space="preserve">procedures </w:t>
      </w:r>
      <w:r w:rsidR="00491E4C" w:rsidRPr="0068730C">
        <w:rPr>
          <w:lang w:val="en-AU"/>
        </w:rPr>
        <w:t xml:space="preserve">such as endoscopy and colonoscopy </w:t>
      </w:r>
      <w:r w:rsidR="00147E2F">
        <w:rPr>
          <w:lang w:val="en-AU"/>
        </w:rPr>
        <w:t>make up a large volume of the activity</w:t>
      </w:r>
      <w:r w:rsidR="00491E4C" w:rsidRPr="0068730C">
        <w:rPr>
          <w:lang w:val="en-AU"/>
        </w:rPr>
        <w:t>, which drives the</w:t>
      </w:r>
      <w:r w:rsidR="00C90FAC" w:rsidRPr="0068730C">
        <w:rPr>
          <w:lang w:val="en-AU"/>
        </w:rPr>
        <w:t xml:space="preserve"> </w:t>
      </w:r>
      <w:proofErr w:type="gramStart"/>
      <w:r w:rsidR="00C90FAC" w:rsidRPr="0068730C">
        <w:rPr>
          <w:lang w:val="en-AU"/>
        </w:rPr>
        <w:t>l</w:t>
      </w:r>
      <w:r w:rsidR="00DB117A">
        <w:rPr>
          <w:lang w:val="en-AU"/>
        </w:rPr>
        <w:t>ow</w:t>
      </w:r>
      <w:r w:rsidR="005066AC">
        <w:rPr>
          <w:lang w:val="en-AU"/>
        </w:rPr>
        <w:t xml:space="preserve"> </w:t>
      </w:r>
      <w:r w:rsidR="00C90FAC" w:rsidRPr="0068730C">
        <w:rPr>
          <w:lang w:val="en-AU"/>
        </w:rPr>
        <w:t>cost</w:t>
      </w:r>
      <w:proofErr w:type="gramEnd"/>
      <w:r w:rsidR="00C90FAC" w:rsidRPr="0068730C">
        <w:rPr>
          <w:lang w:val="en-AU"/>
        </w:rPr>
        <w:t xml:space="preserve"> weight (0.5</w:t>
      </w:r>
      <w:r w:rsidR="00DB117A">
        <w:rPr>
          <w:lang w:val="en-AU"/>
        </w:rPr>
        <w:t>9</w:t>
      </w:r>
      <w:r w:rsidR="00C90FAC" w:rsidRPr="0068730C">
        <w:rPr>
          <w:lang w:val="en-AU"/>
        </w:rPr>
        <w:t>) and short average length of stay (1.7).</w:t>
      </w:r>
    </w:p>
    <w:p w14:paraId="71F296B5" w14:textId="2D891E9D" w:rsidR="00263B4F" w:rsidRPr="0068730C" w:rsidRDefault="00864013" w:rsidP="009D310D">
      <w:pPr>
        <w:pStyle w:val="ListLevel1"/>
        <w:rPr>
          <w:lang w:val="en-AU"/>
        </w:rPr>
      </w:pPr>
      <w:r w:rsidRPr="0068730C">
        <w:rPr>
          <w:lang w:val="en-AU"/>
        </w:rPr>
        <w:t>MDC 08</w:t>
      </w:r>
      <w:r w:rsidR="00C90FAC" w:rsidRPr="0068730C">
        <w:rPr>
          <w:lang w:val="en-AU"/>
        </w:rPr>
        <w:t xml:space="preserve"> (Musculoskeletal System and Connective Tissue) </w:t>
      </w:r>
      <w:r w:rsidRPr="0068730C">
        <w:rPr>
          <w:lang w:val="en-AU"/>
        </w:rPr>
        <w:t>has the next highest volume of episodes (</w:t>
      </w:r>
      <w:r w:rsidR="00C90FAC" w:rsidRPr="0068730C">
        <w:rPr>
          <w:lang w:val="en-AU"/>
        </w:rPr>
        <w:t>489,758</w:t>
      </w:r>
      <w:r w:rsidR="007858CA" w:rsidRPr="0068730C">
        <w:rPr>
          <w:lang w:val="en-AU"/>
        </w:rPr>
        <w:t xml:space="preserve"> </w:t>
      </w:r>
      <w:r w:rsidR="00DB117A">
        <w:rPr>
          <w:lang w:val="en-AU"/>
        </w:rPr>
        <w:t xml:space="preserve">weighted separations </w:t>
      </w:r>
      <w:r w:rsidR="007858CA" w:rsidRPr="0068730C">
        <w:rPr>
          <w:lang w:val="en-AU"/>
        </w:rPr>
        <w:t>or 14.0 per cent</w:t>
      </w:r>
      <w:r w:rsidRPr="0068730C">
        <w:rPr>
          <w:lang w:val="en-AU"/>
        </w:rPr>
        <w:t>)</w:t>
      </w:r>
      <w:r w:rsidR="00C90FAC" w:rsidRPr="0068730C">
        <w:rPr>
          <w:lang w:val="en-AU"/>
        </w:rPr>
        <w:t xml:space="preserve">. </w:t>
      </w:r>
      <w:r w:rsidRPr="0068730C">
        <w:rPr>
          <w:lang w:val="en-AU"/>
        </w:rPr>
        <w:t>Within the private sector, orthopaedic elective surgery is common, however it does attract a higher cost weight (2.05) and length of stay (2.9). As such it is the MDC with the highest number of cost weighted separations (1,004,004).</w:t>
      </w:r>
    </w:p>
    <w:p w14:paraId="77AE1EBD" w14:textId="72F96D65" w:rsidR="00864013" w:rsidRPr="0068730C" w:rsidRDefault="00864013" w:rsidP="009D310D">
      <w:pPr>
        <w:pStyle w:val="ListLevel1"/>
        <w:rPr>
          <w:lang w:val="en-AU"/>
        </w:rPr>
      </w:pPr>
      <w:r w:rsidRPr="0068730C">
        <w:rPr>
          <w:lang w:val="en-AU"/>
        </w:rPr>
        <w:t xml:space="preserve">MDC 18 (Infectious and Parasitic Diseases) and MDC 15 (Newborns and Other Neonates) have the </w:t>
      </w:r>
      <w:r w:rsidR="009F4C3C">
        <w:rPr>
          <w:lang w:val="en-AU"/>
        </w:rPr>
        <w:t xml:space="preserve">next </w:t>
      </w:r>
      <w:r w:rsidRPr="0068730C">
        <w:rPr>
          <w:lang w:val="en-AU"/>
        </w:rPr>
        <w:t>longest average length</w:t>
      </w:r>
      <w:r w:rsidR="009F4C3C">
        <w:rPr>
          <w:lang w:val="en-AU"/>
        </w:rPr>
        <w:t>s</w:t>
      </w:r>
      <w:r w:rsidRPr="0068730C">
        <w:rPr>
          <w:lang w:val="en-AU"/>
        </w:rPr>
        <w:t xml:space="preserve"> of stay (after MDC 00) </w:t>
      </w:r>
      <w:r w:rsidR="00164DF2">
        <w:rPr>
          <w:lang w:val="en-AU"/>
        </w:rPr>
        <w:t>of</w:t>
      </w:r>
      <w:r w:rsidRPr="0068730C">
        <w:rPr>
          <w:lang w:val="en-AU"/>
        </w:rPr>
        <w:t xml:space="preserve"> 7.6 and 7.3 days respectively.</w:t>
      </w:r>
    </w:p>
    <w:p w14:paraId="02CA3A38" w14:textId="607DA4FA" w:rsidR="00163C8C" w:rsidRPr="005629F8" w:rsidRDefault="007858CA">
      <w:pPr>
        <w:pStyle w:val="ListLevel1"/>
        <w:rPr>
          <w:lang w:val="en-AU"/>
        </w:rPr>
      </w:pPr>
      <w:r w:rsidRPr="0068730C">
        <w:rPr>
          <w:lang w:val="en-AU"/>
        </w:rPr>
        <w:t xml:space="preserve">MDC 02 (Eye) and MDC </w:t>
      </w:r>
      <w:r w:rsidR="00164DF2">
        <w:rPr>
          <w:lang w:val="en-AU"/>
        </w:rPr>
        <w:t xml:space="preserve">03 </w:t>
      </w:r>
      <w:r w:rsidRPr="0068730C">
        <w:rPr>
          <w:lang w:val="en-AU"/>
        </w:rPr>
        <w:t>(Ear, Nose, Mouth and Throat) have the lowest average length</w:t>
      </w:r>
      <w:r w:rsidR="009F4C3C">
        <w:rPr>
          <w:lang w:val="en-AU"/>
        </w:rPr>
        <w:t>s</w:t>
      </w:r>
      <w:r w:rsidRPr="0068730C">
        <w:rPr>
          <w:lang w:val="en-AU"/>
        </w:rPr>
        <w:t xml:space="preserve"> of stay with 1.1 and 1.2 respectively</w:t>
      </w:r>
      <w:r w:rsidR="00204852">
        <w:rPr>
          <w:lang w:val="en-AU"/>
        </w:rPr>
        <w:t>.</w:t>
      </w:r>
      <w:r w:rsidRPr="0068730C">
        <w:rPr>
          <w:lang w:val="en-AU"/>
        </w:rPr>
        <w:t xml:space="preserve"> </w:t>
      </w:r>
      <w:r w:rsidR="00204852">
        <w:rPr>
          <w:lang w:val="en-AU"/>
        </w:rPr>
        <w:t>T</w:t>
      </w:r>
      <w:r w:rsidR="00015C1F">
        <w:rPr>
          <w:lang w:val="en-AU"/>
        </w:rPr>
        <w:t>his</w:t>
      </w:r>
      <w:r w:rsidRPr="0068730C">
        <w:rPr>
          <w:lang w:val="en-AU"/>
        </w:rPr>
        <w:t xml:space="preserve"> reflects the </w:t>
      </w:r>
      <w:proofErr w:type="spellStart"/>
      <w:r w:rsidRPr="0068730C">
        <w:rPr>
          <w:lang w:val="en-AU"/>
        </w:rPr>
        <w:t>sameday</w:t>
      </w:r>
      <w:proofErr w:type="spellEnd"/>
      <w:r w:rsidRPr="0068730C">
        <w:rPr>
          <w:lang w:val="en-AU"/>
        </w:rPr>
        <w:t xml:space="preserve"> nature of these MDCs.</w:t>
      </w:r>
    </w:p>
    <w:p w14:paraId="5D731E98" w14:textId="491BB32E" w:rsidR="003B127F" w:rsidRPr="005629F8" w:rsidRDefault="003B127F" w:rsidP="005629F8">
      <w:pPr>
        <w:pStyle w:val="ListLevel1"/>
        <w:numPr>
          <w:ilvl w:val="0"/>
          <w:numId w:val="0"/>
        </w:numPr>
        <w:rPr>
          <w:lang w:val="en-AU"/>
        </w:rPr>
      </w:pPr>
    </w:p>
    <w:p w14:paraId="0B73ED2D" w14:textId="1E66F1B7" w:rsidR="00F005E1" w:rsidRPr="005629F8" w:rsidRDefault="00F005E1" w:rsidP="005629F8">
      <w:pPr>
        <w:rPr>
          <w:lang w:val="en-AU"/>
        </w:rPr>
        <w:sectPr w:rsidR="00F005E1" w:rsidRPr="005629F8" w:rsidSect="00522146">
          <w:headerReference w:type="default" r:id="rId20"/>
          <w:footerReference w:type="default" r:id="rId21"/>
          <w:pgSz w:w="11906" w:h="16838" w:code="9"/>
          <w:pgMar w:top="1440" w:right="1080" w:bottom="1440" w:left="1080" w:header="708" w:footer="708" w:gutter="0"/>
          <w:cols w:space="720"/>
          <w:docGrid w:linePitch="360"/>
        </w:sectPr>
      </w:pPr>
    </w:p>
    <w:p w14:paraId="5CDBF65E" w14:textId="0BAEF1F7" w:rsidR="00E91FC1" w:rsidRPr="001F188B" w:rsidRDefault="00E91FC1" w:rsidP="00E87B16">
      <w:pPr>
        <w:pStyle w:val="TableFigureheading"/>
      </w:pPr>
      <w:bookmarkStart w:id="95" w:name="_Ref127861435"/>
      <w:bookmarkStart w:id="96" w:name="_Toc129179298"/>
      <w:bookmarkStart w:id="97" w:name="_Toc139881777"/>
      <w:r w:rsidRPr="00F2253B">
        <w:lastRenderedPageBreak/>
        <w:t xml:space="preserve">Table </w:t>
      </w:r>
      <w:r w:rsidRPr="002F3010">
        <w:fldChar w:fldCharType="begin"/>
      </w:r>
      <w:r w:rsidRPr="005629F8">
        <w:instrText xml:space="preserve"> SEQ Table \* ARABIC </w:instrText>
      </w:r>
      <w:r w:rsidRPr="002F3010">
        <w:fldChar w:fldCharType="separate"/>
      </w:r>
      <w:r w:rsidR="00D3454D">
        <w:rPr>
          <w:noProof/>
        </w:rPr>
        <w:t>4</w:t>
      </w:r>
      <w:r w:rsidRPr="002F3010">
        <w:fldChar w:fldCharType="end"/>
      </w:r>
      <w:bookmarkEnd w:id="95"/>
      <w:r w:rsidRPr="001F188B">
        <w:t>. Breakdown by MDC</w:t>
      </w:r>
      <w:bookmarkEnd w:id="96"/>
      <w:bookmarkEnd w:id="97"/>
    </w:p>
    <w:tbl>
      <w:tblPr>
        <w:tblpPr w:leftFromText="180" w:rightFromText="180" w:vertAnchor="page" w:horzAnchor="margin" w:tblpY="1567"/>
        <w:tblW w:w="14347" w:type="dxa"/>
        <w:tblBorders>
          <w:top w:val="single" w:sz="4" w:space="0" w:color="auto"/>
          <w:bottom w:val="single" w:sz="6" w:space="0" w:color="auto"/>
          <w:insideH w:val="single" w:sz="4" w:space="0" w:color="D9D9D9"/>
        </w:tblBorders>
        <w:tblLayout w:type="fixed"/>
        <w:tblLook w:val="0000" w:firstRow="0" w:lastRow="0" w:firstColumn="0" w:lastColumn="0" w:noHBand="0" w:noVBand="0"/>
      </w:tblPr>
      <w:tblGrid>
        <w:gridCol w:w="1147"/>
        <w:gridCol w:w="6821"/>
        <w:gridCol w:w="1134"/>
        <w:gridCol w:w="1276"/>
        <w:gridCol w:w="1418"/>
        <w:gridCol w:w="1275"/>
        <w:gridCol w:w="1276"/>
      </w:tblGrid>
      <w:tr w:rsidR="006D4E0B" w:rsidRPr="0088109E" w14:paraId="6C9984C9" w14:textId="77777777" w:rsidTr="005629F8">
        <w:trPr>
          <w:trHeight w:val="691"/>
        </w:trPr>
        <w:tc>
          <w:tcPr>
            <w:tcW w:w="1147" w:type="dxa"/>
            <w:shd w:val="clear" w:color="auto" w:fill="15272F" w:themeFill="text1"/>
            <w:vAlign w:val="center"/>
          </w:tcPr>
          <w:p w14:paraId="51681075" w14:textId="77777777" w:rsidR="006D4E0B" w:rsidRPr="005629F8" w:rsidRDefault="006D4E0B" w:rsidP="000771FC">
            <w:pPr>
              <w:autoSpaceDE w:val="0"/>
              <w:autoSpaceDN w:val="0"/>
              <w:adjustRightInd w:val="0"/>
              <w:spacing w:after="0" w:line="276" w:lineRule="auto"/>
              <w:jc w:val="center"/>
              <w:rPr>
                <w:rFonts w:cs="Arial"/>
                <w:b/>
                <w:bCs/>
                <w:color w:val="FFFFFF" w:themeColor="background2"/>
                <w:sz w:val="18"/>
                <w:szCs w:val="14"/>
                <w:lang w:val="en-AU"/>
              </w:rPr>
            </w:pPr>
            <w:r w:rsidRPr="005629F8">
              <w:rPr>
                <w:rFonts w:cs="Arial"/>
                <w:b/>
                <w:bCs/>
                <w:color w:val="FFFFFF" w:themeColor="background2"/>
                <w:sz w:val="18"/>
                <w:szCs w:val="14"/>
                <w:lang w:val="en-AU"/>
              </w:rPr>
              <w:t>MDC</w:t>
            </w:r>
          </w:p>
        </w:tc>
        <w:tc>
          <w:tcPr>
            <w:tcW w:w="6821" w:type="dxa"/>
            <w:tcBorders>
              <w:right w:val="single" w:sz="4" w:space="0" w:color="D9D9D9"/>
            </w:tcBorders>
            <w:shd w:val="clear" w:color="auto" w:fill="15272F" w:themeFill="text1"/>
            <w:vAlign w:val="center"/>
          </w:tcPr>
          <w:p w14:paraId="204C26BB" w14:textId="77777777" w:rsidR="006D4E0B" w:rsidRPr="005629F8" w:rsidRDefault="006D4E0B" w:rsidP="005629F8">
            <w:pPr>
              <w:autoSpaceDE w:val="0"/>
              <w:autoSpaceDN w:val="0"/>
              <w:adjustRightInd w:val="0"/>
              <w:spacing w:after="0" w:line="276" w:lineRule="auto"/>
              <w:rPr>
                <w:rFonts w:cs="Arial"/>
                <w:b/>
                <w:bCs/>
                <w:color w:val="FFFFFF" w:themeColor="background2"/>
                <w:sz w:val="18"/>
                <w:szCs w:val="14"/>
                <w:lang w:val="en-AU"/>
              </w:rPr>
            </w:pPr>
            <w:r w:rsidRPr="005629F8">
              <w:rPr>
                <w:rFonts w:cs="Arial"/>
                <w:b/>
                <w:bCs/>
                <w:color w:val="FFFFFF" w:themeColor="background2"/>
                <w:sz w:val="18"/>
                <w:szCs w:val="14"/>
                <w:lang w:val="en-AU"/>
              </w:rPr>
              <w:t>MDC Description</w:t>
            </w:r>
          </w:p>
        </w:tc>
        <w:tc>
          <w:tcPr>
            <w:tcW w:w="1134" w:type="dxa"/>
            <w:tcBorders>
              <w:top w:val="single" w:sz="4" w:space="0" w:color="auto"/>
              <w:left w:val="single" w:sz="4" w:space="0" w:color="D9D9D9"/>
              <w:bottom w:val="single" w:sz="4" w:space="0" w:color="D9D9D9"/>
            </w:tcBorders>
            <w:shd w:val="clear" w:color="auto" w:fill="15272F" w:themeFill="text1"/>
            <w:vAlign w:val="center"/>
          </w:tcPr>
          <w:p w14:paraId="24769FB0"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lang w:val="en-AU"/>
              </w:rPr>
            </w:pPr>
            <w:r w:rsidRPr="005629F8">
              <w:rPr>
                <w:rFonts w:cs="Arial"/>
                <w:b/>
                <w:bCs/>
                <w:color w:val="FFFFFF" w:themeColor="background2"/>
                <w:sz w:val="18"/>
                <w:szCs w:val="14"/>
                <w:lang w:val="en-AU"/>
              </w:rPr>
              <w:t>Cost weight</w:t>
            </w:r>
            <w:r w:rsidRPr="005629F8">
              <w:rPr>
                <w:rFonts w:cs="Arial"/>
                <w:b/>
                <w:bCs/>
                <w:color w:val="FFFFFF" w:themeColor="background2"/>
                <w:sz w:val="18"/>
                <w:szCs w:val="14"/>
                <w:lang w:val="en-AU"/>
              </w:rPr>
              <w:br/>
              <w:t>(a)</w:t>
            </w:r>
          </w:p>
        </w:tc>
        <w:tc>
          <w:tcPr>
            <w:tcW w:w="1276" w:type="dxa"/>
            <w:shd w:val="clear" w:color="auto" w:fill="15272F" w:themeFill="text1"/>
            <w:vAlign w:val="center"/>
          </w:tcPr>
          <w:p w14:paraId="75D8EEE9"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lang w:val="en-AU"/>
              </w:rPr>
            </w:pPr>
            <w:r w:rsidRPr="005629F8">
              <w:rPr>
                <w:rFonts w:cs="Arial"/>
                <w:b/>
                <w:bCs/>
                <w:color w:val="FFFFFF" w:themeColor="background2"/>
                <w:sz w:val="18"/>
                <w:szCs w:val="14"/>
                <w:lang w:val="en-AU"/>
              </w:rPr>
              <w:t>No. of weighted seps</w:t>
            </w:r>
            <w:r w:rsidRPr="005629F8">
              <w:rPr>
                <w:rFonts w:cs="Arial"/>
                <w:b/>
                <w:bCs/>
                <w:color w:val="FFFFFF" w:themeColor="background2"/>
                <w:sz w:val="18"/>
                <w:szCs w:val="14"/>
                <w:lang w:val="en-AU"/>
              </w:rPr>
              <w:br/>
              <w:t>(b)</w:t>
            </w:r>
          </w:p>
        </w:tc>
        <w:tc>
          <w:tcPr>
            <w:tcW w:w="1418" w:type="dxa"/>
            <w:shd w:val="clear" w:color="auto" w:fill="15272F" w:themeFill="text1"/>
            <w:vAlign w:val="center"/>
          </w:tcPr>
          <w:p w14:paraId="1E5267E4"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lang w:val="en-AU"/>
              </w:rPr>
            </w:pPr>
            <w:r w:rsidRPr="005629F8">
              <w:rPr>
                <w:rFonts w:cs="Arial"/>
                <w:b/>
                <w:bCs/>
                <w:color w:val="FFFFFF" w:themeColor="background2"/>
                <w:sz w:val="18"/>
                <w:szCs w:val="14"/>
                <w:lang w:val="en-AU"/>
              </w:rPr>
              <w:t>Cost weighted seps</w:t>
            </w:r>
            <w:r w:rsidRPr="005629F8">
              <w:rPr>
                <w:rFonts w:cs="Arial"/>
                <w:b/>
                <w:bCs/>
                <w:color w:val="FFFFFF" w:themeColor="background2"/>
                <w:sz w:val="18"/>
                <w:szCs w:val="14"/>
                <w:lang w:val="en-AU"/>
              </w:rPr>
              <w:br/>
              <w:t>(c)=(a)x(b)</w:t>
            </w:r>
          </w:p>
        </w:tc>
        <w:tc>
          <w:tcPr>
            <w:tcW w:w="1275" w:type="dxa"/>
            <w:shd w:val="clear" w:color="auto" w:fill="15272F" w:themeFill="text1"/>
            <w:vAlign w:val="center"/>
          </w:tcPr>
          <w:p w14:paraId="5A686A6C"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lang w:val="en-AU"/>
              </w:rPr>
            </w:pPr>
            <w:r w:rsidRPr="005629F8">
              <w:rPr>
                <w:rFonts w:cs="Arial"/>
                <w:b/>
                <w:bCs/>
                <w:color w:val="FFFFFF" w:themeColor="background2"/>
                <w:sz w:val="18"/>
                <w:szCs w:val="14"/>
                <w:lang w:val="en-AU"/>
              </w:rPr>
              <w:t>Number of days</w:t>
            </w:r>
            <w:r w:rsidRPr="005629F8">
              <w:rPr>
                <w:rFonts w:cs="Arial"/>
                <w:b/>
                <w:bCs/>
                <w:color w:val="FFFFFF" w:themeColor="background2"/>
                <w:sz w:val="18"/>
                <w:szCs w:val="14"/>
                <w:lang w:val="en-AU"/>
              </w:rPr>
              <w:br/>
              <w:t>(d)</w:t>
            </w:r>
          </w:p>
        </w:tc>
        <w:tc>
          <w:tcPr>
            <w:tcW w:w="1276" w:type="dxa"/>
            <w:shd w:val="clear" w:color="auto" w:fill="15272F" w:themeFill="text1"/>
            <w:vAlign w:val="center"/>
          </w:tcPr>
          <w:p w14:paraId="72C78DD8"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lang w:val="en-AU"/>
              </w:rPr>
            </w:pPr>
            <w:r w:rsidRPr="005629F8">
              <w:rPr>
                <w:rFonts w:cs="Arial"/>
                <w:b/>
                <w:bCs/>
                <w:color w:val="FFFFFF" w:themeColor="background2"/>
                <w:sz w:val="18"/>
                <w:szCs w:val="14"/>
                <w:lang w:val="en-AU"/>
              </w:rPr>
              <w:t>ALOS (days)</w:t>
            </w:r>
            <w:r w:rsidRPr="005629F8">
              <w:rPr>
                <w:rFonts w:cs="Arial"/>
                <w:b/>
                <w:bCs/>
                <w:color w:val="FFFFFF" w:themeColor="background2"/>
                <w:sz w:val="18"/>
                <w:szCs w:val="14"/>
                <w:lang w:val="en-AU"/>
              </w:rPr>
              <w:br/>
              <w:t>(e)=(d)/(b)</w:t>
            </w:r>
          </w:p>
        </w:tc>
      </w:tr>
      <w:tr w:rsidR="006D4E0B" w:rsidRPr="0088109E" w14:paraId="15E9024B" w14:textId="77777777" w:rsidTr="005629F8">
        <w:trPr>
          <w:trHeight w:val="274"/>
        </w:trPr>
        <w:tc>
          <w:tcPr>
            <w:tcW w:w="1147" w:type="dxa"/>
            <w:vAlign w:val="center"/>
          </w:tcPr>
          <w:p w14:paraId="588813D2"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00</w:t>
            </w:r>
          </w:p>
        </w:tc>
        <w:tc>
          <w:tcPr>
            <w:tcW w:w="6821" w:type="dxa"/>
            <w:tcBorders>
              <w:right w:val="single" w:sz="4" w:space="0" w:color="D9D9D9"/>
            </w:tcBorders>
            <w:vAlign w:val="center"/>
          </w:tcPr>
          <w:p w14:paraId="776D426B"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00: Pre MDC</w:t>
            </w:r>
          </w:p>
        </w:tc>
        <w:tc>
          <w:tcPr>
            <w:tcW w:w="1134" w:type="dxa"/>
            <w:tcBorders>
              <w:top w:val="single" w:sz="4" w:space="0" w:color="D9D9D9"/>
              <w:left w:val="single" w:sz="4" w:space="0" w:color="D9D9D9"/>
              <w:bottom w:val="single" w:sz="4" w:space="0" w:color="D9D9D9"/>
            </w:tcBorders>
            <w:vAlign w:val="center"/>
          </w:tcPr>
          <w:p w14:paraId="3599E8A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25.27</w:t>
            </w:r>
          </w:p>
        </w:tc>
        <w:tc>
          <w:tcPr>
            <w:tcW w:w="1276" w:type="dxa"/>
            <w:vAlign w:val="center"/>
          </w:tcPr>
          <w:p w14:paraId="6C7E0F6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1,055</w:t>
            </w:r>
          </w:p>
        </w:tc>
        <w:tc>
          <w:tcPr>
            <w:tcW w:w="1418" w:type="dxa"/>
            <w:vAlign w:val="center"/>
          </w:tcPr>
          <w:p w14:paraId="3B20BA21"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26,660</w:t>
            </w:r>
          </w:p>
        </w:tc>
        <w:tc>
          <w:tcPr>
            <w:tcW w:w="1275" w:type="dxa"/>
            <w:vAlign w:val="center"/>
          </w:tcPr>
          <w:p w14:paraId="71915F5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32,584</w:t>
            </w:r>
          </w:p>
        </w:tc>
        <w:tc>
          <w:tcPr>
            <w:tcW w:w="1276" w:type="dxa"/>
            <w:vAlign w:val="center"/>
          </w:tcPr>
          <w:p w14:paraId="7102DD19"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30.9</w:t>
            </w:r>
          </w:p>
        </w:tc>
      </w:tr>
      <w:tr w:rsidR="006D4E0B" w:rsidRPr="0088109E" w14:paraId="3AFF6F82" w14:textId="77777777" w:rsidTr="005629F8">
        <w:trPr>
          <w:trHeight w:val="274"/>
        </w:trPr>
        <w:tc>
          <w:tcPr>
            <w:tcW w:w="1147" w:type="dxa"/>
            <w:vAlign w:val="center"/>
          </w:tcPr>
          <w:p w14:paraId="2709B49D"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01</w:t>
            </w:r>
          </w:p>
        </w:tc>
        <w:tc>
          <w:tcPr>
            <w:tcW w:w="6821" w:type="dxa"/>
            <w:tcBorders>
              <w:right w:val="single" w:sz="4" w:space="0" w:color="D9D9D9"/>
            </w:tcBorders>
            <w:vAlign w:val="center"/>
          </w:tcPr>
          <w:p w14:paraId="3A62BBCF"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01: Diseases and Disorders of the Nervous System</w:t>
            </w:r>
          </w:p>
        </w:tc>
        <w:tc>
          <w:tcPr>
            <w:tcW w:w="1134" w:type="dxa"/>
            <w:tcBorders>
              <w:top w:val="single" w:sz="4" w:space="0" w:color="D9D9D9"/>
              <w:left w:val="single" w:sz="4" w:space="0" w:color="D9D9D9"/>
              <w:bottom w:val="single" w:sz="4" w:space="0" w:color="D9D9D9"/>
            </w:tcBorders>
            <w:vAlign w:val="center"/>
          </w:tcPr>
          <w:p w14:paraId="78CBC6B1"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1.16</w:t>
            </w:r>
          </w:p>
        </w:tc>
        <w:tc>
          <w:tcPr>
            <w:tcW w:w="1276" w:type="dxa"/>
            <w:vAlign w:val="center"/>
          </w:tcPr>
          <w:p w14:paraId="3C9273F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107,686</w:t>
            </w:r>
          </w:p>
        </w:tc>
        <w:tc>
          <w:tcPr>
            <w:tcW w:w="1418" w:type="dxa"/>
            <w:vAlign w:val="center"/>
          </w:tcPr>
          <w:p w14:paraId="59782B7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124,916</w:t>
            </w:r>
          </w:p>
        </w:tc>
        <w:tc>
          <w:tcPr>
            <w:tcW w:w="1275" w:type="dxa"/>
            <w:vAlign w:val="center"/>
          </w:tcPr>
          <w:p w14:paraId="72275DE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347,736</w:t>
            </w:r>
          </w:p>
        </w:tc>
        <w:tc>
          <w:tcPr>
            <w:tcW w:w="1276" w:type="dxa"/>
            <w:vAlign w:val="center"/>
          </w:tcPr>
          <w:p w14:paraId="6B4B18B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3.2</w:t>
            </w:r>
          </w:p>
        </w:tc>
      </w:tr>
      <w:tr w:rsidR="006D4E0B" w:rsidRPr="0088109E" w14:paraId="4E2A7FA0" w14:textId="77777777" w:rsidTr="005629F8">
        <w:trPr>
          <w:trHeight w:val="274"/>
        </w:trPr>
        <w:tc>
          <w:tcPr>
            <w:tcW w:w="1147" w:type="dxa"/>
            <w:vAlign w:val="center"/>
          </w:tcPr>
          <w:p w14:paraId="74659807"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02</w:t>
            </w:r>
          </w:p>
        </w:tc>
        <w:tc>
          <w:tcPr>
            <w:tcW w:w="6821" w:type="dxa"/>
            <w:tcBorders>
              <w:right w:val="single" w:sz="4" w:space="0" w:color="D9D9D9"/>
            </w:tcBorders>
            <w:vAlign w:val="center"/>
          </w:tcPr>
          <w:p w14:paraId="78864185"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02: Diseases and Disorders of the Eye</w:t>
            </w:r>
          </w:p>
        </w:tc>
        <w:tc>
          <w:tcPr>
            <w:tcW w:w="1134" w:type="dxa"/>
            <w:tcBorders>
              <w:top w:val="single" w:sz="4" w:space="0" w:color="D9D9D9"/>
              <w:left w:val="single" w:sz="4" w:space="0" w:color="D9D9D9"/>
              <w:bottom w:val="single" w:sz="4" w:space="0" w:color="D9D9D9"/>
            </w:tcBorders>
            <w:vAlign w:val="center"/>
          </w:tcPr>
          <w:p w14:paraId="518C8A9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0.48</w:t>
            </w:r>
          </w:p>
        </w:tc>
        <w:tc>
          <w:tcPr>
            <w:tcW w:w="1276" w:type="dxa"/>
            <w:vAlign w:val="center"/>
          </w:tcPr>
          <w:p w14:paraId="17AEC09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78,586</w:t>
            </w:r>
          </w:p>
        </w:tc>
        <w:tc>
          <w:tcPr>
            <w:tcW w:w="1418" w:type="dxa"/>
            <w:vAlign w:val="center"/>
          </w:tcPr>
          <w:p w14:paraId="2620327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37,721</w:t>
            </w:r>
          </w:p>
        </w:tc>
        <w:tc>
          <w:tcPr>
            <w:tcW w:w="1275" w:type="dxa"/>
            <w:vAlign w:val="center"/>
          </w:tcPr>
          <w:p w14:paraId="3C3D84A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82,735</w:t>
            </w:r>
          </w:p>
        </w:tc>
        <w:tc>
          <w:tcPr>
            <w:tcW w:w="1276" w:type="dxa"/>
            <w:vAlign w:val="center"/>
          </w:tcPr>
          <w:p w14:paraId="1F16F10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1.1</w:t>
            </w:r>
          </w:p>
        </w:tc>
      </w:tr>
      <w:tr w:rsidR="006D4E0B" w:rsidRPr="0088109E" w14:paraId="3DA97928" w14:textId="77777777" w:rsidTr="005629F8">
        <w:trPr>
          <w:trHeight w:val="274"/>
        </w:trPr>
        <w:tc>
          <w:tcPr>
            <w:tcW w:w="1147" w:type="dxa"/>
            <w:vAlign w:val="center"/>
          </w:tcPr>
          <w:p w14:paraId="4F6EF949"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03</w:t>
            </w:r>
          </w:p>
        </w:tc>
        <w:tc>
          <w:tcPr>
            <w:tcW w:w="6821" w:type="dxa"/>
            <w:tcBorders>
              <w:right w:val="single" w:sz="4" w:space="0" w:color="D9D9D9"/>
            </w:tcBorders>
            <w:vAlign w:val="center"/>
          </w:tcPr>
          <w:p w14:paraId="6F5E4F64"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03: Diseases and Disorders of the Ear, Nose, Mouth and Throat</w:t>
            </w:r>
          </w:p>
        </w:tc>
        <w:tc>
          <w:tcPr>
            <w:tcW w:w="1134" w:type="dxa"/>
            <w:tcBorders>
              <w:top w:val="single" w:sz="4" w:space="0" w:color="D9D9D9"/>
              <w:left w:val="single" w:sz="4" w:space="0" w:color="D9D9D9"/>
              <w:bottom w:val="single" w:sz="4" w:space="0" w:color="D9D9D9"/>
            </w:tcBorders>
            <w:vAlign w:val="center"/>
          </w:tcPr>
          <w:p w14:paraId="1018A26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0.70</w:t>
            </w:r>
          </w:p>
        </w:tc>
        <w:tc>
          <w:tcPr>
            <w:tcW w:w="1276" w:type="dxa"/>
            <w:vAlign w:val="center"/>
          </w:tcPr>
          <w:p w14:paraId="1C1BBCB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198,394</w:t>
            </w:r>
          </w:p>
        </w:tc>
        <w:tc>
          <w:tcPr>
            <w:tcW w:w="1418" w:type="dxa"/>
            <w:vAlign w:val="center"/>
          </w:tcPr>
          <w:p w14:paraId="6F2363C9"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138,876</w:t>
            </w:r>
          </w:p>
        </w:tc>
        <w:tc>
          <w:tcPr>
            <w:tcW w:w="1275" w:type="dxa"/>
            <w:vAlign w:val="center"/>
          </w:tcPr>
          <w:p w14:paraId="3BB815C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238,133</w:t>
            </w:r>
          </w:p>
        </w:tc>
        <w:tc>
          <w:tcPr>
            <w:tcW w:w="1276" w:type="dxa"/>
            <w:vAlign w:val="center"/>
          </w:tcPr>
          <w:p w14:paraId="20281B3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1.2</w:t>
            </w:r>
          </w:p>
        </w:tc>
      </w:tr>
      <w:tr w:rsidR="006D4E0B" w:rsidRPr="0088109E" w14:paraId="3002A38C" w14:textId="77777777" w:rsidTr="005629F8">
        <w:trPr>
          <w:trHeight w:val="274"/>
        </w:trPr>
        <w:tc>
          <w:tcPr>
            <w:tcW w:w="1147" w:type="dxa"/>
            <w:vAlign w:val="center"/>
          </w:tcPr>
          <w:p w14:paraId="2999BB64"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04</w:t>
            </w:r>
          </w:p>
        </w:tc>
        <w:tc>
          <w:tcPr>
            <w:tcW w:w="6821" w:type="dxa"/>
            <w:tcBorders>
              <w:right w:val="single" w:sz="4" w:space="0" w:color="D9D9D9"/>
            </w:tcBorders>
            <w:vAlign w:val="center"/>
          </w:tcPr>
          <w:p w14:paraId="09B6A63A"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04: Diseases and Disorders of the Respiratory System</w:t>
            </w:r>
          </w:p>
        </w:tc>
        <w:tc>
          <w:tcPr>
            <w:tcW w:w="1134" w:type="dxa"/>
            <w:tcBorders>
              <w:top w:val="single" w:sz="4" w:space="0" w:color="D9D9D9"/>
              <w:left w:val="single" w:sz="4" w:space="0" w:color="D9D9D9"/>
              <w:bottom w:val="single" w:sz="4" w:space="0" w:color="D9D9D9"/>
            </w:tcBorders>
            <w:vAlign w:val="center"/>
          </w:tcPr>
          <w:p w14:paraId="3F13A9B4"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1.06</w:t>
            </w:r>
          </w:p>
        </w:tc>
        <w:tc>
          <w:tcPr>
            <w:tcW w:w="1276" w:type="dxa"/>
            <w:vAlign w:val="center"/>
          </w:tcPr>
          <w:p w14:paraId="706245CA"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102,844</w:t>
            </w:r>
          </w:p>
        </w:tc>
        <w:tc>
          <w:tcPr>
            <w:tcW w:w="1418" w:type="dxa"/>
            <w:vAlign w:val="center"/>
          </w:tcPr>
          <w:p w14:paraId="051C49B4"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109,015</w:t>
            </w:r>
          </w:p>
        </w:tc>
        <w:tc>
          <w:tcPr>
            <w:tcW w:w="1275" w:type="dxa"/>
            <w:vAlign w:val="center"/>
          </w:tcPr>
          <w:p w14:paraId="2944207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368,785</w:t>
            </w:r>
          </w:p>
        </w:tc>
        <w:tc>
          <w:tcPr>
            <w:tcW w:w="1276" w:type="dxa"/>
            <w:vAlign w:val="center"/>
          </w:tcPr>
          <w:p w14:paraId="359F015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3.6</w:t>
            </w:r>
          </w:p>
        </w:tc>
      </w:tr>
      <w:tr w:rsidR="006D4E0B" w:rsidRPr="0088109E" w14:paraId="149F1260" w14:textId="77777777" w:rsidTr="005629F8">
        <w:trPr>
          <w:trHeight w:val="274"/>
        </w:trPr>
        <w:tc>
          <w:tcPr>
            <w:tcW w:w="1147" w:type="dxa"/>
            <w:vAlign w:val="center"/>
          </w:tcPr>
          <w:p w14:paraId="7048F5E4"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05</w:t>
            </w:r>
          </w:p>
        </w:tc>
        <w:tc>
          <w:tcPr>
            <w:tcW w:w="6821" w:type="dxa"/>
            <w:tcBorders>
              <w:right w:val="single" w:sz="4" w:space="0" w:color="D9D9D9"/>
            </w:tcBorders>
            <w:vAlign w:val="center"/>
          </w:tcPr>
          <w:p w14:paraId="3A0E2955"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05: Diseases and Disorders of the Circulatory System</w:t>
            </w:r>
          </w:p>
        </w:tc>
        <w:tc>
          <w:tcPr>
            <w:tcW w:w="1134" w:type="dxa"/>
            <w:tcBorders>
              <w:top w:val="single" w:sz="4" w:space="0" w:color="D9D9D9"/>
              <w:left w:val="single" w:sz="4" w:space="0" w:color="D9D9D9"/>
              <w:bottom w:val="single" w:sz="4" w:space="0" w:color="D9D9D9"/>
            </w:tcBorders>
            <w:vAlign w:val="center"/>
          </w:tcPr>
          <w:p w14:paraId="4C54854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2.21</w:t>
            </w:r>
          </w:p>
        </w:tc>
        <w:tc>
          <w:tcPr>
            <w:tcW w:w="1276" w:type="dxa"/>
            <w:vAlign w:val="center"/>
          </w:tcPr>
          <w:p w14:paraId="618B02F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225,694</w:t>
            </w:r>
          </w:p>
        </w:tc>
        <w:tc>
          <w:tcPr>
            <w:tcW w:w="1418" w:type="dxa"/>
            <w:vAlign w:val="center"/>
          </w:tcPr>
          <w:p w14:paraId="2CFD7A59"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498,784</w:t>
            </w:r>
          </w:p>
        </w:tc>
        <w:tc>
          <w:tcPr>
            <w:tcW w:w="1275" w:type="dxa"/>
            <w:vAlign w:val="center"/>
          </w:tcPr>
          <w:p w14:paraId="134B802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759,005</w:t>
            </w:r>
          </w:p>
        </w:tc>
        <w:tc>
          <w:tcPr>
            <w:tcW w:w="1276" w:type="dxa"/>
            <w:vAlign w:val="center"/>
          </w:tcPr>
          <w:p w14:paraId="5280072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3.4</w:t>
            </w:r>
          </w:p>
        </w:tc>
      </w:tr>
      <w:tr w:rsidR="006D4E0B" w:rsidRPr="0088109E" w14:paraId="0EE10FB9" w14:textId="77777777" w:rsidTr="005629F8">
        <w:trPr>
          <w:trHeight w:val="274"/>
        </w:trPr>
        <w:tc>
          <w:tcPr>
            <w:tcW w:w="1147" w:type="dxa"/>
            <w:vAlign w:val="center"/>
          </w:tcPr>
          <w:p w14:paraId="3590B0FC"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06</w:t>
            </w:r>
          </w:p>
        </w:tc>
        <w:tc>
          <w:tcPr>
            <w:tcW w:w="6821" w:type="dxa"/>
            <w:tcBorders>
              <w:right w:val="single" w:sz="4" w:space="0" w:color="D9D9D9"/>
            </w:tcBorders>
            <w:vAlign w:val="center"/>
          </w:tcPr>
          <w:p w14:paraId="0AE291A9"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06: Diseases and Disorders of the Digestive System</w:t>
            </w:r>
          </w:p>
        </w:tc>
        <w:tc>
          <w:tcPr>
            <w:tcW w:w="1134" w:type="dxa"/>
            <w:tcBorders>
              <w:top w:val="single" w:sz="4" w:space="0" w:color="D9D9D9"/>
              <w:left w:val="single" w:sz="4" w:space="0" w:color="D9D9D9"/>
              <w:bottom w:val="single" w:sz="4" w:space="0" w:color="D9D9D9"/>
            </w:tcBorders>
            <w:vAlign w:val="center"/>
          </w:tcPr>
          <w:p w14:paraId="30FAB944"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0.59</w:t>
            </w:r>
          </w:p>
        </w:tc>
        <w:tc>
          <w:tcPr>
            <w:tcW w:w="1276" w:type="dxa"/>
            <w:vAlign w:val="center"/>
          </w:tcPr>
          <w:p w14:paraId="1DA23A6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595,745</w:t>
            </w:r>
          </w:p>
        </w:tc>
        <w:tc>
          <w:tcPr>
            <w:tcW w:w="1418" w:type="dxa"/>
            <w:vAlign w:val="center"/>
          </w:tcPr>
          <w:p w14:paraId="73A6321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351,490</w:t>
            </w:r>
          </w:p>
        </w:tc>
        <w:tc>
          <w:tcPr>
            <w:tcW w:w="1275" w:type="dxa"/>
            <w:vAlign w:val="center"/>
          </w:tcPr>
          <w:p w14:paraId="49DC858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989,297</w:t>
            </w:r>
          </w:p>
        </w:tc>
        <w:tc>
          <w:tcPr>
            <w:tcW w:w="1276" w:type="dxa"/>
            <w:vAlign w:val="center"/>
          </w:tcPr>
          <w:p w14:paraId="2BFC735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1.7</w:t>
            </w:r>
          </w:p>
        </w:tc>
      </w:tr>
      <w:tr w:rsidR="006D4E0B" w:rsidRPr="0088109E" w14:paraId="42B058F9" w14:textId="77777777" w:rsidTr="005629F8">
        <w:trPr>
          <w:trHeight w:val="274"/>
        </w:trPr>
        <w:tc>
          <w:tcPr>
            <w:tcW w:w="1147" w:type="dxa"/>
            <w:vAlign w:val="center"/>
          </w:tcPr>
          <w:p w14:paraId="6B24D424"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07</w:t>
            </w:r>
          </w:p>
        </w:tc>
        <w:tc>
          <w:tcPr>
            <w:tcW w:w="6821" w:type="dxa"/>
            <w:tcBorders>
              <w:right w:val="single" w:sz="4" w:space="0" w:color="D9D9D9"/>
            </w:tcBorders>
            <w:vAlign w:val="center"/>
          </w:tcPr>
          <w:p w14:paraId="7EEB6229"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07: Diseases and Disorders of the Hepatobiliary System and Pancreas</w:t>
            </w:r>
          </w:p>
        </w:tc>
        <w:tc>
          <w:tcPr>
            <w:tcW w:w="1134" w:type="dxa"/>
            <w:tcBorders>
              <w:top w:val="single" w:sz="4" w:space="0" w:color="D9D9D9"/>
              <w:left w:val="single" w:sz="4" w:space="0" w:color="D9D9D9"/>
              <w:bottom w:val="single" w:sz="4" w:space="0" w:color="D9D9D9"/>
            </w:tcBorders>
            <w:vAlign w:val="center"/>
          </w:tcPr>
          <w:p w14:paraId="2721AD1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1.36</w:t>
            </w:r>
          </w:p>
        </w:tc>
        <w:tc>
          <w:tcPr>
            <w:tcW w:w="1276" w:type="dxa"/>
            <w:vAlign w:val="center"/>
          </w:tcPr>
          <w:p w14:paraId="51FB12D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46,756</w:t>
            </w:r>
          </w:p>
        </w:tc>
        <w:tc>
          <w:tcPr>
            <w:tcW w:w="1418" w:type="dxa"/>
            <w:vAlign w:val="center"/>
          </w:tcPr>
          <w:p w14:paraId="280FA69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63,588</w:t>
            </w:r>
          </w:p>
        </w:tc>
        <w:tc>
          <w:tcPr>
            <w:tcW w:w="1275" w:type="dxa"/>
            <w:vAlign w:val="center"/>
          </w:tcPr>
          <w:p w14:paraId="7B77B85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138,673</w:t>
            </w:r>
          </w:p>
        </w:tc>
        <w:tc>
          <w:tcPr>
            <w:tcW w:w="1276" w:type="dxa"/>
            <w:vAlign w:val="center"/>
          </w:tcPr>
          <w:p w14:paraId="3AE6C8C1"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3.0</w:t>
            </w:r>
          </w:p>
        </w:tc>
      </w:tr>
      <w:tr w:rsidR="006D4E0B" w:rsidRPr="0088109E" w14:paraId="55795A2C" w14:textId="77777777" w:rsidTr="005629F8">
        <w:trPr>
          <w:trHeight w:val="274"/>
        </w:trPr>
        <w:tc>
          <w:tcPr>
            <w:tcW w:w="1147" w:type="dxa"/>
            <w:vAlign w:val="center"/>
          </w:tcPr>
          <w:p w14:paraId="02521F87"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08</w:t>
            </w:r>
          </w:p>
        </w:tc>
        <w:tc>
          <w:tcPr>
            <w:tcW w:w="6821" w:type="dxa"/>
            <w:tcBorders>
              <w:right w:val="single" w:sz="4" w:space="0" w:color="D9D9D9"/>
            </w:tcBorders>
            <w:vAlign w:val="center"/>
          </w:tcPr>
          <w:p w14:paraId="23903411"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08: Diseases and Disorders of the Musculoskeletal System and Connective Tissue</w:t>
            </w:r>
          </w:p>
        </w:tc>
        <w:tc>
          <w:tcPr>
            <w:tcW w:w="1134" w:type="dxa"/>
            <w:tcBorders>
              <w:top w:val="single" w:sz="4" w:space="0" w:color="D9D9D9"/>
              <w:left w:val="single" w:sz="4" w:space="0" w:color="D9D9D9"/>
              <w:bottom w:val="single" w:sz="4" w:space="0" w:color="D9D9D9"/>
            </w:tcBorders>
            <w:vAlign w:val="center"/>
          </w:tcPr>
          <w:p w14:paraId="6E2A489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2.05</w:t>
            </w:r>
          </w:p>
        </w:tc>
        <w:tc>
          <w:tcPr>
            <w:tcW w:w="1276" w:type="dxa"/>
            <w:vAlign w:val="center"/>
          </w:tcPr>
          <w:p w14:paraId="672FC695"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489,758</w:t>
            </w:r>
          </w:p>
        </w:tc>
        <w:tc>
          <w:tcPr>
            <w:tcW w:w="1418" w:type="dxa"/>
            <w:vAlign w:val="center"/>
          </w:tcPr>
          <w:p w14:paraId="2EE23A8A"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1,004,004</w:t>
            </w:r>
          </w:p>
        </w:tc>
        <w:tc>
          <w:tcPr>
            <w:tcW w:w="1275" w:type="dxa"/>
            <w:vAlign w:val="center"/>
          </w:tcPr>
          <w:p w14:paraId="37EC960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1,433,387</w:t>
            </w:r>
          </w:p>
        </w:tc>
        <w:tc>
          <w:tcPr>
            <w:tcW w:w="1276" w:type="dxa"/>
            <w:vAlign w:val="center"/>
          </w:tcPr>
          <w:p w14:paraId="0A435DF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2.9</w:t>
            </w:r>
          </w:p>
        </w:tc>
      </w:tr>
      <w:tr w:rsidR="006D4E0B" w:rsidRPr="0088109E" w14:paraId="300C5FA4" w14:textId="77777777" w:rsidTr="005629F8">
        <w:trPr>
          <w:trHeight w:val="274"/>
        </w:trPr>
        <w:tc>
          <w:tcPr>
            <w:tcW w:w="1147" w:type="dxa"/>
            <w:vAlign w:val="center"/>
          </w:tcPr>
          <w:p w14:paraId="2B852AB8"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09</w:t>
            </w:r>
          </w:p>
        </w:tc>
        <w:tc>
          <w:tcPr>
            <w:tcW w:w="6821" w:type="dxa"/>
            <w:tcBorders>
              <w:right w:val="single" w:sz="4" w:space="0" w:color="D9D9D9"/>
            </w:tcBorders>
            <w:vAlign w:val="center"/>
          </w:tcPr>
          <w:p w14:paraId="2EC49B6D"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 xml:space="preserve">09: Diseases and Disorders of the Skin, Subcutaneous </w:t>
            </w:r>
            <w:proofErr w:type="gramStart"/>
            <w:r w:rsidRPr="005629F8">
              <w:rPr>
                <w:rFonts w:cs="Arial"/>
                <w:bCs/>
                <w:color w:val="000000"/>
                <w:sz w:val="18"/>
                <w:szCs w:val="14"/>
                <w:lang w:val="en-AU"/>
              </w:rPr>
              <w:t>Tissue</w:t>
            </w:r>
            <w:proofErr w:type="gramEnd"/>
            <w:r w:rsidRPr="005629F8">
              <w:rPr>
                <w:rFonts w:cs="Arial"/>
                <w:bCs/>
                <w:color w:val="000000"/>
                <w:sz w:val="18"/>
                <w:szCs w:val="14"/>
                <w:lang w:val="en-AU"/>
              </w:rPr>
              <w:t xml:space="preserve"> and Breast</w:t>
            </w:r>
          </w:p>
        </w:tc>
        <w:tc>
          <w:tcPr>
            <w:tcW w:w="1134" w:type="dxa"/>
            <w:tcBorders>
              <w:top w:val="single" w:sz="4" w:space="0" w:color="D9D9D9"/>
              <w:left w:val="single" w:sz="4" w:space="0" w:color="D9D9D9"/>
              <w:bottom w:val="single" w:sz="4" w:space="0" w:color="D9D9D9"/>
            </w:tcBorders>
            <w:vAlign w:val="center"/>
          </w:tcPr>
          <w:p w14:paraId="478B827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1.01</w:t>
            </w:r>
          </w:p>
        </w:tc>
        <w:tc>
          <w:tcPr>
            <w:tcW w:w="1276" w:type="dxa"/>
            <w:vAlign w:val="center"/>
          </w:tcPr>
          <w:p w14:paraId="4E19996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159,623</w:t>
            </w:r>
          </w:p>
        </w:tc>
        <w:tc>
          <w:tcPr>
            <w:tcW w:w="1418" w:type="dxa"/>
            <w:vAlign w:val="center"/>
          </w:tcPr>
          <w:p w14:paraId="471DD8E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161,219</w:t>
            </w:r>
          </w:p>
        </w:tc>
        <w:tc>
          <w:tcPr>
            <w:tcW w:w="1275" w:type="dxa"/>
            <w:vAlign w:val="center"/>
          </w:tcPr>
          <w:p w14:paraId="5F171EB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353,873</w:t>
            </w:r>
          </w:p>
        </w:tc>
        <w:tc>
          <w:tcPr>
            <w:tcW w:w="1276" w:type="dxa"/>
            <w:vAlign w:val="center"/>
          </w:tcPr>
          <w:p w14:paraId="1503061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2.2</w:t>
            </w:r>
          </w:p>
        </w:tc>
      </w:tr>
      <w:tr w:rsidR="006D4E0B" w:rsidRPr="0088109E" w14:paraId="2E93C642" w14:textId="77777777" w:rsidTr="005629F8">
        <w:trPr>
          <w:trHeight w:val="274"/>
        </w:trPr>
        <w:tc>
          <w:tcPr>
            <w:tcW w:w="1147" w:type="dxa"/>
            <w:vAlign w:val="center"/>
          </w:tcPr>
          <w:p w14:paraId="65BDE986"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10</w:t>
            </w:r>
          </w:p>
        </w:tc>
        <w:tc>
          <w:tcPr>
            <w:tcW w:w="6821" w:type="dxa"/>
            <w:tcBorders>
              <w:right w:val="single" w:sz="4" w:space="0" w:color="D9D9D9"/>
            </w:tcBorders>
            <w:vAlign w:val="center"/>
          </w:tcPr>
          <w:p w14:paraId="41B49671"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10: Endocrine, Nutritional and Metabolic Diseases and Disorders</w:t>
            </w:r>
          </w:p>
        </w:tc>
        <w:tc>
          <w:tcPr>
            <w:tcW w:w="1134" w:type="dxa"/>
            <w:tcBorders>
              <w:top w:val="single" w:sz="4" w:space="0" w:color="D9D9D9"/>
              <w:left w:val="single" w:sz="4" w:space="0" w:color="D9D9D9"/>
              <w:bottom w:val="single" w:sz="4" w:space="0" w:color="D9D9D9"/>
            </w:tcBorders>
            <w:vAlign w:val="center"/>
          </w:tcPr>
          <w:p w14:paraId="47FC41F2"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1.32</w:t>
            </w:r>
          </w:p>
        </w:tc>
        <w:tc>
          <w:tcPr>
            <w:tcW w:w="1276" w:type="dxa"/>
            <w:vAlign w:val="center"/>
          </w:tcPr>
          <w:p w14:paraId="337AB309"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92,020</w:t>
            </w:r>
          </w:p>
        </w:tc>
        <w:tc>
          <w:tcPr>
            <w:tcW w:w="1418" w:type="dxa"/>
            <w:vAlign w:val="center"/>
          </w:tcPr>
          <w:p w14:paraId="05333D1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121,466</w:t>
            </w:r>
          </w:p>
        </w:tc>
        <w:tc>
          <w:tcPr>
            <w:tcW w:w="1275" w:type="dxa"/>
            <w:vAlign w:val="center"/>
          </w:tcPr>
          <w:p w14:paraId="19BC10A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200,611</w:t>
            </w:r>
          </w:p>
        </w:tc>
        <w:tc>
          <w:tcPr>
            <w:tcW w:w="1276" w:type="dxa"/>
            <w:vAlign w:val="center"/>
          </w:tcPr>
          <w:p w14:paraId="5ED8647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2.2</w:t>
            </w:r>
          </w:p>
        </w:tc>
      </w:tr>
      <w:tr w:rsidR="006D4E0B" w:rsidRPr="0088109E" w14:paraId="7C73C7E6" w14:textId="77777777" w:rsidTr="005629F8">
        <w:trPr>
          <w:trHeight w:val="274"/>
        </w:trPr>
        <w:tc>
          <w:tcPr>
            <w:tcW w:w="1147" w:type="dxa"/>
            <w:vAlign w:val="center"/>
          </w:tcPr>
          <w:p w14:paraId="7629AA50"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11</w:t>
            </w:r>
          </w:p>
        </w:tc>
        <w:tc>
          <w:tcPr>
            <w:tcW w:w="6821" w:type="dxa"/>
            <w:tcBorders>
              <w:right w:val="single" w:sz="4" w:space="0" w:color="D9D9D9"/>
            </w:tcBorders>
            <w:vAlign w:val="center"/>
          </w:tcPr>
          <w:p w14:paraId="3777C52F"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11: Diseases and Disorders of the Kidney and Urinary Tract</w:t>
            </w:r>
          </w:p>
        </w:tc>
        <w:tc>
          <w:tcPr>
            <w:tcW w:w="1134" w:type="dxa"/>
            <w:tcBorders>
              <w:top w:val="single" w:sz="4" w:space="0" w:color="D9D9D9"/>
              <w:left w:val="single" w:sz="4" w:space="0" w:color="D9D9D9"/>
              <w:bottom w:val="single" w:sz="4" w:space="0" w:color="D9D9D9"/>
            </w:tcBorders>
            <w:vAlign w:val="center"/>
          </w:tcPr>
          <w:p w14:paraId="08D47B5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0.44</w:t>
            </w:r>
          </w:p>
        </w:tc>
        <w:tc>
          <w:tcPr>
            <w:tcW w:w="1276" w:type="dxa"/>
            <w:vAlign w:val="center"/>
          </w:tcPr>
          <w:p w14:paraId="5A8B5A5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297,832</w:t>
            </w:r>
          </w:p>
        </w:tc>
        <w:tc>
          <w:tcPr>
            <w:tcW w:w="1418" w:type="dxa"/>
            <w:vAlign w:val="center"/>
          </w:tcPr>
          <w:p w14:paraId="2F16ABB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131,046</w:t>
            </w:r>
          </w:p>
        </w:tc>
        <w:tc>
          <w:tcPr>
            <w:tcW w:w="1275" w:type="dxa"/>
            <w:vAlign w:val="center"/>
          </w:tcPr>
          <w:p w14:paraId="13C6E7C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470,656</w:t>
            </w:r>
          </w:p>
        </w:tc>
        <w:tc>
          <w:tcPr>
            <w:tcW w:w="1276" w:type="dxa"/>
            <w:vAlign w:val="center"/>
          </w:tcPr>
          <w:p w14:paraId="50B64B4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1.6</w:t>
            </w:r>
          </w:p>
        </w:tc>
      </w:tr>
      <w:tr w:rsidR="006D4E0B" w:rsidRPr="0088109E" w14:paraId="63921A80" w14:textId="77777777" w:rsidTr="005629F8">
        <w:trPr>
          <w:trHeight w:val="274"/>
        </w:trPr>
        <w:tc>
          <w:tcPr>
            <w:tcW w:w="1147" w:type="dxa"/>
            <w:vAlign w:val="center"/>
          </w:tcPr>
          <w:p w14:paraId="00C8B739"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12</w:t>
            </w:r>
          </w:p>
        </w:tc>
        <w:tc>
          <w:tcPr>
            <w:tcW w:w="6821" w:type="dxa"/>
            <w:tcBorders>
              <w:right w:val="single" w:sz="4" w:space="0" w:color="D9D9D9"/>
            </w:tcBorders>
            <w:vAlign w:val="center"/>
          </w:tcPr>
          <w:p w14:paraId="2F29B224"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12: Diseases and Disorders of the Male Reproductive System</w:t>
            </w:r>
          </w:p>
        </w:tc>
        <w:tc>
          <w:tcPr>
            <w:tcW w:w="1134" w:type="dxa"/>
            <w:tcBorders>
              <w:top w:val="single" w:sz="4" w:space="0" w:color="D9D9D9"/>
              <w:left w:val="single" w:sz="4" w:space="0" w:color="D9D9D9"/>
              <w:bottom w:val="single" w:sz="4" w:space="0" w:color="D9D9D9"/>
            </w:tcBorders>
            <w:vAlign w:val="center"/>
          </w:tcPr>
          <w:p w14:paraId="6DA3DDE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0.87</w:t>
            </w:r>
          </w:p>
        </w:tc>
        <w:tc>
          <w:tcPr>
            <w:tcW w:w="1276" w:type="dxa"/>
            <w:vAlign w:val="center"/>
          </w:tcPr>
          <w:p w14:paraId="4284CF8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82,011</w:t>
            </w:r>
          </w:p>
        </w:tc>
        <w:tc>
          <w:tcPr>
            <w:tcW w:w="1418" w:type="dxa"/>
            <w:vAlign w:val="center"/>
          </w:tcPr>
          <w:p w14:paraId="7C1B5AB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71,350</w:t>
            </w:r>
          </w:p>
        </w:tc>
        <w:tc>
          <w:tcPr>
            <w:tcW w:w="1275" w:type="dxa"/>
            <w:vAlign w:val="center"/>
          </w:tcPr>
          <w:p w14:paraId="4074206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125,114</w:t>
            </w:r>
          </w:p>
        </w:tc>
        <w:tc>
          <w:tcPr>
            <w:tcW w:w="1276" w:type="dxa"/>
            <w:vAlign w:val="center"/>
          </w:tcPr>
          <w:p w14:paraId="420C0E6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1.5</w:t>
            </w:r>
          </w:p>
        </w:tc>
      </w:tr>
      <w:tr w:rsidR="006D4E0B" w:rsidRPr="0088109E" w14:paraId="23A095B5" w14:textId="77777777" w:rsidTr="005629F8">
        <w:trPr>
          <w:trHeight w:val="274"/>
        </w:trPr>
        <w:tc>
          <w:tcPr>
            <w:tcW w:w="1147" w:type="dxa"/>
            <w:vAlign w:val="center"/>
          </w:tcPr>
          <w:p w14:paraId="770F9576"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13</w:t>
            </w:r>
          </w:p>
        </w:tc>
        <w:tc>
          <w:tcPr>
            <w:tcW w:w="6821" w:type="dxa"/>
            <w:tcBorders>
              <w:right w:val="single" w:sz="4" w:space="0" w:color="D9D9D9"/>
            </w:tcBorders>
            <w:vAlign w:val="center"/>
          </w:tcPr>
          <w:p w14:paraId="2BE5BE77"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13: Diseases and Disorders of the Female Reproductive System</w:t>
            </w:r>
          </w:p>
        </w:tc>
        <w:tc>
          <w:tcPr>
            <w:tcW w:w="1134" w:type="dxa"/>
            <w:tcBorders>
              <w:top w:val="single" w:sz="4" w:space="0" w:color="D9D9D9"/>
              <w:left w:val="single" w:sz="4" w:space="0" w:color="D9D9D9"/>
              <w:bottom w:val="single" w:sz="4" w:space="0" w:color="D9D9D9"/>
            </w:tcBorders>
            <w:vAlign w:val="center"/>
          </w:tcPr>
          <w:p w14:paraId="27C8929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0.79</w:t>
            </w:r>
          </w:p>
        </w:tc>
        <w:tc>
          <w:tcPr>
            <w:tcW w:w="1276" w:type="dxa"/>
            <w:vAlign w:val="center"/>
          </w:tcPr>
          <w:p w14:paraId="54AD00B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160,594</w:t>
            </w:r>
          </w:p>
        </w:tc>
        <w:tc>
          <w:tcPr>
            <w:tcW w:w="1418" w:type="dxa"/>
            <w:vAlign w:val="center"/>
          </w:tcPr>
          <w:p w14:paraId="0C00BC4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126,869</w:t>
            </w:r>
          </w:p>
        </w:tc>
        <w:tc>
          <w:tcPr>
            <w:tcW w:w="1275" w:type="dxa"/>
            <w:vAlign w:val="center"/>
          </w:tcPr>
          <w:p w14:paraId="1344B7A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238,385</w:t>
            </w:r>
          </w:p>
        </w:tc>
        <w:tc>
          <w:tcPr>
            <w:tcW w:w="1276" w:type="dxa"/>
            <w:vAlign w:val="center"/>
          </w:tcPr>
          <w:p w14:paraId="4E4762A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1.5</w:t>
            </w:r>
          </w:p>
        </w:tc>
      </w:tr>
      <w:tr w:rsidR="006D4E0B" w:rsidRPr="0088109E" w14:paraId="0C87C2B0" w14:textId="77777777" w:rsidTr="005629F8">
        <w:trPr>
          <w:trHeight w:val="274"/>
        </w:trPr>
        <w:tc>
          <w:tcPr>
            <w:tcW w:w="1147" w:type="dxa"/>
            <w:vAlign w:val="center"/>
          </w:tcPr>
          <w:p w14:paraId="629C0FF4"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14</w:t>
            </w:r>
          </w:p>
        </w:tc>
        <w:tc>
          <w:tcPr>
            <w:tcW w:w="6821" w:type="dxa"/>
            <w:tcBorders>
              <w:right w:val="single" w:sz="4" w:space="0" w:color="D9D9D9"/>
            </w:tcBorders>
            <w:vAlign w:val="center"/>
          </w:tcPr>
          <w:p w14:paraId="181CDD42"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 xml:space="preserve">14: Pregnancy, </w:t>
            </w:r>
            <w:proofErr w:type="gramStart"/>
            <w:r w:rsidRPr="005629F8">
              <w:rPr>
                <w:rFonts w:cs="Arial"/>
                <w:bCs/>
                <w:color w:val="000000"/>
                <w:sz w:val="18"/>
                <w:szCs w:val="14"/>
                <w:lang w:val="en-AU"/>
              </w:rPr>
              <w:t>Childbirth</w:t>
            </w:r>
            <w:proofErr w:type="gramEnd"/>
            <w:r w:rsidRPr="005629F8">
              <w:rPr>
                <w:rFonts w:cs="Arial"/>
                <w:bCs/>
                <w:color w:val="000000"/>
                <w:sz w:val="18"/>
                <w:szCs w:val="14"/>
                <w:lang w:val="en-AU"/>
              </w:rPr>
              <w:t xml:space="preserve"> and the Puerperium</w:t>
            </w:r>
          </w:p>
        </w:tc>
        <w:tc>
          <w:tcPr>
            <w:tcW w:w="1134" w:type="dxa"/>
            <w:tcBorders>
              <w:top w:val="single" w:sz="4" w:space="0" w:color="D9D9D9"/>
              <w:left w:val="single" w:sz="4" w:space="0" w:color="D9D9D9"/>
              <w:bottom w:val="single" w:sz="4" w:space="0" w:color="D9D9D9"/>
            </w:tcBorders>
            <w:vAlign w:val="center"/>
          </w:tcPr>
          <w:p w14:paraId="2660E9B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1.39</w:t>
            </w:r>
          </w:p>
        </w:tc>
        <w:tc>
          <w:tcPr>
            <w:tcW w:w="1276" w:type="dxa"/>
            <w:vAlign w:val="center"/>
          </w:tcPr>
          <w:p w14:paraId="6EF403C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116,032</w:t>
            </w:r>
          </w:p>
        </w:tc>
        <w:tc>
          <w:tcPr>
            <w:tcW w:w="1418" w:type="dxa"/>
            <w:vAlign w:val="center"/>
          </w:tcPr>
          <w:p w14:paraId="2241B665"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161,284</w:t>
            </w:r>
          </w:p>
        </w:tc>
        <w:tc>
          <w:tcPr>
            <w:tcW w:w="1275" w:type="dxa"/>
            <w:vAlign w:val="center"/>
          </w:tcPr>
          <w:p w14:paraId="4DFF1715"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421,300</w:t>
            </w:r>
          </w:p>
        </w:tc>
        <w:tc>
          <w:tcPr>
            <w:tcW w:w="1276" w:type="dxa"/>
            <w:vAlign w:val="center"/>
          </w:tcPr>
          <w:p w14:paraId="4E256B0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3.6</w:t>
            </w:r>
          </w:p>
        </w:tc>
      </w:tr>
      <w:tr w:rsidR="006D4E0B" w:rsidRPr="0088109E" w14:paraId="71469689" w14:textId="77777777" w:rsidTr="005629F8">
        <w:trPr>
          <w:trHeight w:val="274"/>
        </w:trPr>
        <w:tc>
          <w:tcPr>
            <w:tcW w:w="1147" w:type="dxa"/>
            <w:vAlign w:val="center"/>
          </w:tcPr>
          <w:p w14:paraId="4F4496EE"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15</w:t>
            </w:r>
          </w:p>
        </w:tc>
        <w:tc>
          <w:tcPr>
            <w:tcW w:w="6821" w:type="dxa"/>
            <w:tcBorders>
              <w:right w:val="single" w:sz="4" w:space="0" w:color="D9D9D9"/>
            </w:tcBorders>
            <w:vAlign w:val="center"/>
          </w:tcPr>
          <w:p w14:paraId="155EFCC2"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15: Newborns and Other Neonates</w:t>
            </w:r>
          </w:p>
        </w:tc>
        <w:tc>
          <w:tcPr>
            <w:tcW w:w="1134" w:type="dxa"/>
            <w:tcBorders>
              <w:top w:val="single" w:sz="4" w:space="0" w:color="D9D9D9"/>
              <w:left w:val="single" w:sz="4" w:space="0" w:color="D9D9D9"/>
              <w:bottom w:val="single" w:sz="4" w:space="0" w:color="D9D9D9"/>
            </w:tcBorders>
            <w:vAlign w:val="center"/>
          </w:tcPr>
          <w:p w14:paraId="78135F3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2.76</w:t>
            </w:r>
          </w:p>
        </w:tc>
        <w:tc>
          <w:tcPr>
            <w:tcW w:w="1276" w:type="dxa"/>
            <w:vAlign w:val="center"/>
          </w:tcPr>
          <w:p w14:paraId="1A38986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10,616</w:t>
            </w:r>
          </w:p>
        </w:tc>
        <w:tc>
          <w:tcPr>
            <w:tcW w:w="1418" w:type="dxa"/>
            <w:vAlign w:val="center"/>
          </w:tcPr>
          <w:p w14:paraId="083C402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29,300</w:t>
            </w:r>
          </w:p>
        </w:tc>
        <w:tc>
          <w:tcPr>
            <w:tcW w:w="1275" w:type="dxa"/>
            <w:vAlign w:val="center"/>
          </w:tcPr>
          <w:p w14:paraId="0A76C921"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77,464</w:t>
            </w:r>
          </w:p>
        </w:tc>
        <w:tc>
          <w:tcPr>
            <w:tcW w:w="1276" w:type="dxa"/>
            <w:vAlign w:val="center"/>
          </w:tcPr>
          <w:p w14:paraId="0A0EB51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7.3</w:t>
            </w:r>
          </w:p>
        </w:tc>
      </w:tr>
      <w:tr w:rsidR="006D4E0B" w:rsidRPr="0088109E" w14:paraId="56DB6471" w14:textId="77777777" w:rsidTr="005629F8">
        <w:trPr>
          <w:trHeight w:val="274"/>
        </w:trPr>
        <w:tc>
          <w:tcPr>
            <w:tcW w:w="1147" w:type="dxa"/>
            <w:vAlign w:val="center"/>
          </w:tcPr>
          <w:p w14:paraId="3C09FBC8"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16</w:t>
            </w:r>
          </w:p>
        </w:tc>
        <w:tc>
          <w:tcPr>
            <w:tcW w:w="6821" w:type="dxa"/>
            <w:tcBorders>
              <w:right w:val="single" w:sz="4" w:space="0" w:color="D9D9D9"/>
            </w:tcBorders>
            <w:vAlign w:val="center"/>
          </w:tcPr>
          <w:p w14:paraId="660D04CA"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16: Diseases and Disorders of the Blood and Blood Forming Organs and Immunological Disorders</w:t>
            </w:r>
          </w:p>
        </w:tc>
        <w:tc>
          <w:tcPr>
            <w:tcW w:w="1134" w:type="dxa"/>
            <w:tcBorders>
              <w:top w:val="single" w:sz="4" w:space="0" w:color="D9D9D9"/>
              <w:left w:val="single" w:sz="4" w:space="0" w:color="D9D9D9"/>
              <w:bottom w:val="single" w:sz="4" w:space="0" w:color="D9D9D9"/>
            </w:tcBorders>
            <w:vAlign w:val="center"/>
          </w:tcPr>
          <w:p w14:paraId="1C7DB11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0.40</w:t>
            </w:r>
          </w:p>
        </w:tc>
        <w:tc>
          <w:tcPr>
            <w:tcW w:w="1276" w:type="dxa"/>
            <w:vAlign w:val="center"/>
          </w:tcPr>
          <w:p w14:paraId="1D00AFC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59,320</w:t>
            </w:r>
          </w:p>
        </w:tc>
        <w:tc>
          <w:tcPr>
            <w:tcW w:w="1418" w:type="dxa"/>
            <w:vAlign w:val="center"/>
          </w:tcPr>
          <w:p w14:paraId="3E644401"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23,728</w:t>
            </w:r>
          </w:p>
        </w:tc>
        <w:tc>
          <w:tcPr>
            <w:tcW w:w="1275" w:type="dxa"/>
            <w:vAlign w:val="center"/>
          </w:tcPr>
          <w:p w14:paraId="2791A49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103,812</w:t>
            </w:r>
          </w:p>
        </w:tc>
        <w:tc>
          <w:tcPr>
            <w:tcW w:w="1276" w:type="dxa"/>
            <w:vAlign w:val="center"/>
          </w:tcPr>
          <w:p w14:paraId="19651B7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1.8</w:t>
            </w:r>
          </w:p>
        </w:tc>
      </w:tr>
      <w:tr w:rsidR="006D4E0B" w:rsidRPr="0088109E" w14:paraId="369B4A5A" w14:textId="77777777" w:rsidTr="005629F8">
        <w:trPr>
          <w:trHeight w:val="274"/>
        </w:trPr>
        <w:tc>
          <w:tcPr>
            <w:tcW w:w="1147" w:type="dxa"/>
            <w:vAlign w:val="center"/>
          </w:tcPr>
          <w:p w14:paraId="39A93671"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17</w:t>
            </w:r>
          </w:p>
        </w:tc>
        <w:tc>
          <w:tcPr>
            <w:tcW w:w="6821" w:type="dxa"/>
            <w:tcBorders>
              <w:right w:val="single" w:sz="4" w:space="0" w:color="D9D9D9"/>
            </w:tcBorders>
            <w:vAlign w:val="center"/>
          </w:tcPr>
          <w:p w14:paraId="2B9A5C67"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17: Neoplastic Disorders (Haematological and Solid Neoplasms)</w:t>
            </w:r>
          </w:p>
        </w:tc>
        <w:tc>
          <w:tcPr>
            <w:tcW w:w="1134" w:type="dxa"/>
            <w:tcBorders>
              <w:top w:val="single" w:sz="4" w:space="0" w:color="D9D9D9"/>
              <w:left w:val="single" w:sz="4" w:space="0" w:color="D9D9D9"/>
              <w:bottom w:val="single" w:sz="4" w:space="0" w:color="D9D9D9"/>
            </w:tcBorders>
            <w:vAlign w:val="center"/>
          </w:tcPr>
          <w:p w14:paraId="5BD79C9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0.30</w:t>
            </w:r>
          </w:p>
        </w:tc>
        <w:tc>
          <w:tcPr>
            <w:tcW w:w="1276" w:type="dxa"/>
            <w:vAlign w:val="center"/>
          </w:tcPr>
          <w:p w14:paraId="799FC132"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311,704</w:t>
            </w:r>
          </w:p>
        </w:tc>
        <w:tc>
          <w:tcPr>
            <w:tcW w:w="1418" w:type="dxa"/>
            <w:vAlign w:val="center"/>
          </w:tcPr>
          <w:p w14:paraId="00C381A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93,511</w:t>
            </w:r>
          </w:p>
        </w:tc>
        <w:tc>
          <w:tcPr>
            <w:tcW w:w="1275" w:type="dxa"/>
            <w:vAlign w:val="center"/>
          </w:tcPr>
          <w:p w14:paraId="6752432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400,740</w:t>
            </w:r>
          </w:p>
        </w:tc>
        <w:tc>
          <w:tcPr>
            <w:tcW w:w="1276" w:type="dxa"/>
            <w:vAlign w:val="center"/>
          </w:tcPr>
          <w:p w14:paraId="59E80F2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w:t>
            </w:r>
          </w:p>
        </w:tc>
      </w:tr>
      <w:tr w:rsidR="006D4E0B" w:rsidRPr="0088109E" w14:paraId="0496052F" w14:textId="77777777" w:rsidTr="005629F8">
        <w:trPr>
          <w:trHeight w:val="274"/>
        </w:trPr>
        <w:tc>
          <w:tcPr>
            <w:tcW w:w="1147" w:type="dxa"/>
            <w:vAlign w:val="center"/>
          </w:tcPr>
          <w:p w14:paraId="7E803516"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18</w:t>
            </w:r>
          </w:p>
        </w:tc>
        <w:tc>
          <w:tcPr>
            <w:tcW w:w="6821" w:type="dxa"/>
            <w:tcBorders>
              <w:right w:val="single" w:sz="4" w:space="0" w:color="D9D9D9"/>
            </w:tcBorders>
            <w:vAlign w:val="center"/>
          </w:tcPr>
          <w:p w14:paraId="17817765"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18: Infectious and Parasitic Diseases</w:t>
            </w:r>
          </w:p>
        </w:tc>
        <w:tc>
          <w:tcPr>
            <w:tcW w:w="1134" w:type="dxa"/>
            <w:tcBorders>
              <w:top w:val="single" w:sz="4" w:space="0" w:color="D9D9D9"/>
              <w:left w:val="single" w:sz="4" w:space="0" w:color="D9D9D9"/>
              <w:bottom w:val="single" w:sz="4" w:space="0" w:color="D9D9D9"/>
            </w:tcBorders>
            <w:vAlign w:val="center"/>
          </w:tcPr>
          <w:p w14:paraId="5CCE0E7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1.99</w:t>
            </w:r>
          </w:p>
        </w:tc>
        <w:tc>
          <w:tcPr>
            <w:tcW w:w="1276" w:type="dxa"/>
            <w:vAlign w:val="center"/>
          </w:tcPr>
          <w:p w14:paraId="680DF4F2"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16,915</w:t>
            </w:r>
          </w:p>
        </w:tc>
        <w:tc>
          <w:tcPr>
            <w:tcW w:w="1418" w:type="dxa"/>
            <w:vAlign w:val="center"/>
          </w:tcPr>
          <w:p w14:paraId="7A7AE292"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33,661</w:t>
            </w:r>
          </w:p>
        </w:tc>
        <w:tc>
          <w:tcPr>
            <w:tcW w:w="1275" w:type="dxa"/>
            <w:vAlign w:val="center"/>
          </w:tcPr>
          <w:p w14:paraId="5752E224"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128,068</w:t>
            </w:r>
          </w:p>
        </w:tc>
        <w:tc>
          <w:tcPr>
            <w:tcW w:w="1276" w:type="dxa"/>
            <w:vAlign w:val="center"/>
          </w:tcPr>
          <w:p w14:paraId="21BA568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7.6</w:t>
            </w:r>
          </w:p>
        </w:tc>
      </w:tr>
      <w:tr w:rsidR="006D4E0B" w:rsidRPr="0088109E" w14:paraId="07F7433C" w14:textId="77777777" w:rsidTr="005629F8">
        <w:trPr>
          <w:trHeight w:val="274"/>
        </w:trPr>
        <w:tc>
          <w:tcPr>
            <w:tcW w:w="1147" w:type="dxa"/>
            <w:vAlign w:val="center"/>
          </w:tcPr>
          <w:p w14:paraId="0A519FE3"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19</w:t>
            </w:r>
          </w:p>
        </w:tc>
        <w:tc>
          <w:tcPr>
            <w:tcW w:w="6821" w:type="dxa"/>
            <w:tcBorders>
              <w:right w:val="single" w:sz="4" w:space="0" w:color="D9D9D9"/>
            </w:tcBorders>
            <w:vAlign w:val="center"/>
          </w:tcPr>
          <w:p w14:paraId="786F89B3"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19: Mental Diseases and Disorders</w:t>
            </w:r>
          </w:p>
        </w:tc>
        <w:tc>
          <w:tcPr>
            <w:tcW w:w="1134" w:type="dxa"/>
            <w:tcBorders>
              <w:top w:val="single" w:sz="4" w:space="0" w:color="D9D9D9"/>
              <w:left w:val="single" w:sz="4" w:space="0" w:color="D9D9D9"/>
              <w:bottom w:val="single" w:sz="4" w:space="0" w:color="D9D9D9"/>
            </w:tcBorders>
            <w:vAlign w:val="center"/>
          </w:tcPr>
          <w:p w14:paraId="6A0287B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0.65</w:t>
            </w:r>
          </w:p>
        </w:tc>
        <w:tc>
          <w:tcPr>
            <w:tcW w:w="1276" w:type="dxa"/>
            <w:vAlign w:val="center"/>
          </w:tcPr>
          <w:p w14:paraId="7E1E7DA1"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110,527</w:t>
            </w:r>
          </w:p>
        </w:tc>
        <w:tc>
          <w:tcPr>
            <w:tcW w:w="1418" w:type="dxa"/>
            <w:vAlign w:val="center"/>
          </w:tcPr>
          <w:p w14:paraId="72C6821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71,843</w:t>
            </w:r>
          </w:p>
        </w:tc>
        <w:tc>
          <w:tcPr>
            <w:tcW w:w="1275" w:type="dxa"/>
            <w:vAlign w:val="center"/>
          </w:tcPr>
          <w:p w14:paraId="447ACA2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456,452</w:t>
            </w:r>
          </w:p>
        </w:tc>
        <w:tc>
          <w:tcPr>
            <w:tcW w:w="1276" w:type="dxa"/>
            <w:vAlign w:val="center"/>
          </w:tcPr>
          <w:p w14:paraId="35AB4EB5"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4.1</w:t>
            </w:r>
          </w:p>
        </w:tc>
      </w:tr>
      <w:tr w:rsidR="006D4E0B" w:rsidRPr="0088109E" w14:paraId="0254CDC0" w14:textId="77777777" w:rsidTr="005629F8">
        <w:trPr>
          <w:trHeight w:val="274"/>
        </w:trPr>
        <w:tc>
          <w:tcPr>
            <w:tcW w:w="1147" w:type="dxa"/>
            <w:vAlign w:val="center"/>
          </w:tcPr>
          <w:p w14:paraId="33DB013B"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20</w:t>
            </w:r>
          </w:p>
        </w:tc>
        <w:tc>
          <w:tcPr>
            <w:tcW w:w="6821" w:type="dxa"/>
            <w:tcBorders>
              <w:right w:val="single" w:sz="4" w:space="0" w:color="D9D9D9"/>
            </w:tcBorders>
            <w:vAlign w:val="center"/>
          </w:tcPr>
          <w:p w14:paraId="73CB0341"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20: Alcohol /Drug Use and Alcohol /Drug Induced Organic Mental Disorder</w:t>
            </w:r>
          </w:p>
        </w:tc>
        <w:tc>
          <w:tcPr>
            <w:tcW w:w="1134" w:type="dxa"/>
            <w:tcBorders>
              <w:top w:val="single" w:sz="4" w:space="0" w:color="D9D9D9"/>
              <w:left w:val="single" w:sz="4" w:space="0" w:color="D9D9D9"/>
              <w:bottom w:val="single" w:sz="4" w:space="0" w:color="D9D9D9"/>
            </w:tcBorders>
            <w:vAlign w:val="center"/>
          </w:tcPr>
          <w:p w14:paraId="4E48D81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0.64</w:t>
            </w:r>
          </w:p>
        </w:tc>
        <w:tc>
          <w:tcPr>
            <w:tcW w:w="1276" w:type="dxa"/>
            <w:vAlign w:val="center"/>
          </w:tcPr>
          <w:p w14:paraId="5B97A1F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14,003</w:t>
            </w:r>
          </w:p>
        </w:tc>
        <w:tc>
          <w:tcPr>
            <w:tcW w:w="1418" w:type="dxa"/>
            <w:vAlign w:val="center"/>
          </w:tcPr>
          <w:p w14:paraId="632E050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8,962</w:t>
            </w:r>
          </w:p>
        </w:tc>
        <w:tc>
          <w:tcPr>
            <w:tcW w:w="1275" w:type="dxa"/>
            <w:vAlign w:val="center"/>
          </w:tcPr>
          <w:p w14:paraId="7783DE7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62,600</w:t>
            </w:r>
          </w:p>
        </w:tc>
        <w:tc>
          <w:tcPr>
            <w:tcW w:w="1276" w:type="dxa"/>
            <w:vAlign w:val="center"/>
          </w:tcPr>
          <w:p w14:paraId="18FB78C5"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4.5</w:t>
            </w:r>
          </w:p>
        </w:tc>
      </w:tr>
      <w:tr w:rsidR="006D4E0B" w:rsidRPr="0088109E" w14:paraId="3627F12B" w14:textId="77777777" w:rsidTr="005629F8">
        <w:trPr>
          <w:trHeight w:val="274"/>
        </w:trPr>
        <w:tc>
          <w:tcPr>
            <w:tcW w:w="1147" w:type="dxa"/>
            <w:vAlign w:val="center"/>
          </w:tcPr>
          <w:p w14:paraId="0A65EA5D"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21</w:t>
            </w:r>
          </w:p>
        </w:tc>
        <w:tc>
          <w:tcPr>
            <w:tcW w:w="6821" w:type="dxa"/>
            <w:tcBorders>
              <w:right w:val="single" w:sz="4" w:space="0" w:color="D9D9D9"/>
            </w:tcBorders>
            <w:vAlign w:val="center"/>
          </w:tcPr>
          <w:p w14:paraId="02DC9A54"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21A: Injuries, Poisoning and Toxic Effects of Drugs: Multiple Trauma</w:t>
            </w:r>
          </w:p>
        </w:tc>
        <w:tc>
          <w:tcPr>
            <w:tcW w:w="1134" w:type="dxa"/>
            <w:tcBorders>
              <w:top w:val="single" w:sz="4" w:space="0" w:color="D9D9D9"/>
              <w:left w:val="single" w:sz="4" w:space="0" w:color="D9D9D9"/>
              <w:bottom w:val="single" w:sz="4" w:space="0" w:color="D9D9D9"/>
            </w:tcBorders>
            <w:vAlign w:val="center"/>
          </w:tcPr>
          <w:p w14:paraId="641936E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1.08</w:t>
            </w:r>
          </w:p>
        </w:tc>
        <w:tc>
          <w:tcPr>
            <w:tcW w:w="1276" w:type="dxa"/>
            <w:vAlign w:val="center"/>
          </w:tcPr>
          <w:p w14:paraId="365B7DC2"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31,317</w:t>
            </w:r>
          </w:p>
        </w:tc>
        <w:tc>
          <w:tcPr>
            <w:tcW w:w="1418" w:type="dxa"/>
            <w:vAlign w:val="center"/>
          </w:tcPr>
          <w:p w14:paraId="6EF45683"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33,822</w:t>
            </w:r>
          </w:p>
        </w:tc>
        <w:tc>
          <w:tcPr>
            <w:tcW w:w="1275" w:type="dxa"/>
            <w:vAlign w:val="center"/>
          </w:tcPr>
          <w:p w14:paraId="2EA7D408"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104,515</w:t>
            </w:r>
          </w:p>
        </w:tc>
        <w:tc>
          <w:tcPr>
            <w:tcW w:w="1276" w:type="dxa"/>
            <w:vAlign w:val="center"/>
          </w:tcPr>
          <w:p w14:paraId="777DF4DE"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3.3</w:t>
            </w:r>
          </w:p>
        </w:tc>
      </w:tr>
      <w:tr w:rsidR="006D4E0B" w:rsidRPr="0088109E" w14:paraId="11E26C35" w14:textId="77777777" w:rsidTr="005629F8">
        <w:trPr>
          <w:trHeight w:val="274"/>
        </w:trPr>
        <w:tc>
          <w:tcPr>
            <w:tcW w:w="1147" w:type="dxa"/>
            <w:vAlign w:val="center"/>
          </w:tcPr>
          <w:p w14:paraId="355BD6AA"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22</w:t>
            </w:r>
          </w:p>
        </w:tc>
        <w:tc>
          <w:tcPr>
            <w:tcW w:w="6821" w:type="dxa"/>
            <w:tcBorders>
              <w:right w:val="single" w:sz="4" w:space="0" w:color="D9D9D9"/>
            </w:tcBorders>
            <w:vAlign w:val="center"/>
          </w:tcPr>
          <w:p w14:paraId="1F46FBA5"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22: Burns</w:t>
            </w:r>
          </w:p>
        </w:tc>
        <w:tc>
          <w:tcPr>
            <w:tcW w:w="1134" w:type="dxa"/>
            <w:tcBorders>
              <w:top w:val="single" w:sz="4" w:space="0" w:color="D9D9D9"/>
              <w:left w:val="single" w:sz="4" w:space="0" w:color="D9D9D9"/>
              <w:bottom w:val="single" w:sz="4" w:space="0" w:color="D9D9D9"/>
            </w:tcBorders>
            <w:vAlign w:val="center"/>
          </w:tcPr>
          <w:p w14:paraId="0130B227"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1.10</w:t>
            </w:r>
          </w:p>
        </w:tc>
        <w:tc>
          <w:tcPr>
            <w:tcW w:w="1276" w:type="dxa"/>
            <w:vAlign w:val="center"/>
          </w:tcPr>
          <w:p w14:paraId="442F210A"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250</w:t>
            </w:r>
          </w:p>
        </w:tc>
        <w:tc>
          <w:tcPr>
            <w:tcW w:w="1418" w:type="dxa"/>
            <w:vAlign w:val="center"/>
          </w:tcPr>
          <w:p w14:paraId="5F13502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275</w:t>
            </w:r>
          </w:p>
        </w:tc>
        <w:tc>
          <w:tcPr>
            <w:tcW w:w="1275" w:type="dxa"/>
            <w:vAlign w:val="center"/>
          </w:tcPr>
          <w:p w14:paraId="02F7C7F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885</w:t>
            </w:r>
          </w:p>
        </w:tc>
        <w:tc>
          <w:tcPr>
            <w:tcW w:w="1276" w:type="dxa"/>
            <w:vAlign w:val="center"/>
          </w:tcPr>
          <w:p w14:paraId="76BED44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3.5</w:t>
            </w:r>
          </w:p>
        </w:tc>
      </w:tr>
      <w:tr w:rsidR="006D4E0B" w:rsidRPr="0088109E" w14:paraId="4634A085" w14:textId="77777777" w:rsidTr="005629F8">
        <w:trPr>
          <w:trHeight w:val="274"/>
        </w:trPr>
        <w:tc>
          <w:tcPr>
            <w:tcW w:w="1147" w:type="dxa"/>
            <w:vAlign w:val="center"/>
          </w:tcPr>
          <w:p w14:paraId="365DF184"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23</w:t>
            </w:r>
          </w:p>
        </w:tc>
        <w:tc>
          <w:tcPr>
            <w:tcW w:w="6821" w:type="dxa"/>
            <w:tcBorders>
              <w:right w:val="single" w:sz="4" w:space="0" w:color="D9D9D9"/>
            </w:tcBorders>
            <w:vAlign w:val="center"/>
          </w:tcPr>
          <w:p w14:paraId="4D071AA3"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23: Factors Influencing Health Status and Other Contacts with Health Services</w:t>
            </w:r>
          </w:p>
        </w:tc>
        <w:tc>
          <w:tcPr>
            <w:tcW w:w="1134" w:type="dxa"/>
            <w:tcBorders>
              <w:top w:val="single" w:sz="4" w:space="0" w:color="D9D9D9"/>
              <w:left w:val="single" w:sz="4" w:space="0" w:color="D9D9D9"/>
              <w:bottom w:val="single" w:sz="4" w:space="0" w:color="D9D9D9"/>
            </w:tcBorders>
            <w:vAlign w:val="center"/>
          </w:tcPr>
          <w:p w14:paraId="2495B635"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0.32</w:t>
            </w:r>
          </w:p>
        </w:tc>
        <w:tc>
          <w:tcPr>
            <w:tcW w:w="1276" w:type="dxa"/>
            <w:vAlign w:val="center"/>
          </w:tcPr>
          <w:p w14:paraId="1E7BE4A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170,553</w:t>
            </w:r>
          </w:p>
        </w:tc>
        <w:tc>
          <w:tcPr>
            <w:tcW w:w="1418" w:type="dxa"/>
            <w:vAlign w:val="center"/>
          </w:tcPr>
          <w:p w14:paraId="1200770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54,577</w:t>
            </w:r>
          </w:p>
        </w:tc>
        <w:tc>
          <w:tcPr>
            <w:tcW w:w="1275" w:type="dxa"/>
            <w:vAlign w:val="center"/>
          </w:tcPr>
          <w:p w14:paraId="36E2E12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216,272</w:t>
            </w:r>
          </w:p>
        </w:tc>
        <w:tc>
          <w:tcPr>
            <w:tcW w:w="1276" w:type="dxa"/>
            <w:vAlign w:val="center"/>
          </w:tcPr>
          <w:p w14:paraId="38E50D1B"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1.3</w:t>
            </w:r>
          </w:p>
        </w:tc>
      </w:tr>
      <w:tr w:rsidR="006D4E0B" w:rsidRPr="0088109E" w14:paraId="1CD9FB79" w14:textId="77777777" w:rsidTr="005629F8">
        <w:trPr>
          <w:trHeight w:val="274"/>
        </w:trPr>
        <w:tc>
          <w:tcPr>
            <w:tcW w:w="1147" w:type="dxa"/>
            <w:vAlign w:val="center"/>
          </w:tcPr>
          <w:p w14:paraId="6BFEF4BE"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80</w:t>
            </w:r>
          </w:p>
        </w:tc>
        <w:tc>
          <w:tcPr>
            <w:tcW w:w="6821" w:type="dxa"/>
            <w:tcBorders>
              <w:right w:val="single" w:sz="4" w:space="0" w:color="D9D9D9"/>
            </w:tcBorders>
            <w:vAlign w:val="center"/>
          </w:tcPr>
          <w:p w14:paraId="2F00027A"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80: DRGs operational room procedure unrelated to PD</w:t>
            </w:r>
          </w:p>
        </w:tc>
        <w:tc>
          <w:tcPr>
            <w:tcW w:w="1134" w:type="dxa"/>
            <w:tcBorders>
              <w:top w:val="single" w:sz="4" w:space="0" w:color="D9D9D9"/>
              <w:left w:val="single" w:sz="4" w:space="0" w:color="D9D9D9"/>
              <w:bottom w:val="single" w:sz="4" w:space="0" w:color="D9D9D9"/>
            </w:tcBorders>
            <w:vAlign w:val="center"/>
          </w:tcPr>
          <w:p w14:paraId="2E6BDA1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2.86</w:t>
            </w:r>
          </w:p>
        </w:tc>
        <w:tc>
          <w:tcPr>
            <w:tcW w:w="1276" w:type="dxa"/>
            <w:vAlign w:val="center"/>
          </w:tcPr>
          <w:p w14:paraId="7A99662F"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3,803</w:t>
            </w:r>
          </w:p>
        </w:tc>
        <w:tc>
          <w:tcPr>
            <w:tcW w:w="1418" w:type="dxa"/>
            <w:vAlign w:val="center"/>
          </w:tcPr>
          <w:p w14:paraId="69F21920"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10,877</w:t>
            </w:r>
          </w:p>
        </w:tc>
        <w:tc>
          <w:tcPr>
            <w:tcW w:w="1275" w:type="dxa"/>
            <w:vAlign w:val="center"/>
          </w:tcPr>
          <w:p w14:paraId="07BACACD"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27,414</w:t>
            </w:r>
          </w:p>
        </w:tc>
        <w:tc>
          <w:tcPr>
            <w:tcW w:w="1276" w:type="dxa"/>
            <w:vAlign w:val="center"/>
          </w:tcPr>
          <w:p w14:paraId="2402DCB6"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7.2</w:t>
            </w:r>
          </w:p>
        </w:tc>
      </w:tr>
      <w:tr w:rsidR="006D4E0B" w:rsidRPr="0088109E" w14:paraId="3900C8E4" w14:textId="77777777" w:rsidTr="005629F8">
        <w:trPr>
          <w:trHeight w:val="274"/>
        </w:trPr>
        <w:tc>
          <w:tcPr>
            <w:tcW w:w="1147" w:type="dxa"/>
            <w:tcBorders>
              <w:bottom w:val="single" w:sz="4" w:space="0" w:color="D9D9D9"/>
            </w:tcBorders>
            <w:vAlign w:val="center"/>
          </w:tcPr>
          <w:p w14:paraId="71912420" w14:textId="77777777" w:rsidR="006D4E0B" w:rsidRPr="005629F8" w:rsidRDefault="006D4E0B" w:rsidP="000771FC">
            <w:pPr>
              <w:autoSpaceDE w:val="0"/>
              <w:autoSpaceDN w:val="0"/>
              <w:adjustRightInd w:val="0"/>
              <w:spacing w:after="0" w:line="276" w:lineRule="auto"/>
              <w:jc w:val="center"/>
              <w:rPr>
                <w:rFonts w:cs="Arial"/>
                <w:bCs/>
                <w:color w:val="000000"/>
                <w:sz w:val="18"/>
                <w:szCs w:val="14"/>
                <w:lang w:val="en-AU"/>
              </w:rPr>
            </w:pPr>
            <w:r w:rsidRPr="005629F8">
              <w:rPr>
                <w:rFonts w:cs="Arial"/>
                <w:bCs/>
                <w:color w:val="000000"/>
                <w:sz w:val="18"/>
                <w:szCs w:val="14"/>
                <w:lang w:val="en-AU"/>
              </w:rPr>
              <w:t>96</w:t>
            </w:r>
          </w:p>
        </w:tc>
        <w:tc>
          <w:tcPr>
            <w:tcW w:w="6821" w:type="dxa"/>
            <w:tcBorders>
              <w:bottom w:val="single" w:sz="4" w:space="0" w:color="D9D9D9"/>
              <w:right w:val="single" w:sz="4" w:space="0" w:color="D9D9D9"/>
            </w:tcBorders>
            <w:vAlign w:val="center"/>
          </w:tcPr>
          <w:p w14:paraId="6823D14A" w14:textId="77777777" w:rsidR="006D4E0B" w:rsidRPr="005629F8" w:rsidRDefault="006D4E0B" w:rsidP="000C2690">
            <w:pPr>
              <w:autoSpaceDE w:val="0"/>
              <w:autoSpaceDN w:val="0"/>
              <w:adjustRightInd w:val="0"/>
              <w:spacing w:after="0" w:line="276" w:lineRule="auto"/>
              <w:rPr>
                <w:rFonts w:cs="Arial"/>
                <w:bCs/>
                <w:color w:val="000000"/>
                <w:sz w:val="18"/>
                <w:szCs w:val="14"/>
                <w:lang w:val="en-AU"/>
              </w:rPr>
            </w:pPr>
            <w:r w:rsidRPr="005629F8">
              <w:rPr>
                <w:rFonts w:cs="Arial"/>
                <w:bCs/>
                <w:color w:val="000000"/>
                <w:sz w:val="18"/>
                <w:szCs w:val="14"/>
                <w:lang w:val="en-AU"/>
              </w:rPr>
              <w:t>96: Error DRGs</w:t>
            </w:r>
          </w:p>
        </w:tc>
        <w:tc>
          <w:tcPr>
            <w:tcW w:w="1134" w:type="dxa"/>
            <w:tcBorders>
              <w:top w:val="single" w:sz="4" w:space="0" w:color="D9D9D9"/>
              <w:left w:val="single" w:sz="4" w:space="0" w:color="D9D9D9"/>
              <w:bottom w:val="single" w:sz="4" w:space="0" w:color="D9D9D9"/>
            </w:tcBorders>
            <w:vAlign w:val="center"/>
          </w:tcPr>
          <w:p w14:paraId="4120F2DA"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0.90</w:t>
            </w:r>
          </w:p>
        </w:tc>
        <w:tc>
          <w:tcPr>
            <w:tcW w:w="1276" w:type="dxa"/>
            <w:tcBorders>
              <w:bottom w:val="single" w:sz="4" w:space="0" w:color="D9D9D9"/>
            </w:tcBorders>
            <w:vAlign w:val="center"/>
          </w:tcPr>
          <w:p w14:paraId="28116F69"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3,489</w:t>
            </w:r>
          </w:p>
        </w:tc>
        <w:tc>
          <w:tcPr>
            <w:tcW w:w="1418" w:type="dxa"/>
            <w:tcBorders>
              <w:bottom w:val="single" w:sz="4" w:space="0" w:color="D9D9D9"/>
            </w:tcBorders>
            <w:vAlign w:val="center"/>
          </w:tcPr>
          <w:p w14:paraId="3FEBDD4C"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3,140</w:t>
            </w:r>
          </w:p>
        </w:tc>
        <w:tc>
          <w:tcPr>
            <w:tcW w:w="1275" w:type="dxa"/>
            <w:tcBorders>
              <w:bottom w:val="single" w:sz="4" w:space="0" w:color="D9D9D9"/>
            </w:tcBorders>
            <w:vAlign w:val="center"/>
          </w:tcPr>
          <w:p w14:paraId="56957164"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5,134</w:t>
            </w:r>
          </w:p>
        </w:tc>
        <w:tc>
          <w:tcPr>
            <w:tcW w:w="1276" w:type="dxa"/>
            <w:tcBorders>
              <w:bottom w:val="single" w:sz="4" w:space="0" w:color="D9D9D9"/>
            </w:tcBorders>
            <w:vAlign w:val="center"/>
          </w:tcPr>
          <w:p w14:paraId="3E2BFFCA" w14:textId="77777777" w:rsidR="006D4E0B" w:rsidRPr="005629F8" w:rsidRDefault="006D4E0B" w:rsidP="00E87B16">
            <w:pPr>
              <w:autoSpaceDE w:val="0"/>
              <w:autoSpaceDN w:val="0"/>
              <w:adjustRightInd w:val="0"/>
              <w:spacing w:after="0" w:line="276" w:lineRule="auto"/>
              <w:jc w:val="center"/>
              <w:rPr>
                <w:rFonts w:cs="Arial"/>
                <w:color w:val="000000"/>
                <w:sz w:val="18"/>
                <w:szCs w:val="14"/>
                <w:lang w:val="en-AU"/>
              </w:rPr>
            </w:pPr>
            <w:r w:rsidRPr="005629F8">
              <w:rPr>
                <w:rFonts w:cs="Arial"/>
                <w:color w:val="000000"/>
                <w:sz w:val="18"/>
                <w:szCs w:val="14"/>
                <w:lang w:val="en-AU"/>
              </w:rPr>
              <w:t>1.5</w:t>
            </w:r>
          </w:p>
        </w:tc>
      </w:tr>
      <w:tr w:rsidR="006D4E0B" w:rsidRPr="0088109E" w14:paraId="5AD6B6C2" w14:textId="77777777" w:rsidTr="005629F8">
        <w:trPr>
          <w:trHeight w:val="274"/>
        </w:trPr>
        <w:tc>
          <w:tcPr>
            <w:tcW w:w="1147" w:type="dxa"/>
            <w:tcBorders>
              <w:top w:val="single" w:sz="4" w:space="0" w:color="D9D9D9"/>
              <w:bottom w:val="single" w:sz="4" w:space="0" w:color="D9D9D9"/>
            </w:tcBorders>
            <w:shd w:val="clear" w:color="auto" w:fill="DFEBF1" w:themeFill="text2" w:themeFillTint="1A"/>
            <w:vAlign w:val="center"/>
          </w:tcPr>
          <w:p w14:paraId="6E27AADE" w14:textId="77777777" w:rsidR="006D4E0B" w:rsidRPr="005629F8" w:rsidRDefault="006D4E0B" w:rsidP="000771FC">
            <w:pPr>
              <w:autoSpaceDE w:val="0"/>
              <w:autoSpaceDN w:val="0"/>
              <w:adjustRightInd w:val="0"/>
              <w:spacing w:after="0" w:line="276" w:lineRule="auto"/>
              <w:jc w:val="center"/>
              <w:rPr>
                <w:rFonts w:cs="Arial"/>
                <w:b/>
                <w:bCs/>
                <w:color w:val="000000"/>
                <w:sz w:val="18"/>
                <w:szCs w:val="14"/>
                <w:lang w:val="en-AU"/>
              </w:rPr>
            </w:pPr>
            <w:r w:rsidRPr="005629F8">
              <w:rPr>
                <w:rFonts w:cs="Arial"/>
                <w:b/>
                <w:bCs/>
                <w:color w:val="000000"/>
                <w:sz w:val="18"/>
                <w:szCs w:val="14"/>
                <w:lang w:val="en-AU"/>
              </w:rPr>
              <w:t>All MDCs</w:t>
            </w:r>
          </w:p>
        </w:tc>
        <w:tc>
          <w:tcPr>
            <w:tcW w:w="6821" w:type="dxa"/>
            <w:tcBorders>
              <w:top w:val="single" w:sz="4" w:space="0" w:color="D9D9D9"/>
              <w:bottom w:val="single" w:sz="4" w:space="0" w:color="D9D9D9"/>
              <w:right w:val="single" w:sz="4" w:space="0" w:color="D9D9D9"/>
            </w:tcBorders>
            <w:shd w:val="clear" w:color="auto" w:fill="DFEBF1" w:themeFill="text2" w:themeFillTint="1A"/>
            <w:vAlign w:val="center"/>
          </w:tcPr>
          <w:p w14:paraId="02D2F0E7" w14:textId="77777777" w:rsidR="006D4E0B" w:rsidRPr="005629F8" w:rsidRDefault="006D4E0B" w:rsidP="000C2690">
            <w:pPr>
              <w:autoSpaceDE w:val="0"/>
              <w:autoSpaceDN w:val="0"/>
              <w:adjustRightInd w:val="0"/>
              <w:spacing w:after="0" w:line="276" w:lineRule="auto"/>
              <w:rPr>
                <w:rFonts w:cs="Arial"/>
                <w:b/>
                <w:bCs/>
                <w:color w:val="000000"/>
                <w:sz w:val="18"/>
                <w:szCs w:val="14"/>
                <w:lang w:val="en-AU"/>
              </w:rPr>
            </w:pPr>
          </w:p>
        </w:tc>
        <w:tc>
          <w:tcPr>
            <w:tcW w:w="1134" w:type="dxa"/>
            <w:tcBorders>
              <w:top w:val="single" w:sz="4" w:space="0" w:color="D9D9D9"/>
              <w:left w:val="single" w:sz="4" w:space="0" w:color="D9D9D9"/>
              <w:bottom w:val="single" w:sz="4" w:space="0" w:color="D9D9D9"/>
            </w:tcBorders>
            <w:shd w:val="clear" w:color="auto" w:fill="DFEBF1" w:themeFill="text2" w:themeFillTint="1A"/>
            <w:vAlign w:val="center"/>
          </w:tcPr>
          <w:p w14:paraId="717070E8" w14:textId="77777777" w:rsidR="006D4E0B" w:rsidRPr="005629F8" w:rsidRDefault="006D4E0B" w:rsidP="00E87B16">
            <w:pPr>
              <w:autoSpaceDE w:val="0"/>
              <w:autoSpaceDN w:val="0"/>
              <w:adjustRightInd w:val="0"/>
              <w:spacing w:after="0" w:line="276" w:lineRule="auto"/>
              <w:jc w:val="center"/>
              <w:rPr>
                <w:rFonts w:cs="Arial"/>
                <w:b/>
                <w:bCs/>
                <w:color w:val="000000"/>
                <w:sz w:val="18"/>
                <w:szCs w:val="14"/>
                <w:lang w:val="en-AU"/>
              </w:rPr>
            </w:pPr>
            <w:r w:rsidRPr="005629F8">
              <w:rPr>
                <w:rFonts w:cs="Arial"/>
                <w:b/>
                <w:bCs/>
                <w:color w:val="000000"/>
                <w:sz w:val="18"/>
                <w:szCs w:val="14"/>
                <w:lang w:val="en-AU"/>
              </w:rPr>
              <w:t>1.00</w:t>
            </w:r>
          </w:p>
        </w:tc>
        <w:tc>
          <w:tcPr>
            <w:tcW w:w="1276" w:type="dxa"/>
            <w:tcBorders>
              <w:top w:val="single" w:sz="4" w:space="0" w:color="D9D9D9"/>
              <w:bottom w:val="single" w:sz="4" w:space="0" w:color="D9D9D9"/>
            </w:tcBorders>
            <w:shd w:val="clear" w:color="auto" w:fill="DFEBF1" w:themeFill="text2" w:themeFillTint="1A"/>
            <w:vAlign w:val="center"/>
          </w:tcPr>
          <w:p w14:paraId="01A86DD2" w14:textId="77777777" w:rsidR="006D4E0B" w:rsidRPr="005629F8" w:rsidRDefault="006D4E0B" w:rsidP="00E87B16">
            <w:pPr>
              <w:autoSpaceDE w:val="0"/>
              <w:autoSpaceDN w:val="0"/>
              <w:adjustRightInd w:val="0"/>
              <w:spacing w:after="0" w:line="276" w:lineRule="auto"/>
              <w:jc w:val="center"/>
              <w:rPr>
                <w:rFonts w:cs="Arial"/>
                <w:b/>
                <w:bCs/>
                <w:color w:val="000000"/>
                <w:sz w:val="18"/>
                <w:szCs w:val="14"/>
                <w:lang w:val="en-AU"/>
              </w:rPr>
            </w:pPr>
            <w:r w:rsidRPr="005629F8">
              <w:rPr>
                <w:rFonts w:cs="Arial"/>
                <w:b/>
                <w:bCs/>
                <w:color w:val="000000"/>
                <w:sz w:val="18"/>
                <w:szCs w:val="14"/>
                <w:lang w:val="en-AU"/>
              </w:rPr>
              <w:t>3,487,127</w:t>
            </w:r>
          </w:p>
        </w:tc>
        <w:tc>
          <w:tcPr>
            <w:tcW w:w="1418" w:type="dxa"/>
            <w:tcBorders>
              <w:top w:val="single" w:sz="4" w:space="0" w:color="D9D9D9"/>
              <w:bottom w:val="single" w:sz="4" w:space="0" w:color="D9D9D9"/>
            </w:tcBorders>
            <w:shd w:val="clear" w:color="auto" w:fill="DFEBF1" w:themeFill="text2" w:themeFillTint="1A"/>
            <w:vAlign w:val="center"/>
          </w:tcPr>
          <w:p w14:paraId="3589CD4F" w14:textId="77777777" w:rsidR="006D4E0B" w:rsidRPr="005629F8" w:rsidRDefault="006D4E0B" w:rsidP="00E87B16">
            <w:pPr>
              <w:autoSpaceDE w:val="0"/>
              <w:autoSpaceDN w:val="0"/>
              <w:adjustRightInd w:val="0"/>
              <w:spacing w:after="0" w:line="276" w:lineRule="auto"/>
              <w:jc w:val="center"/>
              <w:rPr>
                <w:rFonts w:cs="Arial"/>
                <w:b/>
                <w:bCs/>
                <w:color w:val="000000"/>
                <w:sz w:val="18"/>
                <w:szCs w:val="14"/>
                <w:lang w:val="en-AU"/>
              </w:rPr>
            </w:pPr>
            <w:r w:rsidRPr="005629F8">
              <w:rPr>
                <w:rFonts w:cs="Arial"/>
                <w:b/>
                <w:bCs/>
                <w:color w:val="000000"/>
                <w:sz w:val="18"/>
                <w:szCs w:val="14"/>
                <w:lang w:val="en-AU"/>
              </w:rPr>
              <w:t>3,491,983</w:t>
            </w:r>
          </w:p>
        </w:tc>
        <w:tc>
          <w:tcPr>
            <w:tcW w:w="1275" w:type="dxa"/>
            <w:tcBorders>
              <w:top w:val="single" w:sz="4" w:space="0" w:color="D9D9D9"/>
              <w:bottom w:val="single" w:sz="4" w:space="0" w:color="D9D9D9"/>
            </w:tcBorders>
            <w:shd w:val="clear" w:color="auto" w:fill="DFEBF1" w:themeFill="text2" w:themeFillTint="1A"/>
            <w:vAlign w:val="center"/>
          </w:tcPr>
          <w:p w14:paraId="02961623" w14:textId="77777777" w:rsidR="006D4E0B" w:rsidRPr="005629F8" w:rsidRDefault="006D4E0B" w:rsidP="00E87B16">
            <w:pPr>
              <w:autoSpaceDE w:val="0"/>
              <w:autoSpaceDN w:val="0"/>
              <w:adjustRightInd w:val="0"/>
              <w:spacing w:after="0" w:line="276" w:lineRule="auto"/>
              <w:jc w:val="center"/>
              <w:rPr>
                <w:rFonts w:cs="Arial"/>
                <w:b/>
                <w:bCs/>
                <w:color w:val="000000"/>
                <w:sz w:val="18"/>
                <w:szCs w:val="14"/>
                <w:lang w:val="en-AU"/>
              </w:rPr>
            </w:pPr>
            <w:r w:rsidRPr="005629F8">
              <w:rPr>
                <w:rFonts w:cs="Arial"/>
                <w:b/>
                <w:bCs/>
                <w:color w:val="000000"/>
                <w:sz w:val="18"/>
                <w:szCs w:val="14"/>
                <w:lang w:val="en-AU"/>
              </w:rPr>
              <w:t>7,783,631</w:t>
            </w:r>
          </w:p>
        </w:tc>
        <w:tc>
          <w:tcPr>
            <w:tcW w:w="1276" w:type="dxa"/>
            <w:tcBorders>
              <w:top w:val="single" w:sz="4" w:space="0" w:color="D9D9D9"/>
              <w:bottom w:val="single" w:sz="4" w:space="0" w:color="D9D9D9"/>
            </w:tcBorders>
            <w:shd w:val="clear" w:color="auto" w:fill="DFEBF1" w:themeFill="text2" w:themeFillTint="1A"/>
            <w:vAlign w:val="center"/>
          </w:tcPr>
          <w:p w14:paraId="52DBF1C3" w14:textId="77777777" w:rsidR="006D4E0B" w:rsidRPr="005629F8" w:rsidRDefault="006D4E0B" w:rsidP="00E87B16">
            <w:pPr>
              <w:autoSpaceDE w:val="0"/>
              <w:autoSpaceDN w:val="0"/>
              <w:adjustRightInd w:val="0"/>
              <w:spacing w:after="0" w:line="276" w:lineRule="auto"/>
              <w:jc w:val="center"/>
              <w:rPr>
                <w:rFonts w:cs="Arial"/>
                <w:b/>
                <w:bCs/>
                <w:color w:val="000000"/>
                <w:sz w:val="18"/>
                <w:szCs w:val="14"/>
                <w:lang w:val="en-AU"/>
              </w:rPr>
            </w:pPr>
            <w:r w:rsidRPr="005629F8">
              <w:rPr>
                <w:rFonts w:cs="Arial"/>
                <w:b/>
                <w:bCs/>
                <w:color w:val="000000"/>
                <w:sz w:val="18"/>
                <w:szCs w:val="14"/>
                <w:lang w:val="en-AU"/>
              </w:rPr>
              <w:t>2.2</w:t>
            </w:r>
          </w:p>
        </w:tc>
      </w:tr>
    </w:tbl>
    <w:p w14:paraId="6213FE23" w14:textId="2BEA90A0" w:rsidR="002810BD" w:rsidRPr="002810BD" w:rsidRDefault="002810BD" w:rsidP="002810BD">
      <w:pPr>
        <w:tabs>
          <w:tab w:val="left" w:pos="5160"/>
        </w:tabs>
        <w:rPr>
          <w:lang w:val="en-AU"/>
        </w:rPr>
        <w:sectPr w:rsidR="002810BD" w:rsidRPr="002810BD" w:rsidSect="00522146">
          <w:pgSz w:w="16838" w:h="11906" w:orient="landscape" w:code="9"/>
          <w:pgMar w:top="1077" w:right="1440" w:bottom="1077" w:left="1440" w:header="709" w:footer="709" w:gutter="0"/>
          <w:cols w:space="720"/>
          <w:docGrid w:linePitch="360"/>
        </w:sectPr>
      </w:pPr>
      <w:r>
        <w:rPr>
          <w:lang w:val="en-AU"/>
        </w:rPr>
        <w:tab/>
      </w:r>
    </w:p>
    <w:p w14:paraId="388B678A" w14:textId="77777777" w:rsidR="00EC7E6D" w:rsidRPr="005629F8" w:rsidRDefault="00EC7E6D" w:rsidP="00EC7E6D">
      <w:pPr>
        <w:pStyle w:val="Heading4"/>
        <w:rPr>
          <w:lang w:val="en-AU"/>
        </w:rPr>
      </w:pPr>
      <w:r w:rsidRPr="005629F8">
        <w:rPr>
          <w:lang w:val="en-AU"/>
        </w:rPr>
        <w:lastRenderedPageBreak/>
        <w:t>Comparison with previous years</w:t>
      </w:r>
    </w:p>
    <w:p w14:paraId="3DD19FB2" w14:textId="484DED24" w:rsidR="00DA4165" w:rsidRPr="0068730C" w:rsidRDefault="007F40C7" w:rsidP="005629F8">
      <w:pPr>
        <w:pStyle w:val="ListLevel1"/>
        <w:numPr>
          <w:ilvl w:val="0"/>
          <w:numId w:val="0"/>
        </w:numPr>
        <w:rPr>
          <w:lang w:val="en-AU"/>
        </w:rPr>
      </w:pPr>
      <w:r w:rsidRPr="005629F8">
        <w:rPr>
          <w:lang w:val="en-AU"/>
        </w:rPr>
        <w:t xml:space="preserve">This section of the report </w:t>
      </w:r>
      <w:r w:rsidR="002C543D">
        <w:rPr>
          <w:lang w:val="en-AU"/>
        </w:rPr>
        <w:t xml:space="preserve">analyses three </w:t>
      </w:r>
      <w:r w:rsidRPr="005629F8">
        <w:rPr>
          <w:lang w:val="en-AU"/>
        </w:rPr>
        <w:t xml:space="preserve">MDCs and </w:t>
      </w:r>
      <w:r w:rsidR="002C543D">
        <w:rPr>
          <w:lang w:val="en-AU"/>
        </w:rPr>
        <w:t xml:space="preserve">looks at </w:t>
      </w:r>
      <w:r w:rsidRPr="005629F8">
        <w:rPr>
          <w:lang w:val="en-AU"/>
        </w:rPr>
        <w:t xml:space="preserve">how their sample separations and totals costs </w:t>
      </w:r>
      <w:r w:rsidR="00147E2F">
        <w:rPr>
          <w:lang w:val="en-AU"/>
        </w:rPr>
        <w:t>for 2020-21</w:t>
      </w:r>
      <w:r w:rsidRPr="005629F8">
        <w:rPr>
          <w:lang w:val="en-AU"/>
        </w:rPr>
        <w:t xml:space="preserve"> compare with 2019-20 and 2018-19.</w:t>
      </w:r>
      <w:r w:rsidR="001F4974" w:rsidRPr="0068730C">
        <w:rPr>
          <w:lang w:val="en-AU"/>
        </w:rPr>
        <w:t xml:space="preserve"> The MDCs that have been selected are:</w:t>
      </w:r>
    </w:p>
    <w:p w14:paraId="376D7338" w14:textId="6CE64E20" w:rsidR="001F4974" w:rsidRPr="005629F8" w:rsidRDefault="001F4974" w:rsidP="00DB117A">
      <w:pPr>
        <w:pStyle w:val="ListLevel1"/>
        <w:rPr>
          <w:lang w:val="en-AU"/>
        </w:rPr>
      </w:pPr>
      <w:r w:rsidRPr="00696D29">
        <w:rPr>
          <w:lang w:val="en-AU"/>
        </w:rPr>
        <w:t xml:space="preserve">MDC 06 (Digestive System), </w:t>
      </w:r>
      <w:r w:rsidRPr="005629F8">
        <w:rPr>
          <w:lang w:val="en-AU"/>
        </w:rPr>
        <w:t xml:space="preserve">shown in </w:t>
      </w:r>
      <w:r w:rsidR="00E16820">
        <w:rPr>
          <w:lang w:val="en-AU"/>
        </w:rPr>
        <w:fldChar w:fldCharType="begin"/>
      </w:r>
      <w:r w:rsidR="00E16820">
        <w:rPr>
          <w:lang w:val="en-AU"/>
        </w:rPr>
        <w:instrText xml:space="preserve"> REF _Ref129182172 \h </w:instrText>
      </w:r>
      <w:r w:rsidR="00E16820">
        <w:rPr>
          <w:lang w:val="en-AU"/>
        </w:rPr>
      </w:r>
      <w:r w:rsidR="00E16820">
        <w:rPr>
          <w:lang w:val="en-AU"/>
        </w:rPr>
        <w:fldChar w:fldCharType="separate"/>
      </w:r>
      <w:r w:rsidR="00E16820">
        <w:t xml:space="preserve">Figure </w:t>
      </w:r>
      <w:r w:rsidR="00E16820">
        <w:rPr>
          <w:noProof/>
        </w:rPr>
        <w:t>5</w:t>
      </w:r>
      <w:r w:rsidR="00E16820">
        <w:rPr>
          <w:lang w:val="en-AU"/>
        </w:rPr>
        <w:fldChar w:fldCharType="end"/>
      </w:r>
      <w:r w:rsidR="00E729F0">
        <w:rPr>
          <w:lang w:val="en-AU"/>
        </w:rPr>
        <w:t>,</w:t>
      </w:r>
      <w:r w:rsidR="00CB12C4" w:rsidRPr="005629F8">
        <w:rPr>
          <w:lang w:val="en-AU"/>
        </w:rPr>
        <w:fldChar w:fldCharType="begin"/>
      </w:r>
      <w:r w:rsidR="00CB12C4" w:rsidRPr="005629F8">
        <w:rPr>
          <w:lang w:val="en-AU"/>
        </w:rPr>
        <w:instrText xml:space="preserve"> REF _Ref128410007 \h  \* MERGEFORMAT </w:instrText>
      </w:r>
      <w:r w:rsidR="00CB12C4" w:rsidRPr="005629F8">
        <w:rPr>
          <w:lang w:val="en-AU"/>
        </w:rPr>
      </w:r>
      <w:r w:rsidR="00CB12C4" w:rsidRPr="005629F8">
        <w:rPr>
          <w:lang w:val="en-AU"/>
        </w:rPr>
        <w:fldChar w:fldCharType="end"/>
      </w:r>
      <w:r w:rsidR="00CB12C4" w:rsidRPr="005629F8">
        <w:rPr>
          <w:lang w:val="en-AU"/>
        </w:rPr>
        <w:t xml:space="preserve"> </w:t>
      </w:r>
      <w:r w:rsidR="00015C1F">
        <w:rPr>
          <w:lang w:val="en-AU"/>
        </w:rPr>
        <w:t>has</w:t>
      </w:r>
      <w:r w:rsidR="00363733">
        <w:rPr>
          <w:lang w:val="en-AU"/>
        </w:rPr>
        <w:t xml:space="preserve"> </w:t>
      </w:r>
      <w:r w:rsidRPr="005629F8">
        <w:rPr>
          <w:lang w:val="en-AU"/>
        </w:rPr>
        <w:t>the highest number of sample separations.</w:t>
      </w:r>
    </w:p>
    <w:p w14:paraId="2F2E321B" w14:textId="4D9C25DE" w:rsidR="001F4974" w:rsidRPr="005629F8" w:rsidRDefault="001F4974" w:rsidP="005629F8">
      <w:pPr>
        <w:pStyle w:val="ListLevel1"/>
        <w:rPr>
          <w:color w:val="auto"/>
          <w:lang w:val="en-AU"/>
        </w:rPr>
      </w:pPr>
      <w:r w:rsidRPr="005629F8">
        <w:rPr>
          <w:color w:val="auto"/>
          <w:lang w:val="en-AU"/>
        </w:rPr>
        <w:t>MDC 04 (Respiratory System), shown</w:t>
      </w:r>
      <w:r w:rsidR="00E16820">
        <w:rPr>
          <w:color w:val="auto"/>
          <w:lang w:val="en-AU"/>
        </w:rPr>
        <w:t xml:space="preserve"> in </w:t>
      </w:r>
      <w:r w:rsidR="00E16820">
        <w:rPr>
          <w:color w:val="auto"/>
          <w:lang w:val="en-AU"/>
        </w:rPr>
        <w:fldChar w:fldCharType="begin"/>
      </w:r>
      <w:r w:rsidR="00E16820">
        <w:rPr>
          <w:color w:val="auto"/>
          <w:lang w:val="en-AU"/>
        </w:rPr>
        <w:instrText xml:space="preserve"> REF _Ref129182145 \h </w:instrText>
      </w:r>
      <w:r w:rsidR="00E16820">
        <w:rPr>
          <w:color w:val="auto"/>
          <w:lang w:val="en-AU"/>
        </w:rPr>
      </w:r>
      <w:r w:rsidR="00E16820">
        <w:rPr>
          <w:color w:val="auto"/>
          <w:lang w:val="en-AU"/>
        </w:rPr>
        <w:fldChar w:fldCharType="separate"/>
      </w:r>
      <w:r w:rsidR="00E16820">
        <w:t xml:space="preserve">Figure </w:t>
      </w:r>
      <w:r w:rsidR="00E16820">
        <w:rPr>
          <w:noProof/>
        </w:rPr>
        <w:t>6</w:t>
      </w:r>
      <w:r w:rsidR="00E16820">
        <w:rPr>
          <w:color w:val="auto"/>
          <w:lang w:val="en-AU"/>
        </w:rPr>
        <w:fldChar w:fldCharType="end"/>
      </w:r>
      <w:r w:rsidRPr="005629F8">
        <w:rPr>
          <w:color w:val="auto"/>
          <w:lang w:val="en-AU"/>
        </w:rPr>
        <w:t xml:space="preserve">, has been included to observe </w:t>
      </w:r>
      <w:r w:rsidR="00015C1F">
        <w:rPr>
          <w:color w:val="auto"/>
          <w:lang w:val="en-AU"/>
        </w:rPr>
        <w:t>if there have been any</w:t>
      </w:r>
      <w:r w:rsidRPr="005629F8">
        <w:rPr>
          <w:color w:val="auto"/>
          <w:lang w:val="en-AU"/>
        </w:rPr>
        <w:t xml:space="preserve"> impacts resulting from COVID-19 on respiratory AR-DRGs.</w:t>
      </w:r>
    </w:p>
    <w:p w14:paraId="7FEA0244" w14:textId="2672123F" w:rsidR="00696D29" w:rsidRPr="005629F8" w:rsidRDefault="001F4974" w:rsidP="005629F8">
      <w:pPr>
        <w:pStyle w:val="ListLevel1"/>
        <w:rPr>
          <w:lang w:val="en-AU"/>
        </w:rPr>
      </w:pPr>
      <w:r w:rsidRPr="005629F8">
        <w:rPr>
          <w:color w:val="auto"/>
          <w:lang w:val="en-AU"/>
        </w:rPr>
        <w:t>MDC 19 (Mental Diseases and Disorders), shown in</w:t>
      </w:r>
      <w:r w:rsidR="006D4BCA" w:rsidRPr="005629F8">
        <w:rPr>
          <w:color w:val="auto"/>
          <w:lang w:val="en-AU"/>
        </w:rPr>
        <w:t xml:space="preserve"> </w:t>
      </w:r>
      <w:r w:rsidR="00E16820">
        <w:rPr>
          <w:color w:val="auto"/>
          <w:lang w:val="en-AU"/>
        </w:rPr>
        <w:fldChar w:fldCharType="begin"/>
      </w:r>
      <w:r w:rsidR="00E16820">
        <w:rPr>
          <w:color w:val="auto"/>
          <w:lang w:val="en-AU"/>
        </w:rPr>
        <w:instrText xml:space="preserve"> REF _Ref129182160 \h </w:instrText>
      </w:r>
      <w:r w:rsidR="00E16820">
        <w:rPr>
          <w:color w:val="auto"/>
          <w:lang w:val="en-AU"/>
        </w:rPr>
      </w:r>
      <w:r w:rsidR="00E16820">
        <w:rPr>
          <w:color w:val="auto"/>
          <w:lang w:val="en-AU"/>
        </w:rPr>
        <w:fldChar w:fldCharType="separate"/>
      </w:r>
      <w:r w:rsidR="00E16820">
        <w:t xml:space="preserve">Figure </w:t>
      </w:r>
      <w:r w:rsidR="00E16820">
        <w:rPr>
          <w:noProof/>
        </w:rPr>
        <w:t>7</w:t>
      </w:r>
      <w:r w:rsidR="00E16820">
        <w:rPr>
          <w:color w:val="auto"/>
          <w:lang w:val="en-AU"/>
        </w:rPr>
        <w:fldChar w:fldCharType="end"/>
      </w:r>
      <w:r w:rsidR="006D4BCA" w:rsidRPr="005629F8">
        <w:rPr>
          <w:color w:val="auto"/>
          <w:lang w:val="en-AU"/>
        </w:rPr>
        <w:fldChar w:fldCharType="begin"/>
      </w:r>
      <w:r w:rsidR="006D4BCA" w:rsidRPr="005629F8">
        <w:rPr>
          <w:color w:val="auto"/>
          <w:lang w:val="en-AU"/>
        </w:rPr>
        <w:instrText xml:space="preserve"> REF _Ref128648318 \h </w:instrText>
      </w:r>
      <w:r w:rsidR="0068730C" w:rsidRPr="005629F8">
        <w:rPr>
          <w:color w:val="auto"/>
          <w:lang w:val="en-AU"/>
        </w:rPr>
        <w:instrText xml:space="preserve"> \* MERGEFORMAT </w:instrText>
      </w:r>
      <w:r w:rsidR="006D4BCA" w:rsidRPr="005629F8">
        <w:rPr>
          <w:color w:val="auto"/>
          <w:lang w:val="en-AU"/>
        </w:rPr>
      </w:r>
      <w:r w:rsidR="006D4BCA" w:rsidRPr="005629F8">
        <w:rPr>
          <w:color w:val="auto"/>
          <w:lang w:val="en-AU"/>
        </w:rPr>
        <w:fldChar w:fldCharType="end"/>
      </w:r>
      <w:r w:rsidRPr="00696D29">
        <w:rPr>
          <w:lang w:val="en-AU"/>
        </w:rPr>
        <w:t>,</w:t>
      </w:r>
      <w:r w:rsidR="002C543D">
        <w:rPr>
          <w:lang w:val="en-AU"/>
        </w:rPr>
        <w:t xml:space="preserve"> </w:t>
      </w:r>
      <w:r w:rsidRPr="00696D29">
        <w:rPr>
          <w:lang w:val="en-AU"/>
        </w:rPr>
        <w:t>has</w:t>
      </w:r>
      <w:r w:rsidR="00080925" w:rsidRPr="00696D29">
        <w:rPr>
          <w:lang w:val="en-AU"/>
        </w:rPr>
        <w:t xml:space="preserve"> seen a large decrease in activity from 2019</w:t>
      </w:r>
      <w:r w:rsidR="00080925" w:rsidRPr="00696D29">
        <w:rPr>
          <w:lang w:val="en-AU"/>
        </w:rPr>
        <w:noBreakHyphen/>
        <w:t>20</w:t>
      </w:r>
      <w:r w:rsidRPr="00696D29">
        <w:rPr>
          <w:lang w:val="en-AU"/>
        </w:rPr>
        <w:t>.</w:t>
      </w:r>
    </w:p>
    <w:p w14:paraId="3090A465" w14:textId="42E61A6B" w:rsidR="00874297" w:rsidRDefault="00874297" w:rsidP="00E87B16">
      <w:pPr>
        <w:pStyle w:val="TableFigureheading"/>
      </w:pPr>
      <w:bookmarkStart w:id="98" w:name="_Ref129182172"/>
      <w:bookmarkStart w:id="99" w:name="_Toc129263244"/>
      <w:r>
        <w:t xml:space="preserve">Figure </w:t>
      </w:r>
      <w:r>
        <w:fldChar w:fldCharType="begin"/>
      </w:r>
      <w:r>
        <w:instrText xml:space="preserve"> SEQ Figure \* ARABIC </w:instrText>
      </w:r>
      <w:r>
        <w:fldChar w:fldCharType="separate"/>
      </w:r>
      <w:r>
        <w:rPr>
          <w:noProof/>
        </w:rPr>
        <w:t>5</w:t>
      </w:r>
      <w:r>
        <w:fldChar w:fldCharType="end"/>
      </w:r>
      <w:bookmarkEnd w:id="98"/>
      <w:r>
        <w:t>. Separations and Cost for MDC 06: Diseases and Disorders of the Digestive System</w:t>
      </w:r>
      <w:bookmarkEnd w:id="99"/>
    </w:p>
    <w:p w14:paraId="614882C7" w14:textId="394FB32F" w:rsidR="00696D29" w:rsidRDefault="00E22802" w:rsidP="005629F8">
      <w:pPr>
        <w:pStyle w:val="ListLevel1"/>
        <w:numPr>
          <w:ilvl w:val="0"/>
          <w:numId w:val="0"/>
        </w:numPr>
        <w:rPr>
          <w:highlight w:val="cyan"/>
          <w:lang w:val="en-AU"/>
        </w:rPr>
      </w:pPr>
      <w:r w:rsidRPr="005629F8">
        <w:rPr>
          <w:noProof/>
          <w:lang w:val="en-US"/>
        </w:rPr>
        <w:drawing>
          <wp:inline distT="0" distB="0" distL="0" distR="0" wp14:anchorId="00987529" wp14:editId="0BE532E1">
            <wp:extent cx="5178425" cy="2681605"/>
            <wp:effectExtent l="0" t="0" r="3175" b="4445"/>
            <wp:docPr id="26" name="Picture 26" descr="Separations and Cost for MDC 06: Diseases and Disorders of the Digestive System&#10;&#10;This is a combined column and line graph. The column graph shows sample separations for MDC 06 over the period between 2018-19 and 2020-21. The line graph on the secondary axis shows the total cost for MDC 06 over the period between 2018-19 and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parations and Cost for MDC 06: Diseases and Disorders of the Digestive System&#10;&#10;This is a combined column and line graph. The column graph shows sample separations for MDC 06 over the period between 2018-19 and 2020-21. The line graph on the secondary axis shows the total cost for MDC 06 over the period between 2018-19 and 2020-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8425" cy="2681605"/>
                    </a:xfrm>
                    <a:prstGeom prst="rect">
                      <a:avLst/>
                    </a:prstGeom>
                    <a:noFill/>
                    <a:ln>
                      <a:noFill/>
                    </a:ln>
                  </pic:spPr>
                </pic:pic>
              </a:graphicData>
            </a:graphic>
          </wp:inline>
        </w:drawing>
      </w:r>
    </w:p>
    <w:p w14:paraId="35E1B6F8" w14:textId="77777777" w:rsidR="00147E2F" w:rsidRPr="005629F8" w:rsidRDefault="00147E2F" w:rsidP="005629F8">
      <w:pPr>
        <w:pStyle w:val="ListLevel1"/>
        <w:numPr>
          <w:ilvl w:val="0"/>
          <w:numId w:val="0"/>
        </w:numPr>
        <w:rPr>
          <w:highlight w:val="cyan"/>
          <w:lang w:val="en-AU"/>
        </w:rPr>
      </w:pPr>
    </w:p>
    <w:p w14:paraId="6CDB78B6" w14:textId="77777777" w:rsidR="00ED5802" w:rsidRDefault="00F974CB" w:rsidP="002A6ADF">
      <w:r w:rsidRPr="005629F8">
        <w:rPr>
          <w:lang w:val="en-AU"/>
        </w:rPr>
        <w:t xml:space="preserve">Total costs </w:t>
      </w:r>
      <w:r w:rsidR="00080925">
        <w:rPr>
          <w:lang w:val="en-AU"/>
        </w:rPr>
        <w:t xml:space="preserve">in MDC 06 </w:t>
      </w:r>
      <w:r w:rsidRPr="005629F8">
        <w:rPr>
          <w:lang w:val="en-AU"/>
        </w:rPr>
        <w:t>hav</w:t>
      </w:r>
      <w:r w:rsidR="00E64667" w:rsidRPr="005629F8">
        <w:rPr>
          <w:lang w:val="en-AU"/>
        </w:rPr>
        <w:t>e increased over the three</w:t>
      </w:r>
      <w:r w:rsidR="00374BBD">
        <w:rPr>
          <w:lang w:val="en-AU"/>
        </w:rPr>
        <w:t>-</w:t>
      </w:r>
      <w:r w:rsidR="00E64667" w:rsidRPr="005629F8">
        <w:rPr>
          <w:lang w:val="en-AU"/>
        </w:rPr>
        <w:t>year</w:t>
      </w:r>
      <w:r w:rsidRPr="005629F8">
        <w:rPr>
          <w:lang w:val="en-AU"/>
        </w:rPr>
        <w:t xml:space="preserve"> period</w:t>
      </w:r>
      <w:r w:rsidR="00080925">
        <w:rPr>
          <w:lang w:val="en-AU"/>
        </w:rPr>
        <w:t xml:space="preserve"> from 2018</w:t>
      </w:r>
      <w:r w:rsidR="00080925">
        <w:rPr>
          <w:lang w:val="en-AU"/>
        </w:rPr>
        <w:noBreakHyphen/>
        <w:t>19 to 2020</w:t>
      </w:r>
      <w:r w:rsidR="00080925">
        <w:rPr>
          <w:lang w:val="en-AU"/>
        </w:rPr>
        <w:noBreakHyphen/>
        <w:t>21</w:t>
      </w:r>
      <w:r w:rsidRPr="005629F8">
        <w:rPr>
          <w:lang w:val="en-AU"/>
        </w:rPr>
        <w:t xml:space="preserve">. </w:t>
      </w:r>
      <w:r w:rsidR="002A6ADF">
        <w:t>In 2019</w:t>
      </w:r>
      <w:r w:rsidR="002A6ADF">
        <w:noBreakHyphen/>
        <w:t xml:space="preserve">20, there was a slight decrease in separations despite the total costs increasing. This decrease occurred over both intervention and medical type episodes, with intervention episodes comprising the majority of MDC 06 (around 85 per cent). </w:t>
      </w:r>
    </w:p>
    <w:p w14:paraId="0A9DD181" w14:textId="41797DCA" w:rsidR="002A6ADF" w:rsidRDefault="002A6ADF" w:rsidP="002A6ADF">
      <w:r>
        <w:t>The fo</w:t>
      </w:r>
      <w:r w:rsidR="00ED5802">
        <w:t xml:space="preserve">llowing three intervention type </w:t>
      </w:r>
      <w:r>
        <w:t>AR</w:t>
      </w:r>
      <w:r>
        <w:noBreakHyphen/>
        <w:t xml:space="preserve">DRGs alone comprise </w:t>
      </w:r>
      <w:r w:rsidR="00ED5802">
        <w:t xml:space="preserve">almost </w:t>
      </w:r>
      <w:r>
        <w:t xml:space="preserve">70 per cent of MDC 06: </w:t>
      </w:r>
    </w:p>
    <w:p w14:paraId="238668B0" w14:textId="7A728D50" w:rsidR="00ED5802" w:rsidRDefault="00ED5802" w:rsidP="00ED5802">
      <w:pPr>
        <w:pStyle w:val="ListLevel1"/>
        <w:rPr>
          <w:lang w:val="en-AU"/>
        </w:rPr>
      </w:pPr>
      <w:r w:rsidRPr="0068730C">
        <w:rPr>
          <w:lang w:val="en-AU"/>
        </w:rPr>
        <w:t>G46B: Complex Endoscopy, Minor Complexity</w:t>
      </w:r>
    </w:p>
    <w:p w14:paraId="4E43A147" w14:textId="77777777" w:rsidR="00ED5802" w:rsidRPr="00ED5802" w:rsidRDefault="00ED5802" w:rsidP="00ED5802">
      <w:pPr>
        <w:pStyle w:val="ListLevel1"/>
        <w:rPr>
          <w:lang w:val="en-AU"/>
        </w:rPr>
      </w:pPr>
      <w:r w:rsidRPr="00ED5802">
        <w:rPr>
          <w:lang w:val="en-AU"/>
        </w:rPr>
        <w:t>G47C: Gastroscopy, Minor Complexity</w:t>
      </w:r>
    </w:p>
    <w:p w14:paraId="766AE9F2" w14:textId="77777777" w:rsidR="00ED5802" w:rsidRPr="0068730C" w:rsidRDefault="00ED5802" w:rsidP="00ED5802">
      <w:pPr>
        <w:pStyle w:val="ListLevel1"/>
        <w:ind w:left="1077" w:hanging="357"/>
        <w:contextualSpacing w:val="0"/>
        <w:rPr>
          <w:lang w:val="en-AU"/>
        </w:rPr>
      </w:pPr>
      <w:r w:rsidRPr="0068730C">
        <w:rPr>
          <w:lang w:val="en-AU"/>
        </w:rPr>
        <w:t>G48B: Colonoscopy, Minor Complexity</w:t>
      </w:r>
    </w:p>
    <w:p w14:paraId="41702CF7" w14:textId="3886F2BB" w:rsidR="00E64667" w:rsidRPr="005629F8" w:rsidRDefault="00772A1E" w:rsidP="005629F8">
      <w:pPr>
        <w:pStyle w:val="ListLevel1"/>
        <w:numPr>
          <w:ilvl w:val="0"/>
          <w:numId w:val="0"/>
        </w:numPr>
        <w:contextualSpacing w:val="0"/>
        <w:rPr>
          <w:lang w:val="en-AU"/>
        </w:rPr>
      </w:pPr>
      <w:r>
        <w:rPr>
          <w:lang w:val="en-AU"/>
        </w:rPr>
        <w:t xml:space="preserve">Separations increased by </w:t>
      </w:r>
      <w:r w:rsidR="00696D29">
        <w:rPr>
          <w:lang w:val="en-AU"/>
        </w:rPr>
        <w:t>15</w:t>
      </w:r>
      <w:r>
        <w:rPr>
          <w:lang w:val="en-AU"/>
        </w:rPr>
        <w:t xml:space="preserve"> per cent between 2019-20 and 2020-21 </w:t>
      </w:r>
      <w:r w:rsidRPr="005B3ED2">
        <w:rPr>
          <w:lang w:val="en-AU"/>
        </w:rPr>
        <w:t>as COVID-19 restrictions eased</w:t>
      </w:r>
      <w:r>
        <w:rPr>
          <w:lang w:val="en-AU"/>
        </w:rPr>
        <w:t xml:space="preserve">. </w:t>
      </w:r>
      <w:r w:rsidR="00E64667" w:rsidRPr="005629F8">
        <w:rPr>
          <w:lang w:val="en-AU"/>
        </w:rPr>
        <w:t>Th</w:t>
      </w:r>
      <w:r w:rsidR="00ED5802">
        <w:rPr>
          <w:lang w:val="en-AU"/>
        </w:rPr>
        <w:t>is</w:t>
      </w:r>
      <w:r w:rsidR="0025616E" w:rsidRPr="005629F8">
        <w:rPr>
          <w:lang w:val="en-AU"/>
        </w:rPr>
        <w:t xml:space="preserve"> increase in separations in 2020-21 is primarily driven by</w:t>
      </w:r>
      <w:r w:rsidR="00AD360B" w:rsidRPr="005629F8">
        <w:rPr>
          <w:lang w:val="en-AU"/>
        </w:rPr>
        <w:t xml:space="preserve"> the </w:t>
      </w:r>
      <w:r w:rsidR="00ED5802">
        <w:rPr>
          <w:lang w:val="en-AU"/>
        </w:rPr>
        <w:t xml:space="preserve">three </w:t>
      </w:r>
      <w:r w:rsidR="00AD360B" w:rsidRPr="005629F8">
        <w:rPr>
          <w:lang w:val="en-AU"/>
        </w:rPr>
        <w:t>AR</w:t>
      </w:r>
      <w:r w:rsidR="0084241B">
        <w:rPr>
          <w:lang w:val="en-AU"/>
        </w:rPr>
        <w:t>-</w:t>
      </w:r>
      <w:r w:rsidR="00AD360B" w:rsidRPr="005629F8">
        <w:rPr>
          <w:lang w:val="en-AU"/>
        </w:rPr>
        <w:t>DRGs</w:t>
      </w:r>
      <w:r w:rsidR="00ED5802">
        <w:rPr>
          <w:lang w:val="en-AU"/>
        </w:rPr>
        <w:t xml:space="preserve"> above.</w:t>
      </w:r>
    </w:p>
    <w:p w14:paraId="3FBA1E39" w14:textId="77777777" w:rsidR="004724ED" w:rsidRDefault="004724ED">
      <w:pPr>
        <w:spacing w:line="259" w:lineRule="auto"/>
        <w:rPr>
          <w:rFonts w:eastAsia="Arial" w:cs="Arial"/>
          <w:b/>
          <w:iCs/>
          <w:color w:val="008F55" w:themeColor="accent4"/>
          <w:szCs w:val="18"/>
          <w:lang w:val="en-AU"/>
        </w:rPr>
      </w:pPr>
      <w:r>
        <w:br w:type="page"/>
      </w:r>
    </w:p>
    <w:p w14:paraId="752454EA" w14:textId="51488EE8" w:rsidR="00874297" w:rsidRDefault="00874297" w:rsidP="00E87B16">
      <w:pPr>
        <w:pStyle w:val="TableFigureheading"/>
      </w:pPr>
      <w:bookmarkStart w:id="100" w:name="_Ref129182145"/>
      <w:bookmarkStart w:id="101" w:name="_Toc129263245"/>
      <w:r>
        <w:lastRenderedPageBreak/>
        <w:t xml:space="preserve">Figure </w:t>
      </w:r>
      <w:r>
        <w:fldChar w:fldCharType="begin"/>
      </w:r>
      <w:r>
        <w:instrText xml:space="preserve"> SEQ Figure \* ARABIC </w:instrText>
      </w:r>
      <w:r>
        <w:fldChar w:fldCharType="separate"/>
      </w:r>
      <w:r>
        <w:rPr>
          <w:noProof/>
        </w:rPr>
        <w:t>6</w:t>
      </w:r>
      <w:r>
        <w:fldChar w:fldCharType="end"/>
      </w:r>
      <w:bookmarkEnd w:id="100"/>
      <w:r>
        <w:t>. Separations and Cost for MDC 04</w:t>
      </w:r>
      <w:r w:rsidRPr="00F77593">
        <w:t xml:space="preserve">: Diseases and Disorders of the </w:t>
      </w:r>
      <w:r>
        <w:t>Respiratory</w:t>
      </w:r>
      <w:r w:rsidRPr="00F77593">
        <w:t xml:space="preserve"> System</w:t>
      </w:r>
      <w:bookmarkEnd w:id="101"/>
    </w:p>
    <w:p w14:paraId="7E492DF3" w14:textId="60B2FC86" w:rsidR="00692415" w:rsidRPr="005629F8" w:rsidRDefault="004724ED">
      <w:pPr>
        <w:rPr>
          <w:lang w:val="en-AU"/>
        </w:rPr>
      </w:pPr>
      <w:r w:rsidRPr="005629F8">
        <w:rPr>
          <w:noProof/>
          <w:lang w:val="en-US"/>
        </w:rPr>
        <w:drawing>
          <wp:inline distT="0" distB="0" distL="0" distR="0" wp14:anchorId="0B6CFF02" wp14:editId="78339761">
            <wp:extent cx="5222875" cy="2681605"/>
            <wp:effectExtent l="0" t="0" r="0" b="4445"/>
            <wp:docPr id="29" name="Picture 29" descr="Separations and costs for MDC 04: Diseases and Disorders of the Respiratory System&#10;&#10;This is a combined column and line graph. The column graph shows sample separations for MDC 04 over the period between 2018-19 and 2020-21. The line graph on the secondary axis shows the total cost for MDC 04 over the period between 2018-19 and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eparations and costs for MDC 04: Diseases and Disorders of the Respiratory System&#10;&#10;This is a combined column and line graph. The column graph shows sample separations for MDC 04 over the period between 2018-19 and 2020-21. The line graph on the secondary axis shows the total cost for MDC 04 over the period between 2018-19 and 20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2875" cy="2681605"/>
                    </a:xfrm>
                    <a:prstGeom prst="rect">
                      <a:avLst/>
                    </a:prstGeom>
                    <a:noFill/>
                    <a:ln>
                      <a:noFill/>
                    </a:ln>
                  </pic:spPr>
                </pic:pic>
              </a:graphicData>
            </a:graphic>
          </wp:inline>
        </w:drawing>
      </w:r>
    </w:p>
    <w:p w14:paraId="6F9B31D6" w14:textId="3BFBACBC" w:rsidR="00854DBE" w:rsidRPr="0068730C" w:rsidRDefault="0088109E">
      <w:pPr>
        <w:rPr>
          <w:lang w:val="en-AU"/>
        </w:rPr>
      </w:pPr>
      <w:r w:rsidRPr="0068730C">
        <w:rPr>
          <w:lang w:val="en-AU"/>
        </w:rPr>
        <w:t>Total costs and sample separations have decreased</w:t>
      </w:r>
      <w:r w:rsidR="00696D29">
        <w:rPr>
          <w:lang w:val="en-AU"/>
        </w:rPr>
        <w:t xml:space="preserve"> in MDC 04</w:t>
      </w:r>
      <w:r w:rsidRPr="0068730C">
        <w:rPr>
          <w:lang w:val="en-AU"/>
        </w:rPr>
        <w:t xml:space="preserve"> </w:t>
      </w:r>
      <w:r w:rsidR="002A6ADF" w:rsidRPr="00893A8B">
        <w:t>between 2018-19 and 2020-21. This was driven by decreases in medical type episodes which comprise over 70 per cent of MDC 04.</w:t>
      </w:r>
      <w:r w:rsidR="002A6ADF">
        <w:t xml:space="preserve"> </w:t>
      </w:r>
      <w:r w:rsidRPr="0068730C">
        <w:rPr>
          <w:lang w:val="en-AU"/>
        </w:rPr>
        <w:t>In 2019</w:t>
      </w:r>
      <w:r w:rsidR="00696D29">
        <w:rPr>
          <w:lang w:val="en-AU"/>
        </w:rPr>
        <w:noBreakHyphen/>
      </w:r>
      <w:r w:rsidRPr="0068730C">
        <w:rPr>
          <w:lang w:val="en-AU"/>
        </w:rPr>
        <w:t>20, there was a large decrease in separations</w:t>
      </w:r>
      <w:r w:rsidR="00377CC8" w:rsidRPr="0068730C">
        <w:rPr>
          <w:lang w:val="en-AU"/>
        </w:rPr>
        <w:t xml:space="preserve">. Total cost </w:t>
      </w:r>
      <w:r w:rsidR="00696D29">
        <w:rPr>
          <w:lang w:val="en-AU"/>
        </w:rPr>
        <w:t>remained</w:t>
      </w:r>
      <w:r w:rsidR="00772A1E">
        <w:rPr>
          <w:lang w:val="en-AU"/>
        </w:rPr>
        <w:t xml:space="preserve"> similar in </w:t>
      </w:r>
      <w:r w:rsidR="00377CC8" w:rsidRPr="0068730C">
        <w:rPr>
          <w:lang w:val="en-AU"/>
        </w:rPr>
        <w:t>2019-20 despite the decrease in separations.</w:t>
      </w:r>
    </w:p>
    <w:p w14:paraId="7F773123" w14:textId="34F1E2CD" w:rsidR="00DD0195" w:rsidRDefault="00772A1E">
      <w:pPr>
        <w:rPr>
          <w:lang w:val="en-AU"/>
        </w:rPr>
      </w:pPr>
      <w:r>
        <w:rPr>
          <w:lang w:val="en-AU"/>
        </w:rPr>
        <w:t xml:space="preserve">The lower volume of separations persisted into 2020-21. </w:t>
      </w:r>
      <w:r w:rsidR="0088109E" w:rsidRPr="0068730C">
        <w:rPr>
          <w:lang w:val="en-AU"/>
        </w:rPr>
        <w:t>This trend indicates there is less respiratory support being acc</w:t>
      </w:r>
      <w:r w:rsidR="00716550" w:rsidRPr="0068730C">
        <w:rPr>
          <w:lang w:val="en-AU"/>
        </w:rPr>
        <w:t>ess</w:t>
      </w:r>
      <w:r w:rsidR="00377CC8" w:rsidRPr="0068730C">
        <w:rPr>
          <w:lang w:val="en-AU"/>
        </w:rPr>
        <w:t>ed through private hospitals with t</w:t>
      </w:r>
      <w:r w:rsidR="00716550" w:rsidRPr="0068730C">
        <w:rPr>
          <w:lang w:val="en-AU"/>
        </w:rPr>
        <w:t>he decrease consistent across most AR-DRGs within this MDC</w:t>
      </w:r>
      <w:r w:rsidR="001F67FA">
        <w:rPr>
          <w:lang w:val="en-AU"/>
        </w:rPr>
        <w:t>.</w:t>
      </w:r>
    </w:p>
    <w:p w14:paraId="13120E46" w14:textId="279429BD" w:rsidR="00874297" w:rsidRDefault="00DD0195">
      <w:r>
        <w:rPr>
          <w:lang w:val="en-AU"/>
        </w:rPr>
        <w:t>MDC 04 was examined to understand whether COVID</w:t>
      </w:r>
      <w:r>
        <w:rPr>
          <w:lang w:val="en-AU"/>
        </w:rPr>
        <w:noBreakHyphen/>
        <w:t>19 had any impact on respiratory admissions in the private sector. There were only a small number of episodes in the 2020</w:t>
      </w:r>
      <w:r>
        <w:rPr>
          <w:lang w:val="en-AU"/>
        </w:rPr>
        <w:noBreakHyphen/>
        <w:t xml:space="preserve">21 NHCDC submission with a </w:t>
      </w:r>
      <w:r w:rsidRPr="0068730C">
        <w:rPr>
          <w:lang w:val="en-AU"/>
        </w:rPr>
        <w:t>COVID-19</w:t>
      </w:r>
      <w:r>
        <w:rPr>
          <w:lang w:val="en-AU"/>
        </w:rPr>
        <w:t xml:space="preserve"> diagnosis code</w:t>
      </w:r>
      <w:r w:rsidRPr="0068730C">
        <w:rPr>
          <w:lang w:val="en-AU"/>
        </w:rPr>
        <w:t>.</w:t>
      </w:r>
      <w:r>
        <w:rPr>
          <w:lang w:val="en-AU"/>
        </w:rPr>
        <w:t xml:space="preserve"> These episodes were more commonly </w:t>
      </w:r>
      <w:r w:rsidRPr="0068730C">
        <w:rPr>
          <w:lang w:val="en-AU"/>
        </w:rPr>
        <w:t>assigned to MDC 23: Factors Influencing Health Status and Other Contacts with Health Services.</w:t>
      </w:r>
    </w:p>
    <w:p w14:paraId="36BA3F0A" w14:textId="3DAB3092" w:rsidR="00874297" w:rsidRDefault="00874297" w:rsidP="00E87B16">
      <w:pPr>
        <w:pStyle w:val="TableFigureheading"/>
      </w:pPr>
      <w:bookmarkStart w:id="102" w:name="_Ref129182160"/>
      <w:bookmarkStart w:id="103" w:name="_Toc129263246"/>
      <w:r>
        <w:t xml:space="preserve">Figure </w:t>
      </w:r>
      <w:r>
        <w:fldChar w:fldCharType="begin"/>
      </w:r>
      <w:r>
        <w:instrText xml:space="preserve"> SEQ Figure \* ARABIC </w:instrText>
      </w:r>
      <w:r>
        <w:fldChar w:fldCharType="separate"/>
      </w:r>
      <w:r>
        <w:rPr>
          <w:noProof/>
        </w:rPr>
        <w:t>7</w:t>
      </w:r>
      <w:r>
        <w:fldChar w:fldCharType="end"/>
      </w:r>
      <w:bookmarkEnd w:id="102"/>
      <w:r>
        <w:t xml:space="preserve">. </w:t>
      </w:r>
      <w:r w:rsidRPr="00EA3B5D">
        <w:t>Separations and Cos</w:t>
      </w:r>
      <w:r>
        <w:t>t for MDC 19: Mental Diseases and Disorders</w:t>
      </w:r>
      <w:bookmarkEnd w:id="103"/>
    </w:p>
    <w:p w14:paraId="19B1AD94" w14:textId="2693E702" w:rsidR="00787078" w:rsidRDefault="004724ED">
      <w:pPr>
        <w:rPr>
          <w:lang w:val="en-AU"/>
        </w:rPr>
      </w:pPr>
      <w:r w:rsidRPr="004724ED">
        <w:rPr>
          <w:noProof/>
          <w:lang w:val="en-US"/>
        </w:rPr>
        <w:drawing>
          <wp:inline distT="0" distB="0" distL="0" distR="0" wp14:anchorId="19729476" wp14:editId="0794A0DB">
            <wp:extent cx="5161085" cy="2676234"/>
            <wp:effectExtent l="0" t="0" r="1905" b="0"/>
            <wp:docPr id="38" name="Picture 38" descr="Separations and costs for MDC 19: Mental diseases and disorders&#10;&#10;This is a combined column and line graph. The column graph shows sample separations for MDC 19 over the period between 2018-19 and 2020-21. The line graph on the secondary axis shows the total cost for MDC 19 over the period between 2018-19 and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eparations and costs for MDC 19: Mental diseases and disorders&#10;&#10;This is a combined column and line graph. The column graph shows sample separations for MDC 19 over the period between 2018-19 and 2020-21. The line graph on the secondary axis shows the total cost for MDC 19 over the period between 2018-19 and 2020-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5529" cy="2678538"/>
                    </a:xfrm>
                    <a:prstGeom prst="rect">
                      <a:avLst/>
                    </a:prstGeom>
                    <a:noFill/>
                    <a:ln>
                      <a:noFill/>
                    </a:ln>
                  </pic:spPr>
                </pic:pic>
              </a:graphicData>
            </a:graphic>
          </wp:inline>
        </w:drawing>
      </w:r>
    </w:p>
    <w:p w14:paraId="1493F202" w14:textId="041FB032" w:rsidR="00883437" w:rsidRPr="0068730C" w:rsidRDefault="008A0CCE">
      <w:pPr>
        <w:rPr>
          <w:lang w:val="en-AU"/>
        </w:rPr>
      </w:pPr>
      <w:r w:rsidRPr="0068730C">
        <w:rPr>
          <w:lang w:val="en-AU"/>
        </w:rPr>
        <w:lastRenderedPageBreak/>
        <w:t xml:space="preserve">Total costs </w:t>
      </w:r>
      <w:r w:rsidR="00772A1E">
        <w:rPr>
          <w:lang w:val="en-AU"/>
        </w:rPr>
        <w:t xml:space="preserve">in MDC </w:t>
      </w:r>
      <w:r w:rsidR="00696D29">
        <w:rPr>
          <w:lang w:val="en-AU"/>
        </w:rPr>
        <w:t xml:space="preserve">19 </w:t>
      </w:r>
      <w:r w:rsidR="00772A1E">
        <w:rPr>
          <w:lang w:val="en-AU"/>
        </w:rPr>
        <w:t>increased</w:t>
      </w:r>
      <w:r w:rsidR="003755F6" w:rsidRPr="0068730C">
        <w:rPr>
          <w:lang w:val="en-AU"/>
        </w:rPr>
        <w:t xml:space="preserve"> in 2019-20</w:t>
      </w:r>
      <w:r w:rsidRPr="0068730C">
        <w:rPr>
          <w:lang w:val="en-AU"/>
        </w:rPr>
        <w:t>, while</w:t>
      </w:r>
      <w:r w:rsidR="004E7352" w:rsidRPr="005629F8">
        <w:rPr>
          <w:lang w:val="en-AU"/>
        </w:rPr>
        <w:t xml:space="preserve"> </w:t>
      </w:r>
      <w:r w:rsidRPr="0068730C">
        <w:rPr>
          <w:lang w:val="en-AU"/>
        </w:rPr>
        <w:t>sam</w:t>
      </w:r>
      <w:r w:rsidR="00883437" w:rsidRPr="0068730C">
        <w:rPr>
          <w:lang w:val="en-AU"/>
        </w:rPr>
        <w:t>ple separations have decreased</w:t>
      </w:r>
      <w:r w:rsidR="003755F6" w:rsidRPr="0068730C">
        <w:rPr>
          <w:lang w:val="en-AU"/>
        </w:rPr>
        <w:t xml:space="preserve"> across the three</w:t>
      </w:r>
      <w:r w:rsidR="002E73D8">
        <w:rPr>
          <w:lang w:val="en-AU"/>
        </w:rPr>
        <w:t>-</w:t>
      </w:r>
      <w:r w:rsidR="003755F6" w:rsidRPr="0068730C">
        <w:rPr>
          <w:lang w:val="en-AU"/>
        </w:rPr>
        <w:t>year period</w:t>
      </w:r>
      <w:r w:rsidR="00883437" w:rsidRPr="0068730C">
        <w:rPr>
          <w:lang w:val="en-AU"/>
        </w:rPr>
        <w:t>.</w:t>
      </w:r>
    </w:p>
    <w:p w14:paraId="74FBC174" w14:textId="49645B4D" w:rsidR="00883437" w:rsidRPr="0068730C" w:rsidRDefault="00883437" w:rsidP="005629F8">
      <w:pPr>
        <w:contextualSpacing/>
        <w:rPr>
          <w:lang w:val="en-AU"/>
        </w:rPr>
      </w:pPr>
      <w:r w:rsidRPr="0068730C">
        <w:rPr>
          <w:lang w:val="en-AU"/>
        </w:rPr>
        <w:t>The decrease in separations in 2020-21 is primarily driven by the two AR-DRGs</w:t>
      </w:r>
      <w:r w:rsidR="005E3548">
        <w:rPr>
          <w:lang w:val="en-AU"/>
        </w:rPr>
        <w:t xml:space="preserve"> with the largest volume of separations</w:t>
      </w:r>
      <w:r w:rsidRPr="0068730C">
        <w:rPr>
          <w:lang w:val="en-AU"/>
        </w:rPr>
        <w:t>:</w:t>
      </w:r>
    </w:p>
    <w:p w14:paraId="0EC23F72" w14:textId="560B650F" w:rsidR="00883437" w:rsidRPr="005629F8" w:rsidRDefault="001167F4" w:rsidP="005629F8">
      <w:pPr>
        <w:pStyle w:val="ListLevel1"/>
        <w:rPr>
          <w:lang w:val="en-AU"/>
        </w:rPr>
      </w:pPr>
      <w:r w:rsidRPr="005629F8">
        <w:rPr>
          <w:lang w:val="en-AU"/>
        </w:rPr>
        <w:t>U</w:t>
      </w:r>
      <w:r w:rsidR="00883437" w:rsidRPr="0068730C">
        <w:rPr>
          <w:lang w:val="en-AU"/>
        </w:rPr>
        <w:t>60Z: Mental Health Treatment</w:t>
      </w:r>
      <w:r w:rsidR="00430A3B">
        <w:rPr>
          <w:lang w:val="en-AU"/>
        </w:rPr>
        <w:t xml:space="preserve"> W</w:t>
      </w:r>
      <w:r w:rsidR="00883437" w:rsidRPr="0068730C">
        <w:rPr>
          <w:lang w:val="en-AU"/>
        </w:rPr>
        <w:t>/O ECT</w:t>
      </w:r>
      <w:r w:rsidR="00DC5CE9">
        <w:rPr>
          <w:lang w:val="en-AU"/>
        </w:rPr>
        <w:t xml:space="preserve">, </w:t>
      </w:r>
      <w:proofErr w:type="spellStart"/>
      <w:r w:rsidR="00DC5CE9">
        <w:rPr>
          <w:lang w:val="en-AU"/>
        </w:rPr>
        <w:t>Sameday</w:t>
      </w:r>
      <w:proofErr w:type="spellEnd"/>
    </w:p>
    <w:p w14:paraId="75408E3D" w14:textId="1BBA650A" w:rsidR="00692415" w:rsidRPr="0068730C" w:rsidRDefault="00883437" w:rsidP="005629F8">
      <w:pPr>
        <w:pStyle w:val="ListLevel1"/>
        <w:ind w:left="1066" w:hanging="357"/>
        <w:contextualSpacing w:val="0"/>
        <w:rPr>
          <w:lang w:val="en-AU"/>
        </w:rPr>
      </w:pPr>
      <w:r w:rsidRPr="0068730C">
        <w:rPr>
          <w:lang w:val="en-AU"/>
        </w:rPr>
        <w:t>U</w:t>
      </w:r>
      <w:r w:rsidR="001167F4" w:rsidRPr="005629F8">
        <w:rPr>
          <w:lang w:val="en-AU"/>
        </w:rPr>
        <w:t>63B: Major Affective Disorders, Minor Complexity</w:t>
      </w:r>
    </w:p>
    <w:p w14:paraId="3E146F91" w14:textId="58661EA4" w:rsidR="00883437" w:rsidRDefault="00883437" w:rsidP="005629F8">
      <w:pPr>
        <w:pStyle w:val="ListLevel1"/>
        <w:numPr>
          <w:ilvl w:val="0"/>
          <w:numId w:val="0"/>
        </w:numPr>
        <w:rPr>
          <w:lang w:val="en-AU"/>
        </w:rPr>
      </w:pPr>
      <w:r>
        <w:rPr>
          <w:lang w:val="en-AU"/>
        </w:rPr>
        <w:t xml:space="preserve">Both </w:t>
      </w:r>
      <w:r w:rsidR="00E047B2">
        <w:rPr>
          <w:lang w:val="en-AU"/>
        </w:rPr>
        <w:t xml:space="preserve">AR-DRGs have maintained a similar level of total cost despite the decrease in separations. As evidenced in the chart, the decrease in separations occurred in 2019-20 </w:t>
      </w:r>
      <w:r w:rsidR="00E3200F">
        <w:rPr>
          <w:lang w:val="en-AU"/>
        </w:rPr>
        <w:t xml:space="preserve">and </w:t>
      </w:r>
      <w:r w:rsidR="00BD57D8">
        <w:rPr>
          <w:lang w:val="en-AU"/>
        </w:rPr>
        <w:t>continued</w:t>
      </w:r>
      <w:r w:rsidR="00E047B2">
        <w:rPr>
          <w:lang w:val="en-AU"/>
        </w:rPr>
        <w:t xml:space="preserve"> into 2020</w:t>
      </w:r>
      <w:r w:rsidR="00C82F8C">
        <w:rPr>
          <w:lang w:val="en-AU"/>
        </w:rPr>
        <w:noBreakHyphen/>
      </w:r>
      <w:r w:rsidR="00E047B2">
        <w:rPr>
          <w:lang w:val="en-AU"/>
        </w:rPr>
        <w:t>21.</w:t>
      </w:r>
    </w:p>
    <w:p w14:paraId="296653A1" w14:textId="35DFC333" w:rsidR="00E94BF0" w:rsidRPr="005629F8" w:rsidRDefault="00E94BF0" w:rsidP="00FC4599">
      <w:pPr>
        <w:pStyle w:val="Heading2"/>
      </w:pPr>
      <w:bookmarkStart w:id="104" w:name="_bookmark8"/>
      <w:bookmarkStart w:id="105" w:name="_Ref103175255"/>
      <w:bookmarkStart w:id="106" w:name="_Toc129700681"/>
      <w:bookmarkStart w:id="107" w:name="_Toc129701374"/>
      <w:bookmarkEnd w:id="104"/>
      <w:r w:rsidRPr="005629F8">
        <w:t>Analysis</w:t>
      </w:r>
      <w:r w:rsidRPr="005629F8">
        <w:rPr>
          <w:spacing w:val="-2"/>
        </w:rPr>
        <w:t xml:space="preserve"> </w:t>
      </w:r>
      <w:r w:rsidRPr="005629F8">
        <w:t>of</w:t>
      </w:r>
      <w:r w:rsidRPr="005629F8">
        <w:rPr>
          <w:spacing w:val="-1"/>
        </w:rPr>
        <w:t xml:space="preserve"> </w:t>
      </w:r>
      <w:r w:rsidRPr="005629F8">
        <w:t>Top</w:t>
      </w:r>
      <w:r w:rsidRPr="005629F8">
        <w:rPr>
          <w:spacing w:val="-3"/>
        </w:rPr>
        <w:t xml:space="preserve"> </w:t>
      </w:r>
      <w:r w:rsidR="003C3B21" w:rsidRPr="005629F8">
        <w:t>1</w:t>
      </w:r>
      <w:r w:rsidRPr="005629F8">
        <w:t>0</w:t>
      </w:r>
      <w:r w:rsidRPr="005629F8">
        <w:rPr>
          <w:spacing w:val="-2"/>
        </w:rPr>
        <w:t xml:space="preserve"> </w:t>
      </w:r>
      <w:r w:rsidRPr="005629F8">
        <w:t>AR-DRGs</w:t>
      </w:r>
      <w:bookmarkEnd w:id="105"/>
      <w:bookmarkEnd w:id="106"/>
      <w:bookmarkEnd w:id="107"/>
    </w:p>
    <w:p w14:paraId="55A3188F" w14:textId="6133B207" w:rsidR="00E94BF0" w:rsidRPr="005629F8" w:rsidRDefault="00E94BF0" w:rsidP="00E94BF0">
      <w:pPr>
        <w:rPr>
          <w:lang w:val="en-AU"/>
        </w:rPr>
      </w:pPr>
      <w:r w:rsidRPr="005629F8">
        <w:rPr>
          <w:lang w:val="en-AU"/>
        </w:rPr>
        <w:t xml:space="preserve">Analysing the top </w:t>
      </w:r>
      <w:r w:rsidR="003C3B21" w:rsidRPr="005629F8">
        <w:rPr>
          <w:lang w:val="en-AU"/>
        </w:rPr>
        <w:t>1</w:t>
      </w:r>
      <w:r w:rsidRPr="005629F8">
        <w:rPr>
          <w:lang w:val="en-AU"/>
        </w:rPr>
        <w:t xml:space="preserve">0 AR-DRGs provides insight into the consistency between </w:t>
      </w:r>
      <w:r w:rsidR="007164B7" w:rsidRPr="005629F8">
        <w:rPr>
          <w:lang w:val="en-AU"/>
        </w:rPr>
        <w:t>years</w:t>
      </w:r>
      <w:r w:rsidR="0058551D">
        <w:rPr>
          <w:lang w:val="en-AU"/>
        </w:rPr>
        <w:t>,</w:t>
      </w:r>
      <w:r w:rsidR="00696D29">
        <w:rPr>
          <w:lang w:val="en-AU"/>
        </w:rPr>
        <w:t xml:space="preserve"> </w:t>
      </w:r>
      <w:r w:rsidRPr="005629F8">
        <w:rPr>
          <w:lang w:val="en-AU"/>
        </w:rPr>
        <w:t xml:space="preserve">facilitates the identification of </w:t>
      </w:r>
      <w:r w:rsidR="00582B54" w:rsidRPr="005629F8">
        <w:rPr>
          <w:lang w:val="en-AU"/>
        </w:rPr>
        <w:t>trends and</w:t>
      </w:r>
      <w:r w:rsidRPr="005629F8">
        <w:rPr>
          <w:lang w:val="en-AU"/>
        </w:rPr>
        <w:t xml:space="preserve"> highlights the AR-DRGs that are driving costs. This section of the report provides an analysis of the top </w:t>
      </w:r>
      <w:r w:rsidR="003C3B21" w:rsidRPr="005629F8">
        <w:rPr>
          <w:lang w:val="en-AU"/>
        </w:rPr>
        <w:t>1</w:t>
      </w:r>
      <w:r w:rsidRPr="005629F8">
        <w:rPr>
          <w:lang w:val="en-AU"/>
        </w:rPr>
        <w:t>0 AR-DRGs by the following categories:</w:t>
      </w:r>
    </w:p>
    <w:p w14:paraId="6CF21451" w14:textId="31AA1338" w:rsidR="00E94BF0" w:rsidRPr="005629F8" w:rsidRDefault="00E94BF0" w:rsidP="003A538E">
      <w:pPr>
        <w:pStyle w:val="ListLevel1"/>
        <w:rPr>
          <w:lang w:val="en-AU"/>
        </w:rPr>
      </w:pPr>
      <w:r w:rsidRPr="005629F8">
        <w:rPr>
          <w:lang w:val="en-AU"/>
        </w:rPr>
        <w:t>cost weight</w:t>
      </w:r>
    </w:p>
    <w:p w14:paraId="1E02569F" w14:textId="449BF208" w:rsidR="00E94BF0" w:rsidRPr="005629F8" w:rsidRDefault="00E94BF0" w:rsidP="003A538E">
      <w:pPr>
        <w:pStyle w:val="ListLevel1"/>
        <w:rPr>
          <w:lang w:val="en-AU"/>
        </w:rPr>
      </w:pPr>
      <w:r w:rsidRPr="005629F8">
        <w:rPr>
          <w:lang w:val="en-AU"/>
        </w:rPr>
        <w:t>number of population-adjusted separations</w:t>
      </w:r>
    </w:p>
    <w:p w14:paraId="59E8E21A" w14:textId="53EF6039" w:rsidR="00E94BF0" w:rsidRPr="005629F8" w:rsidRDefault="00E94BF0">
      <w:pPr>
        <w:pStyle w:val="ListLevel1"/>
        <w:rPr>
          <w:lang w:val="en-AU"/>
        </w:rPr>
      </w:pPr>
      <w:r w:rsidRPr="005629F8">
        <w:rPr>
          <w:lang w:val="en-AU"/>
        </w:rPr>
        <w:t>cost weighted separations</w:t>
      </w:r>
      <w:r w:rsidR="001E0E68">
        <w:rPr>
          <w:lang w:val="en-AU"/>
        </w:rPr>
        <w:t>.</w:t>
      </w:r>
    </w:p>
    <w:p w14:paraId="4D6F4937" w14:textId="7A849EE3" w:rsidR="00A869FB" w:rsidRPr="005629F8" w:rsidRDefault="00A869FB" w:rsidP="00E829BF">
      <w:pPr>
        <w:pStyle w:val="Heading3"/>
      </w:pPr>
      <w:bookmarkStart w:id="108" w:name="_Toc129700682"/>
      <w:bookmarkStart w:id="109" w:name="_Toc129701375"/>
      <w:r w:rsidRPr="005629F8">
        <w:t xml:space="preserve">Top </w:t>
      </w:r>
      <w:r w:rsidR="003C3B21" w:rsidRPr="005629F8">
        <w:t>1</w:t>
      </w:r>
      <w:r w:rsidRPr="005629F8">
        <w:t>0 AR-DRGs ranked by highest cost weight</w:t>
      </w:r>
      <w:bookmarkEnd w:id="108"/>
      <w:bookmarkEnd w:id="109"/>
    </w:p>
    <w:p w14:paraId="4158A789" w14:textId="6F3F8AE3" w:rsidR="00A869FB" w:rsidRPr="005629F8" w:rsidRDefault="00A869FB" w:rsidP="00A869FB">
      <w:pPr>
        <w:pStyle w:val="Heading4"/>
        <w:rPr>
          <w:lang w:val="en-AU"/>
        </w:rPr>
      </w:pPr>
      <w:r w:rsidRPr="005629F8">
        <w:rPr>
          <w:lang w:val="en-AU"/>
        </w:rPr>
        <w:t>Key</w:t>
      </w:r>
      <w:r w:rsidRPr="005629F8">
        <w:rPr>
          <w:spacing w:val="-3"/>
          <w:lang w:val="en-AU"/>
        </w:rPr>
        <w:t xml:space="preserve"> </w:t>
      </w:r>
      <w:r w:rsidRPr="005629F8">
        <w:rPr>
          <w:lang w:val="en-AU"/>
        </w:rPr>
        <w:t>findings</w:t>
      </w:r>
    </w:p>
    <w:p w14:paraId="01200379" w14:textId="26E12C67" w:rsidR="00A869FB" w:rsidRPr="005629F8" w:rsidRDefault="00A869FB" w:rsidP="00A869FB">
      <w:pPr>
        <w:rPr>
          <w:color w:val="auto"/>
          <w:lang w:val="en-AU"/>
        </w:rPr>
      </w:pPr>
      <w:r w:rsidRPr="005629F8">
        <w:rPr>
          <w:lang w:val="en-AU"/>
        </w:rPr>
        <w:t xml:space="preserve">As shown </w:t>
      </w:r>
      <w:r w:rsidRPr="005629F8">
        <w:rPr>
          <w:color w:val="auto"/>
          <w:lang w:val="en-AU"/>
        </w:rPr>
        <w:t xml:space="preserve">in </w:t>
      </w:r>
      <w:r w:rsidR="00E16820">
        <w:rPr>
          <w:color w:val="auto"/>
          <w:lang w:val="en-AU"/>
        </w:rPr>
        <w:fldChar w:fldCharType="begin"/>
      </w:r>
      <w:r w:rsidR="00E16820">
        <w:rPr>
          <w:color w:val="auto"/>
          <w:lang w:val="en-AU"/>
        </w:rPr>
        <w:instrText xml:space="preserve"> REF _Ref129182204 \h </w:instrText>
      </w:r>
      <w:r w:rsidR="00E16820">
        <w:rPr>
          <w:color w:val="auto"/>
          <w:lang w:val="en-AU"/>
        </w:rPr>
      </w:r>
      <w:r w:rsidR="00E16820">
        <w:rPr>
          <w:color w:val="auto"/>
          <w:lang w:val="en-AU"/>
        </w:rPr>
        <w:fldChar w:fldCharType="separate"/>
      </w:r>
      <w:r w:rsidR="00E16820">
        <w:t xml:space="preserve">Figure </w:t>
      </w:r>
      <w:r w:rsidR="00E16820">
        <w:rPr>
          <w:noProof/>
        </w:rPr>
        <w:t>9</w:t>
      </w:r>
      <w:r w:rsidR="00E16820">
        <w:rPr>
          <w:color w:val="auto"/>
          <w:lang w:val="en-AU"/>
        </w:rPr>
        <w:fldChar w:fldCharType="end"/>
      </w:r>
      <w:r w:rsidR="00692415" w:rsidRPr="005629F8">
        <w:rPr>
          <w:color w:val="auto"/>
          <w:lang w:val="en-AU"/>
        </w:rPr>
        <w:fldChar w:fldCharType="begin"/>
      </w:r>
      <w:r w:rsidR="00692415" w:rsidRPr="005629F8">
        <w:rPr>
          <w:color w:val="auto"/>
          <w:lang w:val="en-AU"/>
        </w:rPr>
        <w:instrText xml:space="preserve"> REF _Ref126749102 \h  \* MERGEFORMAT </w:instrText>
      </w:r>
      <w:r w:rsidR="00692415" w:rsidRPr="005629F8">
        <w:rPr>
          <w:color w:val="auto"/>
          <w:lang w:val="en-AU"/>
        </w:rPr>
      </w:r>
      <w:r w:rsidR="00692415" w:rsidRPr="005629F8">
        <w:rPr>
          <w:color w:val="auto"/>
          <w:lang w:val="en-AU"/>
        </w:rPr>
        <w:fldChar w:fldCharType="end"/>
      </w:r>
      <w:r w:rsidR="00692415" w:rsidRPr="005629F8">
        <w:rPr>
          <w:color w:val="auto"/>
          <w:lang w:val="en-AU"/>
        </w:rPr>
        <w:t xml:space="preserve"> </w:t>
      </w:r>
      <w:r w:rsidRPr="005629F8">
        <w:rPr>
          <w:color w:val="auto"/>
          <w:lang w:val="en-AU"/>
        </w:rPr>
        <w:t xml:space="preserve">below, the highest cost weight AR-DRG was A13A: Ventilation &gt;=336hours, Major Complexity. </w:t>
      </w:r>
      <w:r w:rsidR="009B5880" w:rsidRPr="005629F8">
        <w:rPr>
          <w:color w:val="auto"/>
          <w:lang w:val="en-AU"/>
        </w:rPr>
        <w:t>T</w:t>
      </w:r>
      <w:r w:rsidRPr="005629F8">
        <w:rPr>
          <w:color w:val="auto"/>
          <w:lang w:val="en-AU"/>
        </w:rPr>
        <w:t xml:space="preserve">his was also the AR-DRG with the highest cost weight in </w:t>
      </w:r>
      <w:r w:rsidR="003C3B21" w:rsidRPr="005629F8">
        <w:rPr>
          <w:color w:val="auto"/>
          <w:lang w:val="en-AU"/>
        </w:rPr>
        <w:t>the previous year</w:t>
      </w:r>
      <w:r w:rsidR="00E03F55" w:rsidRPr="005629F8">
        <w:rPr>
          <w:color w:val="auto"/>
          <w:lang w:val="en-AU"/>
        </w:rPr>
        <w:t xml:space="preserve"> and has had the highest cost weight since 2015-16.</w:t>
      </w:r>
      <w:r w:rsidRPr="005629F8">
        <w:rPr>
          <w:color w:val="auto"/>
          <w:lang w:val="en-AU"/>
        </w:rPr>
        <w:t xml:space="preserve"> Of the </w:t>
      </w:r>
      <w:r w:rsidR="00696D29">
        <w:rPr>
          <w:color w:val="auto"/>
          <w:lang w:val="en-AU"/>
        </w:rPr>
        <w:t>ten</w:t>
      </w:r>
      <w:r w:rsidR="009B5880" w:rsidRPr="005629F8">
        <w:rPr>
          <w:color w:val="auto"/>
          <w:lang w:val="en-AU"/>
        </w:rPr>
        <w:t xml:space="preserve"> </w:t>
      </w:r>
      <w:r w:rsidRPr="005629F8">
        <w:rPr>
          <w:color w:val="auto"/>
          <w:lang w:val="en-AU"/>
        </w:rPr>
        <w:t xml:space="preserve">highest cost weight AR-DRGs, </w:t>
      </w:r>
      <w:r w:rsidR="009B5880" w:rsidRPr="005629F8">
        <w:rPr>
          <w:color w:val="auto"/>
          <w:lang w:val="en-AU"/>
        </w:rPr>
        <w:t>seven belong to the MDC 00 (Pre MDC)</w:t>
      </w:r>
      <w:r w:rsidR="00E3200F">
        <w:rPr>
          <w:color w:val="auto"/>
          <w:lang w:val="en-AU"/>
        </w:rPr>
        <w:t>. T</w:t>
      </w:r>
      <w:r w:rsidR="007D07FA">
        <w:rPr>
          <w:color w:val="auto"/>
          <w:lang w:val="en-AU"/>
        </w:rPr>
        <w:t>his</w:t>
      </w:r>
      <w:r w:rsidR="009B5880" w:rsidRPr="005629F8">
        <w:rPr>
          <w:color w:val="auto"/>
          <w:lang w:val="en-AU"/>
        </w:rPr>
        <w:t xml:space="preserve"> </w:t>
      </w:r>
      <w:r w:rsidR="006356F6" w:rsidRPr="005629F8">
        <w:rPr>
          <w:color w:val="auto"/>
          <w:lang w:val="en-AU"/>
        </w:rPr>
        <w:t xml:space="preserve">reflects the </w:t>
      </w:r>
      <w:r w:rsidR="009B5880" w:rsidRPr="005629F8">
        <w:rPr>
          <w:color w:val="auto"/>
          <w:lang w:val="en-AU"/>
        </w:rPr>
        <w:t>high</w:t>
      </w:r>
      <w:r w:rsidR="002E73D8">
        <w:rPr>
          <w:color w:val="auto"/>
          <w:lang w:val="en-AU"/>
        </w:rPr>
        <w:t>-</w:t>
      </w:r>
      <w:r w:rsidR="009B5880" w:rsidRPr="005629F8">
        <w:rPr>
          <w:color w:val="auto"/>
          <w:lang w:val="en-AU"/>
        </w:rPr>
        <w:t>cost</w:t>
      </w:r>
      <w:r w:rsidR="006356F6" w:rsidRPr="005629F8">
        <w:rPr>
          <w:color w:val="auto"/>
          <w:lang w:val="en-AU"/>
        </w:rPr>
        <w:t xml:space="preserve"> nature of the ventilation related AR</w:t>
      </w:r>
      <w:r w:rsidR="006356F6" w:rsidRPr="005629F8">
        <w:rPr>
          <w:color w:val="auto"/>
          <w:lang w:val="en-AU"/>
        </w:rPr>
        <w:noBreakHyphen/>
        <w:t>DRGs that make up this MDC</w:t>
      </w:r>
      <w:r w:rsidR="009B5880" w:rsidRPr="005629F8">
        <w:rPr>
          <w:color w:val="auto"/>
          <w:lang w:val="en-AU"/>
        </w:rPr>
        <w:t>.</w:t>
      </w:r>
    </w:p>
    <w:p w14:paraId="4431DE1F" w14:textId="73CFAFC0" w:rsidR="00A869FB" w:rsidRPr="005629F8" w:rsidRDefault="00A869FB" w:rsidP="00A869FB">
      <w:pPr>
        <w:rPr>
          <w:lang w:val="en-AU"/>
        </w:rPr>
      </w:pPr>
      <w:r w:rsidRPr="005629F8">
        <w:rPr>
          <w:color w:val="auto"/>
          <w:lang w:val="en-AU"/>
        </w:rPr>
        <w:t xml:space="preserve">The AR-DRGs in </w:t>
      </w:r>
      <w:r w:rsidR="001D1D30" w:rsidRPr="005629F8">
        <w:rPr>
          <w:color w:val="auto"/>
          <w:lang w:val="en-AU"/>
        </w:rPr>
        <w:fldChar w:fldCharType="begin"/>
      </w:r>
      <w:r w:rsidR="001D1D30" w:rsidRPr="005629F8">
        <w:rPr>
          <w:color w:val="auto"/>
          <w:lang w:val="en-AU"/>
        </w:rPr>
        <w:instrText xml:space="preserve"> REF _Ref103175712 \h  \* MERGEFORMAT </w:instrText>
      </w:r>
      <w:r w:rsidR="001D1D30" w:rsidRPr="005629F8">
        <w:rPr>
          <w:color w:val="auto"/>
          <w:lang w:val="en-AU"/>
        </w:rPr>
      </w:r>
      <w:r w:rsidR="001D1D30" w:rsidRPr="005629F8">
        <w:rPr>
          <w:color w:val="auto"/>
          <w:lang w:val="en-AU"/>
        </w:rPr>
        <w:fldChar w:fldCharType="separate"/>
      </w:r>
      <w:r w:rsidR="00E16820" w:rsidRPr="005629F8">
        <w:rPr>
          <w:color w:val="auto"/>
          <w:lang w:val="en-AU"/>
        </w:rPr>
        <w:t xml:space="preserve">Table </w:t>
      </w:r>
      <w:r w:rsidR="00E16820" w:rsidRPr="005629F8">
        <w:rPr>
          <w:iCs/>
          <w:noProof/>
          <w:color w:val="auto"/>
          <w:lang w:val="en-AU"/>
        </w:rPr>
        <w:t>5</w:t>
      </w:r>
      <w:r w:rsidR="001D1D30" w:rsidRPr="005629F8">
        <w:rPr>
          <w:color w:val="auto"/>
          <w:lang w:val="en-AU"/>
        </w:rPr>
        <w:fldChar w:fldCharType="end"/>
      </w:r>
      <w:hyperlink w:anchor="_bookmark10" w:history="1">
        <w:r w:rsidRPr="005629F8">
          <w:rPr>
            <w:color w:val="auto"/>
            <w:lang w:val="en-AU"/>
          </w:rPr>
          <w:t xml:space="preserve"> </w:t>
        </w:r>
      </w:hyperlink>
      <w:r w:rsidRPr="005629F8">
        <w:rPr>
          <w:color w:val="auto"/>
          <w:lang w:val="en-AU"/>
        </w:rPr>
        <w:t xml:space="preserve">were </w:t>
      </w:r>
      <w:r w:rsidRPr="005629F8">
        <w:rPr>
          <w:lang w:val="en-AU"/>
        </w:rPr>
        <w:t>high</w:t>
      </w:r>
      <w:r w:rsidR="002E73D8">
        <w:rPr>
          <w:lang w:val="en-AU"/>
        </w:rPr>
        <w:t>-</w:t>
      </w:r>
      <w:r w:rsidRPr="005629F8">
        <w:rPr>
          <w:lang w:val="en-AU"/>
        </w:rPr>
        <w:t xml:space="preserve">cost but </w:t>
      </w:r>
      <w:r w:rsidR="002E73D8" w:rsidRPr="005629F8">
        <w:rPr>
          <w:lang w:val="en-AU"/>
        </w:rPr>
        <w:t>low</w:t>
      </w:r>
      <w:r w:rsidR="002E73D8">
        <w:rPr>
          <w:lang w:val="en-AU"/>
        </w:rPr>
        <w:t>-</w:t>
      </w:r>
      <w:r w:rsidRPr="005629F8">
        <w:rPr>
          <w:lang w:val="en-AU"/>
        </w:rPr>
        <w:t>volume, representing only 0.</w:t>
      </w:r>
      <w:r w:rsidR="00E03F55" w:rsidRPr="005629F8">
        <w:rPr>
          <w:lang w:val="en-AU"/>
        </w:rPr>
        <w:t>04</w:t>
      </w:r>
      <w:r w:rsidRPr="005629F8">
        <w:rPr>
          <w:lang w:val="en-AU"/>
        </w:rPr>
        <w:t xml:space="preserve"> per cent of the total population-adjusted separations</w:t>
      </w:r>
      <w:r w:rsidR="001D592B" w:rsidRPr="005629F8">
        <w:rPr>
          <w:lang w:val="en-AU"/>
        </w:rPr>
        <w:t xml:space="preserve">. </w:t>
      </w:r>
      <w:r w:rsidRPr="005629F8">
        <w:rPr>
          <w:lang w:val="en-AU"/>
        </w:rPr>
        <w:t xml:space="preserve">Despite this low volume they accounted for </w:t>
      </w:r>
      <w:r w:rsidR="001D592B" w:rsidRPr="005629F8">
        <w:rPr>
          <w:lang w:val="en-AU"/>
        </w:rPr>
        <w:t>0.98</w:t>
      </w:r>
      <w:r w:rsidRPr="005629F8">
        <w:rPr>
          <w:lang w:val="en-AU"/>
        </w:rPr>
        <w:t xml:space="preserve"> per cent of the total population cost weighted separations.</w:t>
      </w:r>
      <w:r w:rsidR="001D592B" w:rsidRPr="005629F8">
        <w:rPr>
          <w:lang w:val="en-AU"/>
        </w:rPr>
        <w:t xml:space="preserve"> </w:t>
      </w:r>
    </w:p>
    <w:p w14:paraId="1405013E" w14:textId="5A70CCAC" w:rsidR="005002C6" w:rsidRPr="0068730C" w:rsidRDefault="00A869FB" w:rsidP="00AD4EEC">
      <w:pPr>
        <w:rPr>
          <w:lang w:val="en-AU"/>
        </w:rPr>
      </w:pPr>
      <w:r w:rsidRPr="005629F8">
        <w:rPr>
          <w:lang w:val="en-AU"/>
        </w:rPr>
        <w:t xml:space="preserve">The ALOS for these top </w:t>
      </w:r>
      <w:r w:rsidR="00AD4EEC" w:rsidRPr="005629F8">
        <w:rPr>
          <w:lang w:val="en-AU"/>
        </w:rPr>
        <w:t>1</w:t>
      </w:r>
      <w:r w:rsidRPr="005629F8">
        <w:rPr>
          <w:lang w:val="en-AU"/>
        </w:rPr>
        <w:t xml:space="preserve">0 AR-DRGs is </w:t>
      </w:r>
      <w:r w:rsidR="00AD4EEC" w:rsidRPr="005629F8">
        <w:rPr>
          <w:lang w:val="en-AU"/>
        </w:rPr>
        <w:t xml:space="preserve">29.9 days compared </w:t>
      </w:r>
      <w:r w:rsidR="009D1F0D" w:rsidRPr="005629F8">
        <w:rPr>
          <w:lang w:val="en-AU"/>
        </w:rPr>
        <w:t>to the population average of 2.2</w:t>
      </w:r>
      <w:r w:rsidR="00AD4EEC" w:rsidRPr="005629F8">
        <w:rPr>
          <w:lang w:val="en-AU"/>
        </w:rPr>
        <w:t xml:space="preserve"> days, reflecting the high complexity of these AR-D</w:t>
      </w:r>
      <w:r w:rsidR="00D55C5B" w:rsidRPr="0068730C">
        <w:rPr>
          <w:lang w:val="en-AU"/>
        </w:rPr>
        <w:t>RG</w:t>
      </w:r>
      <w:r w:rsidR="00AD4EEC" w:rsidRPr="005629F8">
        <w:rPr>
          <w:lang w:val="en-AU"/>
        </w:rPr>
        <w:t>s. The ALOS for 2020</w:t>
      </w:r>
      <w:r w:rsidR="00C82F8C" w:rsidRPr="0068730C">
        <w:rPr>
          <w:lang w:val="en-AU"/>
        </w:rPr>
        <w:noBreakHyphen/>
      </w:r>
      <w:r w:rsidR="00AD4EEC" w:rsidRPr="005629F8">
        <w:rPr>
          <w:lang w:val="en-AU"/>
        </w:rPr>
        <w:t xml:space="preserve">21 </w:t>
      </w:r>
      <w:proofErr w:type="gramStart"/>
      <w:r w:rsidR="00AD4EEC" w:rsidRPr="005629F8">
        <w:rPr>
          <w:lang w:val="en-AU"/>
        </w:rPr>
        <w:t>has</w:t>
      </w:r>
      <w:proofErr w:type="gramEnd"/>
      <w:r w:rsidR="00AD4EEC" w:rsidRPr="005629F8">
        <w:rPr>
          <w:lang w:val="en-AU"/>
        </w:rPr>
        <w:t xml:space="preserve"> </w:t>
      </w:r>
      <w:r w:rsidR="001D592B" w:rsidRPr="005629F8">
        <w:rPr>
          <w:lang w:val="en-AU"/>
        </w:rPr>
        <w:t>de</w:t>
      </w:r>
      <w:r w:rsidR="00AD4EEC" w:rsidRPr="005629F8">
        <w:rPr>
          <w:lang w:val="en-AU"/>
        </w:rPr>
        <w:t xml:space="preserve">creased in comparison to 2019-20, when it was </w:t>
      </w:r>
      <w:r w:rsidR="001D592B" w:rsidRPr="005629F8">
        <w:rPr>
          <w:lang w:val="en-AU"/>
        </w:rPr>
        <w:t>33.8</w:t>
      </w:r>
      <w:r w:rsidR="00AD4EEC" w:rsidRPr="005629F8">
        <w:rPr>
          <w:lang w:val="en-AU"/>
        </w:rPr>
        <w:t xml:space="preserve"> days (</w:t>
      </w:r>
      <w:r w:rsidR="00B42837">
        <w:rPr>
          <w:lang w:val="en-AU"/>
        </w:rPr>
        <w:t>-</w:t>
      </w:r>
      <w:r w:rsidR="001D592B" w:rsidRPr="005629F8">
        <w:rPr>
          <w:lang w:val="en-AU"/>
        </w:rPr>
        <w:t>11.5</w:t>
      </w:r>
      <w:r w:rsidR="000A22E9">
        <w:rPr>
          <w:lang w:val="en-AU"/>
        </w:rPr>
        <w:t xml:space="preserve"> per cent</w:t>
      </w:r>
      <w:r w:rsidR="00AD4EEC" w:rsidRPr="005629F8">
        <w:rPr>
          <w:lang w:val="en-AU"/>
        </w:rPr>
        <w:t>).</w:t>
      </w:r>
      <w:r w:rsidR="00337A91" w:rsidRPr="005629F8">
        <w:rPr>
          <w:lang w:val="en-AU"/>
        </w:rPr>
        <w:t xml:space="preserve"> This decrease in ALOS wa</w:t>
      </w:r>
      <w:r w:rsidR="009D1F0D" w:rsidRPr="005629F8">
        <w:rPr>
          <w:lang w:val="en-AU"/>
        </w:rPr>
        <w:t xml:space="preserve">s primarily driven by the top 3 AR-DRGs, </w:t>
      </w:r>
      <w:r w:rsidR="007D07FA">
        <w:rPr>
          <w:lang w:val="en-AU"/>
        </w:rPr>
        <w:t>which</w:t>
      </w:r>
      <w:r w:rsidR="009D1F0D" w:rsidRPr="005629F8">
        <w:rPr>
          <w:lang w:val="en-AU"/>
        </w:rPr>
        <w:t xml:space="preserve"> are all closely related to ventilation support.</w:t>
      </w:r>
    </w:p>
    <w:p w14:paraId="3E6512F5" w14:textId="72E82D57" w:rsidR="00027E03" w:rsidRDefault="005002C6" w:rsidP="005629F8">
      <w:pPr>
        <w:spacing w:line="259" w:lineRule="auto"/>
        <w:rPr>
          <w:highlight w:val="cyan"/>
          <w:lang w:val="en-AU"/>
        </w:rPr>
      </w:pPr>
      <w:r>
        <w:rPr>
          <w:highlight w:val="cyan"/>
          <w:lang w:val="en-AU"/>
        </w:rPr>
        <w:br w:type="page"/>
      </w:r>
    </w:p>
    <w:p w14:paraId="7318025A" w14:textId="4EFE18A5" w:rsidR="00EC7E6D" w:rsidRDefault="00EC7E6D" w:rsidP="00EC7E6D">
      <w:pPr>
        <w:pStyle w:val="Heading4"/>
        <w:rPr>
          <w:lang w:val="en-AU"/>
        </w:rPr>
      </w:pPr>
      <w:r w:rsidRPr="005629F8">
        <w:rPr>
          <w:lang w:val="en-AU"/>
        </w:rPr>
        <w:lastRenderedPageBreak/>
        <w:t>Comparison with previous years</w:t>
      </w:r>
    </w:p>
    <w:p w14:paraId="180DB026" w14:textId="771195F2" w:rsidR="00696D29" w:rsidRPr="001B0B5F" w:rsidRDefault="000A22E9" w:rsidP="00696D29">
      <w:pPr>
        <w:rPr>
          <w:lang w:val="en-AU"/>
        </w:rPr>
      </w:pPr>
      <w:r>
        <w:rPr>
          <w:color w:val="auto"/>
          <w:lang w:val="en-AU"/>
        </w:rPr>
        <w:fldChar w:fldCharType="begin"/>
      </w:r>
      <w:r>
        <w:rPr>
          <w:color w:val="auto"/>
          <w:lang w:val="en-AU"/>
        </w:rPr>
        <w:instrText xml:space="preserve"> REF _Ref129181055 \h </w:instrText>
      </w:r>
      <w:r>
        <w:rPr>
          <w:color w:val="auto"/>
          <w:lang w:val="en-AU"/>
        </w:rPr>
      </w:r>
      <w:r>
        <w:rPr>
          <w:color w:val="auto"/>
          <w:lang w:val="en-AU"/>
        </w:rPr>
        <w:fldChar w:fldCharType="separate"/>
      </w:r>
      <w:r w:rsidR="00E16820">
        <w:t xml:space="preserve">Figure </w:t>
      </w:r>
      <w:r w:rsidR="00E16820">
        <w:rPr>
          <w:noProof/>
        </w:rPr>
        <w:t>8</w:t>
      </w:r>
      <w:r>
        <w:rPr>
          <w:color w:val="auto"/>
          <w:lang w:val="en-AU"/>
        </w:rPr>
        <w:fldChar w:fldCharType="end"/>
      </w:r>
      <w:r>
        <w:rPr>
          <w:color w:val="auto"/>
          <w:lang w:val="en-AU"/>
        </w:rPr>
        <w:t xml:space="preserve"> </w:t>
      </w:r>
      <w:r w:rsidR="00696D29" w:rsidRPr="005629F8">
        <w:rPr>
          <w:color w:val="auto"/>
          <w:lang w:val="en-AU"/>
        </w:rPr>
        <w:t xml:space="preserve">captures the change in average cost weight and ALOS for the top 10 AR-DRGs </w:t>
      </w:r>
      <w:r w:rsidR="004952E0">
        <w:rPr>
          <w:color w:val="auto"/>
          <w:lang w:val="en-AU"/>
        </w:rPr>
        <w:t>for the period from 2018-19 to 2020-21</w:t>
      </w:r>
      <w:r w:rsidR="00696D29" w:rsidRPr="001B0B5F">
        <w:rPr>
          <w:lang w:val="en-AU"/>
        </w:rPr>
        <w:t xml:space="preserve">. </w:t>
      </w:r>
      <w:r w:rsidR="004952E0">
        <w:rPr>
          <w:lang w:val="en-AU"/>
        </w:rPr>
        <w:t>T</w:t>
      </w:r>
      <w:r w:rsidR="00696D29" w:rsidRPr="0068730C">
        <w:rPr>
          <w:lang w:val="en-AU"/>
        </w:rPr>
        <w:t>he cost weight dropped in 2019-20 but has since increased</w:t>
      </w:r>
      <w:r w:rsidR="004952E0">
        <w:rPr>
          <w:lang w:val="en-AU"/>
        </w:rPr>
        <w:t>, while t</w:t>
      </w:r>
      <w:r w:rsidR="004952E0" w:rsidRPr="0068730C">
        <w:rPr>
          <w:lang w:val="en-AU"/>
        </w:rPr>
        <w:t xml:space="preserve">he ALOS </w:t>
      </w:r>
      <w:r w:rsidR="004952E0">
        <w:rPr>
          <w:lang w:val="en-AU"/>
        </w:rPr>
        <w:t>decreased across both years.</w:t>
      </w:r>
      <w:r w:rsidR="00696D29" w:rsidRPr="0068730C">
        <w:rPr>
          <w:lang w:val="en-AU"/>
        </w:rPr>
        <w:t xml:space="preserve"> Given the low</w:t>
      </w:r>
      <w:r w:rsidR="002E73D8">
        <w:rPr>
          <w:lang w:val="en-AU"/>
        </w:rPr>
        <w:t>-</w:t>
      </w:r>
      <w:r w:rsidR="00696D29" w:rsidRPr="0068730C">
        <w:rPr>
          <w:lang w:val="en-AU"/>
        </w:rPr>
        <w:t>volume, high</w:t>
      </w:r>
      <w:r w:rsidR="002E73D8">
        <w:rPr>
          <w:lang w:val="en-AU"/>
        </w:rPr>
        <w:t>-</w:t>
      </w:r>
      <w:r w:rsidR="00696D29" w:rsidRPr="0068730C">
        <w:rPr>
          <w:lang w:val="en-AU"/>
        </w:rPr>
        <w:t>cost profile of these AR-DRGs, variability between years is to be expected</w:t>
      </w:r>
      <w:r w:rsidR="00696D29" w:rsidRPr="001B0B5F">
        <w:rPr>
          <w:lang w:val="en-AU"/>
        </w:rPr>
        <w:t>.</w:t>
      </w:r>
    </w:p>
    <w:p w14:paraId="168881A3" w14:textId="420049E8" w:rsidR="00874297" w:rsidRDefault="00874297" w:rsidP="00E87B16">
      <w:pPr>
        <w:pStyle w:val="TableFigureheading"/>
      </w:pPr>
      <w:bookmarkStart w:id="110" w:name="_Ref129181055"/>
      <w:bookmarkStart w:id="111" w:name="_Toc129263247"/>
      <w:r>
        <w:t xml:space="preserve">Figure </w:t>
      </w:r>
      <w:r>
        <w:fldChar w:fldCharType="begin"/>
      </w:r>
      <w:r>
        <w:instrText xml:space="preserve"> SEQ Figure \* ARABIC </w:instrText>
      </w:r>
      <w:r>
        <w:fldChar w:fldCharType="separate"/>
      </w:r>
      <w:r>
        <w:rPr>
          <w:noProof/>
        </w:rPr>
        <w:t>8</w:t>
      </w:r>
      <w:r>
        <w:fldChar w:fldCharType="end"/>
      </w:r>
      <w:bookmarkEnd w:id="110"/>
      <w:r>
        <w:t>. Average cost weight and ALOS for top 10 AR-DRGs</w:t>
      </w:r>
      <w:bookmarkEnd w:id="111"/>
    </w:p>
    <w:p w14:paraId="4522C168" w14:textId="373D29C0" w:rsidR="00E22802" w:rsidRDefault="00DA4140" w:rsidP="00A869FB">
      <w:pPr>
        <w:rPr>
          <w:highlight w:val="cyan"/>
          <w:lang w:val="en-AU"/>
        </w:rPr>
      </w:pPr>
      <w:r w:rsidRPr="005629F8">
        <w:rPr>
          <w:noProof/>
          <w:lang w:val="en-US"/>
        </w:rPr>
        <w:drawing>
          <wp:inline distT="0" distB="0" distL="0" distR="0" wp14:anchorId="64044D89" wp14:editId="28E03F1A">
            <wp:extent cx="4138669" cy="2531745"/>
            <wp:effectExtent l="0" t="0" r="0" b="1905"/>
            <wp:docPr id="2" name="Picture 2" descr="Average cost weight and ALOS for top 10 AR-DRGs&#10;&#10;There are two line graphs in this chart: one shows the average cost weight between 2018-19 and 2020-21, and the other one line shows the ALOS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verage cost weight and ALOS for top 10 AR-DRGs&#10;&#10;There are two line graphs in this chart: one shows the average cost weight between 2018-19 and 2020-21, and the other one line shows the ALOS over the same peri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2963" cy="2540489"/>
                    </a:xfrm>
                    <a:prstGeom prst="rect">
                      <a:avLst/>
                    </a:prstGeom>
                    <a:noFill/>
                    <a:ln>
                      <a:noFill/>
                    </a:ln>
                  </pic:spPr>
                </pic:pic>
              </a:graphicData>
            </a:graphic>
          </wp:inline>
        </w:drawing>
      </w:r>
    </w:p>
    <w:p w14:paraId="55D80E20" w14:textId="00911C99" w:rsidR="00874297" w:rsidRDefault="00874297" w:rsidP="00E87B16">
      <w:pPr>
        <w:pStyle w:val="TableFigureheading"/>
      </w:pPr>
      <w:bookmarkStart w:id="112" w:name="_Ref129182204"/>
      <w:bookmarkStart w:id="113" w:name="_Toc129263248"/>
      <w:r>
        <w:t xml:space="preserve">Figure </w:t>
      </w:r>
      <w:r>
        <w:fldChar w:fldCharType="begin"/>
      </w:r>
      <w:r>
        <w:instrText xml:space="preserve"> SEQ Figure \* ARABIC </w:instrText>
      </w:r>
      <w:r>
        <w:fldChar w:fldCharType="separate"/>
      </w:r>
      <w:r>
        <w:rPr>
          <w:noProof/>
        </w:rPr>
        <w:t>9</w:t>
      </w:r>
      <w:r>
        <w:fldChar w:fldCharType="end"/>
      </w:r>
      <w:bookmarkEnd w:id="112"/>
      <w:r>
        <w:t>. Comparison to top 10 AR-DRGs ranked by highest cost weight, 2018-19 to 2020-21</w:t>
      </w:r>
      <w:bookmarkEnd w:id="113"/>
    </w:p>
    <w:p w14:paraId="2B802A2F" w14:textId="6FE395F3" w:rsidR="005002C6" w:rsidRDefault="00A86AC3" w:rsidP="00A869FB">
      <w:pPr>
        <w:rPr>
          <w:lang w:val="en-AU"/>
        </w:rPr>
      </w:pPr>
      <w:r>
        <w:rPr>
          <w:lang w:val="en-AU"/>
        </w:rPr>
        <w:pict w14:anchorId="018E6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22pt">
            <v:imagedata r:id="rId26" o:title=""/>
          </v:shape>
        </w:pict>
      </w:r>
    </w:p>
    <w:p w14:paraId="3A817AD7" w14:textId="22A15200" w:rsidR="00A869FB" w:rsidRPr="005629F8" w:rsidRDefault="00A869FB" w:rsidP="00A869FB">
      <w:pPr>
        <w:rPr>
          <w:lang w:val="en-AU"/>
        </w:rPr>
      </w:pPr>
      <w:r w:rsidRPr="005629F8">
        <w:rPr>
          <w:lang w:val="en-AU"/>
        </w:rPr>
        <w:t xml:space="preserve">There were </w:t>
      </w:r>
      <w:r w:rsidR="006B2409" w:rsidRPr="005629F8">
        <w:rPr>
          <w:lang w:val="en-AU"/>
        </w:rPr>
        <w:t>three</w:t>
      </w:r>
      <w:r w:rsidR="006B2409" w:rsidRPr="005629F8">
        <w:rPr>
          <w:spacing w:val="-2"/>
          <w:lang w:val="en-AU"/>
        </w:rPr>
        <w:t xml:space="preserve"> </w:t>
      </w:r>
      <w:r w:rsidRPr="005629F8">
        <w:rPr>
          <w:lang w:val="en-AU"/>
        </w:rPr>
        <w:t>new</w:t>
      </w:r>
      <w:r w:rsidRPr="005629F8">
        <w:rPr>
          <w:spacing w:val="-4"/>
          <w:lang w:val="en-AU"/>
        </w:rPr>
        <w:t xml:space="preserve"> AR-DRG</w:t>
      </w:r>
      <w:r w:rsidRPr="005629F8">
        <w:rPr>
          <w:lang w:val="en-AU"/>
        </w:rPr>
        <w:t>s in</w:t>
      </w:r>
      <w:r w:rsidRPr="005629F8">
        <w:rPr>
          <w:spacing w:val="-2"/>
          <w:lang w:val="en-AU"/>
        </w:rPr>
        <w:t xml:space="preserve"> </w:t>
      </w:r>
      <w:r w:rsidRPr="005629F8">
        <w:rPr>
          <w:lang w:val="en-AU"/>
        </w:rPr>
        <w:t>the</w:t>
      </w:r>
      <w:r w:rsidRPr="005629F8">
        <w:rPr>
          <w:spacing w:val="-3"/>
          <w:lang w:val="en-AU"/>
        </w:rPr>
        <w:t xml:space="preserve"> </w:t>
      </w:r>
      <w:r w:rsidRPr="005629F8">
        <w:rPr>
          <w:lang w:val="en-AU"/>
        </w:rPr>
        <w:t>top</w:t>
      </w:r>
      <w:r w:rsidRPr="005629F8">
        <w:rPr>
          <w:spacing w:val="-2"/>
          <w:lang w:val="en-AU"/>
        </w:rPr>
        <w:t xml:space="preserve"> </w:t>
      </w:r>
      <w:r w:rsidR="00696D29">
        <w:rPr>
          <w:lang w:val="en-AU"/>
        </w:rPr>
        <w:t>10</w:t>
      </w:r>
      <w:r w:rsidRPr="005629F8">
        <w:rPr>
          <w:lang w:val="en-AU"/>
        </w:rPr>
        <w:t xml:space="preserve"> list</w:t>
      </w:r>
      <w:r w:rsidRPr="005629F8">
        <w:rPr>
          <w:spacing w:val="-1"/>
          <w:lang w:val="en-AU"/>
        </w:rPr>
        <w:t xml:space="preserve"> </w:t>
      </w:r>
      <w:r w:rsidR="006B2409" w:rsidRPr="005629F8">
        <w:rPr>
          <w:lang w:val="en-AU"/>
        </w:rPr>
        <w:t>for</w:t>
      </w:r>
      <w:r w:rsidRPr="005629F8">
        <w:rPr>
          <w:spacing w:val="1"/>
          <w:lang w:val="en-AU"/>
        </w:rPr>
        <w:t xml:space="preserve"> </w:t>
      </w:r>
      <w:r w:rsidR="006B2409" w:rsidRPr="005629F8">
        <w:rPr>
          <w:lang w:val="en-AU"/>
        </w:rPr>
        <w:t>2020-21</w:t>
      </w:r>
      <w:r w:rsidRPr="005629F8">
        <w:rPr>
          <w:lang w:val="en-AU"/>
        </w:rPr>
        <w:t>:</w:t>
      </w:r>
    </w:p>
    <w:p w14:paraId="14525EED" w14:textId="473A5A4F" w:rsidR="00A869FB" w:rsidRPr="005629F8" w:rsidRDefault="00A869FB" w:rsidP="003A538E">
      <w:pPr>
        <w:pStyle w:val="ListLevel1"/>
        <w:rPr>
          <w:lang w:val="en-AU"/>
        </w:rPr>
      </w:pPr>
      <w:r w:rsidRPr="005629F8">
        <w:rPr>
          <w:lang w:val="en-AU"/>
        </w:rPr>
        <w:t>A</w:t>
      </w:r>
      <w:r w:rsidR="00B1554C" w:rsidRPr="005629F8">
        <w:rPr>
          <w:lang w:val="en-AU"/>
        </w:rPr>
        <w:t>40Z</w:t>
      </w:r>
      <w:r w:rsidRPr="005629F8">
        <w:rPr>
          <w:lang w:val="en-AU"/>
        </w:rPr>
        <w:t xml:space="preserve">: </w:t>
      </w:r>
      <w:r w:rsidR="00454032" w:rsidRPr="0068730C">
        <w:rPr>
          <w:lang w:val="en-AU"/>
        </w:rPr>
        <w:t>Extracorporeal membrane oxygenation (ECMO)</w:t>
      </w:r>
    </w:p>
    <w:p w14:paraId="4AEA9264" w14:textId="46EEBD9D" w:rsidR="00B1554C" w:rsidRPr="005629F8" w:rsidRDefault="00A869FB" w:rsidP="00B1554C">
      <w:pPr>
        <w:pStyle w:val="ListLevel1"/>
        <w:rPr>
          <w:lang w:val="en-AU"/>
        </w:rPr>
      </w:pPr>
      <w:r w:rsidRPr="005629F8">
        <w:rPr>
          <w:lang w:val="en-AU"/>
        </w:rPr>
        <w:t>A1</w:t>
      </w:r>
      <w:r w:rsidR="00B1554C" w:rsidRPr="005629F8">
        <w:rPr>
          <w:lang w:val="en-AU"/>
        </w:rPr>
        <w:t>4C</w:t>
      </w:r>
      <w:r w:rsidRPr="005629F8">
        <w:rPr>
          <w:lang w:val="en-AU"/>
        </w:rPr>
        <w:t xml:space="preserve">: </w:t>
      </w:r>
      <w:r w:rsidR="00B1554C" w:rsidRPr="005629F8">
        <w:rPr>
          <w:lang w:val="en-AU"/>
        </w:rPr>
        <w:t>Ventilation &gt;= 96 hours &amp; &lt; 336 hours, Minor Complexity</w:t>
      </w:r>
    </w:p>
    <w:p w14:paraId="2E3ADD27" w14:textId="3468B9A1" w:rsidR="00B1554C" w:rsidRPr="005629F8" w:rsidRDefault="00B1554C" w:rsidP="00B1554C">
      <w:pPr>
        <w:pStyle w:val="ListLevel1"/>
        <w:rPr>
          <w:lang w:val="en-AU"/>
        </w:rPr>
      </w:pPr>
      <w:r w:rsidRPr="005629F8">
        <w:rPr>
          <w:lang w:val="en-AU"/>
        </w:rPr>
        <w:t>F07A: Other Cardiothoracic/Vascular Interventions W CPB Pump, Major Complexity</w:t>
      </w:r>
      <w:r w:rsidR="00B42837">
        <w:rPr>
          <w:lang w:val="en-AU"/>
        </w:rPr>
        <w:t>.</w:t>
      </w:r>
    </w:p>
    <w:p w14:paraId="4E7624D6" w14:textId="721B7A5C" w:rsidR="00B1554C" w:rsidRPr="005629F8" w:rsidRDefault="00B1554C" w:rsidP="005629F8">
      <w:pPr>
        <w:pStyle w:val="ListLevel1"/>
        <w:numPr>
          <w:ilvl w:val="0"/>
          <w:numId w:val="0"/>
        </w:numPr>
        <w:ind w:left="1080" w:hanging="360"/>
        <w:rPr>
          <w:lang w:val="en-AU"/>
        </w:rPr>
      </w:pPr>
    </w:p>
    <w:p w14:paraId="596CDA42" w14:textId="48A36DD7" w:rsidR="004C4091" w:rsidRPr="005629F8" w:rsidRDefault="007A071B" w:rsidP="005629F8">
      <w:pPr>
        <w:pStyle w:val="ListLevel1"/>
        <w:numPr>
          <w:ilvl w:val="0"/>
          <w:numId w:val="0"/>
        </w:numPr>
        <w:rPr>
          <w:lang w:val="en-AU"/>
        </w:rPr>
      </w:pPr>
      <w:r w:rsidRPr="005629F8">
        <w:rPr>
          <w:lang w:val="en-AU"/>
        </w:rPr>
        <w:lastRenderedPageBreak/>
        <w:t xml:space="preserve">A40Z is an advanced form of life support, which </w:t>
      </w:r>
      <w:r w:rsidR="00454032" w:rsidRPr="0068730C">
        <w:rPr>
          <w:lang w:val="en-AU"/>
        </w:rPr>
        <w:t>only had 17 separations d</w:t>
      </w:r>
      <w:r w:rsidRPr="005629F8">
        <w:rPr>
          <w:lang w:val="en-AU"/>
        </w:rPr>
        <w:t>uring 2020-21</w:t>
      </w:r>
      <w:r w:rsidR="006356F6">
        <w:rPr>
          <w:lang w:val="en-AU"/>
        </w:rPr>
        <w:t xml:space="preserve"> </w:t>
      </w:r>
      <w:r w:rsidR="00454032" w:rsidRPr="0068730C">
        <w:rPr>
          <w:lang w:val="en-AU"/>
        </w:rPr>
        <w:t xml:space="preserve">and has </w:t>
      </w:r>
      <w:r w:rsidR="006356F6">
        <w:rPr>
          <w:lang w:val="en-AU"/>
        </w:rPr>
        <w:t xml:space="preserve">the </w:t>
      </w:r>
      <w:r w:rsidR="004952E0">
        <w:rPr>
          <w:lang w:val="en-AU"/>
        </w:rPr>
        <w:t xml:space="preserve">fourth highest </w:t>
      </w:r>
      <w:r w:rsidR="006356F6">
        <w:rPr>
          <w:lang w:val="en-AU"/>
        </w:rPr>
        <w:t>ranked cost weight</w:t>
      </w:r>
      <w:r w:rsidR="00454032" w:rsidRPr="0068730C">
        <w:rPr>
          <w:lang w:val="en-AU"/>
        </w:rPr>
        <w:t xml:space="preserve"> (previously </w:t>
      </w:r>
      <w:r w:rsidR="006356F6">
        <w:rPr>
          <w:lang w:val="en-AU"/>
        </w:rPr>
        <w:t xml:space="preserve">rank </w:t>
      </w:r>
      <w:r w:rsidR="00454032" w:rsidRPr="0068730C">
        <w:rPr>
          <w:lang w:val="en-AU"/>
        </w:rPr>
        <w:t>47)</w:t>
      </w:r>
      <w:r w:rsidRPr="005629F8">
        <w:rPr>
          <w:lang w:val="en-AU"/>
        </w:rPr>
        <w:t>.</w:t>
      </w:r>
      <w:r w:rsidR="00EF49FC" w:rsidRPr="005629F8">
        <w:rPr>
          <w:lang w:val="en-AU"/>
        </w:rPr>
        <w:t xml:space="preserve"> </w:t>
      </w:r>
      <w:r w:rsidR="00A869FB" w:rsidRPr="005629F8">
        <w:rPr>
          <w:lang w:val="en-AU"/>
        </w:rPr>
        <w:t xml:space="preserve">The </w:t>
      </w:r>
      <w:r w:rsidR="00B1554C" w:rsidRPr="005629F8">
        <w:rPr>
          <w:lang w:val="en-AU"/>
        </w:rPr>
        <w:t>other two</w:t>
      </w:r>
      <w:r w:rsidR="00A869FB" w:rsidRPr="005629F8">
        <w:rPr>
          <w:lang w:val="en-AU"/>
        </w:rPr>
        <w:t xml:space="preserve"> AR-DRGs were slightly outside the top </w:t>
      </w:r>
      <w:r w:rsidR="00B1554C" w:rsidRPr="005629F8">
        <w:rPr>
          <w:lang w:val="en-AU"/>
        </w:rPr>
        <w:t>10</w:t>
      </w:r>
      <w:r w:rsidR="00A869FB" w:rsidRPr="005629F8">
        <w:rPr>
          <w:lang w:val="en-AU"/>
        </w:rPr>
        <w:t xml:space="preserve"> in</w:t>
      </w:r>
      <w:r w:rsidR="00A869FB" w:rsidRPr="005629F8">
        <w:rPr>
          <w:spacing w:val="1"/>
          <w:lang w:val="en-AU"/>
        </w:rPr>
        <w:t xml:space="preserve"> </w:t>
      </w:r>
      <w:r w:rsidR="00B1554C" w:rsidRPr="005629F8">
        <w:rPr>
          <w:lang w:val="en-AU"/>
        </w:rPr>
        <w:t>the previous year</w:t>
      </w:r>
      <w:r w:rsidR="00A869FB" w:rsidRPr="005629F8">
        <w:rPr>
          <w:lang w:val="en-AU"/>
        </w:rPr>
        <w:t xml:space="preserve">, </w:t>
      </w:r>
      <w:r w:rsidR="00B1554C" w:rsidRPr="005629F8">
        <w:rPr>
          <w:lang w:val="en-AU"/>
        </w:rPr>
        <w:t>at rank 1</w:t>
      </w:r>
      <w:r w:rsidR="00454032">
        <w:rPr>
          <w:lang w:val="en-AU"/>
        </w:rPr>
        <w:t>1 (F07A)</w:t>
      </w:r>
      <w:r w:rsidR="00B1554C" w:rsidRPr="005629F8">
        <w:rPr>
          <w:lang w:val="en-AU"/>
        </w:rPr>
        <w:t xml:space="preserve"> and 1</w:t>
      </w:r>
      <w:r w:rsidR="00454032">
        <w:rPr>
          <w:lang w:val="en-AU"/>
        </w:rPr>
        <w:t>2</w:t>
      </w:r>
      <w:r w:rsidR="00B1554C" w:rsidRPr="005629F8">
        <w:rPr>
          <w:lang w:val="en-AU"/>
        </w:rPr>
        <w:t xml:space="preserve"> </w:t>
      </w:r>
      <w:r w:rsidR="00454032">
        <w:rPr>
          <w:lang w:val="en-AU"/>
        </w:rPr>
        <w:t>(A14C)</w:t>
      </w:r>
      <w:r w:rsidR="00A869FB" w:rsidRPr="005629F8">
        <w:rPr>
          <w:lang w:val="en-AU"/>
        </w:rPr>
        <w:t xml:space="preserve">. This suggests they are consistently </w:t>
      </w:r>
      <w:proofErr w:type="gramStart"/>
      <w:r w:rsidR="00DB117A">
        <w:rPr>
          <w:lang w:val="en-AU"/>
        </w:rPr>
        <w:t>high</w:t>
      </w:r>
      <w:r w:rsidR="005066AC">
        <w:rPr>
          <w:lang w:val="en-AU"/>
        </w:rPr>
        <w:t xml:space="preserve"> </w:t>
      </w:r>
      <w:r w:rsidR="00DB117A">
        <w:rPr>
          <w:lang w:val="en-AU"/>
        </w:rPr>
        <w:t>cost</w:t>
      </w:r>
      <w:proofErr w:type="gramEnd"/>
      <w:r w:rsidR="00DB117A">
        <w:rPr>
          <w:lang w:val="en-AU"/>
        </w:rPr>
        <w:t xml:space="preserve"> </w:t>
      </w:r>
      <w:r w:rsidR="00A869FB" w:rsidRPr="005629F8">
        <w:rPr>
          <w:lang w:val="en-AU"/>
        </w:rPr>
        <w:t>weight</w:t>
      </w:r>
      <w:r w:rsidR="00A869FB" w:rsidRPr="005629F8">
        <w:rPr>
          <w:spacing w:val="-1"/>
          <w:lang w:val="en-AU"/>
        </w:rPr>
        <w:t xml:space="preserve"> </w:t>
      </w:r>
      <w:r w:rsidR="00A869FB" w:rsidRPr="005629F8">
        <w:rPr>
          <w:lang w:val="en-AU"/>
        </w:rPr>
        <w:t>AR-DRGs.</w:t>
      </w:r>
    </w:p>
    <w:p w14:paraId="488A1BFA" w14:textId="207D4EB3" w:rsidR="0006725F" w:rsidRPr="005629F8" w:rsidRDefault="0006725F" w:rsidP="0006725F">
      <w:pPr>
        <w:rPr>
          <w:highlight w:val="yellow"/>
          <w:lang w:val="en-AU"/>
        </w:rPr>
      </w:pPr>
      <w:bookmarkStart w:id="114" w:name="_bookmark9"/>
      <w:bookmarkEnd w:id="114"/>
    </w:p>
    <w:p w14:paraId="0FE3E606" w14:textId="6DB2AFAE" w:rsidR="00F005E1" w:rsidRPr="005629F8" w:rsidRDefault="00F005E1" w:rsidP="005629F8">
      <w:pPr>
        <w:rPr>
          <w:highlight w:val="yellow"/>
          <w:lang w:val="en-AU"/>
        </w:rPr>
        <w:sectPr w:rsidR="00F005E1" w:rsidRPr="005629F8" w:rsidSect="00522146">
          <w:pgSz w:w="11906" w:h="16838" w:code="9"/>
          <w:pgMar w:top="1440" w:right="1080" w:bottom="1440" w:left="1080" w:header="708" w:footer="708" w:gutter="0"/>
          <w:cols w:space="720"/>
          <w:docGrid w:linePitch="360"/>
        </w:sectPr>
      </w:pPr>
    </w:p>
    <w:p w14:paraId="05205A4E" w14:textId="7463BA49" w:rsidR="0074083D" w:rsidRPr="005629F8" w:rsidRDefault="003A16D1" w:rsidP="00E829BF">
      <w:pPr>
        <w:pStyle w:val="TableFigureheading"/>
        <w:rPr>
          <w:highlight w:val="yellow"/>
        </w:rPr>
      </w:pPr>
      <w:bookmarkStart w:id="115" w:name="_Ref103175712"/>
      <w:bookmarkStart w:id="116" w:name="_Toc105084245"/>
      <w:bookmarkStart w:id="117" w:name="_Ref127862901"/>
      <w:bookmarkStart w:id="118" w:name="_Toc129179299"/>
      <w:bookmarkStart w:id="119" w:name="_Toc139881778"/>
      <w:r w:rsidRPr="005629F8">
        <w:lastRenderedPageBreak/>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5</w:t>
      </w:r>
      <w:r w:rsidR="00D9779B" w:rsidRPr="005629F8">
        <w:fldChar w:fldCharType="end"/>
      </w:r>
      <w:bookmarkEnd w:id="115"/>
      <w:r w:rsidRPr="005629F8">
        <w:t>.</w:t>
      </w:r>
      <w:r w:rsidRPr="005629F8">
        <w:rPr>
          <w:spacing w:val="-1"/>
        </w:rPr>
        <w:t xml:space="preserve"> </w:t>
      </w:r>
      <w:r w:rsidRPr="005629F8">
        <w:t>Top</w:t>
      </w:r>
      <w:r w:rsidRPr="005629F8">
        <w:rPr>
          <w:spacing w:val="-3"/>
        </w:rPr>
        <w:t xml:space="preserve"> </w:t>
      </w:r>
      <w:r w:rsidR="003C3B21" w:rsidRPr="005629F8">
        <w:t>1</w:t>
      </w:r>
      <w:r w:rsidRPr="005629F8">
        <w:t>0</w:t>
      </w:r>
      <w:r w:rsidRPr="005629F8">
        <w:rPr>
          <w:spacing w:val="-1"/>
        </w:rPr>
        <w:t xml:space="preserve"> </w:t>
      </w:r>
      <w:r w:rsidRPr="005629F8">
        <w:t>AR-DRGs ranked</w:t>
      </w:r>
      <w:r w:rsidRPr="005629F8">
        <w:rPr>
          <w:spacing w:val="-1"/>
        </w:rPr>
        <w:t xml:space="preserve"> </w:t>
      </w:r>
      <w:r w:rsidRPr="005629F8">
        <w:t>by</w:t>
      </w:r>
      <w:r w:rsidRPr="005629F8">
        <w:rPr>
          <w:spacing w:val="-8"/>
        </w:rPr>
        <w:t xml:space="preserve"> </w:t>
      </w:r>
      <w:r w:rsidRPr="005629F8">
        <w:t>highest</w:t>
      </w:r>
      <w:r w:rsidRPr="005629F8">
        <w:rPr>
          <w:spacing w:val="-1"/>
        </w:rPr>
        <w:t xml:space="preserve"> </w:t>
      </w:r>
      <w:r w:rsidRPr="005629F8">
        <w:t>cost</w:t>
      </w:r>
      <w:r w:rsidRPr="005629F8">
        <w:rPr>
          <w:spacing w:val="-3"/>
        </w:rPr>
        <w:t xml:space="preserve"> </w:t>
      </w:r>
      <w:r w:rsidRPr="005629F8">
        <w:t xml:space="preserve">weight, </w:t>
      </w:r>
      <w:r w:rsidR="003C3B21" w:rsidRPr="005629F8">
        <w:t>2020-21</w:t>
      </w:r>
      <w:r w:rsidRPr="005629F8">
        <w:rPr>
          <w:spacing w:val="-3"/>
        </w:rPr>
        <w:t xml:space="preserve"> </w:t>
      </w:r>
      <w:r w:rsidRPr="005629F8">
        <w:t>compared</w:t>
      </w:r>
      <w:r w:rsidRPr="005629F8">
        <w:rPr>
          <w:spacing w:val="-1"/>
        </w:rPr>
        <w:t xml:space="preserve"> </w:t>
      </w:r>
      <w:r w:rsidRPr="005629F8">
        <w:t>to</w:t>
      </w:r>
      <w:r w:rsidRPr="005629F8">
        <w:rPr>
          <w:spacing w:val="-1"/>
        </w:rPr>
        <w:t xml:space="preserve"> </w:t>
      </w:r>
      <w:bookmarkEnd w:id="116"/>
      <w:r w:rsidR="003C3B21" w:rsidRPr="005629F8">
        <w:t>2019-20</w:t>
      </w:r>
      <w:bookmarkEnd w:id="117"/>
      <w:bookmarkEnd w:id="118"/>
      <w:bookmarkEnd w:id="119"/>
    </w:p>
    <w:tbl>
      <w:tblPr>
        <w:tblStyle w:val="IHACPATable"/>
        <w:tblW w:w="14742" w:type="dxa"/>
        <w:tblLayout w:type="fixed"/>
        <w:tblLook w:val="06A0" w:firstRow="1" w:lastRow="0" w:firstColumn="1" w:lastColumn="0" w:noHBand="1" w:noVBand="1"/>
      </w:tblPr>
      <w:tblGrid>
        <w:gridCol w:w="851"/>
        <w:gridCol w:w="850"/>
        <w:gridCol w:w="851"/>
        <w:gridCol w:w="2977"/>
        <w:gridCol w:w="708"/>
        <w:gridCol w:w="851"/>
        <w:gridCol w:w="992"/>
        <w:gridCol w:w="851"/>
        <w:gridCol w:w="992"/>
        <w:gridCol w:w="567"/>
        <w:gridCol w:w="709"/>
        <w:gridCol w:w="708"/>
        <w:gridCol w:w="851"/>
        <w:gridCol w:w="850"/>
        <w:gridCol w:w="1134"/>
      </w:tblGrid>
      <w:tr w:rsidR="00363733" w:rsidRPr="0088109E" w14:paraId="234FA3FC" w14:textId="77777777" w:rsidTr="00DB11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15272F" w:themeFill="text1"/>
            <w:vAlign w:val="center"/>
          </w:tcPr>
          <w:p w14:paraId="57350947" w14:textId="77777777" w:rsidR="00DB117A" w:rsidRPr="005629F8" w:rsidRDefault="00DB117A" w:rsidP="0074083D">
            <w:pPr>
              <w:pStyle w:val="TableParagraph"/>
              <w:jc w:val="center"/>
              <w:rPr>
                <w:b/>
                <w:bCs/>
                <w:color w:val="FFFFFF" w:themeColor="background2"/>
                <w:szCs w:val="14"/>
              </w:rPr>
            </w:pPr>
          </w:p>
        </w:tc>
        <w:tc>
          <w:tcPr>
            <w:tcW w:w="850" w:type="dxa"/>
            <w:tcBorders>
              <w:top w:val="single" w:sz="4" w:space="0" w:color="auto"/>
              <w:left w:val="nil"/>
              <w:bottom w:val="single" w:sz="4" w:space="0" w:color="auto"/>
              <w:right w:val="nil"/>
            </w:tcBorders>
            <w:shd w:val="clear" w:color="auto" w:fill="15272F" w:themeFill="text1"/>
            <w:vAlign w:val="center"/>
          </w:tcPr>
          <w:p w14:paraId="28B1BAD7" w14:textId="77777777" w:rsidR="00DB117A" w:rsidRPr="005629F8" w:rsidRDefault="00DB117A" w:rsidP="0074083D">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851" w:type="dxa"/>
            <w:tcBorders>
              <w:top w:val="single" w:sz="4" w:space="0" w:color="auto"/>
              <w:left w:val="nil"/>
              <w:bottom w:val="single" w:sz="4" w:space="0" w:color="auto"/>
              <w:right w:val="nil"/>
            </w:tcBorders>
            <w:shd w:val="clear" w:color="auto" w:fill="15272F" w:themeFill="text1"/>
            <w:vAlign w:val="center"/>
          </w:tcPr>
          <w:p w14:paraId="45599FF9" w14:textId="77777777" w:rsidR="00DB117A" w:rsidRDefault="00DB117A" w:rsidP="0074083D">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2977" w:type="dxa"/>
            <w:tcBorders>
              <w:top w:val="single" w:sz="4" w:space="0" w:color="auto"/>
              <w:left w:val="nil"/>
              <w:bottom w:val="single" w:sz="4" w:space="0" w:color="auto"/>
              <w:right w:val="single" w:sz="4" w:space="0" w:color="FFFFFF" w:themeColor="accent6"/>
            </w:tcBorders>
            <w:shd w:val="clear" w:color="auto" w:fill="15272F" w:themeFill="text1"/>
            <w:vAlign w:val="center"/>
          </w:tcPr>
          <w:p w14:paraId="1A5AF371" w14:textId="77777777" w:rsidR="00DB117A" w:rsidRDefault="00DB117A" w:rsidP="0074083D">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6378" w:type="dxa"/>
            <w:gridSpan w:val="8"/>
            <w:tcBorders>
              <w:top w:val="single" w:sz="4" w:space="0" w:color="auto"/>
              <w:left w:val="single" w:sz="4" w:space="0" w:color="FFFFFF" w:themeColor="accent6"/>
              <w:bottom w:val="single" w:sz="4" w:space="0" w:color="auto"/>
              <w:right w:val="single" w:sz="4" w:space="0" w:color="FFFFFF" w:themeColor="accent6"/>
            </w:tcBorders>
            <w:shd w:val="clear" w:color="auto" w:fill="15272F" w:themeFill="text1"/>
            <w:vAlign w:val="center"/>
          </w:tcPr>
          <w:p w14:paraId="2F23EAE5" w14:textId="24952E7F"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2020-21</w:t>
            </w:r>
          </w:p>
        </w:tc>
        <w:tc>
          <w:tcPr>
            <w:tcW w:w="2835" w:type="dxa"/>
            <w:gridSpan w:val="3"/>
            <w:tcBorders>
              <w:top w:val="single" w:sz="4" w:space="0" w:color="auto"/>
              <w:left w:val="single" w:sz="4" w:space="0" w:color="FFFFFF" w:themeColor="accent6"/>
              <w:bottom w:val="single" w:sz="4" w:space="0" w:color="auto"/>
              <w:right w:val="nil"/>
            </w:tcBorders>
            <w:shd w:val="clear" w:color="auto" w:fill="15272F" w:themeFill="text1"/>
            <w:vAlign w:val="center"/>
          </w:tcPr>
          <w:p w14:paraId="7F19FEC4" w14:textId="1C6F8FD1"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2019-20</w:t>
            </w:r>
          </w:p>
        </w:tc>
      </w:tr>
      <w:tr w:rsidR="00A86AC3" w:rsidRPr="0088109E" w14:paraId="7AFF324A" w14:textId="77777777" w:rsidTr="00DB117A">
        <w:trPr>
          <w:trHeight w:val="6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4535088D" w14:textId="51B27E00" w:rsidR="0074083D" w:rsidRPr="00E87B16" w:rsidRDefault="0074083D" w:rsidP="0074083D">
            <w:pPr>
              <w:pStyle w:val="TableParagraph"/>
              <w:jc w:val="center"/>
              <w:rPr>
                <w:b/>
                <w:bCs/>
                <w:highlight w:val="yellow"/>
                <w:lang w:eastAsia="en-AU"/>
              </w:rPr>
            </w:pPr>
            <w:r w:rsidRPr="00E87B16">
              <w:rPr>
                <w:b/>
                <w:bCs/>
                <w:szCs w:val="14"/>
              </w:rPr>
              <w:t>Top 10 2019-20</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E95D521" w14:textId="77777777" w:rsidR="0074083D" w:rsidRPr="00E87B16"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 2020-21</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751E0689" w14:textId="05002099" w:rsidR="0074083D" w:rsidRPr="00E87B16" w:rsidRDefault="00BA31E0" w:rsidP="0074083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74083D" w:rsidRPr="00E87B16">
              <w:rPr>
                <w:b/>
                <w:bCs/>
                <w:szCs w:val="14"/>
              </w:rPr>
              <w:t>DRG</w:t>
            </w:r>
          </w:p>
        </w:tc>
        <w:tc>
          <w:tcPr>
            <w:tcW w:w="2977"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1BEDB4C7" w14:textId="29041F19" w:rsidR="0074083D" w:rsidRPr="00E87B16" w:rsidRDefault="00BA31E0" w:rsidP="0074083D">
            <w:pPr>
              <w:pStyle w:val="TableParagraph"/>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74083D" w:rsidRPr="00E87B16">
              <w:rPr>
                <w:b/>
                <w:bCs/>
                <w:szCs w:val="14"/>
              </w:rPr>
              <w:t>DRG Description</w:t>
            </w:r>
          </w:p>
        </w:tc>
        <w:tc>
          <w:tcPr>
            <w:tcW w:w="708"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093CE547"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r w:rsidRPr="00E87B16">
              <w:rPr>
                <w:b/>
                <w:bCs/>
                <w:szCs w:val="14"/>
              </w:rPr>
              <w:br/>
              <w:t>(a)</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0348401"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r w:rsidRPr="00E87B16">
              <w:rPr>
                <w:b/>
                <w:bCs/>
                <w:szCs w:val="14"/>
              </w:rPr>
              <w:br/>
              <w:t>(b)</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79B8B81B"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r w:rsidRPr="00E87B16">
              <w:rPr>
                <w:b/>
                <w:bCs/>
                <w:szCs w:val="14"/>
              </w:rPr>
              <w:br/>
              <w:t>(c)=(a)x(b)</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E7BE849"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Number of days</w:t>
            </w:r>
            <w:r w:rsidRPr="00E87B16">
              <w:rPr>
                <w:b/>
                <w:bCs/>
                <w:szCs w:val="14"/>
              </w:rPr>
              <w:br/>
              <w:t>(d)</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28AFFC7"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ALOS (days)</w:t>
            </w:r>
            <w:r w:rsidRPr="00E87B16">
              <w:rPr>
                <w:b/>
                <w:bCs/>
                <w:szCs w:val="14"/>
              </w:rPr>
              <w:br/>
              <w:t>(e)=(d)/(b)</w:t>
            </w:r>
          </w:p>
        </w:tc>
        <w:tc>
          <w:tcPr>
            <w:tcW w:w="567"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1983452B"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Std error</w:t>
            </w:r>
          </w:p>
        </w:tc>
        <w:tc>
          <w:tcPr>
            <w:tcW w:w="709"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5C014E39"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 </w:t>
            </w:r>
            <w:proofErr w:type="gramStart"/>
            <w:r w:rsidRPr="00E87B16">
              <w:rPr>
                <w:b/>
                <w:bCs/>
                <w:szCs w:val="14"/>
              </w:rPr>
              <w:t>of</w:t>
            </w:r>
            <w:proofErr w:type="gramEnd"/>
            <w:r w:rsidRPr="00E87B16">
              <w:rPr>
                <w:b/>
                <w:bCs/>
                <w:szCs w:val="14"/>
              </w:rPr>
              <w:t xml:space="preserve"> total seps</w:t>
            </w:r>
          </w:p>
        </w:tc>
        <w:tc>
          <w:tcPr>
            <w:tcW w:w="708"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3922C51D"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 </w:t>
            </w:r>
            <w:proofErr w:type="gramStart"/>
            <w:r w:rsidRPr="00E87B16">
              <w:rPr>
                <w:b/>
                <w:bCs/>
                <w:szCs w:val="14"/>
              </w:rPr>
              <w:t>of</w:t>
            </w:r>
            <w:proofErr w:type="gramEnd"/>
            <w:r w:rsidRPr="00E87B16">
              <w:rPr>
                <w:b/>
                <w:bCs/>
                <w:szCs w:val="14"/>
              </w:rPr>
              <w:t xml:space="preserve"> CW seps</w:t>
            </w:r>
          </w:p>
        </w:tc>
        <w:tc>
          <w:tcPr>
            <w:tcW w:w="851"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05F0AC4D" w14:textId="40B99D9C"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7D0EB360" w14:textId="2BE02E9C"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w:t>
            </w:r>
          </w:p>
        </w:tc>
        <w:tc>
          <w:tcPr>
            <w:tcW w:w="1134"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8046CED" w14:textId="5268CE58"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p>
        </w:tc>
      </w:tr>
      <w:tr w:rsidR="00A86AC3" w:rsidRPr="0088109E" w14:paraId="1DD01179"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B393F97" w14:textId="0C886326"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E493D53" w14:textId="10197188"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AC27F34" w14:textId="1AD3C9CD"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A13A</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4296D6DE" w14:textId="5180A9AD"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Ventilation &gt;= 336 hours, Major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2FBDC87C" w14:textId="4E6A4E1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50.54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1EC0FB9D" w14:textId="0AD93C2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C818335" w14:textId="04536EF7"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3,740</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F938BE7" w14:textId="6E4A6D4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4,275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1A6AFC4E" w14:textId="00046CB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57.6</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55DF895" w14:textId="3529974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3.57</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116211A" w14:textId="109688E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900CC65" w14:textId="022A171A"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0.11%</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0EAE1264" w14:textId="548C84E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52.56</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70435AF" w14:textId="1529C0CD"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78C4CA0" w14:textId="1C01FF3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89</w:t>
            </w:r>
          </w:p>
        </w:tc>
      </w:tr>
      <w:tr w:rsidR="00A86AC3" w:rsidRPr="0088109E" w14:paraId="63FE18EC"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23B1C95" w14:textId="4E277886"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0C460DD" w14:textId="6530C942"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8C4C4DE" w14:textId="43F2BDC9"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A13B</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3FC15689" w14:textId="6A35638F"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Ventilation &gt;= 336 hours,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77219018" w14:textId="3E35177A"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38.11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DA1F01D" w14:textId="4837D2A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8856B11" w14:textId="13AC09A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3,163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1693F8C" w14:textId="67F4129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3,168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DB7A590" w14:textId="1073A515"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38.1</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9577EFE" w14:textId="3294A93D"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1.90</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CAFD5E0" w14:textId="416D290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0ACD906" w14:textId="68E1D7E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0.09%</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620EB589" w14:textId="0E37456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38.68</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9573A5C" w14:textId="0DE76DA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266C359" w14:textId="0F6FBC9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119</w:t>
            </w:r>
          </w:p>
        </w:tc>
      </w:tr>
      <w:tr w:rsidR="00A86AC3" w:rsidRPr="0088109E" w14:paraId="3DAAC53B"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60F0408" w14:textId="766BF070"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91A68C5" w14:textId="1CA5A8E2"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5321A71" w14:textId="0AFC8E4A"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A14A</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1E2D48D4" w14:textId="03944750"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Ventilation &gt;= 96 hours &amp; &lt; 336 hours, Major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A4FB685" w14:textId="5B7DEC6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30.82</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F19ED6C" w14:textId="22ADB6DD"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248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0B631A8" w14:textId="0F59D23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7,643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89BE9BF" w14:textId="7697163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10,006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10633DEC" w14:textId="1850FE7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40.3</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4A4B5230" w14:textId="6BECFB70"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2.01</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69CD1E8" w14:textId="5400266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0.01%</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92D7C4A" w14:textId="0076136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0.22%</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3105CF8B" w14:textId="6CD56E8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30.88</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6F7C4DD" w14:textId="723A285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A48230F" w14:textId="6DF6F09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174</w:t>
            </w:r>
          </w:p>
        </w:tc>
      </w:tr>
      <w:tr w:rsidR="00A86AC3" w:rsidRPr="0088109E" w14:paraId="3E6CDBFF"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B5D2FB0" w14:textId="63C87B49" w:rsidR="0074083D" w:rsidRPr="0088109E" w:rsidRDefault="0074083D" w:rsidP="0074083D">
            <w:pPr>
              <w:pStyle w:val="TableParagraph"/>
              <w:jc w:val="center"/>
              <w:rPr>
                <w:highlight w:val="yellow"/>
                <w:lang w:eastAsia="en-AU"/>
              </w:rPr>
            </w:pPr>
            <w:r w:rsidRPr="0088109E">
              <w:rPr>
                <w:color w:val="000000"/>
                <w:szCs w:val="14"/>
              </w:rPr>
              <w:t>No</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0FB692D" w14:textId="20537226"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7FEAEF3" w14:textId="39838B86"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A40Z</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308A84AF" w14:textId="52610F5C"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ECMO</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D10F056" w14:textId="7288141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30.27</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1DE0E704" w14:textId="5618AE4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80B3AC6" w14:textId="00BC12B7"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515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1DAB238" w14:textId="4AABB2A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328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DF3E495" w14:textId="41AA3BFA"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19.5</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0952AF5" w14:textId="3595C74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6.65</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59DB22D" w14:textId="21F8E31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4DC93287" w14:textId="4D0011E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0.01%</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3AA43824" w14:textId="34AA1AC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8.91</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90A816A" w14:textId="50910D0C"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47</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3138C29" w14:textId="28DFE9A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14</w:t>
            </w:r>
          </w:p>
        </w:tc>
      </w:tr>
      <w:tr w:rsidR="00A86AC3" w:rsidRPr="0088109E" w14:paraId="0F8429FA"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1409EA6" w14:textId="7DC387ED"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7133E6A" w14:textId="7F4CE810"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84E48F1" w14:textId="0CBE3268"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A15A</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0E5116A0" w14:textId="616F9CC7"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Tracheostomy, Major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7DDC021" w14:textId="1A779B8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22.49</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120A12E" w14:textId="454D2E67"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BD450D5" w14:textId="5E07558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472</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B2DBD3D" w14:textId="21084CC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690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4C1C066" w14:textId="72B402DC"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32.3</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7FEF0FB" w14:textId="3CAFB20D"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3.76</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7A6FA48C" w14:textId="49F99D13"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808871F" w14:textId="44314513"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0.01%</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6A347844" w14:textId="2C72C47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17.25</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9F6B7E5" w14:textId="64154C2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8F9BB50" w14:textId="2172C4C3"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25</w:t>
            </w:r>
          </w:p>
        </w:tc>
      </w:tr>
      <w:tr w:rsidR="00A86AC3" w:rsidRPr="0088109E" w14:paraId="6901F68F"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C4B1D62" w14:textId="6D6D869C"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8B30FF8" w14:textId="1E523BF8"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8786EFE" w14:textId="6F3E0B67"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A14B</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5F46CE34" w14:textId="05D751F6"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Ventilation &gt;= 96 hours &amp; &lt; 336 hours, Intermediate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A61891E" w14:textId="530B3D6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21.33</w:t>
            </w:r>
          </w:p>
        </w:tc>
        <w:tc>
          <w:tcPr>
            <w:tcW w:w="851" w:type="dxa"/>
            <w:tcBorders>
              <w:top w:val="single" w:sz="4" w:space="0" w:color="D9D9D9" w:themeColor="background2" w:themeShade="D9"/>
              <w:left w:val="nil"/>
              <w:bottom w:val="single" w:sz="4" w:space="0" w:color="D9D9D9" w:themeColor="background2" w:themeShade="D9"/>
              <w:right w:val="single" w:sz="4" w:space="0" w:color="F2F2F2" w:themeColor="background2" w:themeShade="F2"/>
            </w:tcBorders>
            <w:shd w:val="clear" w:color="auto" w:fill="F2F2F2" w:themeFill="accent6" w:themeFillShade="F2"/>
            <w:noWrap/>
            <w:vAlign w:val="center"/>
            <w:hideMark/>
          </w:tcPr>
          <w:p w14:paraId="4AD610C6" w14:textId="32DF9A2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325</w:t>
            </w:r>
          </w:p>
        </w:tc>
        <w:tc>
          <w:tcPr>
            <w:tcW w:w="992" w:type="dxa"/>
            <w:tcBorders>
              <w:top w:val="single" w:sz="4" w:space="0" w:color="D9D9D9" w:themeColor="background2" w:themeShade="D9"/>
              <w:left w:val="single" w:sz="4" w:space="0" w:color="F2F2F2" w:themeColor="background2" w:themeShade="F2"/>
              <w:bottom w:val="single" w:sz="4" w:space="0" w:color="D9D9D9" w:themeColor="background2" w:themeShade="D9"/>
              <w:right w:val="nil"/>
            </w:tcBorders>
            <w:shd w:val="clear" w:color="auto" w:fill="F2F2F2" w:themeFill="accent6" w:themeFillShade="F2"/>
            <w:noWrap/>
            <w:vAlign w:val="center"/>
            <w:hideMark/>
          </w:tcPr>
          <w:p w14:paraId="114E63B5" w14:textId="7F18D5E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6,932</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753E030" w14:textId="3CBCADF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8,988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7CC4537" w14:textId="4D27B820"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27.7</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3288162A" w14:textId="3C41249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1.24</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29C7122A" w14:textId="04A2867C"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0.01%</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510A4FB" w14:textId="368EAF25"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0.20%</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7A961536" w14:textId="66611D7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21.75</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AB8A543" w14:textId="43EA73B7"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8A8E3DD" w14:textId="2B3387CA"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312</w:t>
            </w:r>
          </w:p>
        </w:tc>
      </w:tr>
      <w:tr w:rsidR="00A86AC3" w:rsidRPr="0088109E" w14:paraId="53F215FF"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B5CBD3F" w14:textId="0C604214"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FD4BF92" w14:textId="4885DE7E"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FC65241" w14:textId="12046601"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P03B</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164E582A" w14:textId="58D2521E"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 xml:space="preserve">Neonate, </w:t>
            </w:r>
            <w:proofErr w:type="spellStart"/>
            <w:r w:rsidRPr="0088109E">
              <w:rPr>
                <w:color w:val="000000"/>
                <w:szCs w:val="14"/>
              </w:rPr>
              <w:t>AdmWt</w:t>
            </w:r>
            <w:proofErr w:type="spellEnd"/>
            <w:r w:rsidRPr="0088109E">
              <w:rPr>
                <w:color w:val="000000"/>
                <w:szCs w:val="14"/>
              </w:rPr>
              <w:t xml:space="preserve"> 1000-1499g W Significant GI/Vent &gt;= 96 hrs,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69900D9" w14:textId="3657B12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20.04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6C26A82" w14:textId="1DB985FA"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B7CE9B9" w14:textId="78F4926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741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21F38A5" w14:textId="4BF3402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1,511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2CCF4FF" w14:textId="1F196559"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41.1</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BDFB991" w14:textId="5613CD65"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2.07</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0DEF533" w14:textId="46E5A28C"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4717361" w14:textId="0BECC4E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0.02%</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5F641F83" w14:textId="00A89CF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18.80</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F19C52D" w14:textId="2E55CF5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AAE07FE" w14:textId="523C714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42</w:t>
            </w:r>
          </w:p>
        </w:tc>
      </w:tr>
      <w:tr w:rsidR="00A86AC3" w:rsidRPr="0088109E" w14:paraId="0366F19E"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942BFB7" w14:textId="78AB6C77" w:rsidR="0074083D" w:rsidRPr="0088109E" w:rsidRDefault="0074083D" w:rsidP="0074083D">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0C18E6B" w14:textId="67CFFD43"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C818EE3" w14:textId="2EB46875"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F04A</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11538983" w14:textId="6A207A87"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Cardiac Valve Interventions W CPB Pump W/O Invasive Cardiac Invest, Major Comp</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CCF218F" w14:textId="387F5B6E"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17.48</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14742EA" w14:textId="15F265E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373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5DEEE49" w14:textId="14728F7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6,520</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4685A36" w14:textId="2E45246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8,189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2598E7A" w14:textId="64862DD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21.9</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0BBB563" w14:textId="350B5840"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0.51</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1C2A735B" w14:textId="7322BCF1"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0.01%</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3981C1D" w14:textId="12AF01E7"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0.19%</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1D7B44E7" w14:textId="1F2F4D99"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16.88</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D0F0685" w14:textId="1FC2B68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479E36C" w14:textId="3683EBB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301</w:t>
            </w:r>
          </w:p>
        </w:tc>
      </w:tr>
      <w:tr w:rsidR="00A86AC3" w:rsidRPr="0088109E" w14:paraId="6EF6E690"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F4FF7B1" w14:textId="7F1C13D0" w:rsidR="0074083D" w:rsidRPr="0088109E" w:rsidRDefault="0074083D" w:rsidP="0074083D">
            <w:pPr>
              <w:pStyle w:val="TableParagraph"/>
              <w:jc w:val="center"/>
              <w:rPr>
                <w:highlight w:val="yellow"/>
                <w:lang w:eastAsia="en-AU"/>
              </w:rPr>
            </w:pPr>
            <w:r w:rsidRPr="0088109E">
              <w:rPr>
                <w:color w:val="000000"/>
                <w:szCs w:val="14"/>
              </w:rPr>
              <w:t>No</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9DE0B1B" w14:textId="3C4DBF17"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9</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65CE16D" w14:textId="1916FCB4"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F07A</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2440EB8A" w14:textId="0DEF0F07"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Other Cardiothoracic/Vascular Interventions W CPB Pump, Major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6998D7E9" w14:textId="1946990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17.32</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79FEA20" w14:textId="7D97E1E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CE5975B" w14:textId="0C6FD11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901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EEC4DB5" w14:textId="10DA9E0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1,262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A6DF5D0" w14:textId="704ADB95"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24.2</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477C1D54" w14:textId="06D3BD1D"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1.55</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7F7E0783" w14:textId="28A14A56"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0F3314A" w14:textId="73A1669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0.03%</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2CB6B1BC" w14:textId="31234434"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15.62</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7CD4891" w14:textId="5B12F90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11</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965E9A0" w14:textId="65CB3073"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63</w:t>
            </w:r>
          </w:p>
        </w:tc>
      </w:tr>
      <w:tr w:rsidR="00A86AC3" w:rsidRPr="0088109E" w14:paraId="7D867C13" w14:textId="77777777" w:rsidTr="00DB117A">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0F80E23" w14:textId="2D1470F6" w:rsidR="0074083D" w:rsidRPr="0088109E" w:rsidRDefault="0074083D" w:rsidP="0074083D">
            <w:pPr>
              <w:pStyle w:val="TableParagraph"/>
              <w:jc w:val="center"/>
              <w:rPr>
                <w:highlight w:val="yellow"/>
                <w:lang w:eastAsia="en-AU"/>
              </w:rPr>
            </w:pPr>
            <w:r w:rsidRPr="0088109E">
              <w:rPr>
                <w:color w:val="000000"/>
                <w:szCs w:val="14"/>
              </w:rPr>
              <w:t>No</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74316E1" w14:textId="657DD6CA"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3D17821" w14:textId="2682A790" w:rsidR="0074083D" w:rsidRPr="0088109E"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A14C</w:t>
            </w:r>
          </w:p>
        </w:tc>
        <w:tc>
          <w:tcPr>
            <w:tcW w:w="297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15FA3AEB" w14:textId="5BB7D6A2" w:rsidR="0074083D" w:rsidRPr="0088109E" w:rsidRDefault="0074083D" w:rsidP="0074083D">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Ventilation &gt;= 96 hours &amp; &lt; 336 hours,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BB3144D" w14:textId="65144BC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16.77</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01E9A06" w14:textId="352D6BBB"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178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1107C009" w14:textId="27DC829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2,985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15EC34D" w14:textId="2F822717"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3,639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B775D5A" w14:textId="57AE118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20.4</w:t>
            </w:r>
          </w:p>
        </w:tc>
        <w:tc>
          <w:tcPr>
            <w:tcW w:w="567"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D45339E" w14:textId="19AE5509"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0.95</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2D9F9C8" w14:textId="51036F28"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0.01%</w:t>
            </w:r>
          </w:p>
        </w:tc>
        <w:tc>
          <w:tcPr>
            <w:tcW w:w="708"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F504F23" w14:textId="365D428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0.09%</w:t>
            </w:r>
          </w:p>
        </w:tc>
        <w:tc>
          <w:tcPr>
            <w:tcW w:w="851"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76F8D79D" w14:textId="06B8AF5F"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15.35</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374A370" w14:textId="269E1F15"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12</w:t>
            </w:r>
          </w:p>
        </w:tc>
        <w:tc>
          <w:tcPr>
            <w:tcW w:w="1134"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CAECDD6" w14:textId="7BC6F5D2" w:rsidR="0074083D" w:rsidRPr="0088109E"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186</w:t>
            </w:r>
          </w:p>
        </w:tc>
      </w:tr>
      <w:tr w:rsidR="00A86AC3" w:rsidRPr="0088109E" w14:paraId="2800B67C" w14:textId="77777777" w:rsidTr="009040C8">
        <w:trPr>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4" w:space="0" w:color="D9D9D9" w:themeColor="background2" w:themeShade="D9"/>
              <w:left w:val="nil"/>
              <w:right w:val="nil"/>
            </w:tcBorders>
            <w:shd w:val="clear" w:color="auto" w:fill="DFEBF1" w:themeFill="text2" w:themeFillTint="1A"/>
            <w:noWrap/>
            <w:vAlign w:val="center"/>
          </w:tcPr>
          <w:p w14:paraId="65676740" w14:textId="5D274DE0" w:rsidR="008E4DA3" w:rsidRPr="005629F8" w:rsidRDefault="008E4DA3" w:rsidP="00BF150A">
            <w:pPr>
              <w:pStyle w:val="TableParagraph"/>
              <w:jc w:val="center"/>
              <w:rPr>
                <w:color w:val="000000"/>
                <w:szCs w:val="14"/>
              </w:rPr>
            </w:pPr>
            <w:r w:rsidRPr="004D1ACD">
              <w:rPr>
                <w:color w:val="000000"/>
                <w:szCs w:val="14"/>
              </w:rPr>
              <w:t>7</w:t>
            </w:r>
            <w:r>
              <w:rPr>
                <w:color w:val="000000"/>
                <w:szCs w:val="14"/>
              </w:rPr>
              <w:t xml:space="preserve"> </w:t>
            </w:r>
            <w:r w:rsidRPr="004D1ACD">
              <w:rPr>
                <w:color w:val="000000"/>
                <w:szCs w:val="14"/>
              </w:rPr>
              <w:t>in</w:t>
            </w:r>
          </w:p>
          <w:p w14:paraId="2B52D359" w14:textId="78E1C227" w:rsidR="008E4DA3" w:rsidRPr="005629F8" w:rsidRDefault="008E4DA3" w:rsidP="00BF150A">
            <w:pPr>
              <w:pStyle w:val="TableParagraph"/>
              <w:jc w:val="center"/>
              <w:rPr>
                <w:color w:val="000000"/>
                <w:szCs w:val="14"/>
              </w:rPr>
            </w:pPr>
            <w:r>
              <w:rPr>
                <w:color w:val="000000"/>
                <w:szCs w:val="14"/>
              </w:rPr>
              <w:t>t</w:t>
            </w:r>
            <w:r w:rsidRPr="004D1ACD">
              <w:rPr>
                <w:color w:val="000000"/>
                <w:szCs w:val="14"/>
              </w:rPr>
              <w:t>op 10</w:t>
            </w:r>
          </w:p>
        </w:tc>
        <w:tc>
          <w:tcPr>
            <w:tcW w:w="4678" w:type="dxa"/>
            <w:gridSpan w:val="3"/>
            <w:tcBorders>
              <w:top w:val="single" w:sz="4" w:space="0" w:color="D9D9D9" w:themeColor="background2" w:themeShade="D9"/>
              <w:left w:val="nil"/>
              <w:bottom w:val="nil"/>
              <w:right w:val="single" w:sz="4" w:space="0" w:color="FFFFFF" w:themeColor="accent6"/>
            </w:tcBorders>
            <w:shd w:val="clear" w:color="auto" w:fill="DFEBF1" w:themeFill="text2" w:themeFillTint="1A"/>
            <w:noWrap/>
            <w:vAlign w:val="center"/>
          </w:tcPr>
          <w:p w14:paraId="2382CD48" w14:textId="3D78D41E" w:rsidR="008E4DA3" w:rsidRPr="005629F8" w:rsidRDefault="008E4DA3">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Sub-total, top 10 highest cost weight</w:t>
            </w:r>
          </w:p>
        </w:tc>
        <w:tc>
          <w:tcPr>
            <w:tcW w:w="708"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vAlign w:val="center"/>
          </w:tcPr>
          <w:p w14:paraId="6C0A15BA" w14:textId="2624FBAE"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23.87</w:t>
            </w:r>
          </w:p>
        </w:tc>
        <w:tc>
          <w:tcPr>
            <w:tcW w:w="851" w:type="dxa"/>
            <w:tcBorders>
              <w:top w:val="single" w:sz="4" w:space="0" w:color="D9D9D9" w:themeColor="background2" w:themeShade="D9"/>
              <w:left w:val="nil"/>
              <w:bottom w:val="nil"/>
              <w:right w:val="nil"/>
            </w:tcBorders>
            <w:shd w:val="clear" w:color="auto" w:fill="DFEBF1" w:themeFill="text2" w:themeFillTint="1A"/>
            <w:noWrap/>
            <w:vAlign w:val="center"/>
          </w:tcPr>
          <w:p w14:paraId="59F060DA" w14:textId="6D6D2C9C"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1,408</w:t>
            </w:r>
          </w:p>
        </w:tc>
        <w:tc>
          <w:tcPr>
            <w:tcW w:w="992" w:type="dxa"/>
            <w:tcBorders>
              <w:top w:val="single" w:sz="4" w:space="0" w:color="D9D9D9" w:themeColor="background2" w:themeShade="D9"/>
              <w:left w:val="nil"/>
              <w:bottom w:val="nil"/>
              <w:right w:val="nil"/>
            </w:tcBorders>
            <w:shd w:val="clear" w:color="auto" w:fill="DFEBF1" w:themeFill="text2" w:themeFillTint="1A"/>
            <w:noWrap/>
            <w:vAlign w:val="center"/>
          </w:tcPr>
          <w:p w14:paraId="75C074C4" w14:textId="3271D63C"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88109E">
              <w:rPr>
                <w:b/>
                <w:bCs/>
                <w:color w:val="000000"/>
                <w:szCs w:val="14"/>
              </w:rPr>
              <w:t>33,613</w:t>
            </w:r>
          </w:p>
        </w:tc>
        <w:tc>
          <w:tcPr>
            <w:tcW w:w="851" w:type="dxa"/>
            <w:tcBorders>
              <w:top w:val="single" w:sz="4" w:space="0" w:color="D9D9D9" w:themeColor="background2" w:themeShade="D9"/>
              <w:left w:val="nil"/>
              <w:bottom w:val="nil"/>
              <w:right w:val="nil"/>
            </w:tcBorders>
            <w:shd w:val="clear" w:color="auto" w:fill="DFEBF1" w:themeFill="text2" w:themeFillTint="1A"/>
            <w:noWrap/>
            <w:vAlign w:val="center"/>
          </w:tcPr>
          <w:p w14:paraId="734C80C8" w14:textId="7DB41E89"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42,054</w:t>
            </w:r>
          </w:p>
        </w:tc>
        <w:tc>
          <w:tcPr>
            <w:tcW w:w="992" w:type="dxa"/>
            <w:tcBorders>
              <w:top w:val="single" w:sz="4" w:space="0" w:color="D9D9D9" w:themeColor="background2" w:themeShade="D9"/>
              <w:left w:val="nil"/>
              <w:bottom w:val="nil"/>
              <w:right w:val="nil"/>
            </w:tcBorders>
            <w:shd w:val="clear" w:color="auto" w:fill="DFEBF1" w:themeFill="text2" w:themeFillTint="1A"/>
            <w:noWrap/>
            <w:vAlign w:val="center"/>
          </w:tcPr>
          <w:p w14:paraId="58F562FA" w14:textId="3C8A8261"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29.9</w:t>
            </w:r>
          </w:p>
        </w:tc>
        <w:tc>
          <w:tcPr>
            <w:tcW w:w="567" w:type="dxa"/>
            <w:tcBorders>
              <w:top w:val="single" w:sz="4" w:space="0" w:color="D9D9D9" w:themeColor="background2" w:themeShade="D9"/>
              <w:right w:val="single" w:sz="4" w:space="0" w:color="FFFFFF" w:themeColor="accent6"/>
            </w:tcBorders>
            <w:shd w:val="clear" w:color="auto" w:fill="DFEBF1" w:themeFill="text2" w:themeFillTint="1A"/>
            <w:noWrap/>
          </w:tcPr>
          <w:p w14:paraId="58E3076E"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top w:val="single" w:sz="4" w:space="0" w:color="D9D9D9" w:themeColor="background2" w:themeShade="D9"/>
              <w:left w:val="single" w:sz="4" w:space="0" w:color="FFFFFF" w:themeColor="accent6"/>
              <w:right w:val="nil"/>
            </w:tcBorders>
            <w:shd w:val="clear" w:color="auto" w:fill="DFEBF1" w:themeFill="text2" w:themeFillTint="1A"/>
            <w:noWrap/>
            <w:vAlign w:val="center"/>
          </w:tcPr>
          <w:p w14:paraId="18A0F568" w14:textId="03674EF6"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0.04%</w:t>
            </w:r>
          </w:p>
        </w:tc>
        <w:tc>
          <w:tcPr>
            <w:tcW w:w="708" w:type="dxa"/>
            <w:tcBorders>
              <w:top w:val="single" w:sz="4" w:space="0" w:color="D9D9D9" w:themeColor="background2" w:themeShade="D9"/>
              <w:left w:val="nil"/>
              <w:bottom w:val="nil"/>
              <w:right w:val="single" w:sz="4" w:space="0" w:color="FFFFFF" w:themeColor="accent6"/>
            </w:tcBorders>
            <w:shd w:val="clear" w:color="auto" w:fill="DFEBF1" w:themeFill="text2" w:themeFillTint="1A"/>
            <w:noWrap/>
            <w:vAlign w:val="center"/>
          </w:tcPr>
          <w:p w14:paraId="71F36694" w14:textId="59CFF0F0"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0.96%</w:t>
            </w:r>
          </w:p>
        </w:tc>
        <w:tc>
          <w:tcPr>
            <w:tcW w:w="851" w:type="dxa"/>
            <w:tcBorders>
              <w:top w:val="single" w:sz="4" w:space="0" w:color="D9D9D9" w:themeColor="background2" w:themeShade="D9"/>
              <w:left w:val="single" w:sz="4" w:space="0" w:color="FFFFFF" w:themeColor="accent6"/>
            </w:tcBorders>
            <w:shd w:val="clear" w:color="auto" w:fill="DFEBF1" w:themeFill="text2" w:themeFillTint="1A"/>
            <w:noWrap/>
          </w:tcPr>
          <w:p w14:paraId="21B326C4"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top w:val="single" w:sz="4" w:space="0" w:color="D9D9D9" w:themeColor="background2" w:themeShade="D9"/>
            </w:tcBorders>
            <w:shd w:val="clear" w:color="auto" w:fill="DFEBF1" w:themeFill="text2" w:themeFillTint="1A"/>
            <w:noWrap/>
          </w:tcPr>
          <w:p w14:paraId="70E2EF5D"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top w:val="single" w:sz="4" w:space="0" w:color="D9D9D9" w:themeColor="background2" w:themeShade="D9"/>
            </w:tcBorders>
            <w:shd w:val="clear" w:color="auto" w:fill="DFEBF1" w:themeFill="text2" w:themeFillTint="1A"/>
            <w:noWrap/>
          </w:tcPr>
          <w:p w14:paraId="4D05AB89"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A86AC3" w:rsidRPr="0088109E" w14:paraId="704EACDF" w14:textId="77777777" w:rsidTr="009040C8">
        <w:trPr>
          <w:trHeight w:val="246"/>
        </w:trPr>
        <w:tc>
          <w:tcPr>
            <w:cnfStyle w:val="001000000000" w:firstRow="0" w:lastRow="0" w:firstColumn="1" w:lastColumn="0" w:oddVBand="0" w:evenVBand="0" w:oddHBand="0" w:evenHBand="0" w:firstRowFirstColumn="0" w:firstRowLastColumn="0" w:lastRowFirstColumn="0" w:lastRowLastColumn="0"/>
            <w:tcW w:w="851" w:type="dxa"/>
            <w:vMerge/>
            <w:tcBorders>
              <w:left w:val="nil"/>
              <w:right w:val="nil"/>
            </w:tcBorders>
            <w:shd w:val="clear" w:color="auto" w:fill="DFEBF1" w:themeFill="text2" w:themeFillTint="1A"/>
            <w:noWrap/>
            <w:vAlign w:val="center"/>
          </w:tcPr>
          <w:p w14:paraId="3E657702" w14:textId="57A34058" w:rsidR="008E4DA3" w:rsidRPr="005629F8" w:rsidRDefault="008E4DA3" w:rsidP="00BF150A">
            <w:pPr>
              <w:pStyle w:val="TableParagraph"/>
              <w:jc w:val="center"/>
              <w:rPr>
                <w:color w:val="000000"/>
                <w:szCs w:val="14"/>
              </w:rPr>
            </w:pPr>
          </w:p>
        </w:tc>
        <w:tc>
          <w:tcPr>
            <w:tcW w:w="4678" w:type="dxa"/>
            <w:gridSpan w:val="3"/>
            <w:tcBorders>
              <w:top w:val="nil"/>
              <w:left w:val="nil"/>
              <w:bottom w:val="nil"/>
              <w:right w:val="single" w:sz="4" w:space="0" w:color="FFFFFF" w:themeColor="accent6"/>
            </w:tcBorders>
            <w:shd w:val="clear" w:color="auto" w:fill="DFEBF1" w:themeFill="text2" w:themeFillTint="1A"/>
            <w:noWrap/>
            <w:vAlign w:val="center"/>
          </w:tcPr>
          <w:p w14:paraId="559357E6" w14:textId="0C248DB5" w:rsidR="008E4DA3" w:rsidRPr="005629F8" w:rsidRDefault="008E4DA3" w:rsidP="00BF150A">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All </w:t>
            </w:r>
            <w:r>
              <w:rPr>
                <w:b/>
                <w:bCs/>
                <w:color w:val="000000"/>
                <w:szCs w:val="14"/>
              </w:rPr>
              <w:t>AR-</w:t>
            </w:r>
            <w:r w:rsidRPr="0088109E">
              <w:rPr>
                <w:b/>
                <w:bCs/>
                <w:color w:val="000000"/>
                <w:szCs w:val="14"/>
              </w:rPr>
              <w:t>DRGs</w:t>
            </w:r>
          </w:p>
        </w:tc>
        <w:tc>
          <w:tcPr>
            <w:tcW w:w="708" w:type="dxa"/>
            <w:tcBorders>
              <w:top w:val="nil"/>
              <w:left w:val="single" w:sz="4" w:space="0" w:color="FFFFFF" w:themeColor="accent6"/>
              <w:bottom w:val="nil"/>
              <w:right w:val="nil"/>
            </w:tcBorders>
            <w:shd w:val="clear" w:color="auto" w:fill="DFEBF1" w:themeFill="text2" w:themeFillTint="1A"/>
            <w:noWrap/>
            <w:vAlign w:val="center"/>
          </w:tcPr>
          <w:p w14:paraId="109FFA09"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1.00</w:t>
            </w:r>
          </w:p>
        </w:tc>
        <w:tc>
          <w:tcPr>
            <w:tcW w:w="851" w:type="dxa"/>
            <w:tcBorders>
              <w:top w:val="nil"/>
              <w:left w:val="nil"/>
              <w:bottom w:val="nil"/>
              <w:right w:val="nil"/>
            </w:tcBorders>
            <w:shd w:val="clear" w:color="auto" w:fill="DFEBF1" w:themeFill="text2" w:themeFillTint="1A"/>
            <w:noWrap/>
            <w:vAlign w:val="center"/>
          </w:tcPr>
          <w:p w14:paraId="6447D8D3" w14:textId="7BCE3FBA"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3,487,127</w:t>
            </w:r>
          </w:p>
        </w:tc>
        <w:tc>
          <w:tcPr>
            <w:tcW w:w="992" w:type="dxa"/>
            <w:tcBorders>
              <w:top w:val="nil"/>
              <w:left w:val="nil"/>
              <w:bottom w:val="nil"/>
              <w:right w:val="nil"/>
            </w:tcBorders>
            <w:shd w:val="clear" w:color="auto" w:fill="DFEBF1" w:themeFill="text2" w:themeFillTint="1A"/>
            <w:noWrap/>
            <w:vAlign w:val="center"/>
          </w:tcPr>
          <w:p w14:paraId="33560147" w14:textId="010C572A"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88109E">
              <w:rPr>
                <w:b/>
                <w:bCs/>
                <w:color w:val="000000"/>
                <w:szCs w:val="14"/>
              </w:rPr>
              <w:t>3,487,127</w:t>
            </w:r>
          </w:p>
        </w:tc>
        <w:tc>
          <w:tcPr>
            <w:tcW w:w="851" w:type="dxa"/>
            <w:tcBorders>
              <w:top w:val="nil"/>
              <w:left w:val="nil"/>
              <w:bottom w:val="nil"/>
              <w:right w:val="nil"/>
            </w:tcBorders>
            <w:shd w:val="clear" w:color="auto" w:fill="DFEBF1" w:themeFill="text2" w:themeFillTint="1A"/>
            <w:noWrap/>
            <w:vAlign w:val="center"/>
          </w:tcPr>
          <w:p w14:paraId="057BC67B" w14:textId="18221054"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7,783,631</w:t>
            </w:r>
          </w:p>
        </w:tc>
        <w:tc>
          <w:tcPr>
            <w:tcW w:w="992" w:type="dxa"/>
            <w:tcBorders>
              <w:top w:val="nil"/>
              <w:left w:val="nil"/>
              <w:bottom w:val="nil"/>
              <w:right w:val="nil"/>
            </w:tcBorders>
            <w:shd w:val="clear" w:color="auto" w:fill="DFEBF1" w:themeFill="text2" w:themeFillTint="1A"/>
            <w:noWrap/>
            <w:vAlign w:val="center"/>
          </w:tcPr>
          <w:p w14:paraId="787A0D4F" w14:textId="4E8E4D01"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2.2</w:t>
            </w:r>
          </w:p>
        </w:tc>
        <w:tc>
          <w:tcPr>
            <w:tcW w:w="567" w:type="dxa"/>
            <w:tcBorders>
              <w:right w:val="single" w:sz="4" w:space="0" w:color="FFFFFF" w:themeColor="accent6"/>
            </w:tcBorders>
            <w:shd w:val="clear" w:color="auto" w:fill="DFEBF1" w:themeFill="text2" w:themeFillTint="1A"/>
            <w:noWrap/>
          </w:tcPr>
          <w:p w14:paraId="7D5D8B7A"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top w:val="nil"/>
              <w:left w:val="single" w:sz="4" w:space="0" w:color="FFFFFF" w:themeColor="accent6"/>
              <w:bottom w:val="nil"/>
              <w:right w:val="nil"/>
            </w:tcBorders>
            <w:shd w:val="clear" w:color="auto" w:fill="DFEBF1" w:themeFill="text2" w:themeFillTint="1A"/>
            <w:noWrap/>
            <w:vAlign w:val="center"/>
          </w:tcPr>
          <w:p w14:paraId="08BCCA39" w14:textId="54E1289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100%</w:t>
            </w:r>
          </w:p>
        </w:tc>
        <w:tc>
          <w:tcPr>
            <w:tcW w:w="708" w:type="dxa"/>
            <w:tcBorders>
              <w:top w:val="nil"/>
              <w:left w:val="nil"/>
              <w:right w:val="single" w:sz="4" w:space="0" w:color="FFFFFF" w:themeColor="accent6"/>
            </w:tcBorders>
            <w:shd w:val="clear" w:color="auto" w:fill="DFEBF1" w:themeFill="text2" w:themeFillTint="1A"/>
            <w:noWrap/>
            <w:vAlign w:val="center"/>
          </w:tcPr>
          <w:p w14:paraId="4DA6ACC5" w14:textId="77E31B8C"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100%</w:t>
            </w:r>
          </w:p>
        </w:tc>
        <w:tc>
          <w:tcPr>
            <w:tcW w:w="851" w:type="dxa"/>
            <w:tcBorders>
              <w:left w:val="single" w:sz="4" w:space="0" w:color="FFFFFF" w:themeColor="accent6"/>
            </w:tcBorders>
            <w:shd w:val="clear" w:color="auto" w:fill="DFEBF1" w:themeFill="text2" w:themeFillTint="1A"/>
            <w:noWrap/>
          </w:tcPr>
          <w:p w14:paraId="0E3EE706"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shd w:val="clear" w:color="auto" w:fill="DFEBF1" w:themeFill="text2" w:themeFillTint="1A"/>
            <w:noWrap/>
          </w:tcPr>
          <w:p w14:paraId="1E318269"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shd w:val="clear" w:color="auto" w:fill="DFEBF1" w:themeFill="text2" w:themeFillTint="1A"/>
            <w:noWrap/>
          </w:tcPr>
          <w:p w14:paraId="6C64B695"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A86AC3" w:rsidRPr="0088109E" w14:paraId="322F5DED" w14:textId="77777777" w:rsidTr="009040C8">
        <w:trPr>
          <w:trHeight w:val="283"/>
        </w:trPr>
        <w:tc>
          <w:tcPr>
            <w:cnfStyle w:val="001000000000" w:firstRow="0" w:lastRow="0" w:firstColumn="1" w:lastColumn="0" w:oddVBand="0" w:evenVBand="0" w:oddHBand="0" w:evenHBand="0" w:firstRowFirstColumn="0" w:firstRowLastColumn="0" w:lastRowFirstColumn="0" w:lastRowLastColumn="0"/>
            <w:tcW w:w="851" w:type="dxa"/>
            <w:vMerge/>
            <w:tcBorders>
              <w:left w:val="nil"/>
              <w:bottom w:val="single" w:sz="4" w:space="0" w:color="D9D9D9" w:themeColor="background2" w:themeShade="D9"/>
              <w:right w:val="nil"/>
            </w:tcBorders>
            <w:shd w:val="clear" w:color="auto" w:fill="DFEBF1" w:themeFill="text2" w:themeFillTint="1A"/>
            <w:noWrap/>
            <w:vAlign w:val="center"/>
          </w:tcPr>
          <w:p w14:paraId="154AD6BC" w14:textId="3218B66D" w:rsidR="008E4DA3" w:rsidRPr="005629F8" w:rsidRDefault="008E4DA3" w:rsidP="00BF150A">
            <w:pPr>
              <w:pStyle w:val="TableParagraph"/>
              <w:jc w:val="center"/>
              <w:rPr>
                <w:color w:val="000000"/>
                <w:szCs w:val="14"/>
              </w:rPr>
            </w:pPr>
          </w:p>
        </w:tc>
        <w:tc>
          <w:tcPr>
            <w:tcW w:w="4678" w:type="dxa"/>
            <w:gridSpan w:val="3"/>
            <w:tcBorders>
              <w:top w:val="nil"/>
              <w:left w:val="nil"/>
              <w:bottom w:val="single" w:sz="4" w:space="0" w:color="D9D9D9" w:themeColor="background2" w:themeShade="D9"/>
              <w:right w:val="single" w:sz="4" w:space="0" w:color="FFFFFF" w:themeColor="accent6"/>
            </w:tcBorders>
            <w:shd w:val="clear" w:color="auto" w:fill="DFEBF1" w:themeFill="text2" w:themeFillTint="1A"/>
            <w:noWrap/>
            <w:vAlign w:val="center"/>
          </w:tcPr>
          <w:p w14:paraId="731C972D" w14:textId="6AA23408" w:rsidR="008E4DA3" w:rsidRPr="005629F8" w:rsidRDefault="008E4DA3">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Top 10 highest cost weight, % of all </w:t>
            </w:r>
            <w:r>
              <w:rPr>
                <w:b/>
                <w:bCs/>
                <w:color w:val="000000"/>
                <w:szCs w:val="14"/>
              </w:rPr>
              <w:t>AR-</w:t>
            </w:r>
            <w:r w:rsidRPr="0088109E">
              <w:rPr>
                <w:b/>
                <w:bCs/>
                <w:color w:val="000000"/>
                <w:szCs w:val="14"/>
              </w:rPr>
              <w:t>DRGs</w:t>
            </w:r>
          </w:p>
        </w:tc>
        <w:tc>
          <w:tcPr>
            <w:tcW w:w="708" w:type="dxa"/>
            <w:tcBorders>
              <w:left w:val="single" w:sz="4" w:space="0" w:color="FFFFFF" w:themeColor="accent6"/>
              <w:bottom w:val="single" w:sz="4" w:space="0" w:color="D9D9D9" w:themeColor="background2" w:themeShade="D9"/>
            </w:tcBorders>
            <w:shd w:val="clear" w:color="auto" w:fill="DFEBF1" w:themeFill="text2" w:themeFillTint="1A"/>
            <w:noWrap/>
          </w:tcPr>
          <w:p w14:paraId="2AE091FC"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top w:val="nil"/>
              <w:left w:val="nil"/>
              <w:bottom w:val="single" w:sz="4" w:space="0" w:color="D9D9D9" w:themeColor="background2" w:themeShade="D9"/>
              <w:right w:val="nil"/>
            </w:tcBorders>
            <w:shd w:val="clear" w:color="auto" w:fill="DFEBF1" w:themeFill="text2" w:themeFillTint="1A"/>
            <w:noWrap/>
            <w:vAlign w:val="center"/>
          </w:tcPr>
          <w:p w14:paraId="044D351C" w14:textId="40A3CA75"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0.0%</w:t>
            </w:r>
          </w:p>
        </w:tc>
        <w:tc>
          <w:tcPr>
            <w:tcW w:w="992" w:type="dxa"/>
            <w:tcBorders>
              <w:top w:val="nil"/>
              <w:left w:val="nil"/>
              <w:bottom w:val="single" w:sz="4" w:space="0" w:color="D9D9D9" w:themeColor="background2" w:themeShade="D9"/>
              <w:right w:val="nil"/>
            </w:tcBorders>
            <w:shd w:val="clear" w:color="auto" w:fill="DFEBF1" w:themeFill="text2" w:themeFillTint="1A"/>
            <w:noWrap/>
            <w:vAlign w:val="center"/>
          </w:tcPr>
          <w:p w14:paraId="20FB2E5E" w14:textId="5AA4B30E"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88109E">
              <w:rPr>
                <w:b/>
                <w:bCs/>
                <w:color w:val="000000"/>
                <w:szCs w:val="14"/>
              </w:rPr>
              <w:t>1.0%</w:t>
            </w:r>
          </w:p>
        </w:tc>
        <w:tc>
          <w:tcPr>
            <w:tcW w:w="851" w:type="dxa"/>
            <w:tcBorders>
              <w:top w:val="nil"/>
              <w:left w:val="nil"/>
              <w:bottom w:val="single" w:sz="4" w:space="0" w:color="D9D9D9" w:themeColor="background2" w:themeShade="D9"/>
              <w:right w:val="nil"/>
            </w:tcBorders>
            <w:shd w:val="clear" w:color="auto" w:fill="DFEBF1" w:themeFill="text2" w:themeFillTint="1A"/>
            <w:noWrap/>
            <w:vAlign w:val="center"/>
          </w:tcPr>
          <w:p w14:paraId="5F2E92A8" w14:textId="7716155F"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0.5%</w:t>
            </w:r>
          </w:p>
        </w:tc>
        <w:tc>
          <w:tcPr>
            <w:tcW w:w="992" w:type="dxa"/>
            <w:tcBorders>
              <w:bottom w:val="single" w:sz="4" w:space="0" w:color="D9D9D9" w:themeColor="background2" w:themeShade="D9"/>
            </w:tcBorders>
            <w:shd w:val="clear" w:color="auto" w:fill="DFEBF1" w:themeFill="text2" w:themeFillTint="1A"/>
            <w:noWrap/>
          </w:tcPr>
          <w:p w14:paraId="18BD0DF3"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567" w:type="dxa"/>
            <w:tcBorders>
              <w:bottom w:val="single" w:sz="4" w:space="0" w:color="D9D9D9" w:themeColor="background2" w:themeShade="D9"/>
              <w:right w:val="single" w:sz="4" w:space="0" w:color="FFFFFF" w:themeColor="accent6"/>
            </w:tcBorders>
            <w:shd w:val="clear" w:color="auto" w:fill="DFEBF1" w:themeFill="text2" w:themeFillTint="1A"/>
            <w:noWrap/>
          </w:tcPr>
          <w:p w14:paraId="27CCF1BB"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left w:val="single" w:sz="4" w:space="0" w:color="FFFFFF" w:themeColor="accent6"/>
              <w:bottom w:val="single" w:sz="4" w:space="0" w:color="D9D9D9" w:themeColor="background2" w:themeShade="D9"/>
            </w:tcBorders>
            <w:shd w:val="clear" w:color="auto" w:fill="DFEBF1" w:themeFill="text2" w:themeFillTint="1A"/>
            <w:noWrap/>
          </w:tcPr>
          <w:p w14:paraId="7C624D39"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8" w:type="dxa"/>
            <w:tcBorders>
              <w:bottom w:val="single" w:sz="4" w:space="0" w:color="D9D9D9" w:themeColor="background2" w:themeShade="D9"/>
              <w:right w:val="single" w:sz="4" w:space="0" w:color="FFFFFF" w:themeColor="accent6"/>
            </w:tcBorders>
            <w:shd w:val="clear" w:color="auto" w:fill="DFEBF1" w:themeFill="text2" w:themeFillTint="1A"/>
            <w:noWrap/>
          </w:tcPr>
          <w:p w14:paraId="6239900C"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left w:val="single" w:sz="4" w:space="0" w:color="FFFFFF" w:themeColor="accent6"/>
              <w:bottom w:val="single" w:sz="4" w:space="0" w:color="D9D9D9" w:themeColor="background2" w:themeShade="D9"/>
            </w:tcBorders>
            <w:shd w:val="clear" w:color="auto" w:fill="DFEBF1" w:themeFill="text2" w:themeFillTint="1A"/>
            <w:noWrap/>
          </w:tcPr>
          <w:p w14:paraId="5557FE71"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bottom w:val="single" w:sz="4" w:space="0" w:color="D9D9D9" w:themeColor="background2" w:themeShade="D9"/>
            </w:tcBorders>
            <w:shd w:val="clear" w:color="auto" w:fill="DFEBF1" w:themeFill="text2" w:themeFillTint="1A"/>
            <w:noWrap/>
          </w:tcPr>
          <w:p w14:paraId="2BC905FA"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bottom w:val="single" w:sz="4" w:space="0" w:color="D9D9D9" w:themeColor="background2" w:themeShade="D9"/>
            </w:tcBorders>
            <w:shd w:val="clear" w:color="auto" w:fill="DFEBF1" w:themeFill="text2" w:themeFillTint="1A"/>
            <w:noWrap/>
          </w:tcPr>
          <w:p w14:paraId="59F701E3"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bl>
    <w:p w14:paraId="39411F1F" w14:textId="202DF015" w:rsidR="00E81F86" w:rsidRPr="005629F8" w:rsidRDefault="00E81F86" w:rsidP="00582B54">
      <w:pPr>
        <w:spacing w:after="0" w:line="240" w:lineRule="auto"/>
        <w:rPr>
          <w:highlight w:val="yellow"/>
          <w:lang w:val="en-AU"/>
        </w:rPr>
      </w:pPr>
    </w:p>
    <w:p w14:paraId="463B14D8" w14:textId="78CF7084" w:rsidR="00582B54" w:rsidRPr="005629F8" w:rsidRDefault="00582B54" w:rsidP="00582B54">
      <w:pPr>
        <w:spacing w:after="0" w:line="240" w:lineRule="auto"/>
        <w:rPr>
          <w:b/>
          <w:bCs/>
          <w:sz w:val="16"/>
          <w:szCs w:val="16"/>
          <w:lang w:val="en-AU"/>
        </w:rPr>
      </w:pPr>
      <w:r w:rsidRPr="005629F8">
        <w:rPr>
          <w:b/>
          <w:bCs/>
          <w:sz w:val="16"/>
          <w:szCs w:val="16"/>
          <w:lang w:val="en-AU"/>
        </w:rPr>
        <w:t>Notes</w:t>
      </w:r>
    </w:p>
    <w:p w14:paraId="13A793C1" w14:textId="28438108" w:rsidR="00582B54" w:rsidRPr="005629F8" w:rsidRDefault="00582B54" w:rsidP="000C38AE">
      <w:pPr>
        <w:pStyle w:val="ListParagraph"/>
        <w:widowControl w:val="0"/>
        <w:numPr>
          <w:ilvl w:val="2"/>
          <w:numId w:val="16"/>
        </w:numPr>
        <w:autoSpaceDE w:val="0"/>
        <w:autoSpaceDN w:val="0"/>
        <w:spacing w:after="0" w:line="240" w:lineRule="auto"/>
        <w:ind w:left="284" w:firstLine="0"/>
        <w:contextualSpacing w:val="0"/>
        <w:rPr>
          <w:sz w:val="14"/>
          <w:lang w:val="en-AU"/>
        </w:rPr>
      </w:pPr>
      <w:r w:rsidRPr="005629F8">
        <w:rPr>
          <w:sz w:val="14"/>
          <w:lang w:val="en-AU"/>
        </w:rPr>
        <w:t>For</w:t>
      </w:r>
      <w:r w:rsidRPr="005629F8">
        <w:rPr>
          <w:spacing w:val="-3"/>
          <w:sz w:val="14"/>
          <w:lang w:val="en-AU"/>
        </w:rPr>
        <w:t xml:space="preserve"> </w:t>
      </w:r>
      <w:r w:rsidRPr="005629F8">
        <w:rPr>
          <w:sz w:val="14"/>
          <w:lang w:val="en-AU"/>
        </w:rPr>
        <w:t>cost weight (cost</w:t>
      </w:r>
      <w:r w:rsidRPr="005629F8">
        <w:rPr>
          <w:spacing w:val="-2"/>
          <w:sz w:val="14"/>
          <w:lang w:val="en-AU"/>
        </w:rPr>
        <w:t xml:space="preserve"> </w:t>
      </w:r>
      <w:r w:rsidRPr="005629F8">
        <w:rPr>
          <w:sz w:val="14"/>
          <w:lang w:val="en-AU"/>
        </w:rPr>
        <w:t>bucket</w:t>
      </w:r>
      <w:r w:rsidRPr="005629F8">
        <w:rPr>
          <w:spacing w:val="-2"/>
          <w:sz w:val="14"/>
          <w:lang w:val="en-AU"/>
        </w:rPr>
        <w:t xml:space="preserve"> </w:t>
      </w:r>
      <w:r w:rsidRPr="005629F8">
        <w:rPr>
          <w:sz w:val="14"/>
          <w:lang w:val="en-AU"/>
        </w:rPr>
        <w:t>specific)</w:t>
      </w:r>
      <w:r w:rsidRPr="005629F8">
        <w:rPr>
          <w:spacing w:val="-2"/>
          <w:sz w:val="14"/>
          <w:lang w:val="en-AU"/>
        </w:rPr>
        <w:t xml:space="preserve"> </w:t>
      </w:r>
      <w:r w:rsidRPr="005629F8">
        <w:rPr>
          <w:sz w:val="14"/>
          <w:lang w:val="en-AU"/>
        </w:rPr>
        <w:t>calculations</w:t>
      </w:r>
      <w:r w:rsidRPr="005629F8">
        <w:rPr>
          <w:spacing w:val="-2"/>
          <w:sz w:val="14"/>
          <w:lang w:val="en-AU"/>
        </w:rPr>
        <w:t xml:space="preserve"> </w:t>
      </w:r>
      <w:r w:rsidRPr="005629F8">
        <w:rPr>
          <w:sz w:val="14"/>
          <w:lang w:val="en-AU"/>
        </w:rPr>
        <w:t>please</w:t>
      </w:r>
      <w:r w:rsidRPr="005629F8">
        <w:rPr>
          <w:spacing w:val="-2"/>
          <w:sz w:val="14"/>
          <w:lang w:val="en-AU"/>
        </w:rPr>
        <w:t xml:space="preserve"> </w:t>
      </w:r>
      <w:r w:rsidRPr="005629F8">
        <w:rPr>
          <w:sz w:val="14"/>
          <w:lang w:val="en-AU"/>
        </w:rPr>
        <w:t>refer</w:t>
      </w:r>
      <w:r w:rsidRPr="005629F8">
        <w:rPr>
          <w:spacing w:val="-3"/>
          <w:sz w:val="14"/>
          <w:lang w:val="en-AU"/>
        </w:rPr>
        <w:t xml:space="preserve"> </w:t>
      </w:r>
      <w:r w:rsidRPr="005629F8">
        <w:rPr>
          <w:sz w:val="14"/>
          <w:lang w:val="en-AU"/>
        </w:rPr>
        <w:t xml:space="preserve">to </w:t>
      </w:r>
      <w:r w:rsidRPr="005629F8">
        <w:rPr>
          <w:sz w:val="14"/>
          <w:szCs w:val="14"/>
          <w:lang w:val="en-AU"/>
        </w:rPr>
        <w:fldChar w:fldCharType="begin"/>
      </w:r>
      <w:r w:rsidRPr="005629F8">
        <w:rPr>
          <w:sz w:val="14"/>
          <w:szCs w:val="14"/>
          <w:lang w:val="en-AU"/>
        </w:rPr>
        <w:instrText xml:space="preserve"> REF _Ref103175315 \h  \* MERGEFORMAT </w:instrText>
      </w:r>
      <w:r w:rsidRPr="005629F8">
        <w:rPr>
          <w:sz w:val="14"/>
          <w:szCs w:val="14"/>
          <w:lang w:val="en-AU"/>
        </w:rPr>
      </w:r>
      <w:r w:rsidRPr="005629F8">
        <w:rPr>
          <w:sz w:val="14"/>
          <w:szCs w:val="14"/>
          <w:lang w:val="en-AU"/>
        </w:rPr>
        <w:fldChar w:fldCharType="separate"/>
      </w:r>
      <w:r w:rsidR="00BF088F" w:rsidRPr="005629F8">
        <w:rPr>
          <w:sz w:val="14"/>
          <w:szCs w:val="14"/>
          <w:lang w:val="en-AU"/>
        </w:rPr>
        <w:t>Appendix</w:t>
      </w:r>
      <w:r w:rsidR="00BF088F" w:rsidRPr="005629F8">
        <w:rPr>
          <w:spacing w:val="-2"/>
          <w:sz w:val="14"/>
          <w:szCs w:val="14"/>
          <w:lang w:val="en-AU"/>
        </w:rPr>
        <w:t xml:space="preserve"> </w:t>
      </w:r>
      <w:r w:rsidR="00BF088F" w:rsidRPr="005629F8">
        <w:rPr>
          <w:sz w:val="14"/>
          <w:szCs w:val="14"/>
          <w:lang w:val="en-AU"/>
        </w:rPr>
        <w:t>D:</w:t>
      </w:r>
      <w:r w:rsidR="00BF088F" w:rsidRPr="005629F8">
        <w:rPr>
          <w:spacing w:val="1"/>
          <w:sz w:val="14"/>
          <w:szCs w:val="14"/>
          <w:lang w:val="en-AU"/>
        </w:rPr>
        <w:t xml:space="preserve"> </w:t>
      </w:r>
      <w:r w:rsidR="00BF088F" w:rsidRPr="005629F8">
        <w:rPr>
          <w:sz w:val="14"/>
          <w:szCs w:val="14"/>
          <w:lang w:val="en-AU"/>
        </w:rPr>
        <w:t>Cost</w:t>
      </w:r>
      <w:r w:rsidR="00BF088F" w:rsidRPr="005629F8">
        <w:rPr>
          <w:spacing w:val="1"/>
          <w:sz w:val="14"/>
          <w:szCs w:val="14"/>
          <w:lang w:val="en-AU"/>
        </w:rPr>
        <w:t xml:space="preserve"> </w:t>
      </w:r>
      <w:r w:rsidR="00BF088F" w:rsidRPr="005629F8">
        <w:rPr>
          <w:sz w:val="14"/>
          <w:szCs w:val="14"/>
          <w:lang w:val="en-AU"/>
        </w:rPr>
        <w:t>weight</w:t>
      </w:r>
      <w:r w:rsidR="00BF088F" w:rsidRPr="005629F8">
        <w:rPr>
          <w:spacing w:val="1"/>
          <w:sz w:val="14"/>
          <w:szCs w:val="14"/>
          <w:lang w:val="en-AU"/>
        </w:rPr>
        <w:t xml:space="preserve"> </w:t>
      </w:r>
      <w:r w:rsidR="00BF088F" w:rsidRPr="005629F8">
        <w:rPr>
          <w:sz w:val="14"/>
          <w:szCs w:val="14"/>
          <w:lang w:val="en-AU"/>
        </w:rPr>
        <w:t>tables by AR-DRG Version 10.0</w:t>
      </w:r>
      <w:r w:rsidRPr="005629F8">
        <w:rPr>
          <w:sz w:val="14"/>
          <w:szCs w:val="14"/>
          <w:lang w:val="en-AU"/>
        </w:rPr>
        <w:fldChar w:fldCharType="end"/>
      </w:r>
    </w:p>
    <w:p w14:paraId="097A15F6" w14:textId="77777777" w:rsidR="00582B54" w:rsidRPr="005629F8" w:rsidRDefault="00582B54" w:rsidP="000C38AE">
      <w:pPr>
        <w:pStyle w:val="ListParagraph"/>
        <w:widowControl w:val="0"/>
        <w:numPr>
          <w:ilvl w:val="2"/>
          <w:numId w:val="16"/>
        </w:numPr>
        <w:autoSpaceDE w:val="0"/>
        <w:autoSpaceDN w:val="0"/>
        <w:spacing w:after="0" w:line="240" w:lineRule="auto"/>
        <w:ind w:left="284" w:firstLine="0"/>
        <w:contextualSpacing w:val="0"/>
        <w:rPr>
          <w:sz w:val="14"/>
          <w:lang w:val="en-AU"/>
        </w:rPr>
      </w:pPr>
      <w:r w:rsidRPr="005629F8">
        <w:rPr>
          <w:sz w:val="14"/>
          <w:lang w:val="en-AU"/>
        </w:rPr>
        <w:t>Separations</w:t>
      </w:r>
      <w:r w:rsidRPr="005629F8">
        <w:rPr>
          <w:spacing w:val="-4"/>
          <w:sz w:val="14"/>
          <w:lang w:val="en-AU"/>
        </w:rPr>
        <w:t xml:space="preserve"> </w:t>
      </w:r>
      <w:r w:rsidRPr="005629F8">
        <w:rPr>
          <w:sz w:val="14"/>
          <w:lang w:val="en-AU"/>
        </w:rPr>
        <w:t>shown</w:t>
      </w:r>
      <w:r w:rsidRPr="005629F8">
        <w:rPr>
          <w:spacing w:val="-3"/>
          <w:sz w:val="14"/>
          <w:lang w:val="en-AU"/>
        </w:rPr>
        <w:t xml:space="preserve"> </w:t>
      </w:r>
      <w:r w:rsidRPr="005629F8">
        <w:rPr>
          <w:sz w:val="14"/>
          <w:lang w:val="en-AU"/>
        </w:rPr>
        <w:t>are</w:t>
      </w:r>
      <w:r w:rsidRPr="005629F8">
        <w:rPr>
          <w:spacing w:val="-1"/>
          <w:sz w:val="14"/>
          <w:lang w:val="en-AU"/>
        </w:rPr>
        <w:t xml:space="preserve"> </w:t>
      </w:r>
      <w:r w:rsidRPr="005629F8">
        <w:rPr>
          <w:sz w:val="14"/>
          <w:lang w:val="en-AU"/>
        </w:rPr>
        <w:t>strata</w:t>
      </w:r>
      <w:r w:rsidRPr="005629F8">
        <w:rPr>
          <w:spacing w:val="1"/>
          <w:sz w:val="14"/>
          <w:lang w:val="en-AU"/>
        </w:rPr>
        <w:t xml:space="preserve"> </w:t>
      </w:r>
      <w:r w:rsidRPr="005629F8">
        <w:rPr>
          <w:sz w:val="14"/>
          <w:lang w:val="en-AU"/>
        </w:rPr>
        <w:t>weighted</w:t>
      </w:r>
    </w:p>
    <w:p w14:paraId="79B9433D" w14:textId="50989ADE" w:rsidR="00582B54" w:rsidRPr="005629F8" w:rsidRDefault="00582B54" w:rsidP="000C38AE">
      <w:pPr>
        <w:pStyle w:val="ListParagraph"/>
        <w:widowControl w:val="0"/>
        <w:numPr>
          <w:ilvl w:val="2"/>
          <w:numId w:val="16"/>
        </w:numPr>
        <w:autoSpaceDE w:val="0"/>
        <w:autoSpaceDN w:val="0"/>
        <w:spacing w:after="0" w:line="240" w:lineRule="auto"/>
        <w:ind w:left="284" w:firstLine="0"/>
        <w:contextualSpacing w:val="0"/>
        <w:rPr>
          <w:sz w:val="14"/>
          <w:lang w:val="en-AU"/>
        </w:rPr>
      </w:pPr>
      <w:r w:rsidRPr="005629F8">
        <w:rPr>
          <w:sz w:val="14"/>
          <w:lang w:val="en-AU"/>
        </w:rPr>
        <w:t>ALOS</w:t>
      </w:r>
      <w:r w:rsidRPr="005629F8">
        <w:rPr>
          <w:spacing w:val="-2"/>
          <w:sz w:val="14"/>
          <w:lang w:val="en-AU"/>
        </w:rPr>
        <w:t xml:space="preserve"> </w:t>
      </w:r>
      <w:r w:rsidRPr="005629F8">
        <w:rPr>
          <w:sz w:val="14"/>
          <w:lang w:val="en-AU"/>
        </w:rPr>
        <w:t>means Average Length</w:t>
      </w:r>
      <w:r w:rsidRPr="005629F8">
        <w:rPr>
          <w:spacing w:val="-3"/>
          <w:sz w:val="14"/>
          <w:lang w:val="en-AU"/>
        </w:rPr>
        <w:t xml:space="preserve"> </w:t>
      </w:r>
      <w:r w:rsidRPr="005629F8">
        <w:rPr>
          <w:sz w:val="14"/>
          <w:lang w:val="en-AU"/>
        </w:rPr>
        <w:t>of</w:t>
      </w:r>
      <w:r w:rsidRPr="005629F8">
        <w:rPr>
          <w:spacing w:val="-1"/>
          <w:sz w:val="14"/>
          <w:lang w:val="en-AU"/>
        </w:rPr>
        <w:t xml:space="preserve"> </w:t>
      </w:r>
      <w:r w:rsidRPr="005629F8">
        <w:rPr>
          <w:sz w:val="14"/>
          <w:lang w:val="en-AU"/>
        </w:rPr>
        <w:t>Stay</w:t>
      </w:r>
    </w:p>
    <w:p w14:paraId="6EE29013" w14:textId="77777777" w:rsidR="00F91893" w:rsidRPr="005629F8" w:rsidRDefault="00F91893" w:rsidP="00AF30D0">
      <w:pPr>
        <w:rPr>
          <w:highlight w:val="yellow"/>
          <w:lang w:val="en-AU"/>
        </w:rPr>
        <w:sectPr w:rsidR="00F91893" w:rsidRPr="005629F8" w:rsidSect="00522146">
          <w:footerReference w:type="default" r:id="rId27"/>
          <w:pgSz w:w="16838" w:h="11906" w:orient="landscape" w:code="9"/>
          <w:pgMar w:top="1077" w:right="567" w:bottom="1077" w:left="567" w:header="709" w:footer="709" w:gutter="0"/>
          <w:cols w:space="720"/>
          <w:docGrid w:linePitch="360"/>
        </w:sectPr>
      </w:pPr>
    </w:p>
    <w:p w14:paraId="2F24CA53" w14:textId="6EF4EE1F" w:rsidR="00F91893" w:rsidRPr="005629F8" w:rsidRDefault="00F91893" w:rsidP="00E829BF">
      <w:pPr>
        <w:pStyle w:val="Heading3"/>
      </w:pPr>
      <w:bookmarkStart w:id="120" w:name="_Toc129700683"/>
      <w:bookmarkStart w:id="121" w:name="_Toc129701376"/>
      <w:r w:rsidRPr="005629F8">
        <w:lastRenderedPageBreak/>
        <w:t xml:space="preserve">Top </w:t>
      </w:r>
      <w:r w:rsidR="00517FEF" w:rsidRPr="005629F8">
        <w:t>1</w:t>
      </w:r>
      <w:r w:rsidRPr="005629F8">
        <w:t>0 AR-DRGs ranked by highest volume of population-adjusted separations</w:t>
      </w:r>
      <w:bookmarkEnd w:id="120"/>
      <w:bookmarkEnd w:id="121"/>
    </w:p>
    <w:p w14:paraId="3172A1BA" w14:textId="77777777" w:rsidR="00F91893" w:rsidRPr="005629F8" w:rsidRDefault="00F91893" w:rsidP="00F91893">
      <w:pPr>
        <w:pStyle w:val="Heading4"/>
        <w:rPr>
          <w:lang w:val="en-AU"/>
        </w:rPr>
      </w:pPr>
      <w:r w:rsidRPr="005629F8">
        <w:rPr>
          <w:lang w:val="en-AU"/>
        </w:rPr>
        <w:t>Key</w:t>
      </w:r>
      <w:r w:rsidRPr="005629F8">
        <w:rPr>
          <w:spacing w:val="-2"/>
          <w:lang w:val="en-AU"/>
        </w:rPr>
        <w:t xml:space="preserve"> </w:t>
      </w:r>
      <w:r w:rsidRPr="005629F8">
        <w:rPr>
          <w:lang w:val="en-AU"/>
        </w:rPr>
        <w:t>findings</w:t>
      </w:r>
    </w:p>
    <w:p w14:paraId="15B332AA" w14:textId="5B21BCA7" w:rsidR="00F91893" w:rsidRPr="005629F8" w:rsidRDefault="006D4E0B" w:rsidP="00F91893">
      <w:pPr>
        <w:rPr>
          <w:color w:val="auto"/>
          <w:highlight w:val="yellow"/>
          <w:lang w:val="en-AU"/>
        </w:rPr>
      </w:pPr>
      <w:r w:rsidRPr="005629F8">
        <w:rPr>
          <w:color w:val="auto"/>
          <w:lang w:val="en-AU"/>
        </w:rPr>
        <w:fldChar w:fldCharType="begin"/>
      </w:r>
      <w:r w:rsidRPr="005629F8">
        <w:rPr>
          <w:color w:val="auto"/>
          <w:lang w:val="en-AU"/>
        </w:rPr>
        <w:instrText xml:space="preserve"> REF _Ref103175681 \h </w:instrText>
      </w:r>
      <w:r w:rsidRPr="005629F8">
        <w:rPr>
          <w:color w:val="auto"/>
          <w:lang w:val="en-AU"/>
        </w:rPr>
      </w:r>
      <w:r w:rsidRPr="005629F8">
        <w:rPr>
          <w:color w:val="auto"/>
          <w:lang w:val="en-AU"/>
        </w:rPr>
        <w:fldChar w:fldCharType="separate"/>
      </w:r>
      <w:r w:rsidR="003B188F" w:rsidRPr="005629F8">
        <w:rPr>
          <w:lang w:val="en-AU"/>
        </w:rPr>
        <w:t xml:space="preserve">Table </w:t>
      </w:r>
      <w:r w:rsidR="003B188F">
        <w:rPr>
          <w:noProof/>
          <w:lang w:val="en-AU"/>
        </w:rPr>
        <w:t>6</w:t>
      </w:r>
      <w:r w:rsidRPr="005629F8">
        <w:rPr>
          <w:color w:val="auto"/>
          <w:lang w:val="en-AU"/>
        </w:rPr>
        <w:fldChar w:fldCharType="end"/>
      </w:r>
      <w:r w:rsidRPr="005629F8">
        <w:rPr>
          <w:color w:val="auto"/>
          <w:lang w:val="en-AU"/>
        </w:rPr>
        <w:t xml:space="preserve"> and </w:t>
      </w:r>
      <w:r w:rsidR="000A22E9">
        <w:rPr>
          <w:color w:val="auto"/>
          <w:lang w:val="en-AU"/>
        </w:rPr>
        <w:fldChar w:fldCharType="begin"/>
      </w:r>
      <w:r w:rsidR="000A22E9">
        <w:rPr>
          <w:color w:val="auto"/>
          <w:lang w:val="en-AU"/>
        </w:rPr>
        <w:instrText xml:space="preserve"> REF _Ref129181296 \h </w:instrText>
      </w:r>
      <w:r w:rsidR="000A22E9">
        <w:rPr>
          <w:color w:val="auto"/>
          <w:lang w:val="en-AU"/>
        </w:rPr>
      </w:r>
      <w:r w:rsidR="000A22E9">
        <w:rPr>
          <w:color w:val="auto"/>
          <w:lang w:val="en-AU"/>
        </w:rPr>
        <w:fldChar w:fldCharType="separate"/>
      </w:r>
      <w:r w:rsidR="00F2253B">
        <w:t xml:space="preserve">Figure </w:t>
      </w:r>
      <w:r w:rsidR="00F2253B">
        <w:rPr>
          <w:noProof/>
        </w:rPr>
        <w:t>11</w:t>
      </w:r>
      <w:r w:rsidR="000A22E9">
        <w:rPr>
          <w:color w:val="auto"/>
          <w:lang w:val="en-AU"/>
        </w:rPr>
        <w:fldChar w:fldCharType="end"/>
      </w:r>
      <w:hyperlink w:anchor="_bookmark12" w:history="1">
        <w:r w:rsidR="00F91893" w:rsidRPr="005629F8">
          <w:rPr>
            <w:color w:val="auto"/>
            <w:lang w:val="en-AU"/>
          </w:rPr>
          <w:t xml:space="preserve"> </w:t>
        </w:r>
      </w:hyperlink>
      <w:r w:rsidR="00F91893" w:rsidRPr="005629F8">
        <w:rPr>
          <w:color w:val="auto"/>
          <w:lang w:val="en-AU"/>
        </w:rPr>
        <w:t xml:space="preserve">show the AR-DRGs with the highest population-adjusted separations for </w:t>
      </w:r>
      <w:r w:rsidR="007164B7" w:rsidRPr="005629F8">
        <w:rPr>
          <w:color w:val="auto"/>
          <w:lang w:val="en-AU"/>
        </w:rPr>
        <w:t>20</w:t>
      </w:r>
      <w:r w:rsidR="001C45A9" w:rsidRPr="005629F8">
        <w:rPr>
          <w:color w:val="auto"/>
          <w:lang w:val="en-AU"/>
        </w:rPr>
        <w:t>20</w:t>
      </w:r>
      <w:r w:rsidR="007164B7" w:rsidRPr="005629F8">
        <w:rPr>
          <w:color w:val="auto"/>
          <w:lang w:val="en-AU"/>
        </w:rPr>
        <w:t>-21</w:t>
      </w:r>
      <w:r w:rsidR="00F91893" w:rsidRPr="005629F8">
        <w:rPr>
          <w:color w:val="auto"/>
          <w:lang w:val="en-AU"/>
        </w:rPr>
        <w:t xml:space="preserve">. This is a measure of the volume of separations in the entire overnight private hospital population (the separations in the </w:t>
      </w:r>
      <w:r w:rsidR="001C45A9" w:rsidRPr="005629F8">
        <w:rPr>
          <w:color w:val="auto"/>
          <w:lang w:val="en-AU"/>
        </w:rPr>
        <w:t>2020-21</w:t>
      </w:r>
      <w:r w:rsidR="00F91893" w:rsidRPr="005629F8">
        <w:rPr>
          <w:color w:val="auto"/>
          <w:lang w:val="en-AU"/>
        </w:rPr>
        <w:t xml:space="preserve"> sample, adjusted using weights to reflect the whole population).</w:t>
      </w:r>
    </w:p>
    <w:p w14:paraId="16AB7249" w14:textId="539FD4F7" w:rsidR="00F91893" w:rsidRPr="005629F8" w:rsidRDefault="006D4E0B" w:rsidP="00F91893">
      <w:pPr>
        <w:rPr>
          <w:lang w:val="en-AU"/>
        </w:rPr>
      </w:pPr>
      <w:r w:rsidRPr="005629F8">
        <w:rPr>
          <w:color w:val="auto"/>
          <w:lang w:val="en-AU"/>
        </w:rPr>
        <w:fldChar w:fldCharType="begin"/>
      </w:r>
      <w:r w:rsidRPr="005629F8">
        <w:rPr>
          <w:color w:val="auto"/>
          <w:lang w:val="en-AU"/>
        </w:rPr>
        <w:instrText xml:space="preserve"> REF _Ref103175681 \h </w:instrText>
      </w:r>
      <w:r w:rsidRPr="005629F8">
        <w:rPr>
          <w:color w:val="auto"/>
          <w:lang w:val="en-AU"/>
        </w:rPr>
      </w:r>
      <w:r w:rsidRPr="005629F8">
        <w:rPr>
          <w:color w:val="auto"/>
          <w:lang w:val="en-AU"/>
        </w:rPr>
        <w:fldChar w:fldCharType="separate"/>
      </w:r>
      <w:r w:rsidR="00F2253B" w:rsidRPr="005629F8">
        <w:rPr>
          <w:lang w:val="en-AU"/>
        </w:rPr>
        <w:t xml:space="preserve">Table </w:t>
      </w:r>
      <w:r w:rsidR="00F2253B">
        <w:rPr>
          <w:noProof/>
          <w:lang w:val="en-AU"/>
        </w:rPr>
        <w:t>6</w:t>
      </w:r>
      <w:r w:rsidRPr="005629F8">
        <w:rPr>
          <w:color w:val="auto"/>
          <w:lang w:val="en-AU"/>
        </w:rPr>
        <w:fldChar w:fldCharType="end"/>
      </w:r>
      <w:r w:rsidRPr="005629F8">
        <w:rPr>
          <w:color w:val="auto"/>
          <w:lang w:val="en-AU"/>
        </w:rPr>
        <w:t xml:space="preserve"> </w:t>
      </w:r>
      <w:r w:rsidR="00F91893" w:rsidRPr="005629F8">
        <w:rPr>
          <w:color w:val="auto"/>
          <w:lang w:val="en-AU"/>
        </w:rPr>
        <w:t xml:space="preserve">shows that for </w:t>
      </w:r>
      <w:r w:rsidR="001C45A9" w:rsidRPr="005629F8">
        <w:rPr>
          <w:color w:val="auto"/>
          <w:lang w:val="en-AU"/>
        </w:rPr>
        <w:t>2020-21</w:t>
      </w:r>
      <w:r w:rsidR="00F91893" w:rsidRPr="005629F8">
        <w:rPr>
          <w:color w:val="auto"/>
          <w:lang w:val="en-AU"/>
        </w:rPr>
        <w:t>, R63Z: Chemotherapy was ranked as having the most population-adjusted separations, consistent</w:t>
      </w:r>
      <w:r w:rsidR="00517FEF" w:rsidRPr="005629F8">
        <w:rPr>
          <w:color w:val="auto"/>
          <w:lang w:val="en-AU"/>
        </w:rPr>
        <w:t xml:space="preserve"> with its ranking in the previous year</w:t>
      </w:r>
      <w:r w:rsidR="00F91893" w:rsidRPr="005629F8">
        <w:rPr>
          <w:color w:val="auto"/>
          <w:lang w:val="en-AU"/>
        </w:rPr>
        <w:t>.</w:t>
      </w:r>
      <w:r w:rsidR="00B02B00" w:rsidRPr="005629F8">
        <w:rPr>
          <w:color w:val="auto"/>
          <w:lang w:val="en-AU"/>
        </w:rPr>
        <w:t xml:space="preserve"> This is expected given the high</w:t>
      </w:r>
      <w:r w:rsidR="005E3347">
        <w:rPr>
          <w:color w:val="auto"/>
          <w:lang w:val="en-AU"/>
        </w:rPr>
        <w:t>-</w:t>
      </w:r>
      <w:r w:rsidR="00B02B00" w:rsidRPr="005629F8">
        <w:rPr>
          <w:color w:val="auto"/>
          <w:lang w:val="en-AU"/>
        </w:rPr>
        <w:t>frequency</w:t>
      </w:r>
      <w:r w:rsidR="009C10A4" w:rsidRPr="005629F8">
        <w:rPr>
          <w:color w:val="auto"/>
          <w:lang w:val="en-AU"/>
        </w:rPr>
        <w:t xml:space="preserve">, </w:t>
      </w:r>
      <w:proofErr w:type="spellStart"/>
      <w:r w:rsidR="009C10A4" w:rsidRPr="005629F8">
        <w:rPr>
          <w:color w:val="auto"/>
          <w:lang w:val="en-AU"/>
        </w:rPr>
        <w:t>sameday</w:t>
      </w:r>
      <w:proofErr w:type="spellEnd"/>
      <w:r w:rsidR="009C10A4" w:rsidRPr="005629F8">
        <w:rPr>
          <w:color w:val="auto"/>
          <w:lang w:val="en-AU"/>
        </w:rPr>
        <w:t xml:space="preserve"> nature</w:t>
      </w:r>
      <w:r w:rsidR="00B02B00" w:rsidRPr="005629F8">
        <w:rPr>
          <w:color w:val="auto"/>
          <w:lang w:val="en-AU"/>
        </w:rPr>
        <w:t xml:space="preserve"> of treatments required for R63Z.</w:t>
      </w:r>
      <w:r w:rsidR="00F91893" w:rsidRPr="005629F8">
        <w:rPr>
          <w:color w:val="auto"/>
          <w:lang w:val="en-AU"/>
        </w:rPr>
        <w:t xml:space="preserve"> </w:t>
      </w:r>
      <w:r w:rsidRPr="005629F8">
        <w:rPr>
          <w:color w:val="auto"/>
          <w:lang w:val="en-AU"/>
        </w:rPr>
        <w:fldChar w:fldCharType="begin"/>
      </w:r>
      <w:r w:rsidRPr="005629F8">
        <w:rPr>
          <w:color w:val="auto"/>
          <w:lang w:val="en-AU"/>
        </w:rPr>
        <w:instrText xml:space="preserve"> REF _Ref103175681 \h </w:instrText>
      </w:r>
      <w:r w:rsidRPr="005629F8">
        <w:rPr>
          <w:color w:val="auto"/>
          <w:lang w:val="en-AU"/>
        </w:rPr>
      </w:r>
      <w:r w:rsidRPr="005629F8">
        <w:rPr>
          <w:color w:val="auto"/>
          <w:lang w:val="en-AU"/>
        </w:rPr>
        <w:fldChar w:fldCharType="separate"/>
      </w:r>
      <w:r w:rsidR="00F2253B" w:rsidRPr="005629F8">
        <w:rPr>
          <w:lang w:val="en-AU"/>
        </w:rPr>
        <w:t xml:space="preserve">Table </w:t>
      </w:r>
      <w:r w:rsidR="00F2253B">
        <w:rPr>
          <w:noProof/>
          <w:lang w:val="en-AU"/>
        </w:rPr>
        <w:t>6</w:t>
      </w:r>
      <w:r w:rsidRPr="005629F8">
        <w:rPr>
          <w:color w:val="auto"/>
          <w:lang w:val="en-AU"/>
        </w:rPr>
        <w:fldChar w:fldCharType="end"/>
      </w:r>
      <w:r w:rsidRPr="005629F8">
        <w:rPr>
          <w:color w:val="auto"/>
          <w:lang w:val="en-AU"/>
        </w:rPr>
        <w:t xml:space="preserve"> </w:t>
      </w:r>
      <w:hyperlink w:anchor="_bookmark12" w:history="1"/>
      <w:r w:rsidR="00F91893" w:rsidRPr="005629F8">
        <w:rPr>
          <w:color w:val="auto"/>
          <w:lang w:val="en-AU"/>
        </w:rPr>
        <w:t xml:space="preserve">also shows that the top </w:t>
      </w:r>
      <w:r w:rsidR="009C10A4" w:rsidRPr="005629F8">
        <w:rPr>
          <w:color w:val="auto"/>
          <w:lang w:val="en-AU"/>
        </w:rPr>
        <w:t xml:space="preserve">10 </w:t>
      </w:r>
      <w:r w:rsidR="00F91893" w:rsidRPr="005629F8">
        <w:rPr>
          <w:color w:val="auto"/>
          <w:lang w:val="en-AU"/>
        </w:rPr>
        <w:t>AR-DRGs represented 4</w:t>
      </w:r>
      <w:r w:rsidR="00517FEF" w:rsidRPr="005629F8">
        <w:rPr>
          <w:color w:val="auto"/>
          <w:lang w:val="en-AU"/>
        </w:rPr>
        <w:t>4</w:t>
      </w:r>
      <w:r w:rsidR="00F91893" w:rsidRPr="005629F8">
        <w:rPr>
          <w:color w:val="auto"/>
          <w:lang w:val="en-AU"/>
        </w:rPr>
        <w:t>.</w:t>
      </w:r>
      <w:r w:rsidR="00517FEF" w:rsidRPr="005629F8">
        <w:rPr>
          <w:color w:val="auto"/>
          <w:lang w:val="en-AU"/>
        </w:rPr>
        <w:t>4</w:t>
      </w:r>
      <w:r w:rsidR="00F91893" w:rsidRPr="005629F8">
        <w:rPr>
          <w:color w:val="auto"/>
          <w:lang w:val="en-AU"/>
        </w:rPr>
        <w:t xml:space="preserve"> per cent of the total population-adjusted separations (</w:t>
      </w:r>
      <w:r w:rsidR="00517FEF" w:rsidRPr="005629F8">
        <w:rPr>
          <w:color w:val="auto"/>
          <w:lang w:val="en-AU"/>
        </w:rPr>
        <w:t>1</w:t>
      </w:r>
      <w:r w:rsidR="00F91893" w:rsidRPr="005629F8">
        <w:rPr>
          <w:color w:val="auto"/>
          <w:lang w:val="en-AU"/>
        </w:rPr>
        <w:t>,</w:t>
      </w:r>
      <w:r w:rsidR="00517FEF" w:rsidRPr="005629F8">
        <w:rPr>
          <w:color w:val="auto"/>
          <w:lang w:val="en-AU"/>
        </w:rPr>
        <w:t>548</w:t>
      </w:r>
      <w:r w:rsidR="00F91893" w:rsidRPr="005629F8">
        <w:rPr>
          <w:color w:val="auto"/>
          <w:lang w:val="en-AU"/>
        </w:rPr>
        <w:t>,</w:t>
      </w:r>
      <w:r w:rsidR="00517FEF" w:rsidRPr="005629F8">
        <w:rPr>
          <w:color w:val="auto"/>
          <w:lang w:val="en-AU"/>
        </w:rPr>
        <w:t>039</w:t>
      </w:r>
      <w:r w:rsidR="00F91893" w:rsidRPr="005629F8">
        <w:rPr>
          <w:color w:val="auto"/>
          <w:lang w:val="en-AU"/>
        </w:rPr>
        <w:t xml:space="preserve"> population-adjusted separations out of 3,</w:t>
      </w:r>
      <w:r w:rsidR="00517FEF" w:rsidRPr="005629F8">
        <w:rPr>
          <w:color w:val="auto"/>
          <w:lang w:val="en-AU"/>
        </w:rPr>
        <w:t xml:space="preserve">487,127 </w:t>
      </w:r>
      <w:r w:rsidR="00F91893" w:rsidRPr="005629F8">
        <w:rPr>
          <w:color w:val="auto"/>
          <w:lang w:val="en-AU"/>
        </w:rPr>
        <w:t>total separations). However</w:t>
      </w:r>
      <w:r w:rsidR="00F91893" w:rsidRPr="005629F8">
        <w:rPr>
          <w:lang w:val="en-AU"/>
        </w:rPr>
        <w:t>, these AR-DRGs represented only 18.</w:t>
      </w:r>
      <w:r w:rsidR="00517FEF" w:rsidRPr="005629F8">
        <w:rPr>
          <w:lang w:val="en-AU"/>
        </w:rPr>
        <w:t>9</w:t>
      </w:r>
      <w:r w:rsidR="00F91893" w:rsidRPr="005629F8">
        <w:rPr>
          <w:lang w:val="en-AU"/>
        </w:rPr>
        <w:t xml:space="preserve"> per cent (</w:t>
      </w:r>
      <w:r w:rsidR="00517FEF" w:rsidRPr="005629F8">
        <w:rPr>
          <w:lang w:val="en-AU"/>
        </w:rPr>
        <w:t>660,001</w:t>
      </w:r>
      <w:r w:rsidR="00F91893" w:rsidRPr="005629F8">
        <w:rPr>
          <w:lang w:val="en-AU"/>
        </w:rPr>
        <w:t>) of the total population cost weighted separations. This indicates that these AR-DRGs were high</w:t>
      </w:r>
      <w:r w:rsidR="00B26CCE">
        <w:rPr>
          <w:lang w:val="en-AU"/>
        </w:rPr>
        <w:t>-</w:t>
      </w:r>
      <w:r w:rsidR="00F91893" w:rsidRPr="005629F8">
        <w:rPr>
          <w:lang w:val="en-AU"/>
        </w:rPr>
        <w:t>volume and low</w:t>
      </w:r>
      <w:r w:rsidR="00B26CCE">
        <w:rPr>
          <w:lang w:val="en-AU"/>
        </w:rPr>
        <w:t>-</w:t>
      </w:r>
      <w:r w:rsidR="00F91893" w:rsidRPr="005629F8">
        <w:rPr>
          <w:lang w:val="en-AU"/>
        </w:rPr>
        <w:t>cost.</w:t>
      </w:r>
    </w:p>
    <w:p w14:paraId="4A4C1BC8" w14:textId="35B9E577" w:rsidR="00F91893" w:rsidRPr="005629F8" w:rsidRDefault="00F91893" w:rsidP="00F91893">
      <w:pPr>
        <w:rPr>
          <w:lang w:val="en-AU"/>
        </w:rPr>
      </w:pPr>
      <w:r w:rsidRPr="005629F8">
        <w:rPr>
          <w:lang w:val="en-AU"/>
        </w:rPr>
        <w:t xml:space="preserve">The ALOS for </w:t>
      </w:r>
      <w:r w:rsidR="009C10A4">
        <w:rPr>
          <w:lang w:val="en-AU"/>
        </w:rPr>
        <w:t>the</w:t>
      </w:r>
      <w:r w:rsidR="009C10A4" w:rsidRPr="005629F8">
        <w:rPr>
          <w:lang w:val="en-AU"/>
        </w:rPr>
        <w:t xml:space="preserve"> </w:t>
      </w:r>
      <w:r w:rsidRPr="005629F8">
        <w:rPr>
          <w:lang w:val="en-AU"/>
        </w:rPr>
        <w:t xml:space="preserve">top </w:t>
      </w:r>
      <w:r w:rsidR="00517FEF" w:rsidRPr="005629F8">
        <w:rPr>
          <w:lang w:val="en-AU"/>
        </w:rPr>
        <w:t>1</w:t>
      </w:r>
      <w:r w:rsidRPr="005629F8">
        <w:rPr>
          <w:lang w:val="en-AU"/>
        </w:rPr>
        <w:t>0 AR-DRGs is 1.2 days compared to the population average of 2.</w:t>
      </w:r>
      <w:r w:rsidR="00517FEF" w:rsidRPr="005629F8">
        <w:rPr>
          <w:lang w:val="en-AU"/>
        </w:rPr>
        <w:t>2</w:t>
      </w:r>
      <w:r w:rsidRPr="005629F8">
        <w:rPr>
          <w:lang w:val="en-AU"/>
        </w:rPr>
        <w:t xml:space="preserve"> days, as the majority of these AR-DRGs were </w:t>
      </w:r>
      <w:proofErr w:type="spellStart"/>
      <w:r w:rsidRPr="005629F8">
        <w:rPr>
          <w:lang w:val="en-AU"/>
        </w:rPr>
        <w:t>sameday</w:t>
      </w:r>
      <w:proofErr w:type="spellEnd"/>
      <w:r w:rsidRPr="005629F8">
        <w:rPr>
          <w:lang w:val="en-AU"/>
        </w:rPr>
        <w:t xml:space="preserve"> procedures.</w:t>
      </w:r>
    </w:p>
    <w:p w14:paraId="4A652CB4" w14:textId="45AA7E71" w:rsidR="001C45A9" w:rsidRPr="005629F8" w:rsidRDefault="001C45A9" w:rsidP="001C45A9">
      <w:pPr>
        <w:pStyle w:val="Heading4"/>
        <w:rPr>
          <w:lang w:val="en-AU"/>
        </w:rPr>
      </w:pPr>
      <w:r w:rsidRPr="005629F8">
        <w:rPr>
          <w:lang w:val="en-AU"/>
        </w:rPr>
        <w:t>C</w:t>
      </w:r>
      <w:r w:rsidR="00EC7E6D" w:rsidRPr="005629F8">
        <w:rPr>
          <w:lang w:val="en-AU"/>
        </w:rPr>
        <w:t>omparison with previous years</w:t>
      </w:r>
    </w:p>
    <w:p w14:paraId="2EB1B933" w14:textId="758BF2CF" w:rsidR="00874297" w:rsidRDefault="00874297" w:rsidP="00E87B16">
      <w:pPr>
        <w:pStyle w:val="TableFigureheading"/>
      </w:pPr>
      <w:bookmarkStart w:id="122" w:name="_Ref129181347"/>
      <w:bookmarkStart w:id="123" w:name="_Toc129263249"/>
      <w:r>
        <w:t xml:space="preserve">Figure </w:t>
      </w:r>
      <w:r>
        <w:fldChar w:fldCharType="begin"/>
      </w:r>
      <w:r>
        <w:instrText xml:space="preserve"> SEQ Figure \* ARABIC </w:instrText>
      </w:r>
      <w:r>
        <w:fldChar w:fldCharType="separate"/>
      </w:r>
      <w:r>
        <w:rPr>
          <w:noProof/>
        </w:rPr>
        <w:t>10</w:t>
      </w:r>
      <w:r>
        <w:fldChar w:fldCharType="end"/>
      </w:r>
      <w:bookmarkEnd w:id="122"/>
      <w:r>
        <w:t>. Total Weighted Separations and ALOS</w:t>
      </w:r>
      <w:bookmarkEnd w:id="123"/>
    </w:p>
    <w:p w14:paraId="238185D5" w14:textId="48963DCB" w:rsidR="005002C6" w:rsidRPr="005002C6" w:rsidRDefault="00DA4140">
      <w:pPr>
        <w:rPr>
          <w:highlight w:val="cyan"/>
          <w:lang w:val="en-AU"/>
        </w:rPr>
      </w:pPr>
      <w:r w:rsidRPr="005629F8">
        <w:rPr>
          <w:noProof/>
          <w:lang w:val="en-US"/>
        </w:rPr>
        <w:drawing>
          <wp:inline distT="0" distB="0" distL="0" distR="0" wp14:anchorId="658B41B8" wp14:editId="0FE48779">
            <wp:extent cx="4693967" cy="2471894"/>
            <wp:effectExtent l="0" t="0" r="0" b="5080"/>
            <wp:docPr id="14" name="Picture 14" descr="Total weighted separations and ALOS&#10;&#10;This is a combined column and line chart. The column graph shows the number of total weighted separations between 2018-19 and 2020-21. The line graph shows the ALOS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tal weighted separations and ALOS&#10;&#10;This is a combined column and line chart. The column graph shows the number of total weighted separations between 2018-19 and 2020-21. The line graph shows the ALOS over the same perio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5560" cy="2483265"/>
                    </a:xfrm>
                    <a:prstGeom prst="rect">
                      <a:avLst/>
                    </a:prstGeom>
                    <a:noFill/>
                    <a:ln>
                      <a:noFill/>
                    </a:ln>
                  </pic:spPr>
                </pic:pic>
              </a:graphicData>
            </a:graphic>
          </wp:inline>
        </w:drawing>
      </w:r>
    </w:p>
    <w:p w14:paraId="3E0F86DC" w14:textId="341A984E" w:rsidR="006A50BB" w:rsidRPr="005629F8" w:rsidRDefault="000A22E9" w:rsidP="00336476">
      <w:pPr>
        <w:rPr>
          <w:lang w:val="en-AU"/>
        </w:rPr>
      </w:pPr>
      <w:r>
        <w:rPr>
          <w:color w:val="auto"/>
          <w:lang w:val="en-AU"/>
        </w:rPr>
        <w:fldChar w:fldCharType="begin"/>
      </w:r>
      <w:r>
        <w:rPr>
          <w:color w:val="auto"/>
          <w:lang w:val="en-AU"/>
        </w:rPr>
        <w:instrText xml:space="preserve"> REF _Ref129181347 \h </w:instrText>
      </w:r>
      <w:r>
        <w:rPr>
          <w:color w:val="auto"/>
          <w:lang w:val="en-AU"/>
        </w:rPr>
      </w:r>
      <w:r>
        <w:rPr>
          <w:color w:val="auto"/>
          <w:lang w:val="en-AU"/>
        </w:rPr>
        <w:fldChar w:fldCharType="separate"/>
      </w:r>
      <w:r w:rsidR="00F2253B">
        <w:t xml:space="preserve">Figure </w:t>
      </w:r>
      <w:r w:rsidR="00F2253B">
        <w:rPr>
          <w:noProof/>
        </w:rPr>
        <w:t>10</w:t>
      </w:r>
      <w:r>
        <w:rPr>
          <w:color w:val="auto"/>
          <w:lang w:val="en-AU"/>
        </w:rPr>
        <w:fldChar w:fldCharType="end"/>
      </w:r>
      <w:r>
        <w:rPr>
          <w:color w:val="auto"/>
          <w:lang w:val="en-AU"/>
        </w:rPr>
        <w:t xml:space="preserve"> </w:t>
      </w:r>
      <w:r w:rsidR="00F46108" w:rsidRPr="005629F8">
        <w:rPr>
          <w:color w:val="auto"/>
          <w:lang w:val="en-AU"/>
        </w:rPr>
        <w:t>shows</w:t>
      </w:r>
      <w:r w:rsidR="00336476" w:rsidRPr="005629F8">
        <w:rPr>
          <w:color w:val="auto"/>
          <w:lang w:val="en-AU"/>
        </w:rPr>
        <w:t xml:space="preserve"> the change in total </w:t>
      </w:r>
      <w:r w:rsidR="006A0BD7" w:rsidRPr="005629F8">
        <w:rPr>
          <w:color w:val="auto"/>
          <w:lang w:val="en-AU"/>
        </w:rPr>
        <w:t>population-adjusted</w:t>
      </w:r>
      <w:r w:rsidR="00336476" w:rsidRPr="005629F8">
        <w:rPr>
          <w:color w:val="auto"/>
          <w:lang w:val="en-AU"/>
        </w:rPr>
        <w:t xml:space="preserve"> separations and ALOS for the top 10 AR</w:t>
      </w:r>
      <w:r w:rsidR="00E41DDF">
        <w:rPr>
          <w:color w:val="auto"/>
          <w:lang w:val="en-AU"/>
        </w:rPr>
        <w:noBreakHyphen/>
      </w:r>
      <w:r w:rsidR="00336476" w:rsidRPr="005629F8">
        <w:rPr>
          <w:color w:val="auto"/>
          <w:lang w:val="en-AU"/>
        </w:rPr>
        <w:t xml:space="preserve">DRGs in </w:t>
      </w:r>
      <w:r w:rsidR="002A0EF4">
        <w:rPr>
          <w:color w:val="auto"/>
          <w:lang w:val="en-AU"/>
        </w:rPr>
        <w:t>the period from 2018-19 to 2020-21</w:t>
      </w:r>
      <w:r w:rsidR="00336476" w:rsidRPr="005629F8">
        <w:rPr>
          <w:color w:val="auto"/>
          <w:lang w:val="en-AU"/>
        </w:rPr>
        <w:t>. The change in ALOS has been minimal over the years, since these AR</w:t>
      </w:r>
      <w:r w:rsidR="00E41DDF">
        <w:rPr>
          <w:color w:val="auto"/>
          <w:lang w:val="en-AU"/>
        </w:rPr>
        <w:noBreakHyphen/>
      </w:r>
      <w:r w:rsidR="00336476" w:rsidRPr="005629F8">
        <w:rPr>
          <w:color w:val="auto"/>
          <w:lang w:val="en-AU"/>
        </w:rPr>
        <w:t xml:space="preserve">DRGs are generally </w:t>
      </w:r>
      <w:r w:rsidR="00336476" w:rsidRPr="005629F8">
        <w:rPr>
          <w:lang w:val="en-AU"/>
        </w:rPr>
        <w:t>high</w:t>
      </w:r>
      <w:r w:rsidR="00B26CCE">
        <w:rPr>
          <w:lang w:val="en-AU"/>
        </w:rPr>
        <w:t>-</w:t>
      </w:r>
      <w:r w:rsidR="00336476" w:rsidRPr="005629F8">
        <w:rPr>
          <w:lang w:val="en-AU"/>
        </w:rPr>
        <w:t>volume</w:t>
      </w:r>
      <w:r w:rsidR="009C10A4" w:rsidRPr="0068730C">
        <w:rPr>
          <w:lang w:val="en-AU"/>
        </w:rPr>
        <w:t>,</w:t>
      </w:r>
      <w:r w:rsidR="00336476" w:rsidRPr="005629F8">
        <w:rPr>
          <w:lang w:val="en-AU"/>
        </w:rPr>
        <w:t xml:space="preserve"> </w:t>
      </w:r>
      <w:proofErr w:type="spellStart"/>
      <w:r w:rsidR="00336476" w:rsidRPr="005629F8">
        <w:rPr>
          <w:lang w:val="en-AU"/>
        </w:rPr>
        <w:t>sameday</w:t>
      </w:r>
      <w:proofErr w:type="spellEnd"/>
      <w:r w:rsidR="00336476" w:rsidRPr="005629F8">
        <w:rPr>
          <w:lang w:val="en-AU"/>
        </w:rPr>
        <w:t xml:space="preserve"> </w:t>
      </w:r>
      <w:r w:rsidR="009C10A4" w:rsidRPr="0068730C">
        <w:rPr>
          <w:lang w:val="en-AU"/>
        </w:rPr>
        <w:t>separations</w:t>
      </w:r>
      <w:r w:rsidR="00336476" w:rsidRPr="005629F8">
        <w:rPr>
          <w:lang w:val="en-AU"/>
        </w:rPr>
        <w:t xml:space="preserve">. </w:t>
      </w:r>
      <w:r w:rsidR="006A50BB" w:rsidRPr="005629F8">
        <w:rPr>
          <w:lang w:val="en-AU"/>
        </w:rPr>
        <w:t xml:space="preserve">For total cost weighted separations, the increase in 2020-21 (compared to 2019-20) reflects the </w:t>
      </w:r>
      <w:r w:rsidR="001E476E" w:rsidRPr="005629F8">
        <w:rPr>
          <w:lang w:val="en-AU"/>
        </w:rPr>
        <w:t>increase</w:t>
      </w:r>
      <w:r w:rsidR="006A50BB" w:rsidRPr="005629F8">
        <w:rPr>
          <w:lang w:val="en-AU"/>
        </w:rPr>
        <w:t xml:space="preserve"> in activity as COVID-19 restrictions </w:t>
      </w:r>
      <w:r w:rsidR="009C10A4" w:rsidRPr="0068730C">
        <w:rPr>
          <w:lang w:val="en-AU"/>
        </w:rPr>
        <w:t>were lifted</w:t>
      </w:r>
      <w:r w:rsidR="006A50BB" w:rsidRPr="005629F8">
        <w:rPr>
          <w:lang w:val="en-AU"/>
        </w:rPr>
        <w:t>.</w:t>
      </w:r>
    </w:p>
    <w:p w14:paraId="1A1B1557" w14:textId="3A6378D4" w:rsidR="008C2573" w:rsidRPr="005629F8" w:rsidRDefault="008C2573" w:rsidP="00336476">
      <w:pPr>
        <w:rPr>
          <w:lang w:val="en-AU"/>
        </w:rPr>
      </w:pPr>
    </w:p>
    <w:p w14:paraId="48DC4940" w14:textId="5BCE2C72" w:rsidR="00B702F3" w:rsidRDefault="00B702F3">
      <w:pPr>
        <w:spacing w:line="259" w:lineRule="auto"/>
        <w:rPr>
          <w:rFonts w:eastAsiaTheme="majorEastAsia" w:cstheme="majorBidi"/>
          <w:highlight w:val="yellow"/>
          <w:lang w:val="en-AU"/>
        </w:rPr>
      </w:pPr>
      <w:r>
        <w:rPr>
          <w:b/>
          <w:iCs/>
          <w:highlight w:val="yellow"/>
          <w:lang w:val="en-AU"/>
        </w:rPr>
        <w:br w:type="page"/>
      </w:r>
    </w:p>
    <w:p w14:paraId="0231646D" w14:textId="62275398" w:rsidR="00B90AAB" w:rsidRDefault="00B90AAB"/>
    <w:p w14:paraId="3BE64F23" w14:textId="38EFCFC6" w:rsidR="00B90AAB" w:rsidRDefault="00B90AAB" w:rsidP="00E87B16">
      <w:pPr>
        <w:pStyle w:val="TableFigureheading"/>
      </w:pPr>
      <w:bookmarkStart w:id="124" w:name="_Ref129181296"/>
      <w:bookmarkStart w:id="125" w:name="_Toc129263250"/>
      <w:r>
        <w:t xml:space="preserve">Figure </w:t>
      </w:r>
      <w:r>
        <w:fldChar w:fldCharType="begin"/>
      </w:r>
      <w:r>
        <w:instrText xml:space="preserve"> SEQ Figure \* ARABIC </w:instrText>
      </w:r>
      <w:r>
        <w:fldChar w:fldCharType="separate"/>
      </w:r>
      <w:r>
        <w:rPr>
          <w:noProof/>
        </w:rPr>
        <w:t>11</w:t>
      </w:r>
      <w:r>
        <w:fldChar w:fldCharType="end"/>
      </w:r>
      <w:bookmarkEnd w:id="124"/>
      <w:r>
        <w:t>. Comparison of top 10 AR-DRGs by highest volume of population-adjusted separations, 2018-19 to 2020-21</w:t>
      </w:r>
      <w:bookmarkEnd w:id="125"/>
    </w:p>
    <w:p w14:paraId="1D749202" w14:textId="7B51B788" w:rsidR="005002C6" w:rsidRDefault="00DB117A">
      <w:pPr>
        <w:rPr>
          <w:lang w:val="en-AU"/>
        </w:rPr>
      </w:pPr>
      <w:r w:rsidRPr="00DB117A">
        <w:rPr>
          <w:noProof/>
          <w:lang w:val="en-US"/>
        </w:rPr>
        <w:drawing>
          <wp:inline distT="0" distB="0" distL="0" distR="0" wp14:anchorId="34F96569" wp14:editId="2A7D112C">
            <wp:extent cx="6188710" cy="268892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710" cy="2688923"/>
                    </a:xfrm>
                    <a:prstGeom prst="rect">
                      <a:avLst/>
                    </a:prstGeom>
                    <a:noFill/>
                    <a:ln>
                      <a:noFill/>
                    </a:ln>
                  </pic:spPr>
                </pic:pic>
              </a:graphicData>
            </a:graphic>
          </wp:inline>
        </w:drawing>
      </w:r>
    </w:p>
    <w:p w14:paraId="382D0B0D" w14:textId="2AEF4936" w:rsidR="00550AEB" w:rsidRPr="005629F8" w:rsidRDefault="00B02B00" w:rsidP="00550AEB">
      <w:pPr>
        <w:rPr>
          <w:lang w:val="en-AU"/>
        </w:rPr>
      </w:pPr>
      <w:r w:rsidRPr="005629F8">
        <w:rPr>
          <w:lang w:val="en-AU"/>
        </w:rPr>
        <w:t>There ha</w:t>
      </w:r>
      <w:r w:rsidR="00E41DDF">
        <w:rPr>
          <w:lang w:val="en-AU"/>
        </w:rPr>
        <w:t>ve</w:t>
      </w:r>
      <w:r w:rsidRPr="005629F8">
        <w:rPr>
          <w:lang w:val="en-AU"/>
        </w:rPr>
        <w:t xml:space="preserve"> been </w:t>
      </w:r>
      <w:r w:rsidR="009C10A4">
        <w:rPr>
          <w:lang w:val="en-AU"/>
        </w:rPr>
        <w:t>minor movement</w:t>
      </w:r>
      <w:r w:rsidR="00E41DDF">
        <w:rPr>
          <w:lang w:val="en-AU"/>
        </w:rPr>
        <w:t>s</w:t>
      </w:r>
      <w:r w:rsidR="009C10A4">
        <w:rPr>
          <w:lang w:val="en-AU"/>
        </w:rPr>
        <w:t xml:space="preserve"> in individual rank</w:t>
      </w:r>
      <w:r w:rsidR="00E41DDF">
        <w:rPr>
          <w:lang w:val="en-AU"/>
        </w:rPr>
        <w:t>s</w:t>
      </w:r>
      <w:r w:rsidR="009C10A4">
        <w:rPr>
          <w:lang w:val="en-AU"/>
        </w:rPr>
        <w:t xml:space="preserve"> within the top 10 AR-DRGs with the highest population</w:t>
      </w:r>
      <w:r w:rsidR="00E672C9">
        <w:rPr>
          <w:lang w:val="en-AU"/>
        </w:rPr>
        <w:t>-</w:t>
      </w:r>
      <w:r w:rsidR="009C10A4">
        <w:rPr>
          <w:lang w:val="en-AU"/>
        </w:rPr>
        <w:t>adjusted separations, however there were no changes to the composition</w:t>
      </w:r>
      <w:r w:rsidR="0096327D">
        <w:rPr>
          <w:lang w:val="en-AU"/>
        </w:rPr>
        <w:t xml:space="preserve">. Each of the AR-DRGs has seen </w:t>
      </w:r>
      <w:r w:rsidR="00E672C9">
        <w:rPr>
          <w:lang w:val="en-AU"/>
        </w:rPr>
        <w:t xml:space="preserve">an </w:t>
      </w:r>
      <w:r w:rsidR="0096327D">
        <w:rPr>
          <w:lang w:val="en-AU"/>
        </w:rPr>
        <w:t xml:space="preserve">increased </w:t>
      </w:r>
      <w:r w:rsidR="00E672C9">
        <w:rPr>
          <w:lang w:val="en-AU"/>
        </w:rPr>
        <w:t>number of separations</w:t>
      </w:r>
      <w:r w:rsidR="0096327D">
        <w:rPr>
          <w:lang w:val="en-AU"/>
        </w:rPr>
        <w:t xml:space="preserve"> in 2020-21</w:t>
      </w:r>
      <w:r w:rsidRPr="005629F8">
        <w:rPr>
          <w:lang w:val="en-AU"/>
        </w:rPr>
        <w:t xml:space="preserve">. </w:t>
      </w:r>
    </w:p>
    <w:p w14:paraId="527BED74" w14:textId="38D85E54" w:rsidR="00550AEB" w:rsidRPr="005629F8" w:rsidRDefault="00550AEB" w:rsidP="00550AEB">
      <w:pPr>
        <w:rPr>
          <w:lang w:val="en-AU"/>
        </w:rPr>
        <w:sectPr w:rsidR="00550AEB" w:rsidRPr="005629F8" w:rsidSect="00522146">
          <w:footerReference w:type="default" r:id="rId30"/>
          <w:pgSz w:w="11906" w:h="16838" w:code="9"/>
          <w:pgMar w:top="1440" w:right="1080" w:bottom="1440" w:left="1080" w:header="709" w:footer="709" w:gutter="0"/>
          <w:cols w:space="720"/>
          <w:docGrid w:linePitch="360"/>
        </w:sectPr>
      </w:pPr>
    </w:p>
    <w:p w14:paraId="6AE07F0B" w14:textId="07651299" w:rsidR="0039264C" w:rsidRPr="005629F8" w:rsidRDefault="0039264C" w:rsidP="00E829BF">
      <w:pPr>
        <w:pStyle w:val="TableFigureheading"/>
      </w:pPr>
      <w:bookmarkStart w:id="126" w:name="_Ref103175681"/>
      <w:bookmarkStart w:id="127" w:name="_Toc105084246"/>
      <w:bookmarkStart w:id="128" w:name="_Toc129179300"/>
      <w:bookmarkStart w:id="129" w:name="_Toc139881779"/>
      <w:r w:rsidRPr="005629F8">
        <w:lastRenderedPageBreak/>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6</w:t>
      </w:r>
      <w:r w:rsidR="00D9779B" w:rsidRPr="005629F8">
        <w:rPr>
          <w:noProof/>
        </w:rPr>
        <w:fldChar w:fldCharType="end"/>
      </w:r>
      <w:bookmarkEnd w:id="126"/>
      <w:r w:rsidRPr="005629F8">
        <w:t>.</w:t>
      </w:r>
      <w:r w:rsidRPr="005629F8">
        <w:rPr>
          <w:spacing w:val="-1"/>
        </w:rPr>
        <w:t xml:space="preserve"> </w:t>
      </w:r>
      <w:r w:rsidRPr="005629F8">
        <w:t>Top</w:t>
      </w:r>
      <w:r w:rsidRPr="005629F8">
        <w:rPr>
          <w:spacing w:val="-3"/>
        </w:rPr>
        <w:t xml:space="preserve"> </w:t>
      </w:r>
      <w:r w:rsidR="00EC7E6D" w:rsidRPr="005629F8">
        <w:t>1</w:t>
      </w:r>
      <w:r w:rsidRPr="005629F8">
        <w:t>0</w:t>
      </w:r>
      <w:r w:rsidRPr="005629F8">
        <w:rPr>
          <w:spacing w:val="-2"/>
        </w:rPr>
        <w:t xml:space="preserve"> AR-</w:t>
      </w:r>
      <w:r w:rsidRPr="005629F8">
        <w:t>DRGs</w:t>
      </w:r>
      <w:r w:rsidRPr="005629F8">
        <w:rPr>
          <w:spacing w:val="-1"/>
        </w:rPr>
        <w:t xml:space="preserve"> </w:t>
      </w:r>
      <w:r w:rsidRPr="005629F8">
        <w:t>ranked</w:t>
      </w:r>
      <w:r w:rsidRPr="005629F8">
        <w:rPr>
          <w:spacing w:val="-1"/>
        </w:rPr>
        <w:t xml:space="preserve"> </w:t>
      </w:r>
      <w:r w:rsidRPr="005629F8">
        <w:t>by</w:t>
      </w:r>
      <w:r w:rsidRPr="005629F8">
        <w:rPr>
          <w:spacing w:val="-9"/>
        </w:rPr>
        <w:t xml:space="preserve"> </w:t>
      </w:r>
      <w:r w:rsidRPr="005629F8">
        <w:t>highest</w:t>
      </w:r>
      <w:r w:rsidRPr="005629F8">
        <w:rPr>
          <w:spacing w:val="-1"/>
        </w:rPr>
        <w:t xml:space="preserve"> </w:t>
      </w:r>
      <w:r w:rsidRPr="005629F8">
        <w:t>volume</w:t>
      </w:r>
      <w:r w:rsidRPr="005629F8">
        <w:rPr>
          <w:spacing w:val="-1"/>
        </w:rPr>
        <w:t xml:space="preserve"> </w:t>
      </w:r>
      <w:r w:rsidRPr="005629F8">
        <w:t>of</w:t>
      </w:r>
      <w:r w:rsidRPr="005629F8">
        <w:rPr>
          <w:spacing w:val="-4"/>
        </w:rPr>
        <w:t xml:space="preserve"> </w:t>
      </w:r>
      <w:r w:rsidRPr="005629F8">
        <w:t>population</w:t>
      </w:r>
      <w:r w:rsidR="00F46108">
        <w:rPr>
          <w:spacing w:val="-1"/>
        </w:rPr>
        <w:t>-</w:t>
      </w:r>
      <w:r w:rsidRPr="005629F8">
        <w:t>adjusted</w:t>
      </w:r>
      <w:r w:rsidRPr="005629F8">
        <w:rPr>
          <w:spacing w:val="-1"/>
        </w:rPr>
        <w:t xml:space="preserve"> </w:t>
      </w:r>
      <w:r w:rsidRPr="005629F8">
        <w:t>separations</w:t>
      </w:r>
      <w:bookmarkEnd w:id="127"/>
      <w:bookmarkEnd w:id="128"/>
      <w:bookmarkEnd w:id="129"/>
    </w:p>
    <w:tbl>
      <w:tblPr>
        <w:tblStyle w:val="IHACPATable"/>
        <w:tblW w:w="15608" w:type="dxa"/>
        <w:tblLayout w:type="fixed"/>
        <w:tblLook w:val="06A0" w:firstRow="1" w:lastRow="0" w:firstColumn="1" w:lastColumn="0" w:noHBand="1" w:noVBand="1"/>
      </w:tblPr>
      <w:tblGrid>
        <w:gridCol w:w="851"/>
        <w:gridCol w:w="850"/>
        <w:gridCol w:w="851"/>
        <w:gridCol w:w="2551"/>
        <w:gridCol w:w="709"/>
        <w:gridCol w:w="992"/>
        <w:gridCol w:w="993"/>
        <w:gridCol w:w="992"/>
        <w:gridCol w:w="992"/>
        <w:gridCol w:w="709"/>
        <w:gridCol w:w="850"/>
        <w:gridCol w:w="709"/>
        <w:gridCol w:w="992"/>
        <w:gridCol w:w="851"/>
        <w:gridCol w:w="850"/>
        <w:gridCol w:w="866"/>
      </w:tblGrid>
      <w:tr w:rsidR="00363733" w:rsidRPr="0088109E" w14:paraId="688B570E" w14:textId="77777777" w:rsidTr="00DB11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15272F" w:themeFill="text1"/>
            <w:vAlign w:val="center"/>
          </w:tcPr>
          <w:p w14:paraId="25B26BB7" w14:textId="77777777" w:rsidR="00DB117A" w:rsidRPr="005629F8" w:rsidRDefault="00DB117A" w:rsidP="00DB117A">
            <w:pPr>
              <w:pStyle w:val="TableParagraph"/>
              <w:jc w:val="center"/>
              <w:rPr>
                <w:b/>
                <w:bCs/>
                <w:color w:val="FFFFFF" w:themeColor="background2"/>
                <w:szCs w:val="14"/>
              </w:rPr>
            </w:pPr>
          </w:p>
        </w:tc>
        <w:tc>
          <w:tcPr>
            <w:tcW w:w="850" w:type="dxa"/>
            <w:tcBorders>
              <w:top w:val="single" w:sz="4" w:space="0" w:color="auto"/>
              <w:left w:val="nil"/>
              <w:bottom w:val="single" w:sz="4" w:space="0" w:color="auto"/>
              <w:right w:val="nil"/>
            </w:tcBorders>
            <w:shd w:val="clear" w:color="auto" w:fill="15272F" w:themeFill="text1"/>
            <w:vAlign w:val="center"/>
          </w:tcPr>
          <w:p w14:paraId="48DB22D9" w14:textId="77777777" w:rsidR="00DB117A" w:rsidRPr="005629F8" w:rsidRDefault="00DB117A" w:rsidP="00DB117A">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851" w:type="dxa"/>
            <w:tcBorders>
              <w:top w:val="single" w:sz="4" w:space="0" w:color="auto"/>
              <w:left w:val="nil"/>
              <w:bottom w:val="single" w:sz="4" w:space="0" w:color="auto"/>
              <w:right w:val="nil"/>
            </w:tcBorders>
            <w:shd w:val="clear" w:color="auto" w:fill="15272F" w:themeFill="text1"/>
            <w:vAlign w:val="center"/>
          </w:tcPr>
          <w:p w14:paraId="19D4B0BB" w14:textId="77777777" w:rsidR="00DB117A" w:rsidRDefault="00DB117A" w:rsidP="00DB117A">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2551" w:type="dxa"/>
            <w:tcBorders>
              <w:top w:val="single" w:sz="4" w:space="0" w:color="auto"/>
              <w:left w:val="nil"/>
              <w:bottom w:val="single" w:sz="4" w:space="0" w:color="auto"/>
              <w:right w:val="single" w:sz="4" w:space="0" w:color="FFFFFF" w:themeColor="accent6"/>
            </w:tcBorders>
            <w:shd w:val="clear" w:color="auto" w:fill="15272F" w:themeFill="text1"/>
            <w:vAlign w:val="center"/>
          </w:tcPr>
          <w:p w14:paraId="0F8CBDDE" w14:textId="77777777" w:rsidR="00DB117A" w:rsidRDefault="00DB117A" w:rsidP="00DB117A">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6946" w:type="dxa"/>
            <w:gridSpan w:val="8"/>
            <w:tcBorders>
              <w:top w:val="single" w:sz="4" w:space="0" w:color="auto"/>
              <w:left w:val="single" w:sz="4" w:space="0" w:color="FFFFFF" w:themeColor="accent6"/>
              <w:bottom w:val="single" w:sz="4" w:space="0" w:color="auto"/>
              <w:right w:val="single" w:sz="4" w:space="0" w:color="FFFFFF" w:themeColor="accent6"/>
            </w:tcBorders>
            <w:shd w:val="clear" w:color="auto" w:fill="15272F" w:themeFill="text1"/>
            <w:vAlign w:val="center"/>
          </w:tcPr>
          <w:p w14:paraId="02A4CDA4" w14:textId="48509D7F"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2020-21</w:t>
            </w:r>
          </w:p>
        </w:tc>
        <w:tc>
          <w:tcPr>
            <w:tcW w:w="3559" w:type="dxa"/>
            <w:gridSpan w:val="4"/>
            <w:tcBorders>
              <w:top w:val="single" w:sz="4" w:space="0" w:color="auto"/>
              <w:left w:val="single" w:sz="4" w:space="0" w:color="FFFFFF" w:themeColor="accent6"/>
              <w:bottom w:val="single" w:sz="4" w:space="0" w:color="auto"/>
              <w:right w:val="nil"/>
            </w:tcBorders>
            <w:shd w:val="clear" w:color="auto" w:fill="15272F" w:themeFill="text1"/>
            <w:vAlign w:val="center"/>
          </w:tcPr>
          <w:p w14:paraId="05FD7C04" w14:textId="6BFD3471"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2019-20</w:t>
            </w:r>
          </w:p>
        </w:tc>
      </w:tr>
      <w:tr w:rsidR="00A86AC3" w:rsidRPr="0088109E" w14:paraId="4468AE20" w14:textId="77777777" w:rsidTr="00DB117A">
        <w:trPr>
          <w:trHeight w:val="6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A0E0362" w14:textId="77777777" w:rsidR="00DB117A" w:rsidRPr="00E87B16" w:rsidRDefault="00DB117A" w:rsidP="00DB117A">
            <w:pPr>
              <w:pStyle w:val="TableParagraph"/>
              <w:jc w:val="center"/>
              <w:rPr>
                <w:b/>
                <w:bCs/>
                <w:highlight w:val="yellow"/>
                <w:lang w:eastAsia="en-AU"/>
              </w:rPr>
            </w:pPr>
            <w:r w:rsidRPr="00E87B16">
              <w:rPr>
                <w:b/>
                <w:bCs/>
                <w:szCs w:val="14"/>
              </w:rPr>
              <w:t>Top 10 2019-20</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6A4C0E3" w14:textId="77777777" w:rsidR="00DB117A" w:rsidRPr="00E87B16"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 2020-21</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98888B9" w14:textId="4268A4F9" w:rsidR="00DB117A" w:rsidRPr="00E87B16"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AR-DRG</w:t>
            </w:r>
          </w:p>
        </w:tc>
        <w:tc>
          <w:tcPr>
            <w:tcW w:w="2551"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35F20D41" w14:textId="27FB608E" w:rsidR="00DB117A" w:rsidRPr="00E87B16"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AR-DRG Description</w:t>
            </w:r>
          </w:p>
        </w:tc>
        <w:tc>
          <w:tcPr>
            <w:tcW w:w="709"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21F34D9B"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r w:rsidRPr="00E87B16">
              <w:rPr>
                <w:b/>
                <w:bCs/>
                <w:szCs w:val="14"/>
              </w:rPr>
              <w:br/>
              <w:t>(a)</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DF508BB"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r w:rsidRPr="00E87B16">
              <w:rPr>
                <w:b/>
                <w:bCs/>
                <w:szCs w:val="14"/>
              </w:rPr>
              <w:br/>
              <w:t>(b)</w:t>
            </w:r>
          </w:p>
        </w:tc>
        <w:tc>
          <w:tcPr>
            <w:tcW w:w="993"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C5CA41C"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r w:rsidRPr="00E87B16">
              <w:rPr>
                <w:b/>
                <w:bCs/>
                <w:szCs w:val="14"/>
              </w:rPr>
              <w:br/>
              <w:t>(c)=(a)x(b)</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59108629"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Number of days</w:t>
            </w:r>
            <w:r w:rsidRPr="00E87B16">
              <w:rPr>
                <w:b/>
                <w:bCs/>
                <w:szCs w:val="14"/>
              </w:rPr>
              <w:br/>
              <w:t>(d)</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9F7B160"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ALOS (days)</w:t>
            </w:r>
            <w:r w:rsidRPr="00E87B16">
              <w:rPr>
                <w:b/>
                <w:bCs/>
                <w:szCs w:val="14"/>
              </w:rPr>
              <w:br/>
              <w:t>(e)=(d)/(b)</w:t>
            </w:r>
          </w:p>
        </w:tc>
        <w:tc>
          <w:tcPr>
            <w:tcW w:w="709"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5E5CB1F3"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Std error</w:t>
            </w:r>
          </w:p>
        </w:tc>
        <w:tc>
          <w:tcPr>
            <w:tcW w:w="850"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25239DB5"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 </w:t>
            </w:r>
            <w:proofErr w:type="gramStart"/>
            <w:r w:rsidRPr="00E87B16">
              <w:rPr>
                <w:b/>
                <w:bCs/>
                <w:szCs w:val="14"/>
              </w:rPr>
              <w:t>of</w:t>
            </w:r>
            <w:proofErr w:type="gramEnd"/>
            <w:r w:rsidRPr="00E87B16">
              <w:rPr>
                <w:b/>
                <w:bCs/>
                <w:szCs w:val="14"/>
              </w:rPr>
              <w:t xml:space="preserve"> total seps</w:t>
            </w:r>
          </w:p>
        </w:tc>
        <w:tc>
          <w:tcPr>
            <w:tcW w:w="709"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6265E7D7" w14:textId="7777777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 </w:t>
            </w:r>
            <w:proofErr w:type="gramStart"/>
            <w:r w:rsidRPr="00E87B16">
              <w:rPr>
                <w:b/>
                <w:bCs/>
                <w:szCs w:val="14"/>
              </w:rPr>
              <w:t>of</w:t>
            </w:r>
            <w:proofErr w:type="gramEnd"/>
            <w:r w:rsidRPr="00E87B16">
              <w:rPr>
                <w:b/>
                <w:bCs/>
                <w:szCs w:val="14"/>
              </w:rPr>
              <w:t xml:space="preserve"> CW seps</w:t>
            </w:r>
          </w:p>
        </w:tc>
        <w:tc>
          <w:tcPr>
            <w:tcW w:w="992"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7A7C210F" w14:textId="7FECA642"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70D2341" w14:textId="34B32C69"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E0E302F" w14:textId="58BB8A7D"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p>
        </w:tc>
        <w:tc>
          <w:tcPr>
            <w:tcW w:w="866"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215B3E10" w14:textId="2DBCCF27" w:rsidR="00DB117A" w:rsidRPr="00E87B16"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p>
        </w:tc>
      </w:tr>
      <w:tr w:rsidR="00A86AC3" w:rsidRPr="0088109E" w14:paraId="52031F2A"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EECD1F2" w14:textId="6D17AF43"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E3F2653" w14:textId="12E46DF4"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7AE3045" w14:textId="196E733C"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R63Z</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307E930C" w14:textId="7E08571E"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Chemotherapy</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02DBEDE2" w14:textId="0FD3803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A41A542" w14:textId="06A0AC1A"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275,269</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36DAA9F" w14:textId="0FA23F9F"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55,054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13777D8" w14:textId="7678F33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275,284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7FD6A64" w14:textId="4AFDA02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FE75EC4" w14:textId="5808120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A2B2FEA" w14:textId="658AFF5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7.89%</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5D9EC04" w14:textId="6C3FC73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1.6%</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34401E49" w14:textId="1193E3D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263,801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AD69F47" w14:textId="268B0D53"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6A92895" w14:textId="503B7BC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0.20</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286A20A" w14:textId="7C0E622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266F0164"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CCF7DAD" w14:textId="623FA8AE"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F153383" w14:textId="3B9FF72B"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B65DE04" w14:textId="0233A32A"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G48B</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5E03067C" w14:textId="36F934BF"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Colonoscopy, Minor Complexity</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51CA461" w14:textId="12DA5BC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0.30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6DAF535" w14:textId="5B4FF3A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171,739</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8FDAF2C" w14:textId="449927E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51,522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735F84F" w14:textId="6914A8AA"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177,747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C83D9EB" w14:textId="4328BCAA"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94C09E1" w14:textId="3C57292A"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1523B9CF" w14:textId="4D921E7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4.92%</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69BEF1A" w14:textId="0178853F"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1.5%</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7730750F" w14:textId="15192773"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155,803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907BEA2" w14:textId="220AD093"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2</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928FBD5" w14:textId="099E4B7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0.32</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451EFF3" w14:textId="438807B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147FE56D"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B951114" w14:textId="0283ED63"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0BCE522" w14:textId="3CBABDF5"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9AF4463" w14:textId="68485308"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L61Z</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73DF4754" w14:textId="3D90F935"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Haemodialysis</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7C058A7" w14:textId="2C26B8E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915D151" w14:textId="6734E51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140,690</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50BD151" w14:textId="5B65461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15,476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169CF71" w14:textId="68F94A7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140,692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347F2AC" w14:textId="38543797"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A359B68" w14:textId="28433D7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0.000</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597C656" w14:textId="29B60BC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4.03%</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3AA0BE1D" w14:textId="3D21BD9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0.4%</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43AA3574" w14:textId="2AD05FE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135,126</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3D17196" w14:textId="7C2361D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3</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4FF8E83" w14:textId="0220A92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0.10</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B0B1DB8" w14:textId="35106B5F"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1BDD5EFE"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9914850" w14:textId="18B2E220"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58FE401" w14:textId="1E061B70"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C2AC405" w14:textId="0FABF345"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G46B</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2FAEBC80" w14:textId="6A3460E0"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Complex Endoscopy, Minor Complexity</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D823551" w14:textId="0EFB35D3"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0.35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74454D1" w14:textId="54D1925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123,236</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376C173" w14:textId="14DBC95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43,133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DE8255B" w14:textId="703A538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130,387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DEDDFF7" w14:textId="5A08E62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1.1</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9B5BA47" w14:textId="2E015387"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BB834CC" w14:textId="01E9D88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3.53%</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4CE4B73" w14:textId="3EA4ABA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1.2%</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293176B6" w14:textId="5C9214DC"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99,888</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9A3E860" w14:textId="3EB1A45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01696EC" w14:textId="724FCDB7"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0.38</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DA8B2BB" w14:textId="15BC7F05"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099186C1"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691EC73" w14:textId="1535CF77"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728B7C3" w14:textId="4FE95BC5"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01EB8AF" w14:textId="2FB49570"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G47C</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65A013B9" w14:textId="48DE1034"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Gastroscopy, Minor Complexity</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9218DAD" w14:textId="19D4BF7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7450E26" w14:textId="7B31352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87,435</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1F3C9BA7" w14:textId="693F830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19,236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32C12F5" w14:textId="258F9BF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92,748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CE0312B" w14:textId="6B6E3D17"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1.1</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3FCB3BAD" w14:textId="1CAD9C0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72BD3BD4" w14:textId="3A819FF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2.51%</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0AD2801" w14:textId="2B53907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0.6%</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6DE48F18" w14:textId="7C91782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72,820</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45278A9" w14:textId="1EA12AE5"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AEBEFCC" w14:textId="4C40EAF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0.23</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85B1716" w14:textId="69BB6DD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3F97C862"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EEB52D6" w14:textId="3F21D6C3"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4D5A27A" w14:textId="6ECCF354"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2C6E7C7" w14:textId="594F0181"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Z40Z</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03B6A5BF" w14:textId="728A7ADB"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Other Contacts W Health Services W Endoscopy</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11014BCF" w14:textId="775BF04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9C5F93F" w14:textId="13ACB36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87,119</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AF7D6CE" w14:textId="4BAD3EA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21,780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0F86C7C" w14:textId="0074242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89,298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566AE1B" w14:textId="18229D1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F323294" w14:textId="6985C56F"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3CB1967" w14:textId="32E140D5"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2.50%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19A62C1" w14:textId="4A9A971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0.6%</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6ACB53E3" w14:textId="405BC7A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82,864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55E1A23" w14:textId="01DF81F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61D6F21" w14:textId="0F06032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0.28</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23D2A97" w14:textId="493D7184"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0DD2E766"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CEF3629" w14:textId="1A3CA05D"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3FFDA593" w14:textId="2450ABC5"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0C5DAB6" w14:textId="6A07EF43"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U60Z</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41643795" w14:textId="74C5926F"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 xml:space="preserve">Mental Health Treatment W/O ECT, </w:t>
            </w:r>
            <w:proofErr w:type="spellStart"/>
            <w:r w:rsidRPr="0088109E">
              <w:rPr>
                <w:color w:val="000000"/>
                <w:szCs w:val="14"/>
              </w:rPr>
              <w:t>Sameday</w:t>
            </w:r>
            <w:proofErr w:type="spellEnd"/>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CB52333" w14:textId="55C35E3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C143931" w14:textId="6C2F72A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85,985</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7EE2C239" w14:textId="2A2EFD6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8,599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C41F21A" w14:textId="406F941F"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85,985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8F1B0C6" w14:textId="6E9ABD4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B179A43" w14:textId="2FA3958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0.000</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7385B941" w14:textId="1DA3D32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2.47%</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C20E64D" w14:textId="733B5BE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0.2%</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45300332" w14:textId="44B11E7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83,814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DF76C4E" w14:textId="2BE958EF"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802CFB0" w14:textId="1BAE976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0.10</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EE68D99" w14:textId="7B8DA84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17FE4A7B"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F03EC19" w14:textId="770CACBC"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4857631" w14:textId="3A0E1065"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0F13FA10" w14:textId="7F161709"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D40Z</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0C6CFD80" w14:textId="51E9AB9A"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Dental Extractions and Restorations</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C45C821" w14:textId="35196CD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0.43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C1B6F68" w14:textId="18963353"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73,591</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38DC552" w14:textId="7138242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31,644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60D79AC7" w14:textId="13F093F9"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73,928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A59A2C7" w14:textId="5D881E5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6BC68801" w14:textId="22B4761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A5C74CA" w14:textId="79E8A2A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2.11%</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7F94EEA" w14:textId="632606B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0.9%</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02551F35" w14:textId="55B27EA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59,153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69AF093" w14:textId="061A1057"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9</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10BF359" w14:textId="3C56E07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0.42</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28373CC" w14:textId="79CB2F13"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4BA74EBA"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17BFD58" w14:textId="29293BAB"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CB2D655" w14:textId="6FF13202"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9</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3D57204" w14:textId="2C6F1C05"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Z64B</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3E83D5F3" w14:textId="40D5854D"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Other Factors Influencing Health Status, Minor Complexity</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62B3A497" w14:textId="57260605"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0BE227A" w14:textId="6CDEAC2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62,195</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393D7232" w14:textId="76BF6E2D"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9,329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552B3C5" w14:textId="0087084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64,826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50C74A9B" w14:textId="5217132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8860570" w14:textId="79535FE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0.002</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188B4719" w14:textId="512658B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1.78%</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32334068" w14:textId="1B902C78"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0.3%</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733AA3B4" w14:textId="6CFFF62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60,445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BA72CFF" w14:textId="49E64795"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8</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47760F2C" w14:textId="2F4AC600"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0.18</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730F157" w14:textId="7CCDBEE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50E31F23"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left w:val="nil"/>
              <w:right w:val="nil"/>
            </w:tcBorders>
            <w:shd w:val="clear" w:color="auto" w:fill="auto"/>
            <w:noWrap/>
            <w:vAlign w:val="center"/>
            <w:hideMark/>
          </w:tcPr>
          <w:p w14:paraId="6C841148" w14:textId="67B7ABDA" w:rsidR="00DB117A" w:rsidRPr="0088109E" w:rsidRDefault="00DB117A" w:rsidP="00DB117A">
            <w:pPr>
              <w:pStyle w:val="TableParagraph"/>
              <w:jc w:val="center"/>
              <w:rPr>
                <w:highlight w:val="yellow"/>
                <w:lang w:eastAsia="en-AU"/>
              </w:rPr>
            </w:pPr>
            <w:r w:rsidRPr="0088109E">
              <w:rPr>
                <w:color w:val="000000"/>
                <w:szCs w:val="14"/>
              </w:rPr>
              <w:t>Yes</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2197DD96" w14:textId="5D19B8CA"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5A1C82A8" w14:textId="401AE398" w:rsidR="00DB117A" w:rsidRPr="0088109E" w:rsidRDefault="00DB117A" w:rsidP="00DB117A">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C16Z</w:t>
            </w:r>
          </w:p>
        </w:tc>
        <w:tc>
          <w:tcPr>
            <w:tcW w:w="2551"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vAlign w:val="center"/>
            <w:hideMark/>
          </w:tcPr>
          <w:p w14:paraId="12CD4598" w14:textId="4A0786BD" w:rsidR="00DB117A" w:rsidRPr="0088109E" w:rsidRDefault="00DB117A" w:rsidP="00DB117A">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Lens Interventions</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67F39489" w14:textId="3B14AD7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0.44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6962E14" w14:textId="35676551"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b/>
                <w:bCs/>
                <w:color w:val="000000"/>
                <w:szCs w:val="14"/>
              </w:rPr>
              <w:t>50,548</w:t>
            </w:r>
          </w:p>
        </w:tc>
        <w:tc>
          <w:tcPr>
            <w:tcW w:w="993"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4A7274BB" w14:textId="585DFE27"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88109E">
              <w:rPr>
                <w:color w:val="000000"/>
                <w:szCs w:val="14"/>
              </w:rPr>
              <w:t>22,241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23F4FE01" w14:textId="03A6C796"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50,668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vAlign w:val="center"/>
            <w:hideMark/>
          </w:tcPr>
          <w:p w14:paraId="08C13E90" w14:textId="281A0D0B"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889D7C0" w14:textId="7DE8A2FC"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0.001</w:t>
            </w:r>
          </w:p>
        </w:tc>
        <w:tc>
          <w:tcPr>
            <w:tcW w:w="85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B26DEDA" w14:textId="25A9ADF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1.45%</w:t>
            </w:r>
          </w:p>
        </w:tc>
        <w:tc>
          <w:tcPr>
            <w:tcW w:w="709"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D404601" w14:textId="03432BCC"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0.6%</w:t>
            </w:r>
          </w:p>
        </w:tc>
        <w:tc>
          <w:tcPr>
            <w:tcW w:w="992"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vAlign w:val="center"/>
            <w:hideMark/>
          </w:tcPr>
          <w:p w14:paraId="25CA9B63" w14:textId="1F5ED9A5"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41,653</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68B7E4BA" w14:textId="18E0A2E2"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10</w:t>
            </w:r>
          </w:p>
        </w:tc>
        <w:tc>
          <w:tcPr>
            <w:tcW w:w="850"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71CEA383" w14:textId="26CB6D8E"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0.46</w:t>
            </w:r>
          </w:p>
        </w:tc>
        <w:tc>
          <w:tcPr>
            <w:tcW w:w="866" w:type="dxa"/>
            <w:tcBorders>
              <w:top w:val="single" w:sz="4" w:space="0" w:color="D9D9D9" w:themeColor="background2" w:themeShade="D9"/>
              <w:left w:val="nil"/>
              <w:bottom w:val="single" w:sz="4" w:space="0" w:color="D9D9D9" w:themeColor="background2" w:themeShade="D9"/>
              <w:right w:val="nil"/>
            </w:tcBorders>
            <w:shd w:val="clear" w:color="auto" w:fill="auto"/>
            <w:noWrap/>
            <w:vAlign w:val="center"/>
            <w:hideMark/>
          </w:tcPr>
          <w:p w14:paraId="1F63C0AB" w14:textId="587902AC" w:rsidR="00DB117A" w:rsidRPr="0088109E" w:rsidRDefault="00DB117A" w:rsidP="0090766D">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88109E">
              <w:rPr>
                <w:color w:val="000000"/>
                <w:szCs w:val="14"/>
              </w:rPr>
              <w:t>Yes</w:t>
            </w:r>
          </w:p>
        </w:tc>
      </w:tr>
      <w:tr w:rsidR="00A86AC3" w:rsidRPr="0088109E" w14:paraId="79D6CB45"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cBorders>
              <w:left w:val="nil"/>
              <w:right w:val="nil"/>
            </w:tcBorders>
            <w:shd w:val="clear" w:color="auto" w:fill="DFEBF1" w:themeFill="text2" w:themeFillTint="1A"/>
            <w:noWrap/>
            <w:vAlign w:val="center"/>
          </w:tcPr>
          <w:p w14:paraId="616FAB7B" w14:textId="45CCCBB1" w:rsidR="008E4DA3" w:rsidRPr="005629F8" w:rsidRDefault="008E4DA3" w:rsidP="00DB117A">
            <w:pPr>
              <w:pStyle w:val="TableParagraph"/>
              <w:jc w:val="center"/>
              <w:rPr>
                <w:color w:val="000000"/>
                <w:szCs w:val="14"/>
              </w:rPr>
            </w:pPr>
            <w:r w:rsidRPr="0088109E">
              <w:rPr>
                <w:color w:val="000000"/>
                <w:szCs w:val="14"/>
              </w:rPr>
              <w:t>10</w:t>
            </w:r>
            <w:r>
              <w:rPr>
                <w:color w:val="000000"/>
                <w:szCs w:val="14"/>
              </w:rPr>
              <w:t xml:space="preserve"> i</w:t>
            </w:r>
            <w:r w:rsidRPr="0088109E">
              <w:rPr>
                <w:color w:val="000000"/>
                <w:szCs w:val="14"/>
              </w:rPr>
              <w:t>n</w:t>
            </w:r>
          </w:p>
          <w:p w14:paraId="342E5257" w14:textId="18F525B1" w:rsidR="008E4DA3" w:rsidRPr="005629F8" w:rsidRDefault="008E4DA3" w:rsidP="00DB117A">
            <w:pPr>
              <w:pStyle w:val="TableParagraph"/>
              <w:jc w:val="center"/>
              <w:rPr>
                <w:color w:val="000000"/>
                <w:szCs w:val="14"/>
              </w:rPr>
            </w:pPr>
            <w:r>
              <w:rPr>
                <w:color w:val="000000"/>
                <w:szCs w:val="14"/>
              </w:rPr>
              <w:t>t</w:t>
            </w:r>
            <w:r w:rsidRPr="0088109E">
              <w:rPr>
                <w:color w:val="000000"/>
                <w:szCs w:val="14"/>
              </w:rPr>
              <w:t>op 10</w:t>
            </w:r>
          </w:p>
        </w:tc>
        <w:tc>
          <w:tcPr>
            <w:tcW w:w="4252" w:type="dxa"/>
            <w:gridSpan w:val="3"/>
            <w:tcBorders>
              <w:top w:val="single" w:sz="4" w:space="0" w:color="D9D9D9" w:themeColor="background2" w:themeShade="D9"/>
              <w:left w:val="nil"/>
              <w:bottom w:val="nil"/>
              <w:right w:val="single" w:sz="4" w:space="0" w:color="FFFFFF" w:themeColor="accent6"/>
            </w:tcBorders>
            <w:shd w:val="clear" w:color="auto" w:fill="DFEBF1" w:themeFill="text2" w:themeFillTint="1A"/>
            <w:noWrap/>
            <w:vAlign w:val="center"/>
          </w:tcPr>
          <w:p w14:paraId="7019982A" w14:textId="5FC0C625" w:rsidR="008E4DA3" w:rsidRPr="005629F8" w:rsidRDefault="008E4DA3" w:rsidP="00DB117A">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Sub-total, top 10 highest volume of population-adjusted separations</w:t>
            </w:r>
          </w:p>
        </w:tc>
        <w:tc>
          <w:tcPr>
            <w:tcW w:w="709"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vAlign w:val="center"/>
          </w:tcPr>
          <w:p w14:paraId="20EF64D1" w14:textId="781B2EA4"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Pr>
                <w:b/>
                <w:bCs/>
                <w:color w:val="000000"/>
                <w:szCs w:val="14"/>
              </w:rPr>
              <w:t>0.24</w:t>
            </w:r>
          </w:p>
        </w:tc>
        <w:tc>
          <w:tcPr>
            <w:tcW w:w="992" w:type="dxa"/>
            <w:tcBorders>
              <w:top w:val="single" w:sz="4" w:space="0" w:color="D9D9D9" w:themeColor="background2" w:themeShade="D9"/>
              <w:left w:val="nil"/>
              <w:bottom w:val="nil"/>
              <w:right w:val="nil"/>
            </w:tcBorders>
            <w:shd w:val="clear" w:color="auto" w:fill="DFEBF1" w:themeFill="text2" w:themeFillTint="1A"/>
            <w:noWrap/>
            <w:vAlign w:val="center"/>
          </w:tcPr>
          <w:p w14:paraId="1AFB6C96" w14:textId="3B66559C"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Pr>
                <w:b/>
                <w:bCs/>
                <w:color w:val="000000"/>
                <w:szCs w:val="14"/>
              </w:rPr>
              <w:t>1,157,807</w:t>
            </w:r>
          </w:p>
        </w:tc>
        <w:tc>
          <w:tcPr>
            <w:tcW w:w="993" w:type="dxa"/>
            <w:tcBorders>
              <w:top w:val="single" w:sz="4" w:space="0" w:color="D9D9D9" w:themeColor="background2" w:themeShade="D9"/>
              <w:left w:val="nil"/>
              <w:bottom w:val="nil"/>
              <w:right w:val="nil"/>
            </w:tcBorders>
            <w:shd w:val="clear" w:color="auto" w:fill="DFEBF1" w:themeFill="text2" w:themeFillTint="1A"/>
            <w:noWrap/>
            <w:vAlign w:val="center"/>
          </w:tcPr>
          <w:p w14:paraId="3A8174FC" w14:textId="74DF4CA9"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Pr>
                <w:b/>
                <w:bCs/>
                <w:color w:val="000000"/>
                <w:szCs w:val="14"/>
              </w:rPr>
              <w:t>278,012</w:t>
            </w:r>
          </w:p>
        </w:tc>
        <w:tc>
          <w:tcPr>
            <w:tcW w:w="992" w:type="dxa"/>
            <w:tcBorders>
              <w:top w:val="single" w:sz="4" w:space="0" w:color="D9D9D9" w:themeColor="background2" w:themeShade="D9"/>
              <w:left w:val="nil"/>
              <w:bottom w:val="nil"/>
              <w:right w:val="nil"/>
            </w:tcBorders>
            <w:shd w:val="clear" w:color="auto" w:fill="DFEBF1" w:themeFill="text2" w:themeFillTint="1A"/>
            <w:noWrap/>
            <w:vAlign w:val="center"/>
          </w:tcPr>
          <w:p w14:paraId="1371ADC2" w14:textId="7B186F04"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Pr>
                <w:b/>
                <w:bCs/>
                <w:color w:val="000000"/>
                <w:szCs w:val="14"/>
              </w:rPr>
              <w:t>1,181,563</w:t>
            </w:r>
          </w:p>
        </w:tc>
        <w:tc>
          <w:tcPr>
            <w:tcW w:w="992" w:type="dxa"/>
            <w:tcBorders>
              <w:top w:val="single" w:sz="4" w:space="0" w:color="D9D9D9" w:themeColor="background2" w:themeShade="D9"/>
              <w:left w:val="nil"/>
              <w:bottom w:val="nil"/>
              <w:right w:val="nil"/>
            </w:tcBorders>
            <w:shd w:val="clear" w:color="auto" w:fill="DFEBF1" w:themeFill="text2" w:themeFillTint="1A"/>
            <w:noWrap/>
            <w:vAlign w:val="center"/>
          </w:tcPr>
          <w:p w14:paraId="0B23A686" w14:textId="03081CC0"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Pr>
                <w:b/>
                <w:bCs/>
                <w:color w:val="000000"/>
                <w:szCs w:val="14"/>
              </w:rPr>
              <w:t>1.0</w:t>
            </w:r>
          </w:p>
        </w:tc>
        <w:tc>
          <w:tcPr>
            <w:tcW w:w="709" w:type="dxa"/>
            <w:tcBorders>
              <w:top w:val="single" w:sz="4" w:space="0" w:color="D9D9D9" w:themeColor="background2" w:themeShade="D9"/>
              <w:right w:val="single" w:sz="4" w:space="0" w:color="FFFFFF" w:themeColor="accent6"/>
            </w:tcBorders>
            <w:shd w:val="clear" w:color="auto" w:fill="DFEBF1" w:themeFill="text2" w:themeFillTint="1A"/>
            <w:noWrap/>
          </w:tcPr>
          <w:p w14:paraId="71B81B3F"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vAlign w:val="center"/>
          </w:tcPr>
          <w:p w14:paraId="3EFA4569" w14:textId="0DC82891"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33.2</w:t>
            </w:r>
            <w:r>
              <w:rPr>
                <w:color w:val="000000"/>
                <w:szCs w:val="14"/>
              </w:rPr>
              <w:t>0</w:t>
            </w:r>
            <w:r w:rsidRPr="0088109E">
              <w:rPr>
                <w:color w:val="000000"/>
                <w:szCs w:val="14"/>
              </w:rPr>
              <w:t>%</w:t>
            </w:r>
          </w:p>
        </w:tc>
        <w:tc>
          <w:tcPr>
            <w:tcW w:w="709" w:type="dxa"/>
            <w:tcBorders>
              <w:top w:val="single" w:sz="4" w:space="0" w:color="D9D9D9" w:themeColor="background2" w:themeShade="D9"/>
              <w:left w:val="nil"/>
              <w:bottom w:val="nil"/>
              <w:right w:val="single" w:sz="4" w:space="0" w:color="FFFFFF" w:themeColor="accent6"/>
            </w:tcBorders>
            <w:shd w:val="clear" w:color="auto" w:fill="DFEBF1" w:themeFill="text2" w:themeFillTint="1A"/>
            <w:noWrap/>
            <w:vAlign w:val="center"/>
          </w:tcPr>
          <w:p w14:paraId="22459AFF" w14:textId="405CDB71"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8.0%</w:t>
            </w:r>
          </w:p>
        </w:tc>
        <w:tc>
          <w:tcPr>
            <w:tcW w:w="992"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vAlign w:val="center"/>
          </w:tcPr>
          <w:p w14:paraId="6357F7E9" w14:textId="227BCD86"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top w:val="single" w:sz="4" w:space="0" w:color="D9D9D9" w:themeColor="background2" w:themeShade="D9"/>
            </w:tcBorders>
            <w:shd w:val="clear" w:color="auto" w:fill="DFEBF1" w:themeFill="text2" w:themeFillTint="1A"/>
            <w:noWrap/>
          </w:tcPr>
          <w:p w14:paraId="40CE863A"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top w:val="single" w:sz="4" w:space="0" w:color="D9D9D9" w:themeColor="background2" w:themeShade="D9"/>
            </w:tcBorders>
            <w:shd w:val="clear" w:color="auto" w:fill="DFEBF1" w:themeFill="text2" w:themeFillTint="1A"/>
            <w:noWrap/>
          </w:tcPr>
          <w:p w14:paraId="4E003E14"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66" w:type="dxa"/>
            <w:tcBorders>
              <w:top w:val="single" w:sz="4" w:space="0" w:color="D9D9D9" w:themeColor="background2" w:themeShade="D9"/>
            </w:tcBorders>
            <w:shd w:val="clear" w:color="auto" w:fill="DFEBF1" w:themeFill="text2" w:themeFillTint="1A"/>
            <w:noWrap/>
          </w:tcPr>
          <w:p w14:paraId="7A5A6B64"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A86AC3" w:rsidRPr="0088109E" w14:paraId="716D3958" w14:textId="77777777" w:rsidTr="00422599">
        <w:trPr>
          <w:trHeight w:val="246"/>
        </w:trPr>
        <w:tc>
          <w:tcPr>
            <w:cnfStyle w:val="001000000000" w:firstRow="0" w:lastRow="0" w:firstColumn="1" w:lastColumn="0" w:oddVBand="0" w:evenVBand="0" w:oddHBand="0" w:evenHBand="0" w:firstRowFirstColumn="0" w:firstRowLastColumn="0" w:lastRowFirstColumn="0" w:lastRowLastColumn="0"/>
            <w:tcW w:w="851" w:type="dxa"/>
            <w:vMerge/>
            <w:tcBorders>
              <w:left w:val="nil"/>
              <w:right w:val="nil"/>
            </w:tcBorders>
            <w:shd w:val="clear" w:color="auto" w:fill="DFEBF1" w:themeFill="text2" w:themeFillTint="1A"/>
            <w:noWrap/>
            <w:vAlign w:val="center"/>
          </w:tcPr>
          <w:p w14:paraId="4040FE4B" w14:textId="5D364D3A" w:rsidR="008E4DA3" w:rsidRPr="005629F8" w:rsidRDefault="008E4DA3" w:rsidP="00DB117A">
            <w:pPr>
              <w:pStyle w:val="TableParagraph"/>
              <w:jc w:val="center"/>
              <w:rPr>
                <w:color w:val="000000"/>
                <w:szCs w:val="14"/>
              </w:rPr>
            </w:pPr>
          </w:p>
        </w:tc>
        <w:tc>
          <w:tcPr>
            <w:tcW w:w="4252" w:type="dxa"/>
            <w:gridSpan w:val="3"/>
            <w:tcBorders>
              <w:top w:val="nil"/>
              <w:left w:val="nil"/>
              <w:bottom w:val="nil"/>
              <w:right w:val="single" w:sz="4" w:space="0" w:color="FFFFFF" w:themeColor="accent6"/>
            </w:tcBorders>
            <w:shd w:val="clear" w:color="auto" w:fill="DFEBF1" w:themeFill="text2" w:themeFillTint="1A"/>
            <w:noWrap/>
            <w:vAlign w:val="center"/>
          </w:tcPr>
          <w:p w14:paraId="18685033" w14:textId="61E31D7C" w:rsidR="008E4DA3" w:rsidRPr="005629F8" w:rsidRDefault="008E4DA3" w:rsidP="00DB117A">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All </w:t>
            </w:r>
            <w:r>
              <w:rPr>
                <w:b/>
                <w:bCs/>
                <w:color w:val="000000"/>
                <w:szCs w:val="14"/>
              </w:rPr>
              <w:t>AR-</w:t>
            </w:r>
            <w:r w:rsidRPr="0088109E">
              <w:rPr>
                <w:b/>
                <w:bCs/>
                <w:color w:val="000000"/>
                <w:szCs w:val="14"/>
              </w:rPr>
              <w:t>DRGs</w:t>
            </w:r>
          </w:p>
        </w:tc>
        <w:tc>
          <w:tcPr>
            <w:tcW w:w="709" w:type="dxa"/>
            <w:tcBorders>
              <w:top w:val="nil"/>
              <w:left w:val="single" w:sz="4" w:space="0" w:color="FFFFFF" w:themeColor="accent6"/>
              <w:bottom w:val="nil"/>
              <w:right w:val="nil"/>
            </w:tcBorders>
            <w:shd w:val="clear" w:color="auto" w:fill="DFEBF1" w:themeFill="text2" w:themeFillTint="1A"/>
            <w:noWrap/>
            <w:vAlign w:val="center"/>
          </w:tcPr>
          <w:p w14:paraId="74D97CE8" w14:textId="10A6859B"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1.00</w:t>
            </w:r>
          </w:p>
        </w:tc>
        <w:tc>
          <w:tcPr>
            <w:tcW w:w="992" w:type="dxa"/>
            <w:tcBorders>
              <w:top w:val="nil"/>
              <w:left w:val="nil"/>
              <w:bottom w:val="nil"/>
              <w:right w:val="nil"/>
            </w:tcBorders>
            <w:shd w:val="clear" w:color="auto" w:fill="DFEBF1" w:themeFill="text2" w:themeFillTint="1A"/>
            <w:noWrap/>
            <w:vAlign w:val="center"/>
          </w:tcPr>
          <w:p w14:paraId="5699BBF4" w14:textId="7978888C"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3,487,127</w:t>
            </w:r>
          </w:p>
        </w:tc>
        <w:tc>
          <w:tcPr>
            <w:tcW w:w="993" w:type="dxa"/>
            <w:tcBorders>
              <w:top w:val="nil"/>
              <w:left w:val="nil"/>
              <w:bottom w:val="nil"/>
              <w:right w:val="nil"/>
            </w:tcBorders>
            <w:shd w:val="clear" w:color="auto" w:fill="DFEBF1" w:themeFill="text2" w:themeFillTint="1A"/>
            <w:noWrap/>
            <w:vAlign w:val="center"/>
          </w:tcPr>
          <w:p w14:paraId="62CC5A3A" w14:textId="533BCB03"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88109E">
              <w:rPr>
                <w:b/>
                <w:bCs/>
                <w:color w:val="000000"/>
                <w:szCs w:val="14"/>
              </w:rPr>
              <w:t>3,487,127</w:t>
            </w:r>
          </w:p>
        </w:tc>
        <w:tc>
          <w:tcPr>
            <w:tcW w:w="992" w:type="dxa"/>
            <w:tcBorders>
              <w:top w:val="nil"/>
              <w:left w:val="nil"/>
              <w:bottom w:val="nil"/>
              <w:right w:val="nil"/>
            </w:tcBorders>
            <w:shd w:val="clear" w:color="auto" w:fill="DFEBF1" w:themeFill="text2" w:themeFillTint="1A"/>
            <w:noWrap/>
            <w:vAlign w:val="center"/>
          </w:tcPr>
          <w:p w14:paraId="54AE5410" w14:textId="5AFC2832"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7,783,631</w:t>
            </w:r>
          </w:p>
        </w:tc>
        <w:tc>
          <w:tcPr>
            <w:tcW w:w="992" w:type="dxa"/>
            <w:tcBorders>
              <w:top w:val="nil"/>
              <w:left w:val="nil"/>
              <w:bottom w:val="nil"/>
              <w:right w:val="nil"/>
            </w:tcBorders>
            <w:shd w:val="clear" w:color="auto" w:fill="DFEBF1" w:themeFill="text2" w:themeFillTint="1A"/>
            <w:noWrap/>
            <w:vAlign w:val="center"/>
          </w:tcPr>
          <w:p w14:paraId="3EDBC05B" w14:textId="11A5DD31"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2.2</w:t>
            </w:r>
          </w:p>
        </w:tc>
        <w:tc>
          <w:tcPr>
            <w:tcW w:w="709" w:type="dxa"/>
            <w:tcBorders>
              <w:right w:val="single" w:sz="4" w:space="0" w:color="FFFFFF" w:themeColor="accent6"/>
            </w:tcBorders>
            <w:shd w:val="clear" w:color="auto" w:fill="DFEBF1" w:themeFill="text2" w:themeFillTint="1A"/>
            <w:noWrap/>
          </w:tcPr>
          <w:p w14:paraId="0F6F3509"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top w:val="nil"/>
              <w:left w:val="single" w:sz="4" w:space="0" w:color="FFFFFF" w:themeColor="accent6"/>
              <w:bottom w:val="nil"/>
              <w:right w:val="nil"/>
            </w:tcBorders>
            <w:shd w:val="clear" w:color="auto" w:fill="DFEBF1" w:themeFill="text2" w:themeFillTint="1A"/>
            <w:noWrap/>
            <w:vAlign w:val="center"/>
          </w:tcPr>
          <w:p w14:paraId="385242CE" w14:textId="5AE047AA"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100%</w:t>
            </w:r>
          </w:p>
        </w:tc>
        <w:tc>
          <w:tcPr>
            <w:tcW w:w="709" w:type="dxa"/>
            <w:tcBorders>
              <w:top w:val="nil"/>
              <w:left w:val="nil"/>
              <w:bottom w:val="nil"/>
              <w:right w:val="single" w:sz="4" w:space="0" w:color="FFFFFF" w:themeColor="accent6"/>
            </w:tcBorders>
            <w:shd w:val="clear" w:color="auto" w:fill="DFEBF1" w:themeFill="text2" w:themeFillTint="1A"/>
            <w:noWrap/>
            <w:vAlign w:val="center"/>
          </w:tcPr>
          <w:p w14:paraId="46D9BCF1" w14:textId="1248E9B6"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88109E">
              <w:rPr>
                <w:color w:val="000000"/>
                <w:szCs w:val="14"/>
              </w:rPr>
              <w:t>100%</w:t>
            </w:r>
          </w:p>
        </w:tc>
        <w:tc>
          <w:tcPr>
            <w:tcW w:w="992" w:type="dxa"/>
            <w:tcBorders>
              <w:left w:val="single" w:sz="4" w:space="0" w:color="FFFFFF" w:themeColor="accent6"/>
            </w:tcBorders>
            <w:shd w:val="clear" w:color="auto" w:fill="DFEBF1" w:themeFill="text2" w:themeFillTint="1A"/>
            <w:noWrap/>
          </w:tcPr>
          <w:p w14:paraId="2A3236CE"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shd w:val="clear" w:color="auto" w:fill="DFEBF1" w:themeFill="text2" w:themeFillTint="1A"/>
            <w:noWrap/>
          </w:tcPr>
          <w:p w14:paraId="636D3ABA"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shd w:val="clear" w:color="auto" w:fill="DFEBF1" w:themeFill="text2" w:themeFillTint="1A"/>
            <w:noWrap/>
          </w:tcPr>
          <w:p w14:paraId="7072CCC1"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66" w:type="dxa"/>
            <w:shd w:val="clear" w:color="auto" w:fill="DFEBF1" w:themeFill="text2" w:themeFillTint="1A"/>
            <w:noWrap/>
          </w:tcPr>
          <w:p w14:paraId="7F260A7C"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A86AC3" w:rsidRPr="0088109E" w14:paraId="1BE899F8" w14:textId="77777777" w:rsidTr="00422599">
        <w:trPr>
          <w:trHeight w:val="283"/>
        </w:trPr>
        <w:tc>
          <w:tcPr>
            <w:cnfStyle w:val="001000000000" w:firstRow="0" w:lastRow="0" w:firstColumn="1" w:lastColumn="0" w:oddVBand="0" w:evenVBand="0" w:oddHBand="0" w:evenHBand="0" w:firstRowFirstColumn="0" w:firstRowLastColumn="0" w:lastRowFirstColumn="0" w:lastRowLastColumn="0"/>
            <w:tcW w:w="851" w:type="dxa"/>
            <w:vMerge/>
            <w:tcBorders>
              <w:left w:val="nil"/>
              <w:bottom w:val="single" w:sz="4" w:space="0" w:color="D9D9D9"/>
              <w:right w:val="nil"/>
            </w:tcBorders>
            <w:shd w:val="clear" w:color="auto" w:fill="DFEBF1" w:themeFill="text2" w:themeFillTint="1A"/>
            <w:noWrap/>
            <w:vAlign w:val="center"/>
          </w:tcPr>
          <w:p w14:paraId="063DE061" w14:textId="57883DF3" w:rsidR="008E4DA3" w:rsidRPr="005629F8" w:rsidRDefault="008E4DA3" w:rsidP="00DB117A">
            <w:pPr>
              <w:pStyle w:val="TableParagraph"/>
              <w:jc w:val="center"/>
              <w:rPr>
                <w:color w:val="000000"/>
                <w:szCs w:val="14"/>
              </w:rPr>
            </w:pPr>
          </w:p>
        </w:tc>
        <w:tc>
          <w:tcPr>
            <w:tcW w:w="4252" w:type="dxa"/>
            <w:gridSpan w:val="3"/>
            <w:tcBorders>
              <w:top w:val="nil"/>
              <w:left w:val="nil"/>
              <w:bottom w:val="single" w:sz="4" w:space="0" w:color="D9D9D9"/>
              <w:right w:val="single" w:sz="4" w:space="0" w:color="FFFFFF" w:themeColor="accent6"/>
            </w:tcBorders>
            <w:shd w:val="clear" w:color="auto" w:fill="DFEBF1" w:themeFill="text2" w:themeFillTint="1A"/>
            <w:noWrap/>
            <w:vAlign w:val="center"/>
          </w:tcPr>
          <w:p w14:paraId="0ED5A303" w14:textId="74C34D37" w:rsidR="008E4DA3" w:rsidRPr="005629F8" w:rsidRDefault="008E4DA3" w:rsidP="00DB117A">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Top 10 highest volume of population-adjusted separations, % of all </w:t>
            </w:r>
            <w:r>
              <w:rPr>
                <w:b/>
                <w:bCs/>
                <w:color w:val="000000"/>
                <w:szCs w:val="14"/>
              </w:rPr>
              <w:t>AR-</w:t>
            </w:r>
            <w:r w:rsidRPr="0088109E">
              <w:rPr>
                <w:b/>
                <w:bCs/>
                <w:color w:val="000000"/>
                <w:szCs w:val="14"/>
              </w:rPr>
              <w:t>DRGs</w:t>
            </w:r>
          </w:p>
        </w:tc>
        <w:tc>
          <w:tcPr>
            <w:tcW w:w="709" w:type="dxa"/>
            <w:tcBorders>
              <w:left w:val="single" w:sz="4" w:space="0" w:color="FFFFFF" w:themeColor="accent6"/>
              <w:bottom w:val="single" w:sz="4" w:space="0" w:color="D9D9D9"/>
            </w:tcBorders>
            <w:shd w:val="clear" w:color="auto" w:fill="DFEBF1" w:themeFill="text2" w:themeFillTint="1A"/>
            <w:noWrap/>
          </w:tcPr>
          <w:p w14:paraId="34DB5F4A"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92" w:type="dxa"/>
            <w:tcBorders>
              <w:top w:val="nil"/>
              <w:left w:val="nil"/>
              <w:bottom w:val="single" w:sz="4" w:space="0" w:color="D9D9D9"/>
              <w:right w:val="nil"/>
            </w:tcBorders>
            <w:shd w:val="clear" w:color="auto" w:fill="DFEBF1" w:themeFill="text2" w:themeFillTint="1A"/>
            <w:noWrap/>
            <w:vAlign w:val="center"/>
          </w:tcPr>
          <w:p w14:paraId="5EE3725F" w14:textId="17D920CA"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Pr>
                <w:b/>
                <w:bCs/>
                <w:color w:val="000000"/>
                <w:szCs w:val="14"/>
              </w:rPr>
              <w:t>33.2%</w:t>
            </w:r>
          </w:p>
        </w:tc>
        <w:tc>
          <w:tcPr>
            <w:tcW w:w="993" w:type="dxa"/>
            <w:tcBorders>
              <w:top w:val="nil"/>
              <w:left w:val="nil"/>
              <w:bottom w:val="single" w:sz="4" w:space="0" w:color="D9D9D9"/>
              <w:right w:val="nil"/>
            </w:tcBorders>
            <w:shd w:val="clear" w:color="auto" w:fill="DFEBF1" w:themeFill="text2" w:themeFillTint="1A"/>
            <w:noWrap/>
            <w:vAlign w:val="center"/>
          </w:tcPr>
          <w:p w14:paraId="56A79435" w14:textId="42D06948"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Pr>
                <w:b/>
                <w:bCs/>
                <w:color w:val="000000"/>
                <w:szCs w:val="14"/>
              </w:rPr>
              <w:t>8.0%</w:t>
            </w:r>
          </w:p>
        </w:tc>
        <w:tc>
          <w:tcPr>
            <w:tcW w:w="992" w:type="dxa"/>
            <w:tcBorders>
              <w:top w:val="nil"/>
              <w:left w:val="nil"/>
              <w:bottom w:val="single" w:sz="4" w:space="0" w:color="D9D9D9"/>
              <w:right w:val="nil"/>
            </w:tcBorders>
            <w:shd w:val="clear" w:color="auto" w:fill="DFEBF1" w:themeFill="text2" w:themeFillTint="1A"/>
            <w:noWrap/>
            <w:vAlign w:val="center"/>
          </w:tcPr>
          <w:p w14:paraId="75ED8C18" w14:textId="1DF7BDC3"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Pr>
                <w:b/>
                <w:bCs/>
                <w:color w:val="000000"/>
                <w:szCs w:val="14"/>
              </w:rPr>
              <w:t>15.2%</w:t>
            </w:r>
          </w:p>
        </w:tc>
        <w:tc>
          <w:tcPr>
            <w:tcW w:w="992" w:type="dxa"/>
            <w:tcBorders>
              <w:bottom w:val="single" w:sz="4" w:space="0" w:color="D9D9D9"/>
            </w:tcBorders>
            <w:shd w:val="clear" w:color="auto" w:fill="DFEBF1" w:themeFill="text2" w:themeFillTint="1A"/>
            <w:noWrap/>
          </w:tcPr>
          <w:p w14:paraId="35246291"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bottom w:val="single" w:sz="4" w:space="0" w:color="D9D9D9"/>
              <w:right w:val="single" w:sz="4" w:space="0" w:color="FFFFFF" w:themeColor="accent6"/>
            </w:tcBorders>
            <w:shd w:val="clear" w:color="auto" w:fill="DFEBF1" w:themeFill="text2" w:themeFillTint="1A"/>
            <w:noWrap/>
          </w:tcPr>
          <w:p w14:paraId="4FE6133E"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left w:val="single" w:sz="4" w:space="0" w:color="FFFFFF" w:themeColor="accent6"/>
              <w:bottom w:val="single" w:sz="4" w:space="0" w:color="D9D9D9"/>
            </w:tcBorders>
            <w:shd w:val="clear" w:color="auto" w:fill="DFEBF1" w:themeFill="text2" w:themeFillTint="1A"/>
            <w:noWrap/>
          </w:tcPr>
          <w:p w14:paraId="487CFEB3"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bottom w:val="single" w:sz="4" w:space="0" w:color="D9D9D9"/>
              <w:right w:val="single" w:sz="4" w:space="0" w:color="FFFFFF" w:themeColor="accent6"/>
            </w:tcBorders>
            <w:shd w:val="clear" w:color="auto" w:fill="DFEBF1" w:themeFill="text2" w:themeFillTint="1A"/>
            <w:noWrap/>
          </w:tcPr>
          <w:p w14:paraId="7E43F64F"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92" w:type="dxa"/>
            <w:tcBorders>
              <w:left w:val="single" w:sz="4" w:space="0" w:color="FFFFFF" w:themeColor="accent6"/>
              <w:bottom w:val="single" w:sz="4" w:space="0" w:color="D9D9D9"/>
            </w:tcBorders>
            <w:shd w:val="clear" w:color="auto" w:fill="DFEBF1" w:themeFill="text2" w:themeFillTint="1A"/>
            <w:noWrap/>
          </w:tcPr>
          <w:p w14:paraId="104D3A60"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bottom w:val="single" w:sz="4" w:space="0" w:color="D9D9D9"/>
            </w:tcBorders>
            <w:shd w:val="clear" w:color="auto" w:fill="DFEBF1" w:themeFill="text2" w:themeFillTint="1A"/>
            <w:noWrap/>
          </w:tcPr>
          <w:p w14:paraId="7DC52A25"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bottom w:val="single" w:sz="4" w:space="0" w:color="D9D9D9"/>
            </w:tcBorders>
            <w:shd w:val="clear" w:color="auto" w:fill="DFEBF1" w:themeFill="text2" w:themeFillTint="1A"/>
            <w:noWrap/>
          </w:tcPr>
          <w:p w14:paraId="0FEED344"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66" w:type="dxa"/>
            <w:tcBorders>
              <w:bottom w:val="single" w:sz="4" w:space="0" w:color="D9D9D9"/>
            </w:tcBorders>
            <w:shd w:val="clear" w:color="auto" w:fill="DFEBF1" w:themeFill="text2" w:themeFillTint="1A"/>
            <w:noWrap/>
          </w:tcPr>
          <w:p w14:paraId="582B9B10" w14:textId="77777777" w:rsidR="008E4DA3" w:rsidRPr="005629F8" w:rsidRDefault="008E4DA3" w:rsidP="0090766D">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bl>
    <w:p w14:paraId="5090C5B0" w14:textId="77777777" w:rsidR="008D092D" w:rsidRPr="005629F8" w:rsidRDefault="008D092D" w:rsidP="008D092D">
      <w:pPr>
        <w:spacing w:after="0" w:line="240" w:lineRule="auto"/>
        <w:rPr>
          <w:b/>
          <w:bCs/>
          <w:sz w:val="16"/>
          <w:szCs w:val="16"/>
          <w:highlight w:val="yellow"/>
          <w:lang w:val="en-AU"/>
        </w:rPr>
      </w:pPr>
    </w:p>
    <w:p w14:paraId="6C584636" w14:textId="638ECDBD" w:rsidR="008D092D" w:rsidRPr="005629F8" w:rsidRDefault="008D092D" w:rsidP="008D092D">
      <w:pPr>
        <w:spacing w:after="0" w:line="240" w:lineRule="auto"/>
        <w:rPr>
          <w:b/>
          <w:bCs/>
          <w:sz w:val="16"/>
          <w:szCs w:val="16"/>
          <w:lang w:val="en-AU"/>
        </w:rPr>
      </w:pPr>
      <w:r w:rsidRPr="005629F8">
        <w:rPr>
          <w:b/>
          <w:bCs/>
          <w:sz w:val="16"/>
          <w:szCs w:val="16"/>
          <w:lang w:val="en-AU"/>
        </w:rPr>
        <w:t>Notes</w:t>
      </w:r>
    </w:p>
    <w:p w14:paraId="118A6561" w14:textId="6823B277" w:rsidR="008D092D" w:rsidRPr="005629F8" w:rsidRDefault="008D092D" w:rsidP="000C38AE">
      <w:pPr>
        <w:pStyle w:val="ListParagraph"/>
        <w:numPr>
          <w:ilvl w:val="0"/>
          <w:numId w:val="19"/>
        </w:numPr>
        <w:spacing w:after="0" w:line="240" w:lineRule="auto"/>
        <w:ind w:left="328" w:hanging="44"/>
        <w:rPr>
          <w:sz w:val="14"/>
          <w:szCs w:val="14"/>
          <w:lang w:val="en-AU"/>
        </w:rPr>
      </w:pPr>
      <w:r w:rsidRPr="005629F8">
        <w:rPr>
          <w:sz w:val="14"/>
          <w:szCs w:val="14"/>
          <w:lang w:val="en-AU"/>
        </w:rPr>
        <w:t xml:space="preserve">For cost weight (cost bucket specific) calculations please refer to </w:t>
      </w:r>
      <w:r w:rsidRPr="005629F8">
        <w:rPr>
          <w:sz w:val="14"/>
          <w:szCs w:val="14"/>
          <w:lang w:val="en-AU"/>
        </w:rPr>
        <w:fldChar w:fldCharType="begin"/>
      </w:r>
      <w:r w:rsidRPr="005629F8">
        <w:rPr>
          <w:sz w:val="14"/>
          <w:szCs w:val="14"/>
          <w:lang w:val="en-AU"/>
        </w:rPr>
        <w:instrText xml:space="preserve"> REF _Ref103175315 \h  \* MERGEFORMAT </w:instrText>
      </w:r>
      <w:r w:rsidRPr="005629F8">
        <w:rPr>
          <w:sz w:val="14"/>
          <w:szCs w:val="14"/>
          <w:lang w:val="en-AU"/>
        </w:rPr>
      </w:r>
      <w:r w:rsidRPr="005629F8">
        <w:rPr>
          <w:sz w:val="14"/>
          <w:szCs w:val="14"/>
          <w:lang w:val="en-AU"/>
        </w:rPr>
        <w:fldChar w:fldCharType="separate"/>
      </w:r>
      <w:r w:rsidR="00BF088F" w:rsidRPr="005629F8">
        <w:rPr>
          <w:sz w:val="14"/>
          <w:szCs w:val="14"/>
          <w:lang w:val="en-AU"/>
        </w:rPr>
        <w:t>Appendix D: Cost weight tables by AR-DRG Version 10.0</w:t>
      </w:r>
      <w:r w:rsidRPr="005629F8">
        <w:rPr>
          <w:sz w:val="14"/>
          <w:szCs w:val="14"/>
          <w:lang w:val="en-AU"/>
        </w:rPr>
        <w:fldChar w:fldCharType="end"/>
      </w:r>
    </w:p>
    <w:p w14:paraId="055FF31D" w14:textId="77777777" w:rsidR="008D092D" w:rsidRPr="005629F8" w:rsidRDefault="008D092D" w:rsidP="000C38AE">
      <w:pPr>
        <w:pStyle w:val="ListParagraph"/>
        <w:numPr>
          <w:ilvl w:val="0"/>
          <w:numId w:val="19"/>
        </w:numPr>
        <w:spacing w:after="0" w:line="240" w:lineRule="auto"/>
        <w:ind w:left="328" w:hanging="44"/>
        <w:rPr>
          <w:sz w:val="14"/>
          <w:szCs w:val="14"/>
          <w:lang w:val="en-AU"/>
        </w:rPr>
      </w:pPr>
      <w:r w:rsidRPr="005629F8">
        <w:rPr>
          <w:sz w:val="14"/>
          <w:szCs w:val="14"/>
          <w:lang w:val="en-AU"/>
        </w:rPr>
        <w:t>Separations shown are strata weighted</w:t>
      </w:r>
    </w:p>
    <w:p w14:paraId="4CFE4DD7" w14:textId="1A20F09B" w:rsidR="008D092D" w:rsidRPr="005629F8" w:rsidRDefault="008D092D" w:rsidP="000C38AE">
      <w:pPr>
        <w:pStyle w:val="ListParagraph"/>
        <w:numPr>
          <w:ilvl w:val="0"/>
          <w:numId w:val="19"/>
        </w:numPr>
        <w:spacing w:after="0" w:line="240" w:lineRule="auto"/>
        <w:ind w:left="328" w:hanging="44"/>
        <w:rPr>
          <w:sz w:val="14"/>
          <w:szCs w:val="14"/>
          <w:lang w:val="en-AU"/>
        </w:rPr>
      </w:pPr>
      <w:r w:rsidRPr="005629F8">
        <w:rPr>
          <w:sz w:val="14"/>
          <w:szCs w:val="14"/>
          <w:lang w:val="en-AU"/>
        </w:rPr>
        <w:t>ALOS means Average Length of Stay</w:t>
      </w:r>
    </w:p>
    <w:p w14:paraId="637D0758" w14:textId="5B75D512" w:rsidR="003A16D1" w:rsidRPr="005629F8" w:rsidRDefault="003A16D1" w:rsidP="00AF30D0">
      <w:pPr>
        <w:rPr>
          <w:highlight w:val="yellow"/>
          <w:lang w:val="en-AU"/>
        </w:rPr>
      </w:pPr>
    </w:p>
    <w:p w14:paraId="759A4D7C" w14:textId="77777777" w:rsidR="00A73952" w:rsidRPr="005629F8" w:rsidRDefault="00A73952" w:rsidP="00AF30D0">
      <w:pPr>
        <w:rPr>
          <w:highlight w:val="yellow"/>
          <w:lang w:val="en-AU"/>
        </w:rPr>
        <w:sectPr w:rsidR="00A73952" w:rsidRPr="005629F8" w:rsidSect="00522146">
          <w:footerReference w:type="default" r:id="rId31"/>
          <w:pgSz w:w="16838" w:h="11906" w:orient="landscape" w:code="9"/>
          <w:pgMar w:top="1077" w:right="567" w:bottom="1077" w:left="567" w:header="709" w:footer="709" w:gutter="0"/>
          <w:cols w:space="720"/>
          <w:docGrid w:linePitch="360"/>
        </w:sectPr>
      </w:pPr>
    </w:p>
    <w:p w14:paraId="67AA1C38" w14:textId="6318A632" w:rsidR="00550AEB" w:rsidRPr="005629F8" w:rsidRDefault="00550AEB" w:rsidP="00E829BF">
      <w:pPr>
        <w:pStyle w:val="Heading3"/>
      </w:pPr>
      <w:bookmarkStart w:id="130" w:name="_Toc129700684"/>
      <w:bookmarkStart w:id="131" w:name="_Toc129701377"/>
      <w:r w:rsidRPr="005629F8">
        <w:lastRenderedPageBreak/>
        <w:t xml:space="preserve">Top </w:t>
      </w:r>
      <w:r w:rsidR="001E476E" w:rsidRPr="005629F8">
        <w:t>1</w:t>
      </w:r>
      <w:r w:rsidRPr="005629F8">
        <w:t>0 AR-DRGs ranked by highest cost</w:t>
      </w:r>
      <w:r w:rsidR="00776F4D">
        <w:t xml:space="preserve"> </w:t>
      </w:r>
      <w:r w:rsidRPr="005629F8">
        <w:t>weighted separations</w:t>
      </w:r>
      <w:bookmarkEnd w:id="130"/>
      <w:bookmarkEnd w:id="131"/>
    </w:p>
    <w:p w14:paraId="04098948" w14:textId="77777777" w:rsidR="00550AEB" w:rsidRPr="005629F8" w:rsidRDefault="00550AEB" w:rsidP="00550AEB">
      <w:pPr>
        <w:pStyle w:val="Heading4"/>
        <w:rPr>
          <w:lang w:val="en-AU"/>
        </w:rPr>
      </w:pPr>
      <w:r w:rsidRPr="005629F8">
        <w:rPr>
          <w:lang w:val="en-AU"/>
        </w:rPr>
        <w:t>Key</w:t>
      </w:r>
      <w:r w:rsidRPr="005629F8">
        <w:rPr>
          <w:spacing w:val="-3"/>
          <w:lang w:val="en-AU"/>
        </w:rPr>
        <w:t xml:space="preserve"> </w:t>
      </w:r>
      <w:r w:rsidRPr="005629F8">
        <w:rPr>
          <w:lang w:val="en-AU"/>
        </w:rPr>
        <w:t>findings</w:t>
      </w:r>
    </w:p>
    <w:p w14:paraId="7CE44913" w14:textId="3F63DAAB" w:rsidR="00550AEB" w:rsidRPr="005629F8" w:rsidRDefault="00CA5779" w:rsidP="00550AEB">
      <w:pPr>
        <w:rPr>
          <w:color w:val="auto"/>
          <w:lang w:val="en-AU"/>
        </w:rPr>
      </w:pPr>
      <w:r w:rsidRPr="005629F8">
        <w:rPr>
          <w:color w:val="auto"/>
          <w:lang w:val="en-AU"/>
        </w:rPr>
        <w:fldChar w:fldCharType="begin"/>
      </w:r>
      <w:r w:rsidRPr="005629F8">
        <w:rPr>
          <w:color w:val="auto"/>
          <w:lang w:val="en-AU"/>
        </w:rPr>
        <w:instrText xml:space="preserve"> REF _Ref103175617 \h  \* MERGEFORMAT </w:instrText>
      </w:r>
      <w:r w:rsidRPr="005629F8">
        <w:rPr>
          <w:color w:val="auto"/>
          <w:lang w:val="en-AU"/>
        </w:rPr>
      </w:r>
      <w:r w:rsidRPr="005629F8">
        <w:rPr>
          <w:color w:val="auto"/>
          <w:lang w:val="en-AU"/>
        </w:rPr>
        <w:fldChar w:fldCharType="separate"/>
      </w:r>
      <w:r w:rsidR="00F2253B" w:rsidRPr="005629F8">
        <w:rPr>
          <w:color w:val="auto"/>
          <w:lang w:val="en-AU"/>
        </w:rPr>
        <w:t xml:space="preserve">Table </w:t>
      </w:r>
      <w:r w:rsidR="00F2253B" w:rsidRPr="005629F8">
        <w:rPr>
          <w:noProof/>
          <w:color w:val="auto"/>
          <w:lang w:val="en-AU"/>
        </w:rPr>
        <w:t>7</w:t>
      </w:r>
      <w:r w:rsidRPr="005629F8">
        <w:rPr>
          <w:color w:val="auto"/>
          <w:lang w:val="en-AU"/>
        </w:rPr>
        <w:fldChar w:fldCharType="end"/>
      </w:r>
      <w:r w:rsidRPr="005629F8">
        <w:rPr>
          <w:color w:val="auto"/>
          <w:lang w:val="en-AU"/>
        </w:rPr>
        <w:t xml:space="preserve"> </w:t>
      </w:r>
      <w:r w:rsidR="00550AEB" w:rsidRPr="005629F8">
        <w:rPr>
          <w:color w:val="auto"/>
          <w:lang w:val="en-AU"/>
        </w:rPr>
        <w:t xml:space="preserve">and </w:t>
      </w:r>
      <w:r w:rsidR="00F2253B">
        <w:rPr>
          <w:color w:val="auto"/>
          <w:lang w:val="en-AU"/>
        </w:rPr>
        <w:fldChar w:fldCharType="begin"/>
      </w:r>
      <w:r w:rsidR="00F2253B">
        <w:rPr>
          <w:color w:val="auto"/>
          <w:lang w:val="en-AU"/>
        </w:rPr>
        <w:instrText xml:space="preserve"> REF _Ref129182324 \h  \* MERGEFORMAT </w:instrText>
      </w:r>
      <w:r w:rsidR="00F2253B">
        <w:rPr>
          <w:color w:val="auto"/>
          <w:lang w:val="en-AU"/>
        </w:rPr>
      </w:r>
      <w:r w:rsidR="00F2253B">
        <w:rPr>
          <w:color w:val="auto"/>
          <w:lang w:val="en-AU"/>
        </w:rPr>
        <w:fldChar w:fldCharType="separate"/>
      </w:r>
      <w:r w:rsidR="00F2253B" w:rsidRPr="00996578">
        <w:t xml:space="preserve">Figure </w:t>
      </w:r>
      <w:r w:rsidR="00F2253B" w:rsidRPr="005629F8">
        <w:t>13</w:t>
      </w:r>
      <w:r w:rsidR="00F2253B">
        <w:rPr>
          <w:color w:val="auto"/>
          <w:lang w:val="en-AU"/>
        </w:rPr>
        <w:fldChar w:fldCharType="end"/>
      </w:r>
      <w:r w:rsidR="00D61BAD" w:rsidRPr="005629F8">
        <w:rPr>
          <w:color w:val="auto"/>
          <w:lang w:val="en-AU"/>
        </w:rPr>
        <w:fldChar w:fldCharType="begin"/>
      </w:r>
      <w:r w:rsidR="00D61BAD" w:rsidRPr="005629F8">
        <w:rPr>
          <w:color w:val="auto"/>
          <w:lang w:val="en-AU"/>
        </w:rPr>
        <w:instrText xml:space="preserve"> REF _Ref127868587 \h  \* MERGEFORMAT </w:instrText>
      </w:r>
      <w:r w:rsidR="00D61BAD" w:rsidRPr="005629F8">
        <w:rPr>
          <w:color w:val="auto"/>
          <w:lang w:val="en-AU"/>
        </w:rPr>
      </w:r>
      <w:r w:rsidR="00D61BAD" w:rsidRPr="005629F8">
        <w:rPr>
          <w:color w:val="auto"/>
          <w:lang w:val="en-AU"/>
        </w:rPr>
        <w:fldChar w:fldCharType="end"/>
      </w:r>
      <w:r w:rsidR="00D61BAD" w:rsidRPr="005629F8">
        <w:rPr>
          <w:color w:val="auto"/>
          <w:lang w:val="en-AU"/>
        </w:rPr>
        <w:t xml:space="preserve"> </w:t>
      </w:r>
      <w:r w:rsidR="00550AEB" w:rsidRPr="005629F8">
        <w:rPr>
          <w:color w:val="auto"/>
          <w:lang w:val="en-AU"/>
        </w:rPr>
        <w:t xml:space="preserve">present the top </w:t>
      </w:r>
      <w:r w:rsidR="001E476E" w:rsidRPr="005629F8">
        <w:rPr>
          <w:color w:val="auto"/>
          <w:lang w:val="en-AU"/>
        </w:rPr>
        <w:t>1</w:t>
      </w:r>
      <w:r w:rsidR="00550AEB" w:rsidRPr="005629F8">
        <w:rPr>
          <w:color w:val="auto"/>
          <w:lang w:val="en-AU"/>
        </w:rPr>
        <w:t>0 AR-DRGs ranked by highest cost</w:t>
      </w:r>
      <w:r w:rsidR="00776F4D" w:rsidRPr="005629F8">
        <w:rPr>
          <w:color w:val="auto"/>
          <w:lang w:val="en-AU"/>
        </w:rPr>
        <w:t xml:space="preserve"> </w:t>
      </w:r>
      <w:r w:rsidR="00550AEB" w:rsidRPr="005629F8">
        <w:rPr>
          <w:color w:val="auto"/>
          <w:lang w:val="en-AU"/>
        </w:rPr>
        <w:t>weighted separations. A cost</w:t>
      </w:r>
      <w:r w:rsidR="00976970">
        <w:rPr>
          <w:color w:val="auto"/>
          <w:lang w:val="en-AU"/>
        </w:rPr>
        <w:t xml:space="preserve"> </w:t>
      </w:r>
      <w:r w:rsidR="00550AEB" w:rsidRPr="005629F8">
        <w:rPr>
          <w:color w:val="auto"/>
          <w:lang w:val="en-AU"/>
        </w:rPr>
        <w:t>weighted separation refers to the number of population-adjusted separations multiplied by the cost weight for that AR-DRG. It measures the total cost, or resource utilisation, associated with that AR-DRG.</w:t>
      </w:r>
    </w:p>
    <w:p w14:paraId="5CD44766" w14:textId="7A08D2B6" w:rsidR="00550AEB" w:rsidRPr="005629F8" w:rsidRDefault="00F2253B" w:rsidP="00550AEB">
      <w:pPr>
        <w:rPr>
          <w:color w:val="auto"/>
          <w:lang w:val="en-AU"/>
        </w:rPr>
      </w:pPr>
      <w:r w:rsidRPr="00BE3CCD">
        <w:rPr>
          <w:color w:val="auto"/>
          <w:lang w:val="en-AU"/>
        </w:rPr>
        <w:fldChar w:fldCharType="begin"/>
      </w:r>
      <w:r w:rsidRPr="00F2253B">
        <w:rPr>
          <w:color w:val="auto"/>
          <w:lang w:val="en-AU"/>
        </w:rPr>
        <w:instrText xml:space="preserve"> REF _Ref129182324 \h </w:instrText>
      </w:r>
      <w:r w:rsidRPr="005629F8">
        <w:rPr>
          <w:color w:val="auto"/>
          <w:lang w:val="en-AU"/>
        </w:rPr>
        <w:instrText xml:space="preserve"> \* MERGEFORMAT </w:instrText>
      </w:r>
      <w:r w:rsidRPr="00BE3CCD">
        <w:rPr>
          <w:color w:val="auto"/>
          <w:lang w:val="en-AU"/>
        </w:rPr>
      </w:r>
      <w:r w:rsidRPr="00BE3CCD">
        <w:rPr>
          <w:color w:val="auto"/>
          <w:lang w:val="en-AU"/>
        </w:rPr>
        <w:fldChar w:fldCharType="separate"/>
      </w:r>
      <w:r w:rsidRPr="00996578">
        <w:t xml:space="preserve">Figure </w:t>
      </w:r>
      <w:r w:rsidRPr="005629F8">
        <w:t>13</w:t>
      </w:r>
      <w:r w:rsidRPr="00BE3CCD">
        <w:rPr>
          <w:color w:val="auto"/>
          <w:lang w:val="en-AU"/>
        </w:rPr>
        <w:fldChar w:fldCharType="end"/>
      </w:r>
      <w:r w:rsidRPr="00F2253B">
        <w:rPr>
          <w:color w:val="auto"/>
          <w:lang w:val="en-AU"/>
        </w:rPr>
        <w:t xml:space="preserve"> </w:t>
      </w:r>
      <w:r w:rsidR="00550AEB" w:rsidRPr="005629F8">
        <w:rPr>
          <w:color w:val="auto"/>
          <w:lang w:val="en-AU"/>
        </w:rPr>
        <w:t>shows that the highest cost weight AR-DRG was I04B: Knee Replacement, Minor Complexity, and is consistent with its ranking</w:t>
      </w:r>
      <w:r w:rsidR="001E476E" w:rsidRPr="005629F8">
        <w:rPr>
          <w:color w:val="auto"/>
          <w:lang w:val="en-AU"/>
        </w:rPr>
        <w:t xml:space="preserve"> in the previous year</w:t>
      </w:r>
      <w:r w:rsidR="00550AEB" w:rsidRPr="005629F8">
        <w:rPr>
          <w:color w:val="auto"/>
          <w:lang w:val="en-AU"/>
        </w:rPr>
        <w:t>. This procedure is a common procedure within the private sector, and it is frequently ranked amongst the highest cost weighted AR-DRGs.</w:t>
      </w:r>
    </w:p>
    <w:p w14:paraId="56C40AAA" w14:textId="42CCC054" w:rsidR="00550AEB" w:rsidRPr="005629F8" w:rsidRDefault="00CA5779" w:rsidP="00550AEB">
      <w:pPr>
        <w:rPr>
          <w:color w:val="auto"/>
          <w:lang w:val="en-AU"/>
        </w:rPr>
      </w:pPr>
      <w:r w:rsidRPr="005629F8">
        <w:rPr>
          <w:color w:val="auto"/>
          <w:lang w:val="en-AU"/>
        </w:rPr>
        <w:fldChar w:fldCharType="begin"/>
      </w:r>
      <w:r w:rsidRPr="005629F8">
        <w:rPr>
          <w:color w:val="auto"/>
          <w:lang w:val="en-AU"/>
        </w:rPr>
        <w:instrText xml:space="preserve"> REF _Ref103175617 \h  \* MERGEFORMAT </w:instrText>
      </w:r>
      <w:r w:rsidRPr="005629F8">
        <w:rPr>
          <w:color w:val="auto"/>
          <w:lang w:val="en-AU"/>
        </w:rPr>
      </w:r>
      <w:r w:rsidRPr="005629F8">
        <w:rPr>
          <w:color w:val="auto"/>
          <w:lang w:val="en-AU"/>
        </w:rPr>
        <w:fldChar w:fldCharType="separate"/>
      </w:r>
      <w:r w:rsidR="00F2253B" w:rsidRPr="005629F8">
        <w:rPr>
          <w:color w:val="auto"/>
          <w:lang w:val="en-AU"/>
        </w:rPr>
        <w:t xml:space="preserve">Table </w:t>
      </w:r>
      <w:r w:rsidR="00F2253B" w:rsidRPr="005629F8">
        <w:rPr>
          <w:noProof/>
          <w:color w:val="auto"/>
          <w:lang w:val="en-AU"/>
        </w:rPr>
        <w:t>7</w:t>
      </w:r>
      <w:r w:rsidRPr="005629F8">
        <w:rPr>
          <w:color w:val="auto"/>
          <w:lang w:val="en-AU"/>
        </w:rPr>
        <w:fldChar w:fldCharType="end"/>
      </w:r>
      <w:r w:rsidRPr="005629F8">
        <w:rPr>
          <w:color w:val="auto"/>
          <w:lang w:val="en-AU"/>
        </w:rPr>
        <w:t xml:space="preserve"> </w:t>
      </w:r>
      <w:r w:rsidR="00550AEB" w:rsidRPr="005629F8">
        <w:rPr>
          <w:color w:val="auto"/>
          <w:lang w:val="en-AU"/>
        </w:rPr>
        <w:t xml:space="preserve">sets out the top </w:t>
      </w:r>
      <w:r w:rsidR="004828A1" w:rsidRPr="005629F8">
        <w:rPr>
          <w:color w:val="auto"/>
          <w:lang w:val="en-AU"/>
        </w:rPr>
        <w:t>1</w:t>
      </w:r>
      <w:r w:rsidR="00550AEB" w:rsidRPr="005629F8">
        <w:rPr>
          <w:color w:val="auto"/>
          <w:lang w:val="en-AU"/>
        </w:rPr>
        <w:t>0 AR-DRGs by highest cost weighted separations. These predominantly fall into two groups: procedures requiring high</w:t>
      </w:r>
      <w:r w:rsidR="00B26CCE">
        <w:rPr>
          <w:color w:val="auto"/>
          <w:lang w:val="en-AU"/>
        </w:rPr>
        <w:t>-</w:t>
      </w:r>
      <w:r w:rsidR="00550AEB" w:rsidRPr="005629F8">
        <w:rPr>
          <w:color w:val="auto"/>
          <w:lang w:val="en-AU"/>
        </w:rPr>
        <w:t>cost prostheses (such as orthopaedic</w:t>
      </w:r>
      <w:r w:rsidR="004828A1" w:rsidRPr="005629F8">
        <w:rPr>
          <w:color w:val="auto"/>
          <w:lang w:val="en-AU"/>
        </w:rPr>
        <w:t xml:space="preserve"> </w:t>
      </w:r>
      <w:r w:rsidR="00550AEB" w:rsidRPr="005629F8">
        <w:rPr>
          <w:color w:val="auto"/>
          <w:lang w:val="en-AU"/>
        </w:rPr>
        <w:t>or cardiac procedures) and high</w:t>
      </w:r>
      <w:r w:rsidR="00B26CCE">
        <w:rPr>
          <w:color w:val="auto"/>
          <w:lang w:val="en-AU"/>
        </w:rPr>
        <w:t>-</w:t>
      </w:r>
      <w:r w:rsidR="00550AEB" w:rsidRPr="005629F8">
        <w:rPr>
          <w:color w:val="auto"/>
          <w:lang w:val="en-AU"/>
        </w:rPr>
        <w:t>volume procedures (such as colonoscopy or chemotherapy</w:t>
      </w:r>
      <w:r w:rsidR="00711AED" w:rsidRPr="005629F8">
        <w:rPr>
          <w:color w:val="auto"/>
          <w:lang w:val="en-AU"/>
        </w:rPr>
        <w:t>, which are also in</w:t>
      </w:r>
      <w:r w:rsidR="00E02904" w:rsidRPr="005629F8">
        <w:rPr>
          <w:color w:val="auto"/>
          <w:lang w:val="en-AU"/>
        </w:rPr>
        <w:t xml:space="preserve"> </w:t>
      </w:r>
      <w:r w:rsidR="00E02904" w:rsidRPr="005629F8">
        <w:rPr>
          <w:color w:val="auto"/>
          <w:lang w:val="en-AU"/>
        </w:rPr>
        <w:fldChar w:fldCharType="begin"/>
      </w:r>
      <w:r w:rsidR="00E02904" w:rsidRPr="005629F8">
        <w:rPr>
          <w:color w:val="auto"/>
          <w:lang w:val="en-AU"/>
        </w:rPr>
        <w:instrText xml:space="preserve"> REF _Ref103175681 \h </w:instrText>
      </w:r>
      <w:r w:rsidR="00E02904" w:rsidRPr="005629F8">
        <w:rPr>
          <w:color w:val="auto"/>
          <w:lang w:val="en-AU"/>
        </w:rPr>
      </w:r>
      <w:r w:rsidR="00E02904" w:rsidRPr="005629F8">
        <w:rPr>
          <w:color w:val="auto"/>
          <w:lang w:val="en-AU"/>
        </w:rPr>
        <w:fldChar w:fldCharType="separate"/>
      </w:r>
      <w:r w:rsidR="00F2253B" w:rsidRPr="005629F8">
        <w:rPr>
          <w:lang w:val="en-AU"/>
        </w:rPr>
        <w:t xml:space="preserve">Table </w:t>
      </w:r>
      <w:r w:rsidR="00F2253B">
        <w:rPr>
          <w:noProof/>
          <w:lang w:val="en-AU"/>
        </w:rPr>
        <w:t>6</w:t>
      </w:r>
      <w:r w:rsidR="00E02904" w:rsidRPr="005629F8">
        <w:rPr>
          <w:color w:val="auto"/>
          <w:lang w:val="en-AU"/>
        </w:rPr>
        <w:fldChar w:fldCharType="end"/>
      </w:r>
      <w:r w:rsidR="00550AEB" w:rsidRPr="005629F8">
        <w:rPr>
          <w:color w:val="auto"/>
          <w:lang w:val="en-AU"/>
        </w:rPr>
        <w:t>).</w:t>
      </w:r>
    </w:p>
    <w:p w14:paraId="39DA0A34" w14:textId="3AFBD017" w:rsidR="00550AEB" w:rsidRPr="005629F8" w:rsidRDefault="00550AEB" w:rsidP="00550AEB">
      <w:pPr>
        <w:rPr>
          <w:lang w:val="en-AU"/>
        </w:rPr>
      </w:pPr>
      <w:r w:rsidRPr="005629F8">
        <w:rPr>
          <w:color w:val="auto"/>
          <w:lang w:val="en-AU"/>
        </w:rPr>
        <w:t xml:space="preserve">The top </w:t>
      </w:r>
      <w:r w:rsidR="004828A1" w:rsidRPr="005629F8">
        <w:rPr>
          <w:color w:val="auto"/>
          <w:lang w:val="en-AU"/>
        </w:rPr>
        <w:t>1</w:t>
      </w:r>
      <w:r w:rsidRPr="005629F8">
        <w:rPr>
          <w:color w:val="auto"/>
          <w:lang w:val="en-AU"/>
        </w:rPr>
        <w:t xml:space="preserve">0 AR-DRGs by cost weighted separations represented </w:t>
      </w:r>
      <w:r w:rsidR="004828A1" w:rsidRPr="005629F8">
        <w:rPr>
          <w:color w:val="auto"/>
          <w:lang w:val="en-AU"/>
        </w:rPr>
        <w:t>2</w:t>
      </w:r>
      <w:r w:rsidRPr="005629F8">
        <w:rPr>
          <w:color w:val="auto"/>
          <w:lang w:val="en-AU"/>
        </w:rPr>
        <w:t>0.</w:t>
      </w:r>
      <w:r w:rsidR="004828A1" w:rsidRPr="005629F8">
        <w:rPr>
          <w:color w:val="auto"/>
          <w:lang w:val="en-AU"/>
        </w:rPr>
        <w:t>9</w:t>
      </w:r>
      <w:r w:rsidRPr="005629F8">
        <w:rPr>
          <w:color w:val="auto"/>
          <w:lang w:val="en-AU"/>
        </w:rPr>
        <w:t xml:space="preserve"> per cent of the total population cost</w:t>
      </w:r>
      <w:r w:rsidR="00804C25">
        <w:rPr>
          <w:color w:val="auto"/>
          <w:lang w:val="en-AU"/>
        </w:rPr>
        <w:t xml:space="preserve"> </w:t>
      </w:r>
      <w:r w:rsidRPr="005629F8">
        <w:rPr>
          <w:color w:val="auto"/>
          <w:lang w:val="en-AU"/>
        </w:rPr>
        <w:t>weighted separ</w:t>
      </w:r>
      <w:r w:rsidRPr="005629F8">
        <w:rPr>
          <w:lang w:val="en-AU"/>
        </w:rPr>
        <w:t>ations (</w:t>
      </w:r>
      <w:r w:rsidR="004828A1" w:rsidRPr="005629F8">
        <w:rPr>
          <w:lang w:val="en-AU"/>
        </w:rPr>
        <w:t>729,223</w:t>
      </w:r>
      <w:r w:rsidRPr="005629F8">
        <w:rPr>
          <w:lang w:val="en-AU"/>
        </w:rPr>
        <w:t xml:space="preserve"> cost</w:t>
      </w:r>
      <w:r w:rsidR="00776F4D">
        <w:rPr>
          <w:lang w:val="en-AU"/>
        </w:rPr>
        <w:t xml:space="preserve"> </w:t>
      </w:r>
      <w:r w:rsidRPr="005629F8">
        <w:rPr>
          <w:lang w:val="en-AU"/>
        </w:rPr>
        <w:t>weighted separations out of 3</w:t>
      </w:r>
      <w:r w:rsidR="004828A1" w:rsidRPr="005629F8">
        <w:rPr>
          <w:lang w:val="en-AU"/>
        </w:rPr>
        <w:t>,48</w:t>
      </w:r>
      <w:r w:rsidR="00804C25">
        <w:rPr>
          <w:lang w:val="en-AU"/>
        </w:rPr>
        <w:t>7</w:t>
      </w:r>
      <w:r w:rsidR="004828A1" w:rsidRPr="005629F8">
        <w:rPr>
          <w:lang w:val="en-AU"/>
        </w:rPr>
        <w:t>,127</w:t>
      </w:r>
      <w:r w:rsidRPr="005629F8">
        <w:rPr>
          <w:lang w:val="en-AU"/>
        </w:rPr>
        <w:t xml:space="preserve"> total separations). These AR-DRGs represented </w:t>
      </w:r>
      <w:r w:rsidR="004828A1" w:rsidRPr="005629F8">
        <w:rPr>
          <w:lang w:val="en-AU"/>
        </w:rPr>
        <w:t>19</w:t>
      </w:r>
      <w:r w:rsidRPr="005629F8">
        <w:rPr>
          <w:lang w:val="en-AU"/>
        </w:rPr>
        <w:t>.</w:t>
      </w:r>
      <w:r w:rsidR="00A70F44">
        <w:rPr>
          <w:lang w:val="en-AU"/>
        </w:rPr>
        <w:t>2</w:t>
      </w:r>
      <w:r w:rsidR="00E02904" w:rsidRPr="005629F8">
        <w:rPr>
          <w:lang w:val="en-AU"/>
        </w:rPr>
        <w:t xml:space="preserve"> </w:t>
      </w:r>
      <w:r w:rsidRPr="005629F8">
        <w:rPr>
          <w:lang w:val="en-AU"/>
        </w:rPr>
        <w:t>per cent of the total population-adjusted separations, reflecting the combination of high</w:t>
      </w:r>
      <w:r w:rsidR="00B26CCE">
        <w:rPr>
          <w:lang w:val="en-AU"/>
        </w:rPr>
        <w:t>-</w:t>
      </w:r>
      <w:r w:rsidRPr="005629F8">
        <w:rPr>
          <w:lang w:val="en-AU"/>
        </w:rPr>
        <w:t>volume and high</w:t>
      </w:r>
      <w:r w:rsidR="00B26CCE">
        <w:rPr>
          <w:lang w:val="en-AU"/>
        </w:rPr>
        <w:t>-</w:t>
      </w:r>
      <w:r w:rsidRPr="005629F8">
        <w:rPr>
          <w:lang w:val="en-AU"/>
        </w:rPr>
        <w:t>cost AR-DRGs.</w:t>
      </w:r>
    </w:p>
    <w:p w14:paraId="5356DF34" w14:textId="4A4C02CC" w:rsidR="00DB117A" w:rsidRDefault="006A0BD7" w:rsidP="00550AEB">
      <w:pPr>
        <w:rPr>
          <w:lang w:val="en-AU"/>
        </w:rPr>
      </w:pPr>
      <w:r w:rsidRPr="005629F8">
        <w:rPr>
          <w:lang w:val="en-AU"/>
        </w:rPr>
        <w:fldChar w:fldCharType="begin"/>
      </w:r>
      <w:r w:rsidRPr="005629F8">
        <w:rPr>
          <w:lang w:val="en-AU"/>
        </w:rPr>
        <w:instrText xml:space="preserve"> REF _Ref103175617 \h  \* MERGEFORMAT </w:instrText>
      </w:r>
      <w:r w:rsidRPr="005629F8">
        <w:rPr>
          <w:lang w:val="en-AU"/>
        </w:rPr>
      </w:r>
      <w:r w:rsidRPr="005629F8">
        <w:rPr>
          <w:lang w:val="en-AU"/>
        </w:rPr>
        <w:fldChar w:fldCharType="separate"/>
      </w:r>
      <w:r w:rsidR="00F2253B" w:rsidRPr="005629F8">
        <w:rPr>
          <w:lang w:val="en-AU"/>
        </w:rPr>
        <w:t>Table 7</w:t>
      </w:r>
      <w:r w:rsidRPr="005629F8">
        <w:rPr>
          <w:lang w:val="en-AU"/>
        </w:rPr>
        <w:fldChar w:fldCharType="end"/>
      </w:r>
      <w:r w:rsidR="00E41DDF">
        <w:rPr>
          <w:lang w:val="en-AU"/>
        </w:rPr>
        <w:t xml:space="preserve"> shows that</w:t>
      </w:r>
      <w:r w:rsidRPr="005629F8">
        <w:rPr>
          <w:lang w:val="en-AU"/>
        </w:rPr>
        <w:t xml:space="preserve"> the top four AR-DRGs by cost</w:t>
      </w:r>
      <w:r w:rsidR="00804C25">
        <w:rPr>
          <w:lang w:val="en-AU"/>
        </w:rPr>
        <w:t xml:space="preserve"> </w:t>
      </w:r>
      <w:r w:rsidRPr="005629F8">
        <w:rPr>
          <w:lang w:val="en-AU"/>
        </w:rPr>
        <w:t xml:space="preserve">weighted separations had the same ranks in 2019-20. The top </w:t>
      </w:r>
      <w:r w:rsidR="00E672C9">
        <w:rPr>
          <w:lang w:val="en-AU"/>
        </w:rPr>
        <w:t>three</w:t>
      </w:r>
      <w:r w:rsidRPr="005629F8">
        <w:rPr>
          <w:lang w:val="en-AU"/>
        </w:rPr>
        <w:t xml:space="preserve"> AR-DRGs </w:t>
      </w:r>
      <w:r w:rsidR="00E672C9" w:rsidRPr="00385AFA">
        <w:rPr>
          <w:lang w:val="en-AU"/>
        </w:rPr>
        <w:t>(I04B: Knee Replacement, Minor Complexity</w:t>
      </w:r>
      <w:r w:rsidR="00E672C9">
        <w:rPr>
          <w:lang w:val="en-AU"/>
        </w:rPr>
        <w:t>,</w:t>
      </w:r>
      <w:r w:rsidR="00E672C9" w:rsidRPr="00385AFA">
        <w:rPr>
          <w:lang w:val="en-AU"/>
        </w:rPr>
        <w:t xml:space="preserve"> I33B: Hip Replacement for Non-Trauma, Minor Complexity</w:t>
      </w:r>
      <w:r w:rsidR="00E672C9">
        <w:rPr>
          <w:lang w:val="en-AU"/>
        </w:rPr>
        <w:t xml:space="preserve"> and</w:t>
      </w:r>
      <w:r w:rsidR="00E672C9" w:rsidRPr="00E672C9">
        <w:rPr>
          <w:lang w:val="en-AU"/>
        </w:rPr>
        <w:t xml:space="preserve"> </w:t>
      </w:r>
      <w:r w:rsidR="00E672C9" w:rsidRPr="00295E5C">
        <w:rPr>
          <w:lang w:val="en-AU"/>
        </w:rPr>
        <w:t>I09C: Spinal Fusion, Minor Complexity</w:t>
      </w:r>
      <w:r w:rsidR="00E672C9">
        <w:rPr>
          <w:lang w:val="en-AU"/>
        </w:rPr>
        <w:t xml:space="preserve">) </w:t>
      </w:r>
      <w:r w:rsidRPr="005629F8">
        <w:rPr>
          <w:lang w:val="en-AU"/>
        </w:rPr>
        <w:t xml:space="preserve">were orthopaedic procedures with a high volume of separations, </w:t>
      </w:r>
      <w:r w:rsidR="00E672C9">
        <w:rPr>
          <w:lang w:val="en-AU"/>
        </w:rPr>
        <w:t xml:space="preserve">above average cost weight, </w:t>
      </w:r>
      <w:r w:rsidRPr="005629F8">
        <w:rPr>
          <w:lang w:val="en-AU"/>
        </w:rPr>
        <w:t xml:space="preserve">above average length of stay and </w:t>
      </w:r>
      <w:r w:rsidR="00E672C9" w:rsidRPr="0068730C">
        <w:rPr>
          <w:lang w:val="en-AU"/>
        </w:rPr>
        <w:t xml:space="preserve">involve </w:t>
      </w:r>
      <w:r w:rsidRPr="005629F8">
        <w:rPr>
          <w:lang w:val="en-AU"/>
        </w:rPr>
        <w:t>high</w:t>
      </w:r>
      <w:r w:rsidR="00B26CCE">
        <w:rPr>
          <w:lang w:val="en-AU"/>
        </w:rPr>
        <w:t>-</w:t>
      </w:r>
      <w:r w:rsidRPr="005629F8">
        <w:rPr>
          <w:lang w:val="en-AU"/>
        </w:rPr>
        <w:t>cost prostheses</w:t>
      </w:r>
      <w:r w:rsidR="00E672C9" w:rsidRPr="0068730C">
        <w:rPr>
          <w:lang w:val="en-AU"/>
        </w:rPr>
        <w:t>.</w:t>
      </w:r>
    </w:p>
    <w:p w14:paraId="780398F4" w14:textId="77777777" w:rsidR="00DB117A" w:rsidRDefault="00DB117A">
      <w:pPr>
        <w:spacing w:line="259" w:lineRule="auto"/>
        <w:rPr>
          <w:lang w:val="en-AU"/>
        </w:rPr>
      </w:pPr>
      <w:r>
        <w:rPr>
          <w:lang w:val="en-AU"/>
        </w:rPr>
        <w:br w:type="page"/>
      </w:r>
    </w:p>
    <w:p w14:paraId="6EB586D0" w14:textId="5E8D5B1A" w:rsidR="00FC4599" w:rsidRDefault="00EC7E6D" w:rsidP="00E87B16">
      <w:pPr>
        <w:pStyle w:val="Heading4"/>
        <w:rPr>
          <w:bCs/>
          <w:color w:val="008F55" w:themeColor="accent4"/>
          <w:lang w:val="en-AU"/>
        </w:rPr>
      </w:pPr>
      <w:r w:rsidRPr="00E87B16">
        <w:rPr>
          <w:b w:val="0"/>
        </w:rPr>
        <w:lastRenderedPageBreak/>
        <w:t>Comparison with previous years</w:t>
      </w:r>
      <w:bookmarkStart w:id="132" w:name="_Ref129182436"/>
      <w:bookmarkStart w:id="133" w:name="_Toc129263251"/>
    </w:p>
    <w:p w14:paraId="64EC9933" w14:textId="17D20278" w:rsidR="00B90AAB" w:rsidRDefault="00B90AAB" w:rsidP="00E87B16">
      <w:pPr>
        <w:pStyle w:val="TableFigureheading"/>
      </w:pPr>
      <w:r>
        <w:t xml:space="preserve">Figure </w:t>
      </w:r>
      <w:r>
        <w:fldChar w:fldCharType="begin"/>
      </w:r>
      <w:r>
        <w:instrText xml:space="preserve"> SEQ Figure \* ARABIC </w:instrText>
      </w:r>
      <w:r>
        <w:fldChar w:fldCharType="separate"/>
      </w:r>
      <w:r>
        <w:rPr>
          <w:noProof/>
        </w:rPr>
        <w:t>12</w:t>
      </w:r>
      <w:r>
        <w:fldChar w:fldCharType="end"/>
      </w:r>
      <w:bookmarkEnd w:id="132"/>
      <w:r>
        <w:t>. Total Cost Weighted Separations and Average Cost Weight</w:t>
      </w:r>
      <w:bookmarkEnd w:id="133"/>
    </w:p>
    <w:p w14:paraId="50525BE6" w14:textId="05515756" w:rsidR="00012A42" w:rsidRPr="005629F8" w:rsidRDefault="00012A42" w:rsidP="005629F8">
      <w:pPr>
        <w:rPr>
          <w:highlight w:val="cyan"/>
          <w:lang w:val="en-AU"/>
        </w:rPr>
      </w:pPr>
      <w:r w:rsidRPr="005629F8">
        <w:rPr>
          <w:noProof/>
          <w:lang w:val="en-US"/>
        </w:rPr>
        <w:drawing>
          <wp:inline distT="0" distB="0" distL="0" distR="0" wp14:anchorId="11F2B991" wp14:editId="3F8F7B4A">
            <wp:extent cx="4692580" cy="2408986"/>
            <wp:effectExtent l="0" t="0" r="0" b="0"/>
            <wp:docPr id="43" name="Picture 43" descr="Total cost weighted separations and average cost weight&#10;&#10;This is a combined column and line chart. The column graph shows the number of total cost weighted separations over 2018-19 to 2020-21 and the line graph shows the average cost weight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otal cost weighted separations and average cost weight&#10;&#10;This is a combined column and line chart. The column graph shows the number of total cost weighted separations over 2018-19 to 2020-21 and the line graph shows the average cost weight over the same perio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7194" cy="2411354"/>
                    </a:xfrm>
                    <a:prstGeom prst="rect">
                      <a:avLst/>
                    </a:prstGeom>
                    <a:noFill/>
                    <a:ln>
                      <a:noFill/>
                    </a:ln>
                  </pic:spPr>
                </pic:pic>
              </a:graphicData>
            </a:graphic>
          </wp:inline>
        </w:drawing>
      </w:r>
    </w:p>
    <w:p w14:paraId="2026EEA2" w14:textId="696ACDA8" w:rsidR="004828A1" w:rsidRDefault="00F2253B" w:rsidP="005629F8">
      <w:pPr>
        <w:rPr>
          <w:lang w:val="en-AU"/>
        </w:rPr>
      </w:pPr>
      <w:r>
        <w:rPr>
          <w:color w:val="auto"/>
          <w:lang w:val="en-AU"/>
        </w:rPr>
        <w:fldChar w:fldCharType="begin"/>
      </w:r>
      <w:r>
        <w:rPr>
          <w:color w:val="auto"/>
          <w:lang w:val="en-AU"/>
        </w:rPr>
        <w:instrText xml:space="preserve"> REF _Ref129182436 \h </w:instrText>
      </w:r>
      <w:r>
        <w:rPr>
          <w:color w:val="auto"/>
          <w:lang w:val="en-AU"/>
        </w:rPr>
      </w:r>
      <w:r>
        <w:rPr>
          <w:color w:val="auto"/>
          <w:lang w:val="en-AU"/>
        </w:rPr>
        <w:fldChar w:fldCharType="separate"/>
      </w:r>
      <w:r>
        <w:t xml:space="preserve">Figure </w:t>
      </w:r>
      <w:r>
        <w:rPr>
          <w:noProof/>
        </w:rPr>
        <w:t>12</w:t>
      </w:r>
      <w:r>
        <w:rPr>
          <w:color w:val="auto"/>
          <w:lang w:val="en-AU"/>
        </w:rPr>
        <w:fldChar w:fldCharType="end"/>
      </w:r>
      <w:r>
        <w:rPr>
          <w:color w:val="auto"/>
          <w:lang w:val="en-AU"/>
        </w:rPr>
        <w:t xml:space="preserve"> </w:t>
      </w:r>
      <w:r w:rsidR="006A0BD7" w:rsidRPr="005629F8">
        <w:rPr>
          <w:color w:val="auto"/>
          <w:lang w:val="en-AU"/>
        </w:rPr>
        <w:t xml:space="preserve">captures the change in total cost weighted separations and average cost weight for the top 10 AR-DRGs </w:t>
      </w:r>
      <w:r w:rsidR="00804C25">
        <w:rPr>
          <w:color w:val="auto"/>
          <w:lang w:val="en-AU"/>
        </w:rPr>
        <w:t>from 2018-19 to 2020-21.</w:t>
      </w:r>
      <w:r w:rsidR="006A0BD7" w:rsidRPr="005629F8">
        <w:rPr>
          <w:color w:val="auto"/>
          <w:lang w:val="en-AU"/>
        </w:rPr>
        <w:t xml:space="preserve"> The average cost weight has </w:t>
      </w:r>
      <w:r w:rsidR="00E672C9" w:rsidRPr="005629F8">
        <w:rPr>
          <w:color w:val="auto"/>
          <w:lang w:val="en-AU"/>
        </w:rPr>
        <w:t>seen minimal change since 2019-20</w:t>
      </w:r>
      <w:r w:rsidR="006A0BD7" w:rsidRPr="005629F8">
        <w:rPr>
          <w:color w:val="auto"/>
          <w:lang w:val="en-AU"/>
        </w:rPr>
        <w:t xml:space="preserve"> for the top 10 AR-DRGs</w:t>
      </w:r>
      <w:r w:rsidR="00804C25">
        <w:rPr>
          <w:color w:val="auto"/>
          <w:lang w:val="en-AU"/>
        </w:rPr>
        <w:t>,</w:t>
      </w:r>
      <w:r w:rsidR="00E672C9" w:rsidRPr="005629F8">
        <w:rPr>
          <w:color w:val="auto"/>
          <w:lang w:val="en-AU"/>
        </w:rPr>
        <w:t xml:space="preserve"> while</w:t>
      </w:r>
      <w:r w:rsidR="006A0BD7" w:rsidRPr="005629F8">
        <w:rPr>
          <w:color w:val="auto"/>
          <w:lang w:val="en-AU"/>
        </w:rPr>
        <w:t xml:space="preserve"> the volume of cost weighted separations has increased </w:t>
      </w:r>
      <w:r w:rsidR="00776F4D" w:rsidRPr="005629F8">
        <w:rPr>
          <w:color w:val="auto"/>
          <w:lang w:val="en-AU"/>
        </w:rPr>
        <w:t>in 2020-21</w:t>
      </w:r>
      <w:r w:rsidR="00E41DDF">
        <w:rPr>
          <w:color w:val="auto"/>
          <w:lang w:val="en-AU"/>
        </w:rPr>
        <w:t xml:space="preserve">. This is likely </w:t>
      </w:r>
      <w:r w:rsidR="006A0BD7" w:rsidRPr="005629F8">
        <w:rPr>
          <w:lang w:val="en-AU"/>
        </w:rPr>
        <w:t xml:space="preserve">driven by an increase in the volume of weighted separations due to </w:t>
      </w:r>
      <w:r w:rsidR="00E41DDF">
        <w:rPr>
          <w:lang w:val="en-AU"/>
        </w:rPr>
        <w:t xml:space="preserve">the </w:t>
      </w:r>
      <w:r w:rsidR="006A0BD7" w:rsidRPr="005629F8">
        <w:rPr>
          <w:lang w:val="en-AU"/>
        </w:rPr>
        <w:t>impacts</w:t>
      </w:r>
      <w:r w:rsidR="00E41DDF">
        <w:rPr>
          <w:lang w:val="en-AU"/>
        </w:rPr>
        <w:t xml:space="preserve"> </w:t>
      </w:r>
      <w:r w:rsidR="006A0BD7" w:rsidRPr="005629F8">
        <w:rPr>
          <w:lang w:val="en-AU"/>
        </w:rPr>
        <w:t>of COVID-19.</w:t>
      </w:r>
    </w:p>
    <w:p w14:paraId="0EE3E26A" w14:textId="6B4BF79C" w:rsidR="005002C6" w:rsidRPr="000C38AE" w:rsidRDefault="005002C6" w:rsidP="00E87B16">
      <w:pPr>
        <w:pStyle w:val="TableFigureheading"/>
      </w:pPr>
      <w:bookmarkStart w:id="134" w:name="_Ref129182324"/>
      <w:bookmarkStart w:id="135" w:name="_Toc129263252"/>
      <w:r w:rsidRPr="00996578">
        <w:t xml:space="preserve">Figure </w:t>
      </w:r>
      <w:r w:rsidRPr="005629F8">
        <w:fldChar w:fldCharType="begin"/>
      </w:r>
      <w:r w:rsidRPr="005629F8">
        <w:instrText xml:space="preserve"> SEQ Figure \* ARABIC </w:instrText>
      </w:r>
      <w:r w:rsidRPr="005629F8">
        <w:fldChar w:fldCharType="separate"/>
      </w:r>
      <w:r w:rsidRPr="005629F8">
        <w:t>13</w:t>
      </w:r>
      <w:r w:rsidRPr="005629F8">
        <w:fldChar w:fldCharType="end"/>
      </w:r>
      <w:bookmarkEnd w:id="134"/>
      <w:r w:rsidRPr="005629F8">
        <w:t>. Comparison of top 10 AR-DRGs by highest cost</w:t>
      </w:r>
      <w:r w:rsidR="00804C25">
        <w:t xml:space="preserve"> </w:t>
      </w:r>
      <w:r w:rsidRPr="005629F8">
        <w:t xml:space="preserve">weighted separations, </w:t>
      </w:r>
      <w:r w:rsidR="00B90AAB">
        <w:t>2018-19 to 2020-21</w:t>
      </w:r>
      <w:bookmarkEnd w:id="135"/>
    </w:p>
    <w:p w14:paraId="6402D647" w14:textId="5C66FC54" w:rsidR="005002C6" w:rsidRPr="005629F8" w:rsidRDefault="00DB117A" w:rsidP="005629F8">
      <w:pPr>
        <w:rPr>
          <w:lang w:val="en-AU"/>
        </w:rPr>
      </w:pPr>
      <w:r w:rsidRPr="00DB117A">
        <w:rPr>
          <w:noProof/>
          <w:lang w:val="en-US"/>
        </w:rPr>
        <w:drawing>
          <wp:inline distT="0" distB="0" distL="0" distR="0" wp14:anchorId="27A89B17" wp14:editId="1C398DF4">
            <wp:extent cx="5719445" cy="2812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9445" cy="2812415"/>
                    </a:xfrm>
                    <a:prstGeom prst="rect">
                      <a:avLst/>
                    </a:prstGeom>
                    <a:noFill/>
                    <a:ln>
                      <a:noFill/>
                    </a:ln>
                  </pic:spPr>
                </pic:pic>
              </a:graphicData>
            </a:graphic>
          </wp:inline>
        </w:drawing>
      </w:r>
    </w:p>
    <w:p w14:paraId="2813DB14" w14:textId="64FD80C3" w:rsidR="005002C6" w:rsidRDefault="00F2253B">
      <w:pPr>
        <w:spacing w:line="259" w:lineRule="auto"/>
        <w:rPr>
          <w:lang w:val="en-AU"/>
        </w:rPr>
      </w:pPr>
      <w:r>
        <w:rPr>
          <w:lang w:val="en-AU"/>
        </w:rPr>
        <w:fldChar w:fldCharType="begin"/>
      </w:r>
      <w:r>
        <w:rPr>
          <w:lang w:val="en-AU"/>
        </w:rPr>
        <w:instrText xml:space="preserve"> REF _Ref103175617 \h </w:instrText>
      </w:r>
      <w:r>
        <w:rPr>
          <w:lang w:val="en-AU"/>
        </w:rPr>
      </w:r>
      <w:r>
        <w:rPr>
          <w:lang w:val="en-AU"/>
        </w:rPr>
        <w:fldChar w:fldCharType="separate"/>
      </w:r>
      <w:r w:rsidRPr="005629F8">
        <w:t xml:space="preserve">Table </w:t>
      </w:r>
      <w:r>
        <w:t>7</w:t>
      </w:r>
      <w:r>
        <w:rPr>
          <w:lang w:val="en-AU"/>
        </w:rPr>
        <w:fldChar w:fldCharType="end"/>
      </w:r>
      <w:r>
        <w:rPr>
          <w:lang w:val="en-AU"/>
        </w:rPr>
        <w:t xml:space="preserve"> </w:t>
      </w:r>
      <w:r w:rsidR="00E41DDF">
        <w:rPr>
          <w:lang w:val="en-AU"/>
        </w:rPr>
        <w:t>shows</w:t>
      </w:r>
      <w:r w:rsidR="006A0BD7" w:rsidRPr="005629F8">
        <w:rPr>
          <w:lang w:val="en-AU"/>
        </w:rPr>
        <w:t xml:space="preserve"> there has been </w:t>
      </w:r>
      <w:r w:rsidR="00E41DDF">
        <w:rPr>
          <w:lang w:val="en-AU"/>
        </w:rPr>
        <w:t xml:space="preserve">minimal </w:t>
      </w:r>
      <w:r w:rsidR="006A0BD7" w:rsidRPr="005629F8">
        <w:rPr>
          <w:lang w:val="en-AU"/>
        </w:rPr>
        <w:t>movement in the rank of individual AR-DRGs</w:t>
      </w:r>
      <w:r w:rsidR="00AC5593" w:rsidRPr="005629F8">
        <w:rPr>
          <w:lang w:val="en-AU"/>
        </w:rPr>
        <w:t xml:space="preserve">, </w:t>
      </w:r>
      <w:r w:rsidR="00E672C9">
        <w:rPr>
          <w:lang w:val="en-AU"/>
        </w:rPr>
        <w:t>with</w:t>
      </w:r>
      <w:r w:rsidR="00AC5593" w:rsidRPr="005629F8">
        <w:rPr>
          <w:lang w:val="en-AU"/>
        </w:rPr>
        <w:t xml:space="preserve"> no new AR-DRGs enter</w:t>
      </w:r>
      <w:r w:rsidR="00E672C9">
        <w:rPr>
          <w:lang w:val="en-AU"/>
        </w:rPr>
        <w:t>ing</w:t>
      </w:r>
      <w:r w:rsidR="00AC5593" w:rsidRPr="005629F8">
        <w:rPr>
          <w:lang w:val="en-AU"/>
        </w:rPr>
        <w:t xml:space="preserve"> the top 10 list in 2020-21. </w:t>
      </w:r>
      <w:r w:rsidR="00C22E2E">
        <w:rPr>
          <w:lang w:val="en-AU"/>
        </w:rPr>
        <w:t>Both I04B</w:t>
      </w:r>
      <w:r w:rsidR="005002C6">
        <w:rPr>
          <w:lang w:val="en-AU"/>
        </w:rPr>
        <w:t xml:space="preserve">: </w:t>
      </w:r>
      <w:r w:rsidR="005002C6" w:rsidRPr="00E15731">
        <w:rPr>
          <w:color w:val="000000"/>
          <w:szCs w:val="14"/>
          <w:lang w:val="en-AU"/>
        </w:rPr>
        <w:t>Knee Replacement, Minor Complexity</w:t>
      </w:r>
      <w:r w:rsidR="00C22E2E">
        <w:rPr>
          <w:lang w:val="en-AU"/>
        </w:rPr>
        <w:t xml:space="preserve"> and I33B</w:t>
      </w:r>
      <w:r w:rsidR="005002C6">
        <w:rPr>
          <w:lang w:val="en-AU"/>
        </w:rPr>
        <w:t xml:space="preserve">: </w:t>
      </w:r>
      <w:r w:rsidR="005002C6" w:rsidRPr="00E15731">
        <w:rPr>
          <w:color w:val="000000"/>
          <w:szCs w:val="14"/>
          <w:lang w:val="en-AU"/>
        </w:rPr>
        <w:t>Hip Replacement for Non-Trauma, Minor Complexity</w:t>
      </w:r>
      <w:r w:rsidR="00C22E2E">
        <w:rPr>
          <w:lang w:val="en-AU"/>
        </w:rPr>
        <w:t xml:space="preserve"> have seen a </w:t>
      </w:r>
      <w:r w:rsidR="00776F4D">
        <w:rPr>
          <w:lang w:val="en-AU"/>
        </w:rPr>
        <w:t>large</w:t>
      </w:r>
      <w:r w:rsidR="00C22E2E">
        <w:rPr>
          <w:lang w:val="en-AU"/>
        </w:rPr>
        <w:t xml:space="preserve"> increase</w:t>
      </w:r>
      <w:r w:rsidR="005002C6">
        <w:rPr>
          <w:lang w:val="en-AU"/>
        </w:rPr>
        <w:t xml:space="preserve"> in cost weighted separations of 23.7 per</w:t>
      </w:r>
      <w:r w:rsidR="00B832EB">
        <w:rPr>
          <w:lang w:val="en-AU"/>
        </w:rPr>
        <w:t xml:space="preserve"> </w:t>
      </w:r>
      <w:r w:rsidR="005002C6">
        <w:rPr>
          <w:lang w:val="en-AU"/>
        </w:rPr>
        <w:t>cent and 17.3 per cent respectively</w:t>
      </w:r>
      <w:r w:rsidR="00C22E2E">
        <w:rPr>
          <w:lang w:val="en-AU"/>
        </w:rPr>
        <w:t>.</w:t>
      </w:r>
    </w:p>
    <w:p w14:paraId="708ACBB2" w14:textId="6E2C9093" w:rsidR="00550AEB" w:rsidRPr="005629F8" w:rsidRDefault="00AC5593">
      <w:pPr>
        <w:spacing w:line="259" w:lineRule="auto"/>
        <w:rPr>
          <w:rFonts w:eastAsiaTheme="majorEastAsia" w:cstheme="majorBidi"/>
          <w:b/>
          <w:iCs/>
          <w:color w:val="008F55" w:themeColor="accent4"/>
          <w:highlight w:val="yellow"/>
          <w:lang w:val="en-AU"/>
        </w:rPr>
      </w:pPr>
      <w:r w:rsidRPr="005629F8">
        <w:rPr>
          <w:lang w:val="en-AU"/>
        </w:rPr>
        <w:lastRenderedPageBreak/>
        <w:t xml:space="preserve">One AR-DRG (K11B: Major Laparoscopic Bariatric Interventions, Minor Complexity) shifted from rank 10 to </w:t>
      </w:r>
      <w:r w:rsidR="00776F4D" w:rsidRPr="00502F2E">
        <w:rPr>
          <w:rFonts w:eastAsiaTheme="majorEastAsia" w:cstheme="majorBidi"/>
          <w:bCs/>
          <w:iCs/>
          <w:lang w:val="en-AU"/>
        </w:rPr>
        <w:t xml:space="preserve">rank </w:t>
      </w:r>
      <w:r w:rsidR="00776F4D" w:rsidRPr="005629F8">
        <w:rPr>
          <w:lang w:val="en-AU"/>
        </w:rPr>
        <w:t>6</w:t>
      </w:r>
      <w:r w:rsidRPr="005629F8">
        <w:rPr>
          <w:lang w:val="en-AU"/>
        </w:rPr>
        <w:t xml:space="preserve"> in 2020-21 and experienced a 25</w:t>
      </w:r>
      <w:r w:rsidR="00B832EB">
        <w:rPr>
          <w:lang w:val="en-AU"/>
        </w:rPr>
        <w:t>.2 per cent</w:t>
      </w:r>
      <w:r w:rsidRPr="005629F8">
        <w:rPr>
          <w:lang w:val="en-AU"/>
        </w:rPr>
        <w:t xml:space="preserve"> increase in cost weighted separations. This movement is a result of an increase in the volume of population weighted separations</w:t>
      </w:r>
      <w:r w:rsidR="00EF49FC" w:rsidRPr="005629F8">
        <w:rPr>
          <w:lang w:val="en-AU"/>
        </w:rPr>
        <w:t>, while the cost weight experience</w:t>
      </w:r>
      <w:r w:rsidR="00E41DDF" w:rsidRPr="00502F2E">
        <w:rPr>
          <w:rFonts w:eastAsiaTheme="majorEastAsia" w:cstheme="majorBidi"/>
          <w:bCs/>
          <w:lang w:val="en-AU"/>
        </w:rPr>
        <w:t>d</w:t>
      </w:r>
      <w:r w:rsidR="00EF49FC" w:rsidRPr="005629F8">
        <w:rPr>
          <w:lang w:val="en-AU"/>
        </w:rPr>
        <w:t xml:space="preserve"> minimal change</w:t>
      </w:r>
      <w:r w:rsidRPr="005629F8">
        <w:rPr>
          <w:color w:val="auto"/>
          <w:lang w:val="en-AU"/>
        </w:rPr>
        <w:t>.</w:t>
      </w:r>
    </w:p>
    <w:p w14:paraId="59E6EDA3" w14:textId="7CCD2857" w:rsidR="00DF244A" w:rsidRPr="005629F8" w:rsidRDefault="00DF244A" w:rsidP="00DF244A">
      <w:pPr>
        <w:tabs>
          <w:tab w:val="center" w:pos="5386"/>
        </w:tabs>
        <w:rPr>
          <w:highlight w:val="yellow"/>
          <w:lang w:val="en-AU"/>
        </w:rPr>
        <w:sectPr w:rsidR="00DF244A" w:rsidRPr="005629F8" w:rsidSect="00522146">
          <w:footerReference w:type="default" r:id="rId34"/>
          <w:pgSz w:w="11906" w:h="16838" w:code="9"/>
          <w:pgMar w:top="1440" w:right="1080" w:bottom="1440" w:left="1080" w:header="709" w:footer="709" w:gutter="0"/>
          <w:cols w:space="720"/>
          <w:docGrid w:linePitch="360"/>
        </w:sectPr>
      </w:pPr>
    </w:p>
    <w:p w14:paraId="0E7EA999" w14:textId="1A04216F" w:rsidR="0026702E" w:rsidRPr="005629F8" w:rsidRDefault="0026702E" w:rsidP="00E87B16">
      <w:pPr>
        <w:pStyle w:val="TableFigureheading"/>
      </w:pPr>
      <w:bookmarkStart w:id="136" w:name="_Ref103175617"/>
      <w:bookmarkStart w:id="137" w:name="_Toc106888134"/>
      <w:bookmarkStart w:id="138" w:name="_Toc129179301"/>
      <w:bookmarkStart w:id="139" w:name="_Toc139881780"/>
      <w:r w:rsidRPr="005629F8">
        <w:lastRenderedPageBreak/>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7</w:t>
      </w:r>
      <w:r w:rsidR="00D9779B" w:rsidRPr="005629F8">
        <w:fldChar w:fldCharType="end"/>
      </w:r>
      <w:bookmarkEnd w:id="136"/>
      <w:r w:rsidRPr="005629F8">
        <w:t xml:space="preserve">. Top </w:t>
      </w:r>
      <w:r w:rsidR="00EC7E6D" w:rsidRPr="00996578">
        <w:t>1</w:t>
      </w:r>
      <w:r w:rsidRPr="005629F8">
        <w:t>0 AR-DRGs ranked by highest cost weighted separations</w:t>
      </w:r>
      <w:bookmarkEnd w:id="137"/>
      <w:bookmarkEnd w:id="138"/>
      <w:bookmarkEnd w:id="139"/>
    </w:p>
    <w:tbl>
      <w:tblPr>
        <w:tblStyle w:val="IHACPATable"/>
        <w:tblW w:w="15608" w:type="dxa"/>
        <w:tblLayout w:type="fixed"/>
        <w:tblLook w:val="06A0" w:firstRow="1" w:lastRow="0" w:firstColumn="1" w:lastColumn="0" w:noHBand="1" w:noVBand="1"/>
      </w:tblPr>
      <w:tblGrid>
        <w:gridCol w:w="851"/>
        <w:gridCol w:w="850"/>
        <w:gridCol w:w="851"/>
        <w:gridCol w:w="2410"/>
        <w:gridCol w:w="708"/>
        <w:gridCol w:w="851"/>
        <w:gridCol w:w="992"/>
        <w:gridCol w:w="1134"/>
        <w:gridCol w:w="992"/>
        <w:gridCol w:w="567"/>
        <w:gridCol w:w="709"/>
        <w:gridCol w:w="709"/>
        <w:gridCol w:w="992"/>
        <w:gridCol w:w="851"/>
        <w:gridCol w:w="1134"/>
        <w:gridCol w:w="1007"/>
      </w:tblGrid>
      <w:tr w:rsidR="00363733" w:rsidRPr="0088109E" w14:paraId="1E3D827A" w14:textId="77777777" w:rsidTr="00DB11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15272F" w:themeFill="text1"/>
            <w:vAlign w:val="center"/>
          </w:tcPr>
          <w:p w14:paraId="1E0EBE07" w14:textId="77777777" w:rsidR="00DB117A" w:rsidRPr="005629F8" w:rsidRDefault="00DB117A" w:rsidP="005629F8">
            <w:pPr>
              <w:pStyle w:val="TableParagraph"/>
              <w:rPr>
                <w:b/>
                <w:bCs/>
                <w:color w:val="FFFFFF" w:themeColor="background2"/>
                <w:szCs w:val="14"/>
              </w:rPr>
            </w:pPr>
          </w:p>
        </w:tc>
        <w:tc>
          <w:tcPr>
            <w:tcW w:w="850" w:type="dxa"/>
            <w:tcBorders>
              <w:top w:val="single" w:sz="4" w:space="0" w:color="auto"/>
              <w:left w:val="nil"/>
              <w:bottom w:val="single" w:sz="4" w:space="0" w:color="auto"/>
              <w:right w:val="nil"/>
            </w:tcBorders>
            <w:shd w:val="clear" w:color="auto" w:fill="15272F" w:themeFill="text1"/>
            <w:vAlign w:val="center"/>
          </w:tcPr>
          <w:p w14:paraId="369CCA97" w14:textId="77777777" w:rsidR="00DB117A" w:rsidRPr="005629F8" w:rsidRDefault="00DB117A" w:rsidP="005629F8">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851" w:type="dxa"/>
            <w:tcBorders>
              <w:top w:val="single" w:sz="4" w:space="0" w:color="auto"/>
              <w:left w:val="nil"/>
              <w:bottom w:val="single" w:sz="4" w:space="0" w:color="auto"/>
              <w:right w:val="nil"/>
            </w:tcBorders>
            <w:shd w:val="clear" w:color="auto" w:fill="15272F" w:themeFill="text1"/>
            <w:vAlign w:val="center"/>
          </w:tcPr>
          <w:p w14:paraId="3814D79A" w14:textId="77777777" w:rsidR="00DB117A" w:rsidRDefault="00DB117A" w:rsidP="005629F8">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2410" w:type="dxa"/>
            <w:tcBorders>
              <w:top w:val="single" w:sz="4" w:space="0" w:color="auto"/>
              <w:left w:val="nil"/>
              <w:bottom w:val="single" w:sz="4" w:space="0" w:color="auto"/>
              <w:right w:val="single" w:sz="4" w:space="0" w:color="FFFFFF" w:themeColor="accent6"/>
            </w:tcBorders>
            <w:shd w:val="clear" w:color="auto" w:fill="15272F" w:themeFill="text1"/>
            <w:vAlign w:val="center"/>
          </w:tcPr>
          <w:p w14:paraId="129FF322" w14:textId="77777777" w:rsidR="00DB117A" w:rsidRDefault="00DB117A">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6662" w:type="dxa"/>
            <w:gridSpan w:val="8"/>
            <w:tcBorders>
              <w:top w:val="single" w:sz="4" w:space="0" w:color="auto"/>
              <w:left w:val="single" w:sz="4" w:space="0" w:color="FFFFFF" w:themeColor="accent6"/>
              <w:bottom w:val="single" w:sz="4" w:space="0" w:color="auto"/>
              <w:right w:val="single" w:sz="4" w:space="0" w:color="FFFFFF" w:themeColor="accent6"/>
            </w:tcBorders>
            <w:shd w:val="clear" w:color="auto" w:fill="15272F" w:themeFill="text1"/>
            <w:vAlign w:val="center"/>
          </w:tcPr>
          <w:p w14:paraId="101B7744" w14:textId="2A45F4D2"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2020-21</w:t>
            </w:r>
          </w:p>
        </w:tc>
        <w:tc>
          <w:tcPr>
            <w:tcW w:w="3984" w:type="dxa"/>
            <w:gridSpan w:val="4"/>
            <w:tcBorders>
              <w:top w:val="single" w:sz="4" w:space="0" w:color="auto"/>
              <w:left w:val="single" w:sz="4" w:space="0" w:color="FFFFFF" w:themeColor="accent6"/>
              <w:bottom w:val="single" w:sz="4" w:space="0" w:color="auto"/>
              <w:right w:val="nil"/>
            </w:tcBorders>
            <w:shd w:val="clear" w:color="auto" w:fill="15272F" w:themeFill="text1"/>
            <w:vAlign w:val="center"/>
          </w:tcPr>
          <w:p w14:paraId="700C2D94" w14:textId="44F64AA4"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2019-20</w:t>
            </w:r>
          </w:p>
        </w:tc>
      </w:tr>
      <w:tr w:rsidR="00A86AC3" w:rsidRPr="0088109E" w14:paraId="6C809A61" w14:textId="77777777" w:rsidTr="00DB117A">
        <w:trPr>
          <w:trHeight w:val="6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64C28CB" w14:textId="491FC940" w:rsidR="001B63DC" w:rsidRPr="00E87B16" w:rsidRDefault="001B63DC" w:rsidP="008E4DA3">
            <w:pPr>
              <w:pStyle w:val="TableParagraph"/>
              <w:jc w:val="center"/>
              <w:rPr>
                <w:b/>
                <w:bCs/>
                <w:highlight w:val="yellow"/>
                <w:lang w:eastAsia="en-AU"/>
              </w:rPr>
            </w:pPr>
            <w:r w:rsidRPr="00E87B16">
              <w:rPr>
                <w:b/>
                <w:bCs/>
                <w:szCs w:val="14"/>
              </w:rPr>
              <w:t>Top 10 2019-20</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2C5F467" w14:textId="63787CAE" w:rsidR="001B63DC" w:rsidRPr="00E87B16" w:rsidRDefault="001B63DC" w:rsidP="008E4DA3">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 2020-21</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4F3DC22C" w14:textId="6070F2D6" w:rsidR="001B63DC" w:rsidRPr="00E87B16" w:rsidRDefault="00A97711" w:rsidP="008E4DA3">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1B63DC" w:rsidRPr="00E87B16">
              <w:rPr>
                <w:b/>
                <w:bCs/>
                <w:szCs w:val="14"/>
              </w:rPr>
              <w:t>DRG</w:t>
            </w:r>
          </w:p>
        </w:tc>
        <w:tc>
          <w:tcPr>
            <w:tcW w:w="2410"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0F4EF904" w14:textId="555DAF8D" w:rsidR="001B63DC" w:rsidRPr="00E87B16" w:rsidRDefault="00A97711">
            <w:pPr>
              <w:pStyle w:val="TableParagraph"/>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1B63DC" w:rsidRPr="00E87B16">
              <w:rPr>
                <w:b/>
                <w:bCs/>
                <w:szCs w:val="14"/>
              </w:rPr>
              <w:t>DRG Description</w:t>
            </w:r>
          </w:p>
        </w:tc>
        <w:tc>
          <w:tcPr>
            <w:tcW w:w="708"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63B3B890" w14:textId="6EFA13E4"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r w:rsidRPr="00E87B16">
              <w:rPr>
                <w:b/>
                <w:bCs/>
                <w:szCs w:val="14"/>
              </w:rPr>
              <w:br/>
              <w:t>(a)</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0BC494D" w14:textId="0ADA00F3"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r w:rsidRPr="00E87B16">
              <w:rPr>
                <w:b/>
                <w:bCs/>
                <w:szCs w:val="14"/>
              </w:rPr>
              <w:br/>
              <w:t>(b)</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5254D268" w14:textId="3FA12DF4"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r w:rsidRPr="00E87B16">
              <w:rPr>
                <w:b/>
                <w:bCs/>
                <w:szCs w:val="14"/>
              </w:rPr>
              <w:br/>
              <w:t>(c)=(a)x(b)</w:t>
            </w:r>
          </w:p>
        </w:tc>
        <w:tc>
          <w:tcPr>
            <w:tcW w:w="1134"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B18CBE8" w14:textId="256CD16B"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Number of days</w:t>
            </w:r>
            <w:r w:rsidRPr="00E87B16">
              <w:rPr>
                <w:b/>
                <w:bCs/>
                <w:szCs w:val="14"/>
              </w:rPr>
              <w:br/>
              <w:t>(d)</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21534658" w14:textId="5AAABF4D"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ALOS (days)</w:t>
            </w:r>
            <w:r w:rsidRPr="00E87B16">
              <w:rPr>
                <w:b/>
                <w:bCs/>
                <w:szCs w:val="14"/>
              </w:rPr>
              <w:br/>
              <w:t>(e)=(d)/(b)</w:t>
            </w:r>
          </w:p>
        </w:tc>
        <w:tc>
          <w:tcPr>
            <w:tcW w:w="567"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12BE6740" w14:textId="6379C71C"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Std error</w:t>
            </w:r>
          </w:p>
        </w:tc>
        <w:tc>
          <w:tcPr>
            <w:tcW w:w="709"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2D8BCE74" w14:textId="51D86AB7"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 </w:t>
            </w:r>
            <w:proofErr w:type="gramStart"/>
            <w:r w:rsidRPr="00E87B16">
              <w:rPr>
                <w:b/>
                <w:bCs/>
                <w:szCs w:val="14"/>
              </w:rPr>
              <w:t>of</w:t>
            </w:r>
            <w:proofErr w:type="gramEnd"/>
            <w:r w:rsidRPr="00E87B16">
              <w:rPr>
                <w:b/>
                <w:bCs/>
                <w:szCs w:val="14"/>
              </w:rPr>
              <w:t xml:space="preserve"> total seps</w:t>
            </w:r>
          </w:p>
        </w:tc>
        <w:tc>
          <w:tcPr>
            <w:tcW w:w="709"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677C0790" w14:textId="7682DDBF"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 </w:t>
            </w:r>
            <w:proofErr w:type="gramStart"/>
            <w:r w:rsidRPr="00E87B16">
              <w:rPr>
                <w:b/>
                <w:bCs/>
                <w:szCs w:val="14"/>
              </w:rPr>
              <w:t>of</w:t>
            </w:r>
            <w:proofErr w:type="gramEnd"/>
            <w:r w:rsidRPr="00E87B16">
              <w:rPr>
                <w:b/>
                <w:bCs/>
                <w:szCs w:val="14"/>
              </w:rPr>
              <w:t xml:space="preserve"> CW seps</w:t>
            </w:r>
          </w:p>
        </w:tc>
        <w:tc>
          <w:tcPr>
            <w:tcW w:w="992"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1C3B0DD6" w14:textId="7D04775E"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208E7B26" w14:textId="2F643B19"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Rank </w:t>
            </w:r>
          </w:p>
        </w:tc>
        <w:tc>
          <w:tcPr>
            <w:tcW w:w="1134"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5172152" w14:textId="333C01EE"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p>
        </w:tc>
        <w:tc>
          <w:tcPr>
            <w:tcW w:w="1007"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3660954" w14:textId="2022C4C1"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p>
        </w:tc>
      </w:tr>
      <w:tr w:rsidR="00216FDD" w:rsidRPr="0088109E" w14:paraId="131CF3CC"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1CAF644A" w14:textId="7B86603B"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0FA737D6" w14:textId="6D26C44C"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1D15D520" w14:textId="03458409"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I04B</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699DF1EE" w14:textId="6422FBEC"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Knee Replacement,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6B573856" w14:textId="2D277E0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3.77</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0C192545" w14:textId="5F1A9E98"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41,821</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3BB77C71" w14:textId="1B43151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157,665</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092DD39F" w14:textId="778C23E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183,166</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3E1C22B3" w14:textId="564B843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4.4</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86BFFBF" w14:textId="2A1BACD0"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0.01</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23F309B" w14:textId="02C16CF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1.20%</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D388B92" w14:textId="517D616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4.5%</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4D4F0AAC" w14:textId="520E4598"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127,470</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6C594FE2" w14:textId="0890CA4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395A846B" w14:textId="35AC315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33,369</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6096C553" w14:textId="29EE0856"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3.82</w:t>
            </w:r>
          </w:p>
        </w:tc>
      </w:tr>
      <w:tr w:rsidR="00216FDD" w:rsidRPr="0088109E" w14:paraId="00620D75"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58C18923" w14:textId="2BC29F63"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13B6EE1E" w14:textId="64697221"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6BD9A5AD" w14:textId="3C4C3BAC"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I33B</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17B5C135" w14:textId="539A0D99"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Hip Replacement for Non-Trauma,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32C1BC56" w14:textId="580897CC"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4.18</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4D62FDEB" w14:textId="5CB4588E"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29,648</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69B3EF91" w14:textId="0DB62B90"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123,929</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36FA8DA7" w14:textId="20B1DCF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120,134</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451922CC" w14:textId="627715F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4.1</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058D1DC" w14:textId="0D93B3C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0.01</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1A77D864" w14:textId="766582FB"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0.85%</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02B5245C" w14:textId="2F5ECA46"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3.6%</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7A40A174" w14:textId="6282B94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105,648</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1C7EDCA6" w14:textId="4C0A5DB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49E3A04D" w14:textId="44BAF50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24,800</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3C897534" w14:textId="5357C1F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4.26</w:t>
            </w:r>
          </w:p>
        </w:tc>
      </w:tr>
      <w:tr w:rsidR="00216FDD" w:rsidRPr="0088109E" w14:paraId="0B9CBB5E"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4CAAF282" w14:textId="68B85307"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55263720" w14:textId="025625E3"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361D9CF1" w14:textId="3DF82FFC"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I09C</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291AACFB" w14:textId="7555AB11"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Spinal Fusion,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7F6AF471" w14:textId="729097D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6.39</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45309C65" w14:textId="301D3BD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10,728</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74ECA694" w14:textId="6C8C836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68,552</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35BF7E71" w14:textId="65994B39"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51,664</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0E628680" w14:textId="44E7B70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4.8</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4CEA0FB" w14:textId="086561E9"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0.04</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3602BE23" w14:textId="3469DD5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0.31%</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2450F6C" w14:textId="5C5E420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2.0%</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4E6D5962" w14:textId="2718E3E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65,070</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540AD273" w14:textId="00ED214B"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3E387B6A" w14:textId="2422E91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10,215</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17E37218" w14:textId="6A546BE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6.37</w:t>
            </w:r>
          </w:p>
        </w:tc>
      </w:tr>
      <w:tr w:rsidR="00216FDD" w:rsidRPr="0088109E" w14:paraId="09FCF7DA"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16CCC4EA" w14:textId="43BC2E69"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48AB0E96" w14:textId="254D37D4"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655B7891" w14:textId="1E639702"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F24B</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012D37FC" w14:textId="6DA4FD24"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Interventional Coronary Procs, Not Adm for AMI, Minor Comp</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3EC961D7" w14:textId="6D9050F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2.46</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4EBB3DC9" w14:textId="547F6D3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26,209</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003E34AB" w14:textId="378EEF6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64,474</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6D774621" w14:textId="0183941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39,930</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13CA612B" w14:textId="2FD432DC"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1.5</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5FE762D" w14:textId="7AAFDDD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0.01</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1E088819" w14:textId="47DF589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0.75%</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4859E233" w14:textId="5E5761D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1.8%</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3B47A46E" w14:textId="59524B8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54,205</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467BEB00" w14:textId="452857A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1AF32D14" w14:textId="37B6904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23,264</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7E151614" w14:textId="71CAF1D9"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2.33</w:t>
            </w:r>
          </w:p>
        </w:tc>
      </w:tr>
      <w:tr w:rsidR="00216FDD" w:rsidRPr="0088109E" w14:paraId="429DBC6D"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48BD1FF7" w14:textId="11AD1928"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1A80224C" w14:textId="38AAC8CE"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40B06FBD" w14:textId="0AE6664C"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R63Z</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4BBB6CFE" w14:textId="43EF34D2"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Chemotherapy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7051231D" w14:textId="4ACA338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0.20</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73BCFD61" w14:textId="4A26C630"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275,269</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3451572B" w14:textId="4C8DEF9C"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55,054</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2F89D9E0" w14:textId="7C2E1B2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275,284</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56782444" w14:textId="0FD454B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A141FE4" w14:textId="5FC327D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0.00</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511849D7" w14:textId="5CDBDC10"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7.89%</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BD5990B" w14:textId="799628C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1.6%</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3C5D0FF7" w14:textId="10A83C4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52,760</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593A4FD2" w14:textId="211C662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6</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2D150401" w14:textId="5987A628"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263,801</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1A47769A" w14:textId="43FE2B0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0.20</w:t>
            </w:r>
          </w:p>
        </w:tc>
      </w:tr>
      <w:tr w:rsidR="00216FDD" w:rsidRPr="0088109E" w14:paraId="73CE9145"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38526A34" w14:textId="08C5142B"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4CC1271B" w14:textId="0BA375B0"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6</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290604F6" w14:textId="18E6A008"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K11B</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66F91626" w14:textId="62960422"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Major Laparoscopic Bariatric Interventions,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7CD3A643" w14:textId="30297328"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2.08</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5E9E5F36" w14:textId="41338119"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26,120</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7CB772A8" w14:textId="6FEC856E"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54,330</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24B68148" w14:textId="5FC7B5A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54,053</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088A7084" w14:textId="0B8FFE9E"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2.1</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420B24C3" w14:textId="2E27A30E"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0.00</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408E1825" w14:textId="41A717A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0.75%</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6410BF9" w14:textId="4242DA5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1.6%</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287522B4" w14:textId="19BE83A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43,384</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30C125AA" w14:textId="3CCCC3C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7CCEAF2A" w14:textId="167E9E2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20,464</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2022D83E" w14:textId="12860C3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2.12</w:t>
            </w:r>
          </w:p>
        </w:tc>
      </w:tr>
      <w:tr w:rsidR="00216FDD" w:rsidRPr="0088109E" w14:paraId="5FE8EF25"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56A80099" w14:textId="3B908AB4"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062BC33B" w14:textId="3325EF9C"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7</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57ED5326" w14:textId="516613CE"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O01C</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469BB2CB" w14:textId="5412A166"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Caesarean Delivery,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5E26F55A" w14:textId="69C69E8B"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1.95</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179F7535" w14:textId="03BD283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27,718</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5B60413A" w14:textId="0ABBB6A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54,050</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16B33925" w14:textId="5E5A9F6C"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123,398</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74A40992" w14:textId="55A2D70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4.5</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54100AAB" w14:textId="631F73B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0.00</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067619DE" w14:textId="48A632D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0.79%</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7BCB01A8" w14:textId="2AF8CD9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1.5%</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360B8A16" w14:textId="25F36316"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52,813</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73BD31CD" w14:textId="052CFEF0"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5</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3C2C6E13" w14:textId="2A3CFCA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26,539</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0F879843" w14:textId="00B566BE"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1.99</w:t>
            </w:r>
          </w:p>
        </w:tc>
      </w:tr>
      <w:tr w:rsidR="00216FDD" w:rsidRPr="0088109E" w14:paraId="66A66992"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062B501D" w14:textId="4A3332DB"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46AD0AB4" w14:textId="2932DF5E"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8</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77806EA2" w14:textId="1FAFD5FE"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G48B</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1521357D" w14:textId="37B137A2"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Colonoscopy, Minor Complexity</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360DC0F8" w14:textId="24B00AD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0.30</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48B0CBA6" w14:textId="109C641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171,739</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41818C2D" w14:textId="5AB7E67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51,522</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21EB7144" w14:textId="5C10906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177,747</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60650C27" w14:textId="0281D72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F9014D4" w14:textId="4A28C5EB"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0.00</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757BC8A0" w14:textId="193DA9C8"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4.92%</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8CCAA7F" w14:textId="6DA72D3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1.5%</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4EB59417" w14:textId="417F068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49,857</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26FF1AE9" w14:textId="412A37A5"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7</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23B82D58" w14:textId="0BA57D2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155,803</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6BB0547E" w14:textId="66BFDEB8"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0.32</w:t>
            </w:r>
          </w:p>
        </w:tc>
      </w:tr>
      <w:tr w:rsidR="00216FDD" w:rsidRPr="0088109E" w14:paraId="77F449B8"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hemeColor="background2" w:themeShade="D9"/>
            </w:tcBorders>
            <w:noWrap/>
            <w:vAlign w:val="center"/>
            <w:hideMark/>
          </w:tcPr>
          <w:p w14:paraId="192CF35D" w14:textId="69D01B99"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hemeColor="background2" w:themeShade="D9"/>
            </w:tcBorders>
            <w:noWrap/>
            <w:vAlign w:val="center"/>
            <w:hideMark/>
          </w:tcPr>
          <w:p w14:paraId="6C80EAC8" w14:textId="6FBFA5DB"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9</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28BBFD1C" w14:textId="264AA444"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I16Z</w:t>
            </w:r>
          </w:p>
        </w:tc>
        <w:tc>
          <w:tcPr>
            <w:tcW w:w="2410" w:type="dxa"/>
            <w:tcBorders>
              <w:top w:val="single" w:sz="4" w:space="0" w:color="D9D9D9" w:themeColor="background2" w:themeShade="D9"/>
              <w:bottom w:val="single" w:sz="4" w:space="0" w:color="D9D9D9" w:themeColor="background2" w:themeShade="D9"/>
              <w:right w:val="single" w:sz="4" w:space="0" w:color="FFFFFF" w:themeColor="accent6"/>
            </w:tcBorders>
            <w:noWrap/>
            <w:vAlign w:val="center"/>
            <w:hideMark/>
          </w:tcPr>
          <w:p w14:paraId="4EE9D7CA" w14:textId="188C9926"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Other Shoulder Interventions</w:t>
            </w:r>
          </w:p>
        </w:tc>
        <w:tc>
          <w:tcPr>
            <w:tcW w:w="708" w:type="dxa"/>
            <w:tcBorders>
              <w:top w:val="single" w:sz="4" w:space="0" w:color="D9D9D9" w:themeColor="background2" w:themeShade="D9"/>
              <w:left w:val="single" w:sz="4" w:space="0" w:color="FFFFFF" w:themeColor="accent6"/>
              <w:bottom w:val="single" w:sz="4" w:space="0" w:color="D9D9D9" w:themeColor="background2" w:themeShade="D9"/>
            </w:tcBorders>
            <w:shd w:val="clear" w:color="auto" w:fill="F2F2F2" w:themeFill="accent6" w:themeFillShade="F2"/>
            <w:noWrap/>
            <w:vAlign w:val="center"/>
            <w:hideMark/>
          </w:tcPr>
          <w:p w14:paraId="7C083832" w14:textId="64DC157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1.34</w:t>
            </w:r>
          </w:p>
        </w:tc>
        <w:tc>
          <w:tcPr>
            <w:tcW w:w="851"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6260D1DE" w14:textId="6A30DEE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37,802</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37602DA8" w14:textId="6FE35DB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50,655</w:t>
            </w:r>
          </w:p>
        </w:tc>
        <w:tc>
          <w:tcPr>
            <w:tcW w:w="1134"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7FC4511B" w14:textId="008F189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44,482</w:t>
            </w:r>
          </w:p>
        </w:tc>
        <w:tc>
          <w:tcPr>
            <w:tcW w:w="992" w:type="dxa"/>
            <w:tcBorders>
              <w:top w:val="single" w:sz="4" w:space="0" w:color="D9D9D9" w:themeColor="background2" w:themeShade="D9"/>
              <w:bottom w:val="single" w:sz="4" w:space="0" w:color="D9D9D9" w:themeColor="background2" w:themeShade="D9"/>
            </w:tcBorders>
            <w:shd w:val="clear" w:color="auto" w:fill="F2F2F2" w:themeFill="accent6" w:themeFillShade="F2"/>
            <w:noWrap/>
            <w:vAlign w:val="center"/>
            <w:hideMark/>
          </w:tcPr>
          <w:p w14:paraId="2968792A" w14:textId="0CAFFE81"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1.2</w:t>
            </w:r>
          </w:p>
        </w:tc>
        <w:tc>
          <w:tcPr>
            <w:tcW w:w="567"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27FCF994" w14:textId="56C34892"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0.00</w:t>
            </w:r>
          </w:p>
        </w:tc>
        <w:tc>
          <w:tcPr>
            <w:tcW w:w="709"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vAlign w:val="center"/>
            <w:hideMark/>
          </w:tcPr>
          <w:p w14:paraId="2EFF7AE2" w14:textId="1CC3E6B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1.08%</w:t>
            </w:r>
          </w:p>
        </w:tc>
        <w:tc>
          <w:tcPr>
            <w:tcW w:w="709" w:type="dxa"/>
            <w:tcBorders>
              <w:top w:val="single" w:sz="4" w:space="0" w:color="D9D9D9" w:themeColor="background2" w:themeShade="D9"/>
              <w:bottom w:val="single" w:sz="4" w:space="0" w:color="D9D9D9" w:themeColor="background2" w:themeShade="D9"/>
              <w:right w:val="single" w:sz="4" w:space="0" w:color="FFFFFF" w:themeColor="accent6"/>
            </w:tcBorders>
            <w:shd w:val="clear" w:color="auto" w:fill="F2F2F2" w:themeFill="accent6" w:themeFillShade="F2"/>
            <w:noWrap/>
            <w:vAlign w:val="center"/>
            <w:hideMark/>
          </w:tcPr>
          <w:p w14:paraId="1A19FAF5" w14:textId="2277ACCA"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1.5%</w:t>
            </w:r>
          </w:p>
        </w:tc>
        <w:tc>
          <w:tcPr>
            <w:tcW w:w="992" w:type="dxa"/>
            <w:tcBorders>
              <w:top w:val="single" w:sz="4" w:space="0" w:color="D9D9D9" w:themeColor="background2" w:themeShade="D9"/>
              <w:left w:val="single" w:sz="4" w:space="0" w:color="FFFFFF" w:themeColor="accent6"/>
              <w:bottom w:val="single" w:sz="4" w:space="0" w:color="D9D9D9" w:themeColor="background2" w:themeShade="D9"/>
            </w:tcBorders>
            <w:noWrap/>
            <w:vAlign w:val="center"/>
            <w:hideMark/>
          </w:tcPr>
          <w:p w14:paraId="71BD4E16" w14:textId="642C89D6"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45,071</w:t>
            </w:r>
          </w:p>
        </w:tc>
        <w:tc>
          <w:tcPr>
            <w:tcW w:w="851" w:type="dxa"/>
            <w:tcBorders>
              <w:top w:val="single" w:sz="4" w:space="0" w:color="D9D9D9" w:themeColor="background2" w:themeShade="D9"/>
              <w:bottom w:val="single" w:sz="4" w:space="0" w:color="D9D9D9" w:themeColor="background2" w:themeShade="D9"/>
            </w:tcBorders>
            <w:noWrap/>
            <w:vAlign w:val="center"/>
            <w:hideMark/>
          </w:tcPr>
          <w:p w14:paraId="06698DF8" w14:textId="1BB0C963"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9</w:t>
            </w:r>
          </w:p>
        </w:tc>
        <w:tc>
          <w:tcPr>
            <w:tcW w:w="1134" w:type="dxa"/>
            <w:tcBorders>
              <w:top w:val="single" w:sz="4" w:space="0" w:color="D9D9D9" w:themeColor="background2" w:themeShade="D9"/>
              <w:bottom w:val="single" w:sz="4" w:space="0" w:color="D9D9D9" w:themeColor="background2" w:themeShade="D9"/>
            </w:tcBorders>
            <w:noWrap/>
            <w:vAlign w:val="center"/>
            <w:hideMark/>
          </w:tcPr>
          <w:p w14:paraId="1A780CD5" w14:textId="682A8AFE"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33,888</w:t>
            </w:r>
          </w:p>
        </w:tc>
        <w:tc>
          <w:tcPr>
            <w:tcW w:w="1007" w:type="dxa"/>
            <w:tcBorders>
              <w:top w:val="single" w:sz="4" w:space="0" w:color="D9D9D9" w:themeColor="background2" w:themeShade="D9"/>
              <w:bottom w:val="single" w:sz="4" w:space="0" w:color="D9D9D9" w:themeColor="background2" w:themeShade="D9"/>
            </w:tcBorders>
            <w:noWrap/>
            <w:vAlign w:val="center"/>
            <w:hideMark/>
          </w:tcPr>
          <w:p w14:paraId="0A910187" w14:textId="43231CAC"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1.33</w:t>
            </w:r>
          </w:p>
        </w:tc>
      </w:tr>
      <w:tr w:rsidR="00216FDD" w:rsidRPr="0088109E" w14:paraId="50121370"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D9D9D9" w:themeColor="background2" w:themeShade="D9"/>
              <w:bottom w:val="single" w:sz="4" w:space="0" w:color="D9D9D9"/>
            </w:tcBorders>
            <w:noWrap/>
            <w:vAlign w:val="center"/>
            <w:hideMark/>
          </w:tcPr>
          <w:p w14:paraId="71BD0217" w14:textId="350FC9A1" w:rsidR="00E02904" w:rsidRPr="0088109E" w:rsidRDefault="00E02904" w:rsidP="008E4DA3">
            <w:pPr>
              <w:pStyle w:val="TableParagraph"/>
              <w:jc w:val="center"/>
              <w:rPr>
                <w:highlight w:val="yellow"/>
                <w:lang w:eastAsia="en-AU"/>
              </w:rPr>
            </w:pPr>
            <w:r w:rsidRPr="005629F8">
              <w:rPr>
                <w:color w:val="000000"/>
                <w:szCs w:val="14"/>
              </w:rPr>
              <w:t>Yes</w:t>
            </w:r>
          </w:p>
        </w:tc>
        <w:tc>
          <w:tcPr>
            <w:tcW w:w="850" w:type="dxa"/>
            <w:tcBorders>
              <w:top w:val="single" w:sz="4" w:space="0" w:color="D9D9D9" w:themeColor="background2" w:themeShade="D9"/>
              <w:bottom w:val="single" w:sz="4" w:space="0" w:color="D9D9D9"/>
            </w:tcBorders>
            <w:noWrap/>
            <w:vAlign w:val="center"/>
            <w:hideMark/>
          </w:tcPr>
          <w:p w14:paraId="7B061C12" w14:textId="39B6E27B"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10</w:t>
            </w:r>
          </w:p>
        </w:tc>
        <w:tc>
          <w:tcPr>
            <w:tcW w:w="851" w:type="dxa"/>
            <w:tcBorders>
              <w:top w:val="single" w:sz="4" w:space="0" w:color="D9D9D9" w:themeColor="background2" w:themeShade="D9"/>
              <w:bottom w:val="single" w:sz="4" w:space="0" w:color="D9D9D9"/>
            </w:tcBorders>
            <w:noWrap/>
            <w:vAlign w:val="center"/>
            <w:hideMark/>
          </w:tcPr>
          <w:p w14:paraId="346FD826" w14:textId="381B5CFB" w:rsidR="00E02904" w:rsidRPr="0088109E" w:rsidRDefault="00E02904" w:rsidP="008E4DA3">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I10B</w:t>
            </w:r>
          </w:p>
        </w:tc>
        <w:tc>
          <w:tcPr>
            <w:tcW w:w="2410" w:type="dxa"/>
            <w:tcBorders>
              <w:top w:val="single" w:sz="4" w:space="0" w:color="D9D9D9" w:themeColor="background2" w:themeShade="D9"/>
              <w:bottom w:val="single" w:sz="4" w:space="0" w:color="D9D9D9"/>
              <w:right w:val="single" w:sz="4" w:space="0" w:color="FFFFFF" w:themeColor="accent6"/>
            </w:tcBorders>
            <w:noWrap/>
            <w:vAlign w:val="center"/>
            <w:hideMark/>
          </w:tcPr>
          <w:p w14:paraId="41C3FC27" w14:textId="0CCAC9ED" w:rsidR="00E02904" w:rsidRPr="0088109E" w:rsidRDefault="00E02904" w:rsidP="00E02904">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Other Back and Neck Interventions, Minor Complexity</w:t>
            </w:r>
          </w:p>
        </w:tc>
        <w:tc>
          <w:tcPr>
            <w:tcW w:w="708" w:type="dxa"/>
            <w:tcBorders>
              <w:top w:val="single" w:sz="4" w:space="0" w:color="D9D9D9" w:themeColor="background2" w:themeShade="D9"/>
              <w:left w:val="single" w:sz="4" w:space="0" w:color="FFFFFF" w:themeColor="accent6"/>
              <w:bottom w:val="single" w:sz="4" w:space="0" w:color="D9D9D9"/>
            </w:tcBorders>
            <w:shd w:val="clear" w:color="auto" w:fill="F2F2F2" w:themeFill="accent6" w:themeFillShade="F2"/>
            <w:noWrap/>
            <w:vAlign w:val="center"/>
            <w:hideMark/>
          </w:tcPr>
          <w:p w14:paraId="16AD2F8C" w14:textId="5AB13A2D"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2.33</w:t>
            </w:r>
          </w:p>
        </w:tc>
        <w:tc>
          <w:tcPr>
            <w:tcW w:w="851" w:type="dxa"/>
            <w:tcBorders>
              <w:top w:val="single" w:sz="4" w:space="0" w:color="D9D9D9" w:themeColor="background2" w:themeShade="D9"/>
              <w:bottom w:val="single" w:sz="4" w:space="0" w:color="D9D9D9"/>
            </w:tcBorders>
            <w:shd w:val="clear" w:color="auto" w:fill="F2F2F2" w:themeFill="accent6" w:themeFillShade="F2"/>
            <w:noWrap/>
            <w:vAlign w:val="center"/>
            <w:hideMark/>
          </w:tcPr>
          <w:p w14:paraId="0D05DD5D" w14:textId="5C11A936"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21,027</w:t>
            </w:r>
          </w:p>
        </w:tc>
        <w:tc>
          <w:tcPr>
            <w:tcW w:w="992" w:type="dxa"/>
            <w:tcBorders>
              <w:top w:val="single" w:sz="4" w:space="0" w:color="D9D9D9" w:themeColor="background2" w:themeShade="D9"/>
              <w:bottom w:val="single" w:sz="4" w:space="0" w:color="D9D9D9"/>
            </w:tcBorders>
            <w:shd w:val="clear" w:color="auto" w:fill="F2F2F2" w:themeFill="accent6" w:themeFillShade="F2"/>
            <w:noWrap/>
            <w:vAlign w:val="center"/>
            <w:hideMark/>
          </w:tcPr>
          <w:p w14:paraId="3509E18C" w14:textId="2C9566CB"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5629F8">
              <w:rPr>
                <w:b/>
                <w:bCs/>
                <w:color w:val="000000"/>
                <w:szCs w:val="14"/>
              </w:rPr>
              <w:t>48,993</w:t>
            </w:r>
          </w:p>
        </w:tc>
        <w:tc>
          <w:tcPr>
            <w:tcW w:w="1134" w:type="dxa"/>
            <w:tcBorders>
              <w:top w:val="single" w:sz="4" w:space="0" w:color="D9D9D9" w:themeColor="background2" w:themeShade="D9"/>
              <w:bottom w:val="single" w:sz="4" w:space="0" w:color="D9D9D9"/>
            </w:tcBorders>
            <w:shd w:val="clear" w:color="auto" w:fill="F2F2F2" w:themeFill="accent6" w:themeFillShade="F2"/>
            <w:noWrap/>
            <w:vAlign w:val="center"/>
            <w:hideMark/>
          </w:tcPr>
          <w:p w14:paraId="571E8A81" w14:textId="7A953BFB"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63,821</w:t>
            </w:r>
          </w:p>
        </w:tc>
        <w:tc>
          <w:tcPr>
            <w:tcW w:w="992" w:type="dxa"/>
            <w:tcBorders>
              <w:top w:val="single" w:sz="4" w:space="0" w:color="D9D9D9" w:themeColor="background2" w:themeShade="D9"/>
              <w:bottom w:val="single" w:sz="4" w:space="0" w:color="D9D9D9"/>
            </w:tcBorders>
            <w:shd w:val="clear" w:color="auto" w:fill="F2F2F2" w:themeFill="accent6" w:themeFillShade="F2"/>
            <w:noWrap/>
            <w:vAlign w:val="center"/>
            <w:hideMark/>
          </w:tcPr>
          <w:p w14:paraId="49B45E1D" w14:textId="4A2AFBE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3.0</w:t>
            </w:r>
          </w:p>
        </w:tc>
        <w:tc>
          <w:tcPr>
            <w:tcW w:w="567" w:type="dxa"/>
            <w:tcBorders>
              <w:top w:val="single" w:sz="4" w:space="0" w:color="D9D9D9" w:themeColor="background2" w:themeShade="D9"/>
              <w:bottom w:val="single" w:sz="4" w:space="0" w:color="D9D9D9"/>
              <w:right w:val="single" w:sz="4" w:space="0" w:color="FFFFFF" w:themeColor="accent6"/>
            </w:tcBorders>
            <w:shd w:val="clear" w:color="auto" w:fill="F2F2F2" w:themeFill="accent6" w:themeFillShade="F2"/>
            <w:noWrap/>
            <w:vAlign w:val="center"/>
            <w:hideMark/>
          </w:tcPr>
          <w:p w14:paraId="278B63EA" w14:textId="6E0EA029"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0.02</w:t>
            </w:r>
          </w:p>
        </w:tc>
        <w:tc>
          <w:tcPr>
            <w:tcW w:w="709" w:type="dxa"/>
            <w:tcBorders>
              <w:top w:val="single" w:sz="4" w:space="0" w:color="D9D9D9" w:themeColor="background2" w:themeShade="D9"/>
              <w:left w:val="single" w:sz="4" w:space="0" w:color="FFFFFF" w:themeColor="accent6"/>
              <w:bottom w:val="single" w:sz="4" w:space="0" w:color="D9D9D9"/>
              <w:right w:val="nil"/>
            </w:tcBorders>
            <w:shd w:val="clear" w:color="auto" w:fill="F2F2F2" w:themeFill="accent6" w:themeFillShade="F2"/>
            <w:noWrap/>
            <w:vAlign w:val="center"/>
            <w:hideMark/>
          </w:tcPr>
          <w:p w14:paraId="2984D8A2" w14:textId="42233D8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0.60%</w:t>
            </w:r>
          </w:p>
        </w:tc>
        <w:tc>
          <w:tcPr>
            <w:tcW w:w="709" w:type="dxa"/>
            <w:tcBorders>
              <w:top w:val="single" w:sz="4" w:space="0" w:color="D9D9D9" w:themeColor="background2" w:themeShade="D9"/>
              <w:bottom w:val="single" w:sz="4" w:space="0" w:color="D9D9D9"/>
              <w:right w:val="single" w:sz="4" w:space="0" w:color="FFFFFF" w:themeColor="accent6"/>
            </w:tcBorders>
            <w:shd w:val="clear" w:color="auto" w:fill="F2F2F2" w:themeFill="accent6" w:themeFillShade="F2"/>
            <w:noWrap/>
            <w:vAlign w:val="center"/>
            <w:hideMark/>
          </w:tcPr>
          <w:p w14:paraId="68778369" w14:textId="5CFC4EF7"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1.4%</w:t>
            </w:r>
          </w:p>
        </w:tc>
        <w:tc>
          <w:tcPr>
            <w:tcW w:w="992" w:type="dxa"/>
            <w:tcBorders>
              <w:top w:val="single" w:sz="4" w:space="0" w:color="D9D9D9" w:themeColor="background2" w:themeShade="D9"/>
              <w:left w:val="single" w:sz="4" w:space="0" w:color="FFFFFF" w:themeColor="accent6"/>
              <w:bottom w:val="single" w:sz="4" w:space="0" w:color="D9D9D9"/>
            </w:tcBorders>
            <w:noWrap/>
            <w:vAlign w:val="center"/>
            <w:hideMark/>
          </w:tcPr>
          <w:p w14:paraId="4BF934B3" w14:textId="566E3B49"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46,209</w:t>
            </w:r>
          </w:p>
        </w:tc>
        <w:tc>
          <w:tcPr>
            <w:tcW w:w="851" w:type="dxa"/>
            <w:tcBorders>
              <w:top w:val="single" w:sz="4" w:space="0" w:color="D9D9D9" w:themeColor="background2" w:themeShade="D9"/>
              <w:bottom w:val="single" w:sz="4" w:space="0" w:color="D9D9D9"/>
            </w:tcBorders>
            <w:noWrap/>
            <w:vAlign w:val="center"/>
            <w:hideMark/>
          </w:tcPr>
          <w:p w14:paraId="3267A3E6" w14:textId="5DE54C64"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8</w:t>
            </w:r>
          </w:p>
        </w:tc>
        <w:tc>
          <w:tcPr>
            <w:tcW w:w="1134" w:type="dxa"/>
            <w:tcBorders>
              <w:top w:val="single" w:sz="4" w:space="0" w:color="D9D9D9" w:themeColor="background2" w:themeShade="D9"/>
              <w:bottom w:val="single" w:sz="4" w:space="0" w:color="D9D9D9"/>
            </w:tcBorders>
            <w:noWrap/>
            <w:vAlign w:val="center"/>
            <w:hideMark/>
          </w:tcPr>
          <w:p w14:paraId="4D078579" w14:textId="40B06F3F"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20,091</w:t>
            </w:r>
          </w:p>
        </w:tc>
        <w:tc>
          <w:tcPr>
            <w:tcW w:w="1007" w:type="dxa"/>
            <w:tcBorders>
              <w:top w:val="single" w:sz="4" w:space="0" w:color="D9D9D9" w:themeColor="background2" w:themeShade="D9"/>
              <w:bottom w:val="single" w:sz="4" w:space="0" w:color="D9D9D9"/>
            </w:tcBorders>
            <w:noWrap/>
            <w:vAlign w:val="center"/>
            <w:hideMark/>
          </w:tcPr>
          <w:p w14:paraId="34984168" w14:textId="4BA89256" w:rsidR="00E02904" w:rsidRPr="0088109E" w:rsidRDefault="00E02904" w:rsidP="00E87B16">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5629F8">
              <w:rPr>
                <w:color w:val="000000"/>
                <w:szCs w:val="14"/>
              </w:rPr>
              <w:t>2.30</w:t>
            </w:r>
          </w:p>
        </w:tc>
      </w:tr>
      <w:tr w:rsidR="00A86AC3" w:rsidRPr="0088109E" w14:paraId="74783130"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4" w:space="0" w:color="D9D9D9"/>
            </w:tcBorders>
            <w:shd w:val="clear" w:color="auto" w:fill="DFEBF1" w:themeFill="text2" w:themeFillTint="1A"/>
            <w:noWrap/>
            <w:vAlign w:val="center"/>
          </w:tcPr>
          <w:p w14:paraId="04920A47" w14:textId="37C2C573" w:rsidR="008E4DA3" w:rsidRPr="005629F8" w:rsidRDefault="008E4DA3" w:rsidP="008E4DA3">
            <w:pPr>
              <w:pStyle w:val="TableParagraph"/>
              <w:jc w:val="center"/>
              <w:rPr>
                <w:color w:val="000000"/>
                <w:szCs w:val="14"/>
              </w:rPr>
            </w:pPr>
            <w:r w:rsidRPr="005629F8">
              <w:rPr>
                <w:color w:val="000000"/>
                <w:szCs w:val="14"/>
              </w:rPr>
              <w:t>10</w:t>
            </w:r>
            <w:r>
              <w:rPr>
                <w:color w:val="000000"/>
                <w:szCs w:val="14"/>
              </w:rPr>
              <w:t xml:space="preserve"> </w:t>
            </w:r>
            <w:r w:rsidRPr="005629F8">
              <w:rPr>
                <w:color w:val="000000"/>
                <w:szCs w:val="14"/>
              </w:rPr>
              <w:t>in</w:t>
            </w:r>
          </w:p>
          <w:p w14:paraId="6E2AD0EE" w14:textId="4F1F9011" w:rsidR="008E4DA3" w:rsidRPr="005629F8" w:rsidRDefault="008E4DA3" w:rsidP="008E4DA3">
            <w:pPr>
              <w:pStyle w:val="TableParagraph"/>
              <w:jc w:val="center"/>
              <w:rPr>
                <w:color w:val="000000"/>
                <w:szCs w:val="14"/>
              </w:rPr>
            </w:pPr>
            <w:r>
              <w:rPr>
                <w:color w:val="000000"/>
                <w:szCs w:val="14"/>
              </w:rPr>
              <w:t>t</w:t>
            </w:r>
            <w:r w:rsidRPr="005629F8">
              <w:rPr>
                <w:color w:val="000000"/>
                <w:szCs w:val="14"/>
              </w:rPr>
              <w:t>op 10</w:t>
            </w:r>
          </w:p>
        </w:tc>
        <w:tc>
          <w:tcPr>
            <w:tcW w:w="4111" w:type="dxa"/>
            <w:gridSpan w:val="3"/>
            <w:tcBorders>
              <w:top w:val="single" w:sz="4" w:space="0" w:color="D9D9D9"/>
              <w:right w:val="single" w:sz="4" w:space="0" w:color="FFFFFF" w:themeColor="accent6"/>
            </w:tcBorders>
            <w:shd w:val="clear" w:color="auto" w:fill="DFEBF1" w:themeFill="text2" w:themeFillTint="1A"/>
            <w:noWrap/>
            <w:vAlign w:val="center"/>
          </w:tcPr>
          <w:p w14:paraId="16DD26AD" w14:textId="2E4D8AD5" w:rsidR="008E4DA3" w:rsidRPr="005629F8" w:rsidRDefault="008E4DA3" w:rsidP="00E02904">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Sub-total, top 10 highest cost weighted separations</w:t>
            </w:r>
          </w:p>
        </w:tc>
        <w:tc>
          <w:tcPr>
            <w:tcW w:w="708" w:type="dxa"/>
            <w:tcBorders>
              <w:top w:val="single" w:sz="4" w:space="0" w:color="D9D9D9"/>
              <w:left w:val="single" w:sz="4" w:space="0" w:color="FFFFFF" w:themeColor="accent6"/>
            </w:tcBorders>
            <w:shd w:val="clear" w:color="auto" w:fill="DFEBF1" w:themeFill="text2" w:themeFillTint="1A"/>
            <w:noWrap/>
            <w:vAlign w:val="center"/>
          </w:tcPr>
          <w:p w14:paraId="3D218B19" w14:textId="02ACB773"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1.09</w:t>
            </w:r>
          </w:p>
        </w:tc>
        <w:tc>
          <w:tcPr>
            <w:tcW w:w="851" w:type="dxa"/>
            <w:tcBorders>
              <w:top w:val="single" w:sz="4" w:space="0" w:color="D9D9D9"/>
            </w:tcBorders>
            <w:shd w:val="clear" w:color="auto" w:fill="DFEBF1" w:themeFill="text2" w:themeFillTint="1A"/>
            <w:noWrap/>
            <w:vAlign w:val="center"/>
          </w:tcPr>
          <w:p w14:paraId="4AE2062A" w14:textId="370664A2"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668,081</w:t>
            </w:r>
          </w:p>
        </w:tc>
        <w:tc>
          <w:tcPr>
            <w:tcW w:w="992" w:type="dxa"/>
            <w:tcBorders>
              <w:top w:val="single" w:sz="4" w:space="0" w:color="D9D9D9"/>
            </w:tcBorders>
            <w:shd w:val="clear" w:color="auto" w:fill="DFEBF1" w:themeFill="text2" w:themeFillTint="1A"/>
            <w:noWrap/>
            <w:vAlign w:val="center"/>
          </w:tcPr>
          <w:p w14:paraId="5C13490E" w14:textId="0B4F7AFE"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5629F8">
              <w:rPr>
                <w:b/>
                <w:bCs/>
                <w:color w:val="000000"/>
                <w:szCs w:val="14"/>
              </w:rPr>
              <w:t>729,223</w:t>
            </w:r>
          </w:p>
        </w:tc>
        <w:tc>
          <w:tcPr>
            <w:tcW w:w="1134" w:type="dxa"/>
            <w:tcBorders>
              <w:top w:val="single" w:sz="4" w:space="0" w:color="D9D9D9"/>
            </w:tcBorders>
            <w:shd w:val="clear" w:color="auto" w:fill="DFEBF1" w:themeFill="text2" w:themeFillTint="1A"/>
            <w:noWrap/>
            <w:vAlign w:val="center"/>
          </w:tcPr>
          <w:p w14:paraId="6AE68915" w14:textId="032E081E"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1,133,679</w:t>
            </w:r>
          </w:p>
        </w:tc>
        <w:tc>
          <w:tcPr>
            <w:tcW w:w="992" w:type="dxa"/>
            <w:tcBorders>
              <w:top w:val="single" w:sz="4" w:space="0" w:color="D9D9D9"/>
            </w:tcBorders>
            <w:shd w:val="clear" w:color="auto" w:fill="DFEBF1" w:themeFill="text2" w:themeFillTint="1A"/>
            <w:noWrap/>
            <w:vAlign w:val="center"/>
          </w:tcPr>
          <w:p w14:paraId="2925D328" w14:textId="17FA0FF6"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1.7</w:t>
            </w:r>
          </w:p>
        </w:tc>
        <w:tc>
          <w:tcPr>
            <w:tcW w:w="567" w:type="dxa"/>
            <w:tcBorders>
              <w:top w:val="single" w:sz="4" w:space="0" w:color="D9D9D9"/>
              <w:right w:val="single" w:sz="4" w:space="0" w:color="FFFFFF" w:themeColor="accent6"/>
            </w:tcBorders>
            <w:shd w:val="clear" w:color="auto" w:fill="DFEBF1" w:themeFill="text2" w:themeFillTint="1A"/>
            <w:noWrap/>
            <w:vAlign w:val="center"/>
          </w:tcPr>
          <w:p w14:paraId="2B2267FF"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top w:val="single" w:sz="4" w:space="0" w:color="D9D9D9"/>
              <w:left w:val="single" w:sz="4" w:space="0" w:color="FFFFFF" w:themeColor="accent6"/>
            </w:tcBorders>
            <w:shd w:val="clear" w:color="auto" w:fill="DFEBF1" w:themeFill="text2" w:themeFillTint="1A"/>
            <w:noWrap/>
            <w:vAlign w:val="center"/>
          </w:tcPr>
          <w:p w14:paraId="61FC5988" w14:textId="06CB3B26"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0C38AE">
              <w:rPr>
                <w:color w:val="000000"/>
                <w:szCs w:val="14"/>
              </w:rPr>
              <w:t>19.16</w:t>
            </w:r>
            <w:r w:rsidRPr="005629F8">
              <w:rPr>
                <w:color w:val="000000"/>
                <w:szCs w:val="14"/>
              </w:rPr>
              <w:t>%</w:t>
            </w:r>
          </w:p>
        </w:tc>
        <w:tc>
          <w:tcPr>
            <w:tcW w:w="709" w:type="dxa"/>
            <w:tcBorders>
              <w:top w:val="single" w:sz="4" w:space="0" w:color="D9D9D9"/>
              <w:right w:val="single" w:sz="4" w:space="0" w:color="FFFFFF" w:themeColor="accent6"/>
            </w:tcBorders>
            <w:shd w:val="clear" w:color="auto" w:fill="DFEBF1" w:themeFill="text2" w:themeFillTint="1A"/>
            <w:noWrap/>
            <w:vAlign w:val="center"/>
          </w:tcPr>
          <w:p w14:paraId="2903A394" w14:textId="7C10BA72"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color w:val="000000"/>
                <w:szCs w:val="14"/>
              </w:rPr>
              <w:t>20.9%</w:t>
            </w:r>
          </w:p>
        </w:tc>
        <w:tc>
          <w:tcPr>
            <w:tcW w:w="992" w:type="dxa"/>
            <w:tcBorders>
              <w:top w:val="single" w:sz="4" w:space="0" w:color="D9D9D9"/>
              <w:left w:val="single" w:sz="4" w:space="0" w:color="FFFFFF" w:themeColor="accent6"/>
              <w:right w:val="nil"/>
            </w:tcBorders>
            <w:shd w:val="clear" w:color="auto" w:fill="DFEBF1" w:themeFill="text2" w:themeFillTint="1A"/>
            <w:noWrap/>
            <w:vAlign w:val="center"/>
          </w:tcPr>
          <w:p w14:paraId="0BA73132" w14:textId="27FFFD4D"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top w:val="single" w:sz="4" w:space="0" w:color="D9D9D9"/>
            </w:tcBorders>
            <w:shd w:val="clear" w:color="auto" w:fill="DFEBF1" w:themeFill="text2" w:themeFillTint="1A"/>
            <w:noWrap/>
            <w:vAlign w:val="center"/>
          </w:tcPr>
          <w:p w14:paraId="28170922"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top w:val="single" w:sz="4" w:space="0" w:color="D9D9D9"/>
            </w:tcBorders>
            <w:shd w:val="clear" w:color="auto" w:fill="DFEBF1" w:themeFill="text2" w:themeFillTint="1A"/>
            <w:noWrap/>
            <w:vAlign w:val="center"/>
          </w:tcPr>
          <w:p w14:paraId="16C61926"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007" w:type="dxa"/>
            <w:tcBorders>
              <w:top w:val="single" w:sz="4" w:space="0" w:color="D9D9D9"/>
            </w:tcBorders>
            <w:shd w:val="clear" w:color="auto" w:fill="DFEBF1" w:themeFill="text2" w:themeFillTint="1A"/>
            <w:noWrap/>
            <w:vAlign w:val="center"/>
          </w:tcPr>
          <w:p w14:paraId="48BF7855"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A86AC3" w:rsidRPr="0088109E" w14:paraId="2271A107"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DFEBF1" w:themeFill="text2" w:themeFillTint="1A"/>
            <w:noWrap/>
            <w:vAlign w:val="center"/>
          </w:tcPr>
          <w:p w14:paraId="577F5115" w14:textId="42143EA0" w:rsidR="008E4DA3" w:rsidRPr="005629F8" w:rsidRDefault="008E4DA3" w:rsidP="008E4DA3">
            <w:pPr>
              <w:pStyle w:val="TableParagraph"/>
              <w:jc w:val="center"/>
              <w:rPr>
                <w:color w:val="000000"/>
                <w:szCs w:val="14"/>
              </w:rPr>
            </w:pPr>
          </w:p>
        </w:tc>
        <w:tc>
          <w:tcPr>
            <w:tcW w:w="4111" w:type="dxa"/>
            <w:gridSpan w:val="3"/>
            <w:tcBorders>
              <w:right w:val="single" w:sz="4" w:space="0" w:color="FFFFFF" w:themeColor="accent6"/>
            </w:tcBorders>
            <w:shd w:val="clear" w:color="auto" w:fill="DFEBF1" w:themeFill="text2" w:themeFillTint="1A"/>
            <w:noWrap/>
            <w:vAlign w:val="center"/>
          </w:tcPr>
          <w:p w14:paraId="34F72773" w14:textId="5F3CF8D5" w:rsidR="008E4DA3" w:rsidRPr="005629F8" w:rsidRDefault="008E4DA3">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 xml:space="preserve">All </w:t>
            </w:r>
            <w:r>
              <w:rPr>
                <w:b/>
                <w:bCs/>
                <w:color w:val="000000"/>
                <w:szCs w:val="14"/>
              </w:rPr>
              <w:t>AR-</w:t>
            </w:r>
            <w:r w:rsidRPr="005629F8">
              <w:rPr>
                <w:b/>
                <w:bCs/>
                <w:color w:val="000000"/>
                <w:szCs w:val="14"/>
              </w:rPr>
              <w:t>DRGs</w:t>
            </w:r>
          </w:p>
        </w:tc>
        <w:tc>
          <w:tcPr>
            <w:tcW w:w="708" w:type="dxa"/>
            <w:tcBorders>
              <w:left w:val="single" w:sz="4" w:space="0" w:color="FFFFFF" w:themeColor="accent6"/>
            </w:tcBorders>
            <w:shd w:val="clear" w:color="auto" w:fill="DFEBF1" w:themeFill="text2" w:themeFillTint="1A"/>
            <w:noWrap/>
            <w:vAlign w:val="center"/>
          </w:tcPr>
          <w:p w14:paraId="08B13C20" w14:textId="1BCC03E6"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1.00</w:t>
            </w:r>
          </w:p>
        </w:tc>
        <w:tc>
          <w:tcPr>
            <w:tcW w:w="851" w:type="dxa"/>
            <w:shd w:val="clear" w:color="auto" w:fill="DFEBF1" w:themeFill="text2" w:themeFillTint="1A"/>
            <w:noWrap/>
            <w:vAlign w:val="center"/>
          </w:tcPr>
          <w:p w14:paraId="125C46D5" w14:textId="7CBE4686"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3,487,127</w:t>
            </w:r>
          </w:p>
        </w:tc>
        <w:tc>
          <w:tcPr>
            <w:tcW w:w="992" w:type="dxa"/>
            <w:shd w:val="clear" w:color="auto" w:fill="DFEBF1" w:themeFill="text2" w:themeFillTint="1A"/>
            <w:noWrap/>
            <w:vAlign w:val="center"/>
          </w:tcPr>
          <w:p w14:paraId="79161D7C" w14:textId="2AA476D2"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5629F8">
              <w:rPr>
                <w:b/>
                <w:bCs/>
                <w:color w:val="000000"/>
                <w:szCs w:val="14"/>
              </w:rPr>
              <w:t>3,487,127</w:t>
            </w:r>
          </w:p>
        </w:tc>
        <w:tc>
          <w:tcPr>
            <w:tcW w:w="1134" w:type="dxa"/>
            <w:shd w:val="clear" w:color="auto" w:fill="DFEBF1" w:themeFill="text2" w:themeFillTint="1A"/>
            <w:noWrap/>
            <w:vAlign w:val="center"/>
          </w:tcPr>
          <w:p w14:paraId="60762285" w14:textId="026F1EC0"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7,783,631</w:t>
            </w:r>
          </w:p>
        </w:tc>
        <w:tc>
          <w:tcPr>
            <w:tcW w:w="992" w:type="dxa"/>
            <w:shd w:val="clear" w:color="auto" w:fill="DFEBF1" w:themeFill="text2" w:themeFillTint="1A"/>
            <w:noWrap/>
            <w:vAlign w:val="center"/>
          </w:tcPr>
          <w:p w14:paraId="2F17278D" w14:textId="7BFB51A9"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2.2</w:t>
            </w:r>
          </w:p>
        </w:tc>
        <w:tc>
          <w:tcPr>
            <w:tcW w:w="567" w:type="dxa"/>
            <w:tcBorders>
              <w:right w:val="single" w:sz="4" w:space="0" w:color="FFFFFF" w:themeColor="accent6"/>
            </w:tcBorders>
            <w:shd w:val="clear" w:color="auto" w:fill="DFEBF1" w:themeFill="text2" w:themeFillTint="1A"/>
            <w:noWrap/>
            <w:vAlign w:val="center"/>
          </w:tcPr>
          <w:p w14:paraId="265520E5"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left w:val="single" w:sz="4" w:space="0" w:color="FFFFFF" w:themeColor="accent6"/>
            </w:tcBorders>
            <w:shd w:val="clear" w:color="auto" w:fill="DFEBF1" w:themeFill="text2" w:themeFillTint="1A"/>
            <w:noWrap/>
            <w:vAlign w:val="center"/>
          </w:tcPr>
          <w:p w14:paraId="2ADBAE69" w14:textId="7378BD26"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color w:val="000000"/>
                <w:szCs w:val="14"/>
              </w:rPr>
              <w:t>100%</w:t>
            </w:r>
          </w:p>
        </w:tc>
        <w:tc>
          <w:tcPr>
            <w:tcW w:w="709" w:type="dxa"/>
            <w:tcBorders>
              <w:right w:val="single" w:sz="4" w:space="0" w:color="FFFFFF" w:themeColor="accent6"/>
            </w:tcBorders>
            <w:shd w:val="clear" w:color="auto" w:fill="DFEBF1" w:themeFill="text2" w:themeFillTint="1A"/>
            <w:noWrap/>
            <w:vAlign w:val="center"/>
          </w:tcPr>
          <w:p w14:paraId="48BEB4FB" w14:textId="79FD5C34"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color w:val="000000"/>
                <w:szCs w:val="14"/>
              </w:rPr>
              <w:t>100%</w:t>
            </w:r>
          </w:p>
        </w:tc>
        <w:tc>
          <w:tcPr>
            <w:tcW w:w="992" w:type="dxa"/>
            <w:tcBorders>
              <w:left w:val="single" w:sz="4" w:space="0" w:color="FFFFFF" w:themeColor="accent6"/>
            </w:tcBorders>
            <w:shd w:val="clear" w:color="auto" w:fill="DFEBF1" w:themeFill="text2" w:themeFillTint="1A"/>
            <w:noWrap/>
            <w:vAlign w:val="center"/>
          </w:tcPr>
          <w:p w14:paraId="5731DBEC"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shd w:val="clear" w:color="auto" w:fill="DFEBF1" w:themeFill="text2" w:themeFillTint="1A"/>
            <w:noWrap/>
            <w:vAlign w:val="center"/>
          </w:tcPr>
          <w:p w14:paraId="2ECEC54D"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shd w:val="clear" w:color="auto" w:fill="DFEBF1" w:themeFill="text2" w:themeFillTint="1A"/>
            <w:noWrap/>
            <w:vAlign w:val="center"/>
          </w:tcPr>
          <w:p w14:paraId="4D73E946"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007" w:type="dxa"/>
            <w:shd w:val="clear" w:color="auto" w:fill="DFEBF1" w:themeFill="text2" w:themeFillTint="1A"/>
            <w:noWrap/>
            <w:vAlign w:val="center"/>
          </w:tcPr>
          <w:p w14:paraId="72C8F526"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A86AC3" w:rsidRPr="0088109E" w14:paraId="5066D49C" w14:textId="77777777" w:rsidTr="00DB117A">
        <w:trPr>
          <w:trHeight w:val="283"/>
        </w:trPr>
        <w:tc>
          <w:tcPr>
            <w:cnfStyle w:val="001000000000" w:firstRow="0" w:lastRow="0" w:firstColumn="1" w:lastColumn="0" w:oddVBand="0" w:evenVBand="0" w:oddHBand="0" w:evenHBand="0" w:firstRowFirstColumn="0" w:firstRowLastColumn="0" w:lastRowFirstColumn="0" w:lastRowLastColumn="0"/>
            <w:tcW w:w="851" w:type="dxa"/>
            <w:vMerge/>
            <w:tcBorders>
              <w:bottom w:val="single" w:sz="4" w:space="0" w:color="D9D9D9" w:themeColor="background2" w:themeShade="D9"/>
            </w:tcBorders>
            <w:shd w:val="clear" w:color="auto" w:fill="DFEBF1" w:themeFill="text2" w:themeFillTint="1A"/>
            <w:noWrap/>
            <w:vAlign w:val="center"/>
          </w:tcPr>
          <w:p w14:paraId="5ED9F030" w14:textId="06A0A37B" w:rsidR="008E4DA3" w:rsidRPr="005629F8" w:rsidRDefault="008E4DA3" w:rsidP="008E4DA3">
            <w:pPr>
              <w:pStyle w:val="TableParagraph"/>
              <w:jc w:val="center"/>
              <w:rPr>
                <w:color w:val="000000"/>
                <w:szCs w:val="14"/>
              </w:rPr>
            </w:pPr>
          </w:p>
        </w:tc>
        <w:tc>
          <w:tcPr>
            <w:tcW w:w="4111" w:type="dxa"/>
            <w:gridSpan w:val="3"/>
            <w:tcBorders>
              <w:bottom w:val="single" w:sz="4" w:space="0" w:color="D9D9D9" w:themeColor="background2" w:themeShade="D9"/>
              <w:right w:val="single" w:sz="4" w:space="0" w:color="FFFFFF" w:themeColor="accent6"/>
            </w:tcBorders>
            <w:shd w:val="clear" w:color="auto" w:fill="DFEBF1" w:themeFill="text2" w:themeFillTint="1A"/>
            <w:noWrap/>
            <w:vAlign w:val="center"/>
          </w:tcPr>
          <w:p w14:paraId="036A8F57" w14:textId="264807C5" w:rsidR="008E4DA3" w:rsidRPr="005629F8" w:rsidRDefault="008E4DA3">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 xml:space="preserve">Top 10 highest cost weighted separations, % of all </w:t>
            </w:r>
            <w:r>
              <w:rPr>
                <w:b/>
                <w:bCs/>
                <w:color w:val="000000"/>
                <w:szCs w:val="14"/>
              </w:rPr>
              <w:t>AR-</w:t>
            </w:r>
            <w:r w:rsidRPr="005629F8">
              <w:rPr>
                <w:b/>
                <w:bCs/>
                <w:color w:val="000000"/>
                <w:szCs w:val="14"/>
              </w:rPr>
              <w:t>DRGs</w:t>
            </w:r>
          </w:p>
        </w:tc>
        <w:tc>
          <w:tcPr>
            <w:tcW w:w="708" w:type="dxa"/>
            <w:tcBorders>
              <w:left w:val="single" w:sz="4" w:space="0" w:color="FFFFFF" w:themeColor="accent6"/>
              <w:bottom w:val="single" w:sz="4" w:space="0" w:color="D9D9D9" w:themeColor="background2" w:themeShade="D9"/>
            </w:tcBorders>
            <w:shd w:val="clear" w:color="auto" w:fill="DFEBF1" w:themeFill="text2" w:themeFillTint="1A"/>
            <w:noWrap/>
            <w:vAlign w:val="center"/>
          </w:tcPr>
          <w:p w14:paraId="2A09B122"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bottom w:val="single" w:sz="4" w:space="0" w:color="D9D9D9" w:themeColor="background2" w:themeShade="D9"/>
            </w:tcBorders>
            <w:shd w:val="clear" w:color="auto" w:fill="DFEBF1" w:themeFill="text2" w:themeFillTint="1A"/>
            <w:noWrap/>
            <w:vAlign w:val="center"/>
          </w:tcPr>
          <w:p w14:paraId="50DD257D" w14:textId="64EDDFA5"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19.2%</w:t>
            </w:r>
          </w:p>
        </w:tc>
        <w:tc>
          <w:tcPr>
            <w:tcW w:w="992" w:type="dxa"/>
            <w:tcBorders>
              <w:bottom w:val="single" w:sz="4" w:space="0" w:color="D9D9D9" w:themeColor="background2" w:themeShade="D9"/>
            </w:tcBorders>
            <w:shd w:val="clear" w:color="auto" w:fill="DFEBF1" w:themeFill="text2" w:themeFillTint="1A"/>
            <w:noWrap/>
            <w:vAlign w:val="center"/>
          </w:tcPr>
          <w:p w14:paraId="4EF418D5" w14:textId="14A9997B"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5629F8">
              <w:rPr>
                <w:b/>
                <w:bCs/>
                <w:color w:val="000000"/>
                <w:szCs w:val="14"/>
              </w:rPr>
              <w:t>20.9%</w:t>
            </w:r>
          </w:p>
        </w:tc>
        <w:tc>
          <w:tcPr>
            <w:tcW w:w="1134" w:type="dxa"/>
            <w:tcBorders>
              <w:bottom w:val="single" w:sz="4" w:space="0" w:color="D9D9D9" w:themeColor="background2" w:themeShade="D9"/>
            </w:tcBorders>
            <w:shd w:val="clear" w:color="auto" w:fill="DFEBF1" w:themeFill="text2" w:themeFillTint="1A"/>
            <w:noWrap/>
            <w:vAlign w:val="center"/>
          </w:tcPr>
          <w:p w14:paraId="056976DA" w14:textId="4971C3AC"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14.6%</w:t>
            </w:r>
          </w:p>
        </w:tc>
        <w:tc>
          <w:tcPr>
            <w:tcW w:w="992" w:type="dxa"/>
            <w:tcBorders>
              <w:bottom w:val="single" w:sz="4" w:space="0" w:color="D9D9D9" w:themeColor="background2" w:themeShade="D9"/>
            </w:tcBorders>
            <w:shd w:val="clear" w:color="auto" w:fill="DFEBF1" w:themeFill="text2" w:themeFillTint="1A"/>
            <w:noWrap/>
            <w:vAlign w:val="center"/>
          </w:tcPr>
          <w:p w14:paraId="3A014A02"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567" w:type="dxa"/>
            <w:tcBorders>
              <w:bottom w:val="single" w:sz="4" w:space="0" w:color="D9D9D9" w:themeColor="background2" w:themeShade="D9"/>
              <w:right w:val="single" w:sz="4" w:space="0" w:color="FFFFFF" w:themeColor="accent6"/>
            </w:tcBorders>
            <w:shd w:val="clear" w:color="auto" w:fill="DFEBF1" w:themeFill="text2" w:themeFillTint="1A"/>
            <w:noWrap/>
            <w:vAlign w:val="center"/>
          </w:tcPr>
          <w:p w14:paraId="5E810D22"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left w:val="single" w:sz="4" w:space="0" w:color="FFFFFF" w:themeColor="accent6"/>
              <w:bottom w:val="single" w:sz="4" w:space="0" w:color="D9D9D9" w:themeColor="background2" w:themeShade="D9"/>
            </w:tcBorders>
            <w:shd w:val="clear" w:color="auto" w:fill="DFEBF1" w:themeFill="text2" w:themeFillTint="1A"/>
            <w:noWrap/>
            <w:vAlign w:val="center"/>
          </w:tcPr>
          <w:p w14:paraId="17E1CC76"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709" w:type="dxa"/>
            <w:tcBorders>
              <w:bottom w:val="single" w:sz="4" w:space="0" w:color="D9D9D9" w:themeColor="background2" w:themeShade="D9"/>
              <w:right w:val="single" w:sz="4" w:space="0" w:color="FFFFFF" w:themeColor="accent6"/>
            </w:tcBorders>
            <w:shd w:val="clear" w:color="auto" w:fill="DFEBF1" w:themeFill="text2" w:themeFillTint="1A"/>
            <w:noWrap/>
            <w:vAlign w:val="center"/>
          </w:tcPr>
          <w:p w14:paraId="4C6D8F0D"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92" w:type="dxa"/>
            <w:tcBorders>
              <w:left w:val="single" w:sz="4" w:space="0" w:color="FFFFFF" w:themeColor="accent6"/>
              <w:bottom w:val="single" w:sz="4" w:space="0" w:color="D9D9D9" w:themeColor="background2" w:themeShade="D9"/>
            </w:tcBorders>
            <w:shd w:val="clear" w:color="auto" w:fill="DFEBF1" w:themeFill="text2" w:themeFillTint="1A"/>
            <w:noWrap/>
            <w:vAlign w:val="center"/>
          </w:tcPr>
          <w:p w14:paraId="2215CACE"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bottom w:val="single" w:sz="4" w:space="0" w:color="D9D9D9" w:themeColor="background2" w:themeShade="D9"/>
            </w:tcBorders>
            <w:shd w:val="clear" w:color="auto" w:fill="DFEBF1" w:themeFill="text2" w:themeFillTint="1A"/>
            <w:noWrap/>
            <w:vAlign w:val="center"/>
          </w:tcPr>
          <w:p w14:paraId="3911F596"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bottom w:val="single" w:sz="4" w:space="0" w:color="D9D9D9" w:themeColor="background2" w:themeShade="D9"/>
            </w:tcBorders>
            <w:shd w:val="clear" w:color="auto" w:fill="DFEBF1" w:themeFill="text2" w:themeFillTint="1A"/>
            <w:noWrap/>
            <w:vAlign w:val="center"/>
          </w:tcPr>
          <w:p w14:paraId="0107508A"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007" w:type="dxa"/>
            <w:tcBorders>
              <w:bottom w:val="single" w:sz="4" w:space="0" w:color="D9D9D9" w:themeColor="background2" w:themeShade="D9"/>
            </w:tcBorders>
            <w:shd w:val="clear" w:color="auto" w:fill="DFEBF1" w:themeFill="text2" w:themeFillTint="1A"/>
            <w:noWrap/>
            <w:vAlign w:val="center"/>
          </w:tcPr>
          <w:p w14:paraId="10A977D5" w14:textId="77777777" w:rsidR="008E4DA3" w:rsidRPr="005629F8" w:rsidRDefault="008E4DA3" w:rsidP="00E87B16">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bl>
    <w:p w14:paraId="562E0562" w14:textId="79B0EB51" w:rsidR="00E104B5" w:rsidRPr="005629F8" w:rsidRDefault="00E104B5" w:rsidP="00452B90">
      <w:pPr>
        <w:spacing w:before="120" w:after="0" w:line="240" w:lineRule="auto"/>
        <w:rPr>
          <w:b/>
          <w:bCs/>
          <w:color w:val="auto"/>
          <w:sz w:val="16"/>
          <w:szCs w:val="16"/>
          <w:lang w:val="en-AU"/>
        </w:rPr>
      </w:pPr>
      <w:r w:rsidRPr="005629F8">
        <w:rPr>
          <w:b/>
          <w:bCs/>
          <w:sz w:val="16"/>
          <w:szCs w:val="16"/>
          <w:lang w:val="en-AU"/>
        </w:rPr>
        <w:t>Notes</w:t>
      </w:r>
    </w:p>
    <w:p w14:paraId="3E915439" w14:textId="22656518" w:rsidR="00E104B5" w:rsidRPr="005629F8" w:rsidRDefault="00E104B5" w:rsidP="000C38AE">
      <w:pPr>
        <w:pStyle w:val="ListParagraph"/>
        <w:widowControl w:val="0"/>
        <w:numPr>
          <w:ilvl w:val="0"/>
          <w:numId w:val="20"/>
        </w:numPr>
        <w:autoSpaceDE w:val="0"/>
        <w:autoSpaceDN w:val="0"/>
        <w:spacing w:after="0" w:line="240" w:lineRule="auto"/>
        <w:ind w:left="340" w:hanging="56"/>
        <w:contextualSpacing w:val="0"/>
        <w:rPr>
          <w:sz w:val="14"/>
          <w:lang w:val="en-AU"/>
        </w:rPr>
      </w:pPr>
      <w:r w:rsidRPr="005629F8">
        <w:rPr>
          <w:sz w:val="14"/>
          <w:lang w:val="en-AU"/>
        </w:rPr>
        <w:t>For</w:t>
      </w:r>
      <w:r w:rsidRPr="005629F8">
        <w:rPr>
          <w:spacing w:val="-3"/>
          <w:sz w:val="14"/>
          <w:lang w:val="en-AU"/>
        </w:rPr>
        <w:t xml:space="preserve"> </w:t>
      </w:r>
      <w:r w:rsidRPr="005629F8">
        <w:rPr>
          <w:sz w:val="14"/>
          <w:lang w:val="en-AU"/>
        </w:rPr>
        <w:t>cost weight (cost</w:t>
      </w:r>
      <w:r w:rsidRPr="005629F8">
        <w:rPr>
          <w:spacing w:val="-2"/>
          <w:sz w:val="14"/>
          <w:lang w:val="en-AU"/>
        </w:rPr>
        <w:t xml:space="preserve"> </w:t>
      </w:r>
      <w:r w:rsidRPr="005629F8">
        <w:rPr>
          <w:sz w:val="14"/>
          <w:lang w:val="en-AU"/>
        </w:rPr>
        <w:t>bucket</w:t>
      </w:r>
      <w:r w:rsidRPr="005629F8">
        <w:rPr>
          <w:spacing w:val="-2"/>
          <w:sz w:val="14"/>
          <w:lang w:val="en-AU"/>
        </w:rPr>
        <w:t xml:space="preserve"> </w:t>
      </w:r>
      <w:r w:rsidRPr="005629F8">
        <w:rPr>
          <w:sz w:val="14"/>
          <w:lang w:val="en-AU"/>
        </w:rPr>
        <w:t>specific)</w:t>
      </w:r>
      <w:r w:rsidRPr="005629F8">
        <w:rPr>
          <w:spacing w:val="-2"/>
          <w:sz w:val="14"/>
          <w:lang w:val="en-AU"/>
        </w:rPr>
        <w:t xml:space="preserve"> </w:t>
      </w:r>
      <w:r w:rsidRPr="005629F8">
        <w:rPr>
          <w:sz w:val="14"/>
          <w:lang w:val="en-AU"/>
        </w:rPr>
        <w:t>calculations</w:t>
      </w:r>
      <w:r w:rsidRPr="005629F8">
        <w:rPr>
          <w:spacing w:val="-2"/>
          <w:sz w:val="14"/>
          <w:lang w:val="en-AU"/>
        </w:rPr>
        <w:t xml:space="preserve"> </w:t>
      </w:r>
      <w:r w:rsidRPr="005629F8">
        <w:rPr>
          <w:sz w:val="14"/>
          <w:lang w:val="en-AU"/>
        </w:rPr>
        <w:t>please</w:t>
      </w:r>
      <w:r w:rsidRPr="005629F8">
        <w:rPr>
          <w:spacing w:val="-2"/>
          <w:sz w:val="14"/>
          <w:lang w:val="en-AU"/>
        </w:rPr>
        <w:t xml:space="preserve"> </w:t>
      </w:r>
      <w:r w:rsidRPr="005629F8">
        <w:rPr>
          <w:sz w:val="14"/>
          <w:lang w:val="en-AU"/>
        </w:rPr>
        <w:t>refer</w:t>
      </w:r>
      <w:r w:rsidRPr="005629F8">
        <w:rPr>
          <w:spacing w:val="-3"/>
          <w:sz w:val="14"/>
          <w:lang w:val="en-AU"/>
        </w:rPr>
        <w:t xml:space="preserve"> </w:t>
      </w:r>
      <w:r w:rsidRPr="005629F8">
        <w:rPr>
          <w:sz w:val="14"/>
          <w:lang w:val="en-AU"/>
        </w:rPr>
        <w:t xml:space="preserve">to </w:t>
      </w:r>
      <w:r w:rsidRPr="005629F8">
        <w:rPr>
          <w:sz w:val="14"/>
          <w:szCs w:val="14"/>
          <w:lang w:val="en-AU"/>
        </w:rPr>
        <w:fldChar w:fldCharType="begin"/>
      </w:r>
      <w:r w:rsidRPr="005629F8">
        <w:rPr>
          <w:sz w:val="14"/>
          <w:szCs w:val="14"/>
          <w:lang w:val="en-AU"/>
        </w:rPr>
        <w:instrText xml:space="preserve"> REF _Ref103175315 \h  \* MERGEFORMAT </w:instrText>
      </w:r>
      <w:r w:rsidRPr="005629F8">
        <w:rPr>
          <w:sz w:val="14"/>
          <w:szCs w:val="14"/>
          <w:lang w:val="en-AU"/>
        </w:rPr>
      </w:r>
      <w:r w:rsidRPr="005629F8">
        <w:rPr>
          <w:sz w:val="14"/>
          <w:szCs w:val="14"/>
          <w:lang w:val="en-AU"/>
        </w:rPr>
        <w:fldChar w:fldCharType="separate"/>
      </w:r>
      <w:r w:rsidR="00BF088F" w:rsidRPr="005629F8">
        <w:rPr>
          <w:sz w:val="14"/>
          <w:szCs w:val="14"/>
          <w:lang w:val="en-AU"/>
        </w:rPr>
        <w:t>Appendix</w:t>
      </w:r>
      <w:r w:rsidR="00BF088F" w:rsidRPr="005629F8">
        <w:rPr>
          <w:spacing w:val="-2"/>
          <w:sz w:val="14"/>
          <w:szCs w:val="14"/>
          <w:lang w:val="en-AU"/>
        </w:rPr>
        <w:t xml:space="preserve"> </w:t>
      </w:r>
      <w:r w:rsidR="00BF088F" w:rsidRPr="005629F8">
        <w:rPr>
          <w:sz w:val="14"/>
          <w:szCs w:val="14"/>
          <w:lang w:val="en-AU"/>
        </w:rPr>
        <w:t>D:</w:t>
      </w:r>
      <w:r w:rsidR="00BF088F" w:rsidRPr="005629F8">
        <w:rPr>
          <w:spacing w:val="1"/>
          <w:sz w:val="14"/>
          <w:szCs w:val="14"/>
          <w:lang w:val="en-AU"/>
        </w:rPr>
        <w:t xml:space="preserve"> </w:t>
      </w:r>
      <w:r w:rsidR="00BF088F" w:rsidRPr="005629F8">
        <w:rPr>
          <w:sz w:val="14"/>
          <w:szCs w:val="14"/>
          <w:lang w:val="en-AU"/>
        </w:rPr>
        <w:t>Cost</w:t>
      </w:r>
      <w:r w:rsidR="00BF088F" w:rsidRPr="005629F8">
        <w:rPr>
          <w:spacing w:val="1"/>
          <w:sz w:val="14"/>
          <w:szCs w:val="14"/>
          <w:lang w:val="en-AU"/>
        </w:rPr>
        <w:t xml:space="preserve"> </w:t>
      </w:r>
      <w:r w:rsidR="00BF088F" w:rsidRPr="005629F8">
        <w:rPr>
          <w:sz w:val="14"/>
          <w:szCs w:val="14"/>
          <w:lang w:val="en-AU"/>
        </w:rPr>
        <w:t>weight</w:t>
      </w:r>
      <w:r w:rsidR="00BF088F" w:rsidRPr="005629F8">
        <w:rPr>
          <w:spacing w:val="1"/>
          <w:sz w:val="14"/>
          <w:szCs w:val="14"/>
          <w:lang w:val="en-AU"/>
        </w:rPr>
        <w:t xml:space="preserve"> </w:t>
      </w:r>
      <w:r w:rsidR="00BF088F" w:rsidRPr="005629F8">
        <w:rPr>
          <w:sz w:val="14"/>
          <w:szCs w:val="14"/>
          <w:lang w:val="en-AU"/>
        </w:rPr>
        <w:t>tables by AR-DRG Version 10.0</w:t>
      </w:r>
      <w:r w:rsidRPr="005629F8">
        <w:rPr>
          <w:sz w:val="14"/>
          <w:szCs w:val="14"/>
          <w:lang w:val="en-AU"/>
        </w:rPr>
        <w:fldChar w:fldCharType="end"/>
      </w:r>
    </w:p>
    <w:p w14:paraId="465FE166" w14:textId="77777777" w:rsidR="00E104B5" w:rsidRPr="005629F8" w:rsidRDefault="00E104B5" w:rsidP="000C38AE">
      <w:pPr>
        <w:pStyle w:val="ListParagraph"/>
        <w:widowControl w:val="0"/>
        <w:numPr>
          <w:ilvl w:val="0"/>
          <w:numId w:val="20"/>
        </w:numPr>
        <w:tabs>
          <w:tab w:val="left" w:pos="3967"/>
        </w:tabs>
        <w:autoSpaceDE w:val="0"/>
        <w:autoSpaceDN w:val="0"/>
        <w:spacing w:after="0" w:line="240" w:lineRule="auto"/>
        <w:ind w:left="340" w:hanging="56"/>
        <w:contextualSpacing w:val="0"/>
        <w:rPr>
          <w:sz w:val="14"/>
          <w:lang w:val="en-AU"/>
        </w:rPr>
      </w:pPr>
      <w:r w:rsidRPr="005629F8">
        <w:rPr>
          <w:sz w:val="14"/>
          <w:lang w:val="en-AU"/>
        </w:rPr>
        <w:t>Separations</w:t>
      </w:r>
      <w:r w:rsidRPr="005629F8">
        <w:rPr>
          <w:spacing w:val="-4"/>
          <w:sz w:val="14"/>
          <w:lang w:val="en-AU"/>
        </w:rPr>
        <w:t xml:space="preserve"> </w:t>
      </w:r>
      <w:r w:rsidRPr="005629F8">
        <w:rPr>
          <w:sz w:val="14"/>
          <w:lang w:val="en-AU"/>
        </w:rPr>
        <w:t>shown</w:t>
      </w:r>
      <w:r w:rsidRPr="005629F8">
        <w:rPr>
          <w:spacing w:val="-4"/>
          <w:sz w:val="14"/>
          <w:lang w:val="en-AU"/>
        </w:rPr>
        <w:t xml:space="preserve"> </w:t>
      </w:r>
      <w:r w:rsidRPr="005629F8">
        <w:rPr>
          <w:sz w:val="14"/>
          <w:lang w:val="en-AU"/>
        </w:rPr>
        <w:t>are</w:t>
      </w:r>
      <w:r w:rsidRPr="005629F8">
        <w:rPr>
          <w:spacing w:val="-1"/>
          <w:sz w:val="14"/>
          <w:lang w:val="en-AU"/>
        </w:rPr>
        <w:t xml:space="preserve"> </w:t>
      </w:r>
      <w:r w:rsidRPr="005629F8">
        <w:rPr>
          <w:sz w:val="14"/>
          <w:lang w:val="en-AU"/>
        </w:rPr>
        <w:t>strata weighted</w:t>
      </w:r>
      <w:r w:rsidRPr="005629F8">
        <w:rPr>
          <w:sz w:val="14"/>
          <w:lang w:val="en-AU"/>
        </w:rPr>
        <w:tab/>
      </w:r>
    </w:p>
    <w:p w14:paraId="6858DD74" w14:textId="5C066CB8" w:rsidR="00E104B5" w:rsidRPr="005629F8" w:rsidRDefault="00E104B5" w:rsidP="000C38AE">
      <w:pPr>
        <w:pStyle w:val="ListParagraph"/>
        <w:widowControl w:val="0"/>
        <w:numPr>
          <w:ilvl w:val="0"/>
          <w:numId w:val="20"/>
        </w:numPr>
        <w:tabs>
          <w:tab w:val="left" w:pos="3967"/>
        </w:tabs>
        <w:autoSpaceDE w:val="0"/>
        <w:autoSpaceDN w:val="0"/>
        <w:spacing w:after="0" w:line="240" w:lineRule="auto"/>
        <w:ind w:left="340" w:hanging="56"/>
        <w:contextualSpacing w:val="0"/>
        <w:rPr>
          <w:sz w:val="14"/>
          <w:lang w:val="en-AU"/>
        </w:rPr>
      </w:pPr>
      <w:r w:rsidRPr="005629F8">
        <w:rPr>
          <w:sz w:val="14"/>
          <w:lang w:val="en-AU"/>
        </w:rPr>
        <w:t>ALOS</w:t>
      </w:r>
      <w:r w:rsidRPr="005629F8">
        <w:rPr>
          <w:spacing w:val="-2"/>
          <w:sz w:val="14"/>
          <w:lang w:val="en-AU"/>
        </w:rPr>
        <w:t xml:space="preserve"> </w:t>
      </w:r>
      <w:r w:rsidRPr="005629F8">
        <w:rPr>
          <w:sz w:val="14"/>
          <w:lang w:val="en-AU"/>
        </w:rPr>
        <w:t>means Average</w:t>
      </w:r>
      <w:r w:rsidRPr="005629F8">
        <w:rPr>
          <w:spacing w:val="1"/>
          <w:sz w:val="14"/>
          <w:lang w:val="en-AU"/>
        </w:rPr>
        <w:t xml:space="preserve"> </w:t>
      </w:r>
      <w:r w:rsidRPr="005629F8">
        <w:rPr>
          <w:sz w:val="14"/>
          <w:lang w:val="en-AU"/>
        </w:rPr>
        <w:t>Length</w:t>
      </w:r>
      <w:r w:rsidRPr="005629F8">
        <w:rPr>
          <w:spacing w:val="-3"/>
          <w:sz w:val="14"/>
          <w:lang w:val="en-AU"/>
        </w:rPr>
        <w:t xml:space="preserve"> </w:t>
      </w:r>
      <w:r w:rsidRPr="005629F8">
        <w:rPr>
          <w:sz w:val="14"/>
          <w:lang w:val="en-AU"/>
        </w:rPr>
        <w:t>of</w:t>
      </w:r>
      <w:r w:rsidRPr="005629F8">
        <w:rPr>
          <w:spacing w:val="-1"/>
          <w:sz w:val="14"/>
          <w:lang w:val="en-AU"/>
        </w:rPr>
        <w:t xml:space="preserve"> </w:t>
      </w:r>
      <w:r w:rsidRPr="005629F8">
        <w:rPr>
          <w:sz w:val="14"/>
          <w:lang w:val="en-AU"/>
        </w:rPr>
        <w:t>Stay</w:t>
      </w:r>
    </w:p>
    <w:p w14:paraId="1F786976" w14:textId="77777777" w:rsidR="00DF244A" w:rsidRPr="005629F8" w:rsidRDefault="00DF244A" w:rsidP="00DF244A">
      <w:pPr>
        <w:jc w:val="right"/>
        <w:rPr>
          <w:highlight w:val="yellow"/>
          <w:lang w:val="en-AU"/>
        </w:rPr>
      </w:pPr>
    </w:p>
    <w:p w14:paraId="69FB69EC" w14:textId="77777777" w:rsidR="00DF244A" w:rsidRPr="005629F8" w:rsidRDefault="00DF244A" w:rsidP="00DF244A">
      <w:pPr>
        <w:rPr>
          <w:highlight w:val="yellow"/>
          <w:lang w:val="en-AU"/>
        </w:rPr>
      </w:pPr>
    </w:p>
    <w:p w14:paraId="44002713" w14:textId="697288EA" w:rsidR="00DF244A" w:rsidRPr="005629F8" w:rsidRDefault="00DF244A" w:rsidP="00DF244A">
      <w:pPr>
        <w:rPr>
          <w:highlight w:val="yellow"/>
          <w:lang w:val="en-AU"/>
        </w:rPr>
        <w:sectPr w:rsidR="00DF244A" w:rsidRPr="005629F8" w:rsidSect="00522146">
          <w:footerReference w:type="default" r:id="rId35"/>
          <w:pgSz w:w="16838" w:h="11906" w:orient="landscape" w:code="9"/>
          <w:pgMar w:top="567" w:right="567" w:bottom="567" w:left="567" w:header="709" w:footer="709" w:gutter="0"/>
          <w:cols w:space="720"/>
          <w:docGrid w:linePitch="360"/>
        </w:sectPr>
      </w:pPr>
    </w:p>
    <w:p w14:paraId="0B0DA174" w14:textId="5AF395CE" w:rsidR="00653930" w:rsidRPr="005629F8" w:rsidRDefault="00653930" w:rsidP="00FC4599">
      <w:pPr>
        <w:pStyle w:val="Heading2"/>
        <w:rPr>
          <w:color w:val="auto"/>
        </w:rPr>
      </w:pPr>
      <w:bookmarkStart w:id="140" w:name="_Toc129700685"/>
      <w:bookmarkStart w:id="141" w:name="_Toc129701378"/>
      <w:r w:rsidRPr="005629F8">
        <w:lastRenderedPageBreak/>
        <w:t>Analysis</w:t>
      </w:r>
      <w:r w:rsidRPr="005629F8">
        <w:rPr>
          <w:spacing w:val="-1"/>
        </w:rPr>
        <w:t xml:space="preserve"> </w:t>
      </w:r>
      <w:r w:rsidRPr="005629F8">
        <w:t>of</w:t>
      </w:r>
      <w:r w:rsidRPr="005629F8">
        <w:rPr>
          <w:spacing w:val="-1"/>
        </w:rPr>
        <w:t xml:space="preserve"> </w:t>
      </w:r>
      <w:r w:rsidRPr="005629F8">
        <w:t>cost</w:t>
      </w:r>
      <w:r w:rsidRPr="005629F8">
        <w:rPr>
          <w:spacing w:val="1"/>
        </w:rPr>
        <w:t xml:space="preserve"> </w:t>
      </w:r>
      <w:r w:rsidRPr="005629F8">
        <w:t>buckets</w:t>
      </w:r>
      <w:bookmarkEnd w:id="140"/>
      <w:bookmarkEnd w:id="141"/>
    </w:p>
    <w:p w14:paraId="24F7837C" w14:textId="79346A1B" w:rsidR="00653930" w:rsidRPr="005629F8" w:rsidRDefault="0016139F" w:rsidP="00653930">
      <w:pPr>
        <w:rPr>
          <w:lang w:val="en-AU"/>
        </w:rPr>
      </w:pPr>
      <w:r w:rsidRPr="005629F8">
        <w:rPr>
          <w:lang w:val="en-AU"/>
        </w:rPr>
        <w:t>A</w:t>
      </w:r>
      <w:r w:rsidR="00194F12" w:rsidRPr="005629F8">
        <w:rPr>
          <w:lang w:val="en-AU"/>
        </w:rPr>
        <w:t xml:space="preserve">nalysis of the cost buckets (operating room and specialist procedure suites, critical </w:t>
      </w:r>
      <w:r w:rsidR="00922289">
        <w:rPr>
          <w:lang w:val="en-AU"/>
        </w:rPr>
        <w:t>care,</w:t>
      </w:r>
      <w:r w:rsidR="004A40C4">
        <w:rPr>
          <w:lang w:val="en-AU"/>
        </w:rPr>
        <w:t xml:space="preserve"> </w:t>
      </w:r>
      <w:r w:rsidR="00194F12" w:rsidRPr="005629F8">
        <w:rPr>
          <w:lang w:val="en-AU"/>
        </w:rPr>
        <w:t>prostheses</w:t>
      </w:r>
      <w:r w:rsidR="00922289">
        <w:rPr>
          <w:lang w:val="en-AU"/>
        </w:rPr>
        <w:t xml:space="preserve"> and miscellaneous</w:t>
      </w:r>
      <w:r w:rsidR="00194F12" w:rsidRPr="005629F8">
        <w:rPr>
          <w:lang w:val="en-AU"/>
        </w:rPr>
        <w:t>) has been undertaken to identify the top 10 AR-DRGs</w:t>
      </w:r>
      <w:r w:rsidR="004A40C4">
        <w:rPr>
          <w:lang w:val="en-AU"/>
        </w:rPr>
        <w:t xml:space="preserve"> by </w:t>
      </w:r>
      <w:r w:rsidR="00922289">
        <w:rPr>
          <w:lang w:val="en-AU"/>
        </w:rPr>
        <w:t>proportion</w:t>
      </w:r>
      <w:r w:rsidR="004A40C4">
        <w:rPr>
          <w:lang w:val="en-AU"/>
        </w:rPr>
        <w:t xml:space="preserve"> of c</w:t>
      </w:r>
      <w:r w:rsidR="00922289">
        <w:rPr>
          <w:lang w:val="en-AU"/>
        </w:rPr>
        <w:t>ost</w:t>
      </w:r>
      <w:r w:rsidR="00194F12" w:rsidRPr="005629F8">
        <w:rPr>
          <w:lang w:val="en-AU"/>
        </w:rPr>
        <w:t xml:space="preserve"> for each of these buckets.</w:t>
      </w:r>
      <w:r w:rsidRPr="005629F8">
        <w:rPr>
          <w:lang w:val="en-AU"/>
        </w:rPr>
        <w:t xml:space="preserve"> </w:t>
      </w:r>
      <w:r w:rsidR="00653930" w:rsidRPr="005629F8">
        <w:rPr>
          <w:lang w:val="en-AU"/>
        </w:rPr>
        <w:t xml:space="preserve">The private sector NHCDC analysis has reported on the </w:t>
      </w:r>
      <w:r w:rsidR="00842BB6">
        <w:rPr>
          <w:lang w:val="en-AU"/>
        </w:rPr>
        <w:t xml:space="preserve">following </w:t>
      </w:r>
      <w:r w:rsidR="00653930" w:rsidRPr="005629F8">
        <w:rPr>
          <w:lang w:val="en-AU"/>
        </w:rPr>
        <w:t xml:space="preserve">cost buckets since </w:t>
      </w:r>
      <w:r w:rsidR="00653930" w:rsidRPr="005629F8">
        <w:rPr>
          <w:spacing w:val="-59"/>
          <w:lang w:val="en-AU"/>
        </w:rPr>
        <w:t xml:space="preserve">  </w:t>
      </w:r>
      <w:r w:rsidR="00653930" w:rsidRPr="005629F8">
        <w:rPr>
          <w:lang w:val="en-AU"/>
        </w:rPr>
        <w:t>2012-13:</w:t>
      </w:r>
    </w:p>
    <w:p w14:paraId="467BE332" w14:textId="17E2CF68" w:rsidR="00653930" w:rsidRPr="005629F8" w:rsidRDefault="00EB2C7F" w:rsidP="00653930">
      <w:pPr>
        <w:pStyle w:val="ListLevel1"/>
        <w:rPr>
          <w:lang w:val="en-AU"/>
        </w:rPr>
      </w:pPr>
      <w:r>
        <w:rPr>
          <w:lang w:val="en-AU"/>
        </w:rPr>
        <w:t>o</w:t>
      </w:r>
      <w:r w:rsidR="00653930" w:rsidRPr="005629F8">
        <w:rPr>
          <w:lang w:val="en-AU"/>
        </w:rPr>
        <w:t xml:space="preserve">perating </w:t>
      </w:r>
      <w:r w:rsidR="00922289">
        <w:rPr>
          <w:lang w:val="en-AU"/>
        </w:rPr>
        <w:t>r</w:t>
      </w:r>
      <w:r w:rsidR="00922289" w:rsidRPr="005629F8">
        <w:rPr>
          <w:lang w:val="en-AU"/>
        </w:rPr>
        <w:t xml:space="preserve">oom </w:t>
      </w:r>
      <w:r w:rsidR="00653930" w:rsidRPr="005629F8">
        <w:rPr>
          <w:lang w:val="en-AU"/>
        </w:rPr>
        <w:t xml:space="preserve">and </w:t>
      </w:r>
      <w:r w:rsidR="00922289">
        <w:rPr>
          <w:lang w:val="en-AU"/>
        </w:rPr>
        <w:t>s</w:t>
      </w:r>
      <w:r w:rsidR="00922289" w:rsidRPr="005629F8">
        <w:rPr>
          <w:lang w:val="en-AU"/>
        </w:rPr>
        <w:t xml:space="preserve">pecialist </w:t>
      </w:r>
      <w:r w:rsidR="00922289">
        <w:rPr>
          <w:lang w:val="en-AU"/>
        </w:rPr>
        <w:t>p</w:t>
      </w:r>
      <w:r w:rsidR="00653930" w:rsidRPr="005629F8">
        <w:rPr>
          <w:lang w:val="en-AU"/>
        </w:rPr>
        <w:t xml:space="preserve">rocedure </w:t>
      </w:r>
      <w:r w:rsidR="00922289">
        <w:rPr>
          <w:lang w:val="en-AU"/>
        </w:rPr>
        <w:t>s</w:t>
      </w:r>
      <w:r w:rsidR="00653930" w:rsidRPr="005629F8">
        <w:rPr>
          <w:lang w:val="en-AU"/>
        </w:rPr>
        <w:t>uites</w:t>
      </w:r>
      <w:r w:rsidR="009479C9">
        <w:rPr>
          <w:lang w:val="en-AU"/>
        </w:rPr>
        <w:t xml:space="preserve"> (OR and SPS)</w:t>
      </w:r>
    </w:p>
    <w:p w14:paraId="19C7C304" w14:textId="4F175F3F" w:rsidR="00653930" w:rsidRPr="005629F8" w:rsidRDefault="00EB2C7F" w:rsidP="00653930">
      <w:pPr>
        <w:pStyle w:val="ListLevel1"/>
        <w:rPr>
          <w:lang w:val="en-AU"/>
        </w:rPr>
      </w:pPr>
      <w:r>
        <w:rPr>
          <w:lang w:val="en-AU"/>
        </w:rPr>
        <w:t>c</w:t>
      </w:r>
      <w:r w:rsidR="00653930" w:rsidRPr="005629F8">
        <w:rPr>
          <w:lang w:val="en-AU"/>
        </w:rPr>
        <w:t>ritical care</w:t>
      </w:r>
    </w:p>
    <w:p w14:paraId="1F913FBB" w14:textId="7F1B8ED2" w:rsidR="00653930" w:rsidRPr="005629F8" w:rsidRDefault="00EB2C7F" w:rsidP="00653930">
      <w:pPr>
        <w:pStyle w:val="ListLevel1"/>
        <w:rPr>
          <w:lang w:val="en-AU"/>
        </w:rPr>
      </w:pPr>
      <w:r>
        <w:rPr>
          <w:lang w:val="en-AU"/>
        </w:rPr>
        <w:t>p</w:t>
      </w:r>
      <w:r w:rsidR="00653930" w:rsidRPr="005629F8">
        <w:rPr>
          <w:lang w:val="en-AU"/>
        </w:rPr>
        <w:t>rostheses</w:t>
      </w:r>
    </w:p>
    <w:p w14:paraId="2246A328" w14:textId="2BCBFB4C" w:rsidR="00653930" w:rsidRPr="005629F8" w:rsidRDefault="00EB2C7F" w:rsidP="00653930">
      <w:pPr>
        <w:pStyle w:val="ListLevel1"/>
        <w:rPr>
          <w:lang w:val="en-AU"/>
        </w:rPr>
      </w:pPr>
      <w:r>
        <w:rPr>
          <w:lang w:val="en-AU"/>
        </w:rPr>
        <w:t>m</w:t>
      </w:r>
      <w:r w:rsidR="00653930" w:rsidRPr="005629F8">
        <w:rPr>
          <w:lang w:val="en-AU"/>
        </w:rPr>
        <w:t xml:space="preserve">iscellaneous (representing the remainder of the cost buckets – see </w:t>
      </w:r>
      <w:r w:rsidR="00CA7F78" w:rsidRPr="005629F8">
        <w:rPr>
          <w:lang w:val="en-AU"/>
        </w:rPr>
        <w:fldChar w:fldCharType="begin"/>
      </w:r>
      <w:r w:rsidR="00CA7F78" w:rsidRPr="005629F8">
        <w:rPr>
          <w:lang w:val="en-AU"/>
        </w:rPr>
        <w:instrText xml:space="preserve"> REF _Ref103176206 \h  \* MERGEFORMAT </w:instrText>
      </w:r>
      <w:r w:rsidR="00CA7F78" w:rsidRPr="005629F8">
        <w:rPr>
          <w:lang w:val="en-AU"/>
        </w:rPr>
      </w:r>
      <w:r w:rsidR="00CA7F78" w:rsidRPr="005629F8">
        <w:rPr>
          <w:lang w:val="en-AU"/>
        </w:rPr>
        <w:fldChar w:fldCharType="separate"/>
      </w:r>
      <w:r w:rsidR="00CA7F78" w:rsidRPr="00F2253B">
        <w:rPr>
          <w:lang w:val="en-AU"/>
        </w:rPr>
        <w:t>Appendix B</w:t>
      </w:r>
      <w:r w:rsidR="00CA7F78" w:rsidRPr="005629F8">
        <w:rPr>
          <w:lang w:val="en-AU"/>
        </w:rPr>
        <w:fldChar w:fldCharType="end"/>
      </w:r>
      <w:r w:rsidR="00CA7F78">
        <w:rPr>
          <w:lang w:val="en-AU"/>
        </w:rPr>
        <w:t xml:space="preserve"> </w:t>
      </w:r>
      <w:r w:rsidR="00653930" w:rsidRPr="005629F8">
        <w:rPr>
          <w:lang w:val="en-AU"/>
        </w:rPr>
        <w:fldChar w:fldCharType="begin"/>
      </w:r>
      <w:r w:rsidR="00653930" w:rsidRPr="005629F8">
        <w:rPr>
          <w:lang w:val="en-AU"/>
        </w:rPr>
        <w:instrText xml:space="preserve"> REF _Ref103176206 \h  \* MERGEFORMAT </w:instrText>
      </w:r>
      <w:r w:rsidR="00653930" w:rsidRPr="005629F8">
        <w:rPr>
          <w:lang w:val="en-AU"/>
        </w:rPr>
      </w:r>
      <w:r w:rsidR="00653930" w:rsidRPr="005629F8">
        <w:rPr>
          <w:lang w:val="en-AU"/>
        </w:rPr>
        <w:fldChar w:fldCharType="end"/>
      </w:r>
      <w:r w:rsidR="00653930" w:rsidRPr="005629F8">
        <w:rPr>
          <w:lang w:val="en-AU"/>
        </w:rPr>
        <w:t>for the list of cost buckets).</w:t>
      </w:r>
    </w:p>
    <w:p w14:paraId="0AEDEE2E" w14:textId="1CC36CDA" w:rsidR="00653930" w:rsidRPr="005629F8" w:rsidRDefault="00653930" w:rsidP="00653930">
      <w:pPr>
        <w:rPr>
          <w:lang w:val="en-AU"/>
        </w:rPr>
      </w:pPr>
      <w:r w:rsidRPr="005629F8">
        <w:rPr>
          <w:lang w:val="en-AU"/>
        </w:rPr>
        <w:t>The</w:t>
      </w:r>
      <w:r w:rsidRPr="005629F8">
        <w:rPr>
          <w:spacing w:val="-2"/>
          <w:lang w:val="en-AU"/>
        </w:rPr>
        <w:t xml:space="preserve"> </w:t>
      </w:r>
      <w:r w:rsidRPr="005629F8">
        <w:rPr>
          <w:lang w:val="en-AU"/>
        </w:rPr>
        <w:t>same</w:t>
      </w:r>
      <w:r w:rsidRPr="005629F8">
        <w:rPr>
          <w:spacing w:val="-2"/>
          <w:lang w:val="en-AU"/>
        </w:rPr>
        <w:t xml:space="preserve"> </w:t>
      </w:r>
      <w:r w:rsidRPr="005629F8">
        <w:rPr>
          <w:lang w:val="en-AU"/>
        </w:rPr>
        <w:t>cost</w:t>
      </w:r>
      <w:r w:rsidRPr="005629F8">
        <w:rPr>
          <w:spacing w:val="2"/>
          <w:lang w:val="en-AU"/>
        </w:rPr>
        <w:t xml:space="preserve"> </w:t>
      </w:r>
      <w:r w:rsidRPr="005629F8">
        <w:rPr>
          <w:lang w:val="en-AU"/>
        </w:rPr>
        <w:t>buckets</w:t>
      </w:r>
      <w:r w:rsidRPr="005629F8">
        <w:rPr>
          <w:spacing w:val="-1"/>
          <w:lang w:val="en-AU"/>
        </w:rPr>
        <w:t xml:space="preserve"> </w:t>
      </w:r>
      <w:r w:rsidR="0034265B">
        <w:rPr>
          <w:lang w:val="en-AU"/>
        </w:rPr>
        <w:t xml:space="preserve">have been considered for </w:t>
      </w:r>
      <w:r w:rsidR="0016139F" w:rsidRPr="005629F8">
        <w:rPr>
          <w:lang w:val="en-AU"/>
        </w:rPr>
        <w:t>20</w:t>
      </w:r>
      <w:r w:rsidR="00A96EDB" w:rsidRPr="005629F8">
        <w:rPr>
          <w:lang w:val="en-AU"/>
        </w:rPr>
        <w:t>20-21</w:t>
      </w:r>
      <w:r w:rsidR="0034265B">
        <w:rPr>
          <w:lang w:val="en-AU"/>
        </w:rPr>
        <w:t xml:space="preserve">, with additional analysis on the </w:t>
      </w:r>
      <w:r w:rsidR="00DB117A">
        <w:rPr>
          <w:lang w:val="en-AU"/>
        </w:rPr>
        <w:t>w</w:t>
      </w:r>
      <w:r w:rsidR="0034265B">
        <w:rPr>
          <w:lang w:val="en-AU"/>
        </w:rPr>
        <w:t xml:space="preserve">ard </w:t>
      </w:r>
      <w:r w:rsidR="00DB117A">
        <w:rPr>
          <w:lang w:val="en-AU"/>
        </w:rPr>
        <w:t xml:space="preserve">nursing </w:t>
      </w:r>
      <w:r w:rsidR="0034265B">
        <w:rPr>
          <w:lang w:val="en-AU"/>
        </w:rPr>
        <w:t>cost bucket presented in this year’s report</w:t>
      </w:r>
      <w:r w:rsidRPr="005629F8">
        <w:rPr>
          <w:lang w:val="en-AU"/>
        </w:rPr>
        <w:t>.</w:t>
      </w:r>
    </w:p>
    <w:p w14:paraId="38958444" w14:textId="3A83F8A6" w:rsidR="00653930" w:rsidRPr="005629F8" w:rsidRDefault="0065012E" w:rsidP="00E87B16">
      <w:pPr>
        <w:pStyle w:val="Heading4"/>
      </w:pPr>
      <w:r w:rsidRPr="005629F8">
        <w:t>C</w:t>
      </w:r>
      <w:r w:rsidR="00EF49FC" w:rsidRPr="005629F8">
        <w:t xml:space="preserve">omparison with previous </w:t>
      </w:r>
      <w:r w:rsidRPr="005629F8">
        <w:t>years</w:t>
      </w:r>
    </w:p>
    <w:p w14:paraId="4AE70045" w14:textId="77777777" w:rsidR="0068730C" w:rsidRPr="00B97016" w:rsidRDefault="0068730C" w:rsidP="00E87B16">
      <w:pPr>
        <w:pStyle w:val="TableFigureheading"/>
      </w:pPr>
      <w:bookmarkStart w:id="142" w:name="_Ref127868773"/>
      <w:bookmarkStart w:id="143" w:name="_Toc129263253"/>
      <w:r w:rsidRPr="00B97016">
        <w:t xml:space="preserve">Figure </w:t>
      </w:r>
      <w:r w:rsidRPr="00996578">
        <w:fldChar w:fldCharType="begin"/>
      </w:r>
      <w:r w:rsidRPr="00B97016">
        <w:instrText xml:space="preserve"> SEQ Figure \* ARABIC </w:instrText>
      </w:r>
      <w:r w:rsidRPr="00996578">
        <w:fldChar w:fldCharType="separate"/>
      </w:r>
      <w:r w:rsidRPr="00B97016">
        <w:rPr>
          <w:noProof/>
        </w:rPr>
        <w:t>14</w:t>
      </w:r>
      <w:r w:rsidRPr="00996578">
        <w:fldChar w:fldCharType="end"/>
      </w:r>
      <w:bookmarkEnd w:id="142"/>
      <w:r w:rsidRPr="00B97016">
        <w:t>. Breakdown of costs by cost bucket group</w:t>
      </w:r>
      <w:bookmarkEnd w:id="143"/>
    </w:p>
    <w:p w14:paraId="3EE8EA21" w14:textId="23968D78" w:rsidR="00012A42" w:rsidRDefault="00012A42" w:rsidP="00653930">
      <w:pPr>
        <w:rPr>
          <w:b/>
          <w:u w:val="single"/>
          <w:lang w:val="en-AU"/>
        </w:rPr>
      </w:pPr>
      <w:r w:rsidRPr="00012A42">
        <w:rPr>
          <w:noProof/>
          <w:lang w:val="en-US"/>
        </w:rPr>
        <w:drawing>
          <wp:inline distT="0" distB="0" distL="0" distR="0" wp14:anchorId="48CAE72B" wp14:editId="00A134B4">
            <wp:extent cx="6192520" cy="2813538"/>
            <wp:effectExtent l="0" t="0" r="0" b="6350"/>
            <wp:docPr id="50" name="Picture 50" descr="Breakdown of costs by cost bucket group&#10;&#10;This is a column graph which shows the proportion of costs allocated to each cost bucket over the past six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reakdown of costs by cost bucket group&#10;&#10;This is a column graph which shows the proportion of costs allocated to each cost bucket over the past six ye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3918" cy="2814173"/>
                    </a:xfrm>
                    <a:prstGeom prst="rect">
                      <a:avLst/>
                    </a:prstGeom>
                    <a:noFill/>
                    <a:ln>
                      <a:noFill/>
                    </a:ln>
                  </pic:spPr>
                </pic:pic>
              </a:graphicData>
            </a:graphic>
          </wp:inline>
        </w:drawing>
      </w:r>
    </w:p>
    <w:p w14:paraId="5C3661B4" w14:textId="24416403" w:rsidR="00F77A81" w:rsidRPr="005629F8" w:rsidRDefault="00D61BAD" w:rsidP="00653930">
      <w:pPr>
        <w:rPr>
          <w:lang w:val="en-AU"/>
        </w:rPr>
      </w:pPr>
      <w:r w:rsidRPr="005629F8">
        <w:rPr>
          <w:color w:val="auto"/>
          <w:lang w:val="en-AU"/>
        </w:rPr>
        <w:fldChar w:fldCharType="begin"/>
      </w:r>
      <w:r w:rsidRPr="005629F8">
        <w:rPr>
          <w:rStyle w:val="Hyperlink"/>
          <w:color w:val="auto"/>
          <w:spacing w:val="-3"/>
          <w:u w:val="none"/>
          <w:lang w:val="en-AU"/>
        </w:rPr>
        <w:instrText xml:space="preserve"> REF _Ref127868773 \h </w:instrText>
      </w:r>
      <w:r w:rsidR="00EF49FC" w:rsidRPr="005629F8">
        <w:rPr>
          <w:color w:val="auto"/>
          <w:lang w:val="en-AU"/>
        </w:rPr>
        <w:instrText xml:space="preserve"> \* MERGEFORMAT </w:instrText>
      </w:r>
      <w:r w:rsidRPr="005629F8">
        <w:rPr>
          <w:color w:val="auto"/>
          <w:lang w:val="en-AU"/>
        </w:rPr>
      </w:r>
      <w:r w:rsidRPr="005629F8">
        <w:rPr>
          <w:color w:val="auto"/>
          <w:lang w:val="en-AU"/>
        </w:rPr>
        <w:fldChar w:fldCharType="separate"/>
      </w:r>
      <w:r w:rsidR="00F2253B" w:rsidRPr="005629F8">
        <w:rPr>
          <w:color w:val="auto"/>
          <w:lang w:val="en-AU"/>
        </w:rPr>
        <w:t xml:space="preserve">Figure </w:t>
      </w:r>
      <w:r w:rsidR="00F2253B" w:rsidRPr="005629F8">
        <w:rPr>
          <w:noProof/>
          <w:color w:val="auto"/>
          <w:lang w:val="en-AU"/>
        </w:rPr>
        <w:t>14</w:t>
      </w:r>
      <w:r w:rsidRPr="005629F8">
        <w:rPr>
          <w:color w:val="auto"/>
          <w:lang w:val="en-AU"/>
        </w:rPr>
        <w:fldChar w:fldCharType="end"/>
      </w:r>
      <w:r w:rsidR="0065012E" w:rsidRPr="005629F8">
        <w:rPr>
          <w:color w:val="auto"/>
          <w:lang w:val="en-AU"/>
        </w:rPr>
        <w:t xml:space="preserve"> </w:t>
      </w:r>
      <w:r w:rsidR="00653930" w:rsidRPr="005629F8">
        <w:rPr>
          <w:color w:val="auto"/>
          <w:lang w:val="en-AU"/>
        </w:rPr>
        <w:t>illustrate</w:t>
      </w:r>
      <w:r w:rsidR="0065012E" w:rsidRPr="005629F8">
        <w:rPr>
          <w:color w:val="auto"/>
          <w:lang w:val="en-AU"/>
        </w:rPr>
        <w:t>s</w:t>
      </w:r>
      <w:r w:rsidR="00653930" w:rsidRPr="005629F8">
        <w:rPr>
          <w:color w:val="auto"/>
          <w:spacing w:val="-3"/>
          <w:lang w:val="en-AU"/>
        </w:rPr>
        <w:t xml:space="preserve"> </w:t>
      </w:r>
      <w:r w:rsidR="00653930" w:rsidRPr="005629F8">
        <w:rPr>
          <w:color w:val="auto"/>
          <w:lang w:val="en-AU"/>
        </w:rPr>
        <w:t>the</w:t>
      </w:r>
      <w:r w:rsidR="00653930" w:rsidRPr="005629F8">
        <w:rPr>
          <w:color w:val="auto"/>
          <w:spacing w:val="-1"/>
          <w:lang w:val="en-AU"/>
        </w:rPr>
        <w:t xml:space="preserve"> </w:t>
      </w:r>
      <w:r w:rsidR="00653930" w:rsidRPr="005629F8">
        <w:rPr>
          <w:color w:val="auto"/>
          <w:lang w:val="en-AU"/>
        </w:rPr>
        <w:t>differences</w:t>
      </w:r>
      <w:r w:rsidR="00653930" w:rsidRPr="005629F8">
        <w:rPr>
          <w:color w:val="auto"/>
          <w:spacing w:val="-1"/>
          <w:lang w:val="en-AU"/>
        </w:rPr>
        <w:t xml:space="preserve"> </w:t>
      </w:r>
      <w:r w:rsidR="00653930" w:rsidRPr="005629F8">
        <w:rPr>
          <w:color w:val="auto"/>
          <w:lang w:val="en-AU"/>
        </w:rPr>
        <w:t xml:space="preserve">in the </w:t>
      </w:r>
      <w:r w:rsidR="00922289" w:rsidRPr="005629F8">
        <w:rPr>
          <w:color w:val="auto"/>
          <w:lang w:val="en-AU"/>
        </w:rPr>
        <w:t>cost bucket proportion</w:t>
      </w:r>
      <w:r w:rsidR="00653930" w:rsidRPr="005629F8">
        <w:rPr>
          <w:color w:val="auto"/>
          <w:spacing w:val="-1"/>
          <w:lang w:val="en-AU"/>
        </w:rPr>
        <w:t xml:space="preserve"> </w:t>
      </w:r>
      <w:r w:rsidR="0065012E" w:rsidRPr="005629F8">
        <w:rPr>
          <w:color w:val="auto"/>
          <w:lang w:val="en-AU"/>
        </w:rPr>
        <w:t>over the last six years</w:t>
      </w:r>
      <w:r w:rsidR="00653930" w:rsidRPr="005629F8">
        <w:rPr>
          <w:color w:val="auto"/>
          <w:lang w:val="en-AU"/>
        </w:rPr>
        <w:t xml:space="preserve">. </w:t>
      </w:r>
      <w:r w:rsidR="003B76DB">
        <w:rPr>
          <w:lang w:val="en-AU"/>
        </w:rPr>
        <w:t>T</w:t>
      </w:r>
      <w:r w:rsidR="003B76DB" w:rsidRPr="005629F8">
        <w:rPr>
          <w:lang w:val="en-AU"/>
        </w:rPr>
        <w:t>he distribution of costs across the four cost buckets has remained reasonably consistent</w:t>
      </w:r>
      <w:r w:rsidR="003B76DB">
        <w:rPr>
          <w:color w:val="auto"/>
          <w:lang w:val="en-AU"/>
        </w:rPr>
        <w:t xml:space="preserve">, despite the </w:t>
      </w:r>
      <w:r w:rsidR="00922289" w:rsidRPr="005629F8">
        <w:rPr>
          <w:color w:val="auto"/>
          <w:lang w:val="en-AU"/>
        </w:rPr>
        <w:t>changes to</w:t>
      </w:r>
      <w:r w:rsidR="00045857" w:rsidRPr="005629F8">
        <w:rPr>
          <w:color w:val="auto"/>
          <w:lang w:val="en-AU"/>
        </w:rPr>
        <w:t xml:space="preserve"> the volume of activity and costs incurred by the private sector as result of the COVID</w:t>
      </w:r>
      <w:r w:rsidR="00045857" w:rsidRPr="005629F8">
        <w:rPr>
          <w:lang w:val="en-AU"/>
        </w:rPr>
        <w:t>-19 pandemic and restrictions to elective surgeries</w:t>
      </w:r>
      <w:r w:rsidR="003B76DB">
        <w:rPr>
          <w:lang w:val="en-AU"/>
        </w:rPr>
        <w:t>.</w:t>
      </w:r>
      <w:r w:rsidR="00F77A81" w:rsidRPr="005629F8">
        <w:rPr>
          <w:lang w:val="en-AU"/>
        </w:rPr>
        <w:t xml:space="preserve"> The following changes are </w:t>
      </w:r>
      <w:r w:rsidR="0068730C">
        <w:rPr>
          <w:lang w:val="en-AU"/>
        </w:rPr>
        <w:t>observed</w:t>
      </w:r>
      <w:r w:rsidR="00F77A81" w:rsidRPr="005629F8">
        <w:rPr>
          <w:lang w:val="en-AU"/>
        </w:rPr>
        <w:t>:</w:t>
      </w:r>
    </w:p>
    <w:p w14:paraId="5C514E8D" w14:textId="7BA694CA" w:rsidR="00F77A81" w:rsidRPr="0068730C" w:rsidRDefault="003B76DB">
      <w:pPr>
        <w:pStyle w:val="ListLevel1"/>
        <w:rPr>
          <w:lang w:val="en-AU"/>
        </w:rPr>
      </w:pPr>
      <w:r>
        <w:rPr>
          <w:lang w:val="en-AU"/>
        </w:rPr>
        <w:t>The proportion of c</w:t>
      </w:r>
      <w:r w:rsidR="00F77A81" w:rsidRPr="005629F8">
        <w:rPr>
          <w:lang w:val="en-AU"/>
        </w:rPr>
        <w:t xml:space="preserve">osts allocated to operating rooms and specialist procedure suites </w:t>
      </w:r>
      <w:r w:rsidR="00633FCA" w:rsidRPr="005629F8">
        <w:rPr>
          <w:lang w:val="en-AU"/>
        </w:rPr>
        <w:t>in 2020-21 has increased by 1.2</w:t>
      </w:r>
      <w:r w:rsidR="00922289" w:rsidRPr="0068730C">
        <w:rPr>
          <w:lang w:val="en-AU"/>
        </w:rPr>
        <w:t xml:space="preserve"> per cent to 28.9 per cent</w:t>
      </w:r>
      <w:r w:rsidR="00633FCA" w:rsidRPr="005629F8">
        <w:rPr>
          <w:lang w:val="en-AU"/>
        </w:rPr>
        <w:t xml:space="preserve"> in comparison to 2019</w:t>
      </w:r>
      <w:r w:rsidR="00C82F8C" w:rsidRPr="0068730C">
        <w:rPr>
          <w:lang w:val="en-AU"/>
        </w:rPr>
        <w:noBreakHyphen/>
      </w:r>
      <w:r w:rsidR="00633FCA" w:rsidRPr="005629F8">
        <w:rPr>
          <w:lang w:val="en-AU"/>
        </w:rPr>
        <w:t>20.</w:t>
      </w:r>
      <w:r w:rsidR="00922289" w:rsidRPr="0068730C">
        <w:rPr>
          <w:lang w:val="en-AU"/>
        </w:rPr>
        <w:t xml:space="preserve"> T</w:t>
      </w:r>
      <w:r w:rsidR="00633FCA" w:rsidRPr="005629F8">
        <w:rPr>
          <w:lang w:val="en-AU"/>
        </w:rPr>
        <w:t>he proportion of costs allocated to this cost bucket in 2020-21 is</w:t>
      </w:r>
      <w:r w:rsidR="00922289" w:rsidRPr="0068730C">
        <w:rPr>
          <w:lang w:val="en-AU"/>
        </w:rPr>
        <w:t xml:space="preserve"> the highest it has been for</w:t>
      </w:r>
      <w:r w:rsidR="00633FCA" w:rsidRPr="005629F8">
        <w:rPr>
          <w:lang w:val="en-AU"/>
        </w:rPr>
        <w:t xml:space="preserve"> the past six years.</w:t>
      </w:r>
    </w:p>
    <w:p w14:paraId="01744CEF" w14:textId="416094ED" w:rsidR="00922289" w:rsidRPr="005629F8" w:rsidRDefault="003B76DB">
      <w:pPr>
        <w:pStyle w:val="ListLevel1"/>
        <w:rPr>
          <w:lang w:val="en-AU"/>
        </w:rPr>
      </w:pPr>
      <w:r>
        <w:rPr>
          <w:lang w:val="en-AU"/>
        </w:rPr>
        <w:t>The proportion of c</w:t>
      </w:r>
      <w:r w:rsidR="00922289" w:rsidRPr="0068730C">
        <w:rPr>
          <w:lang w:val="en-AU"/>
        </w:rPr>
        <w:t>ost</w:t>
      </w:r>
      <w:r w:rsidR="00E41DDF">
        <w:rPr>
          <w:lang w:val="en-AU"/>
        </w:rPr>
        <w:t>s</w:t>
      </w:r>
      <w:r w:rsidR="00922289" w:rsidRPr="0068730C">
        <w:rPr>
          <w:lang w:val="en-AU"/>
        </w:rPr>
        <w:t xml:space="preserve"> allocated to critical care has remained</w:t>
      </w:r>
      <w:r>
        <w:rPr>
          <w:lang w:val="en-AU"/>
        </w:rPr>
        <w:t xml:space="preserve"> reasonably</w:t>
      </w:r>
      <w:r w:rsidR="00922289" w:rsidRPr="0068730C">
        <w:rPr>
          <w:lang w:val="en-AU"/>
        </w:rPr>
        <w:t xml:space="preserve"> stable in </w:t>
      </w:r>
      <w:r w:rsidR="00A70F44">
        <w:rPr>
          <w:lang w:val="en-AU"/>
        </w:rPr>
        <w:br/>
      </w:r>
      <w:r w:rsidR="00922289" w:rsidRPr="0068730C">
        <w:rPr>
          <w:lang w:val="en-AU"/>
        </w:rPr>
        <w:t>2020-21 at 5.6 per cent</w:t>
      </w:r>
      <w:r>
        <w:rPr>
          <w:lang w:val="en-AU"/>
        </w:rPr>
        <w:t>.</w:t>
      </w:r>
      <w:r w:rsidR="00922289" w:rsidRPr="0068730C">
        <w:rPr>
          <w:lang w:val="en-AU"/>
        </w:rPr>
        <w:t xml:space="preserve"> </w:t>
      </w:r>
      <w:r>
        <w:rPr>
          <w:lang w:val="en-AU"/>
        </w:rPr>
        <w:t>T</w:t>
      </w:r>
      <w:r w:rsidR="00922289" w:rsidRPr="0068730C">
        <w:rPr>
          <w:lang w:val="en-AU"/>
        </w:rPr>
        <w:t xml:space="preserve">his cost bucket </w:t>
      </w:r>
      <w:r>
        <w:rPr>
          <w:lang w:val="en-AU"/>
        </w:rPr>
        <w:t xml:space="preserve">consistently </w:t>
      </w:r>
      <w:r w:rsidR="00922289" w:rsidRPr="0068730C">
        <w:rPr>
          <w:lang w:val="en-AU"/>
        </w:rPr>
        <w:t xml:space="preserve">makes up </w:t>
      </w:r>
      <w:r>
        <w:rPr>
          <w:lang w:val="en-AU"/>
        </w:rPr>
        <w:t xml:space="preserve">the smallest </w:t>
      </w:r>
      <w:r w:rsidR="00922289" w:rsidRPr="0068730C">
        <w:rPr>
          <w:lang w:val="en-AU"/>
        </w:rPr>
        <w:t>proportion of total cost</w:t>
      </w:r>
      <w:r>
        <w:rPr>
          <w:lang w:val="en-AU"/>
        </w:rPr>
        <w:t>s</w:t>
      </w:r>
      <w:r w:rsidR="00922289" w:rsidRPr="0068730C">
        <w:rPr>
          <w:lang w:val="en-AU"/>
        </w:rPr>
        <w:t>.</w:t>
      </w:r>
    </w:p>
    <w:p w14:paraId="785F0ACA" w14:textId="1F318FB9" w:rsidR="00633FCA" w:rsidRPr="005629F8" w:rsidRDefault="003B76DB" w:rsidP="00633FCA">
      <w:pPr>
        <w:pStyle w:val="ListLevel1"/>
        <w:rPr>
          <w:lang w:val="en-AU"/>
        </w:rPr>
      </w:pPr>
      <w:r>
        <w:rPr>
          <w:lang w:val="en-AU"/>
        </w:rPr>
        <w:lastRenderedPageBreak/>
        <w:t>The proportion of c</w:t>
      </w:r>
      <w:r w:rsidR="00633FCA" w:rsidRPr="005629F8">
        <w:rPr>
          <w:lang w:val="en-AU"/>
        </w:rPr>
        <w:t xml:space="preserve">osts allocated to </w:t>
      </w:r>
      <w:r w:rsidR="00922289" w:rsidRPr="0068730C">
        <w:rPr>
          <w:lang w:val="en-AU"/>
        </w:rPr>
        <w:t>p</w:t>
      </w:r>
      <w:r w:rsidR="00633FCA" w:rsidRPr="005629F8">
        <w:rPr>
          <w:lang w:val="en-AU"/>
        </w:rPr>
        <w:t>rostheses in 2020-21 ha</w:t>
      </w:r>
      <w:r>
        <w:rPr>
          <w:lang w:val="en-AU"/>
        </w:rPr>
        <w:t>s</w:t>
      </w:r>
      <w:r w:rsidR="00633FCA" w:rsidRPr="005629F8">
        <w:rPr>
          <w:lang w:val="en-AU"/>
        </w:rPr>
        <w:t xml:space="preserve"> increased by 1.4</w:t>
      </w:r>
      <w:r w:rsidR="00922289" w:rsidRPr="0068730C">
        <w:rPr>
          <w:lang w:val="en-AU"/>
        </w:rPr>
        <w:t xml:space="preserve"> per cent to 18.6 per cent</w:t>
      </w:r>
      <w:r w:rsidR="00633FCA" w:rsidRPr="005629F8">
        <w:rPr>
          <w:lang w:val="en-AU"/>
        </w:rPr>
        <w:t xml:space="preserve"> in comparison to 2019</w:t>
      </w:r>
      <w:r w:rsidR="00C84E77" w:rsidRPr="0068730C">
        <w:rPr>
          <w:lang w:val="en-AU"/>
        </w:rPr>
        <w:noBreakHyphen/>
      </w:r>
      <w:r w:rsidR="00633FCA" w:rsidRPr="005629F8">
        <w:rPr>
          <w:lang w:val="en-AU"/>
        </w:rPr>
        <w:t xml:space="preserve">20. </w:t>
      </w:r>
      <w:r>
        <w:rPr>
          <w:lang w:val="en-AU"/>
        </w:rPr>
        <w:t xml:space="preserve">This </w:t>
      </w:r>
      <w:r w:rsidR="00633FCA" w:rsidRPr="005629F8">
        <w:rPr>
          <w:lang w:val="en-AU"/>
        </w:rPr>
        <w:t xml:space="preserve">is </w:t>
      </w:r>
      <w:r w:rsidR="00922289" w:rsidRPr="0068730C">
        <w:rPr>
          <w:lang w:val="en-AU"/>
        </w:rPr>
        <w:t xml:space="preserve">the </w:t>
      </w:r>
      <w:r w:rsidR="00633FCA" w:rsidRPr="005629F8">
        <w:rPr>
          <w:lang w:val="en-AU"/>
        </w:rPr>
        <w:t>highe</w:t>
      </w:r>
      <w:r w:rsidR="00922289" w:rsidRPr="0068730C">
        <w:rPr>
          <w:lang w:val="en-AU"/>
        </w:rPr>
        <w:t>st it has been since 2017-18</w:t>
      </w:r>
      <w:r w:rsidR="00633FCA" w:rsidRPr="005629F8">
        <w:rPr>
          <w:lang w:val="en-AU"/>
        </w:rPr>
        <w:t>.</w:t>
      </w:r>
    </w:p>
    <w:p w14:paraId="5AFFEEBB" w14:textId="3217A3F2" w:rsidR="00653930" w:rsidRPr="005629F8" w:rsidRDefault="00633FCA" w:rsidP="005629F8">
      <w:pPr>
        <w:pStyle w:val="ListLevel1"/>
        <w:rPr>
          <w:lang w:val="en-AU"/>
        </w:rPr>
      </w:pPr>
      <w:r w:rsidRPr="005629F8">
        <w:rPr>
          <w:lang w:val="en-AU"/>
        </w:rPr>
        <w:t xml:space="preserve">Costs allocated to </w:t>
      </w:r>
      <w:r w:rsidR="00A70F44">
        <w:rPr>
          <w:lang w:val="en-AU"/>
        </w:rPr>
        <w:t xml:space="preserve">the </w:t>
      </w:r>
      <w:r w:rsidRPr="005629F8">
        <w:rPr>
          <w:lang w:val="en-AU"/>
        </w:rPr>
        <w:t xml:space="preserve">miscellaneous </w:t>
      </w:r>
      <w:r w:rsidR="00A70F44">
        <w:rPr>
          <w:lang w:val="en-AU"/>
        </w:rPr>
        <w:t xml:space="preserve">cost bucket </w:t>
      </w:r>
      <w:r w:rsidRPr="005629F8">
        <w:rPr>
          <w:lang w:val="en-AU"/>
        </w:rPr>
        <w:t>in 2020-21 has decreased by 2.4</w:t>
      </w:r>
      <w:r w:rsidR="009479C9" w:rsidRPr="0068730C">
        <w:rPr>
          <w:lang w:val="en-AU"/>
        </w:rPr>
        <w:t xml:space="preserve"> per cent to 46.9 per cent</w:t>
      </w:r>
      <w:r w:rsidRPr="005629F8">
        <w:rPr>
          <w:lang w:val="en-AU"/>
        </w:rPr>
        <w:t xml:space="preserve"> in comparison to 2019-20. </w:t>
      </w:r>
      <w:r w:rsidR="003B76DB">
        <w:rPr>
          <w:lang w:val="en-AU"/>
        </w:rPr>
        <w:t xml:space="preserve">This </w:t>
      </w:r>
      <w:r w:rsidR="009479C9" w:rsidRPr="0068730C">
        <w:rPr>
          <w:lang w:val="en-AU"/>
        </w:rPr>
        <w:t>is the lowest it has been for</w:t>
      </w:r>
      <w:r w:rsidRPr="005629F8">
        <w:rPr>
          <w:lang w:val="en-AU"/>
        </w:rPr>
        <w:t xml:space="preserve"> the </w:t>
      </w:r>
      <w:r w:rsidR="003E0BC9">
        <w:rPr>
          <w:lang w:val="en-AU"/>
        </w:rPr>
        <w:t>last</w:t>
      </w:r>
      <w:r w:rsidR="003E0BC9" w:rsidRPr="005629F8">
        <w:rPr>
          <w:lang w:val="en-AU"/>
        </w:rPr>
        <w:t xml:space="preserve"> </w:t>
      </w:r>
      <w:r w:rsidRPr="005629F8">
        <w:rPr>
          <w:lang w:val="en-AU"/>
        </w:rPr>
        <w:t xml:space="preserve">six </w:t>
      </w:r>
      <w:r w:rsidR="003E0BC9">
        <w:rPr>
          <w:lang w:val="en-AU"/>
        </w:rPr>
        <w:t xml:space="preserve">reported </w:t>
      </w:r>
      <w:r w:rsidRPr="005629F8">
        <w:rPr>
          <w:lang w:val="en-AU"/>
        </w:rPr>
        <w:t>years.</w:t>
      </w:r>
    </w:p>
    <w:p w14:paraId="27766775" w14:textId="77777777" w:rsidR="00653930" w:rsidRPr="005629F8" w:rsidRDefault="00653930" w:rsidP="00653930">
      <w:pPr>
        <w:rPr>
          <w:lang w:val="en-AU"/>
        </w:rPr>
      </w:pPr>
      <w:r w:rsidRPr="005629F8">
        <w:rPr>
          <w:lang w:val="en-AU"/>
        </w:rPr>
        <w:t>Changes</w:t>
      </w:r>
      <w:r w:rsidRPr="005629F8">
        <w:rPr>
          <w:spacing w:val="-2"/>
          <w:lang w:val="en-AU"/>
        </w:rPr>
        <w:t xml:space="preserve"> </w:t>
      </w:r>
      <w:r w:rsidRPr="005629F8">
        <w:rPr>
          <w:lang w:val="en-AU"/>
        </w:rPr>
        <w:t>in cost</w:t>
      </w:r>
      <w:r w:rsidRPr="005629F8">
        <w:rPr>
          <w:spacing w:val="2"/>
          <w:lang w:val="en-AU"/>
        </w:rPr>
        <w:t xml:space="preserve"> </w:t>
      </w:r>
      <w:r w:rsidRPr="005629F8">
        <w:rPr>
          <w:lang w:val="en-AU"/>
        </w:rPr>
        <w:t>buckets</w:t>
      </w:r>
      <w:r w:rsidRPr="005629F8">
        <w:rPr>
          <w:spacing w:val="-1"/>
          <w:lang w:val="en-AU"/>
        </w:rPr>
        <w:t xml:space="preserve"> </w:t>
      </w:r>
      <w:r w:rsidRPr="005629F8">
        <w:rPr>
          <w:lang w:val="en-AU"/>
        </w:rPr>
        <w:t>may</w:t>
      </w:r>
      <w:r w:rsidRPr="005629F8">
        <w:rPr>
          <w:spacing w:val="-2"/>
          <w:lang w:val="en-AU"/>
        </w:rPr>
        <w:t xml:space="preserve"> </w:t>
      </w:r>
      <w:r w:rsidRPr="005629F8">
        <w:rPr>
          <w:lang w:val="en-AU"/>
        </w:rPr>
        <w:t>be due</w:t>
      </w:r>
      <w:r w:rsidRPr="005629F8">
        <w:rPr>
          <w:spacing w:val="-4"/>
          <w:lang w:val="en-AU"/>
        </w:rPr>
        <w:t xml:space="preserve"> </w:t>
      </w:r>
      <w:r w:rsidRPr="005629F8">
        <w:rPr>
          <w:lang w:val="en-AU"/>
        </w:rPr>
        <w:t>to:</w:t>
      </w:r>
    </w:p>
    <w:p w14:paraId="046BC016" w14:textId="43E890BF" w:rsidR="00653930" w:rsidRPr="005629F8" w:rsidRDefault="00653930" w:rsidP="00653930">
      <w:pPr>
        <w:pStyle w:val="ListLevel1"/>
        <w:rPr>
          <w:lang w:val="en-AU"/>
        </w:rPr>
      </w:pPr>
      <w:r w:rsidRPr="005629F8">
        <w:rPr>
          <w:lang w:val="en-AU"/>
        </w:rPr>
        <w:t>improvements in the accuracy of cost allocations through quality improvement of the participant’s feeder data and/or allocation statistics</w:t>
      </w:r>
    </w:p>
    <w:p w14:paraId="34B4B188" w14:textId="4C05D823" w:rsidR="00653930" w:rsidRPr="005629F8" w:rsidRDefault="00653930" w:rsidP="00653930">
      <w:pPr>
        <w:pStyle w:val="ListLevel1"/>
        <w:rPr>
          <w:lang w:val="en-AU"/>
        </w:rPr>
      </w:pPr>
      <w:r w:rsidRPr="005629F8">
        <w:rPr>
          <w:lang w:val="en-AU"/>
        </w:rPr>
        <w:t>changes in service weights</w:t>
      </w:r>
    </w:p>
    <w:p w14:paraId="15DEF31A" w14:textId="1AA8B51F" w:rsidR="00C84E77" w:rsidRDefault="00653930" w:rsidP="009F7ED2">
      <w:pPr>
        <w:pStyle w:val="ListLevel1"/>
        <w:spacing w:line="259" w:lineRule="auto"/>
        <w:rPr>
          <w:lang w:val="en-AU"/>
        </w:rPr>
      </w:pPr>
      <w:r w:rsidRPr="005629F8">
        <w:rPr>
          <w:lang w:val="en-AU"/>
        </w:rPr>
        <w:t xml:space="preserve">increases in </w:t>
      </w:r>
      <w:proofErr w:type="spellStart"/>
      <w:r w:rsidRPr="005629F8">
        <w:rPr>
          <w:lang w:val="en-AU"/>
        </w:rPr>
        <w:t>sameday</w:t>
      </w:r>
      <w:proofErr w:type="spellEnd"/>
      <w:r w:rsidRPr="005629F8">
        <w:rPr>
          <w:lang w:val="en-AU"/>
        </w:rPr>
        <w:t xml:space="preserve"> theatre related separations</w:t>
      </w:r>
    </w:p>
    <w:p w14:paraId="213153BE" w14:textId="46E71698" w:rsidR="006D2F1F" w:rsidRPr="0068730C" w:rsidRDefault="006D2F1F" w:rsidP="009F7ED2">
      <w:pPr>
        <w:pStyle w:val="ListLevel1"/>
        <w:spacing w:line="259" w:lineRule="auto"/>
        <w:rPr>
          <w:lang w:val="en-AU"/>
        </w:rPr>
      </w:pPr>
      <w:r>
        <w:rPr>
          <w:lang w:val="en-AU"/>
        </w:rPr>
        <w:t>changes in casemix</w:t>
      </w:r>
      <w:r w:rsidR="003E0BC9">
        <w:rPr>
          <w:lang w:val="en-AU"/>
        </w:rPr>
        <w:t>.</w:t>
      </w:r>
    </w:p>
    <w:p w14:paraId="249DEB5E" w14:textId="454F8EFB" w:rsidR="00C84E77" w:rsidRDefault="00C84E77" w:rsidP="00E87B16">
      <w:pPr>
        <w:rPr>
          <w:color w:val="008F55" w:themeColor="accent4"/>
          <w:lang w:val="en-AU"/>
        </w:rPr>
        <w:sectPr w:rsidR="00C84E77" w:rsidSect="00522146">
          <w:pgSz w:w="11906" w:h="16838" w:code="9"/>
          <w:pgMar w:top="1440" w:right="1077" w:bottom="1440" w:left="1077" w:header="709" w:footer="709" w:gutter="0"/>
          <w:cols w:space="720"/>
          <w:docGrid w:linePitch="360"/>
        </w:sectPr>
      </w:pPr>
    </w:p>
    <w:p w14:paraId="23F73DF0" w14:textId="45456C69" w:rsidR="00C84E77" w:rsidRPr="00F67A07" w:rsidRDefault="00C84E77" w:rsidP="00E829BF">
      <w:pPr>
        <w:pStyle w:val="Heading3"/>
        <w:ind w:left="-851"/>
      </w:pPr>
      <w:bookmarkStart w:id="144" w:name="_Toc129700686"/>
      <w:bookmarkStart w:id="145" w:name="_Toc129701379"/>
      <w:r w:rsidRPr="00F67A07">
        <w:lastRenderedPageBreak/>
        <w:t>Operating room and specialist procedure suites cost bucket</w:t>
      </w:r>
      <w:bookmarkEnd w:id="144"/>
      <w:bookmarkEnd w:id="145"/>
    </w:p>
    <w:p w14:paraId="5F0FECC3" w14:textId="77777777" w:rsidR="00C84E77" w:rsidRPr="00F67A07" w:rsidRDefault="00C84E77" w:rsidP="00C84E77">
      <w:pPr>
        <w:pStyle w:val="Heading4"/>
        <w:ind w:left="-851"/>
        <w:rPr>
          <w:lang w:val="en-AU"/>
        </w:rPr>
      </w:pPr>
      <w:r w:rsidRPr="00F67A07">
        <w:rPr>
          <w:lang w:val="en-AU"/>
        </w:rPr>
        <w:t>Key</w:t>
      </w:r>
      <w:r w:rsidRPr="00F67A07">
        <w:rPr>
          <w:spacing w:val="-3"/>
          <w:lang w:val="en-AU"/>
        </w:rPr>
        <w:t xml:space="preserve"> </w:t>
      </w:r>
      <w:r w:rsidRPr="00F67A07">
        <w:rPr>
          <w:lang w:val="en-AU"/>
        </w:rPr>
        <w:t>findings</w:t>
      </w:r>
    </w:p>
    <w:p w14:paraId="1E1D5B28" w14:textId="14D16123" w:rsidR="00C84E77" w:rsidRPr="005629F8" w:rsidRDefault="00F2253B" w:rsidP="00C84E77">
      <w:pPr>
        <w:ind w:left="-851"/>
        <w:rPr>
          <w:color w:val="auto"/>
          <w:lang w:val="en-AU"/>
        </w:rPr>
      </w:pPr>
      <w:r w:rsidRPr="00BE3CCD">
        <w:rPr>
          <w:color w:val="auto"/>
          <w:lang w:val="en-AU"/>
        </w:rPr>
        <w:fldChar w:fldCharType="begin"/>
      </w:r>
      <w:r w:rsidRPr="00F2253B">
        <w:rPr>
          <w:color w:val="auto"/>
          <w:lang w:val="en-AU"/>
        </w:rPr>
        <w:instrText xml:space="preserve"> REF _Ref129182557 \h </w:instrText>
      </w:r>
      <w:r w:rsidRPr="005629F8">
        <w:rPr>
          <w:color w:val="auto"/>
          <w:lang w:val="en-AU"/>
        </w:rPr>
        <w:instrText xml:space="preserve"> \* MERGEFORMAT </w:instrText>
      </w:r>
      <w:r w:rsidRPr="00BE3CCD">
        <w:rPr>
          <w:color w:val="auto"/>
          <w:lang w:val="en-AU"/>
        </w:rPr>
      </w:r>
      <w:r w:rsidRPr="00BE3CCD">
        <w:rPr>
          <w:color w:val="auto"/>
          <w:lang w:val="en-AU"/>
        </w:rPr>
        <w:fldChar w:fldCharType="separate"/>
      </w:r>
      <w:r w:rsidRPr="00B84E73">
        <w:t xml:space="preserve">Table </w:t>
      </w:r>
      <w:r w:rsidRPr="005629F8">
        <w:rPr>
          <w:iCs/>
          <w:noProof/>
        </w:rPr>
        <w:t>8</w:t>
      </w:r>
      <w:r w:rsidRPr="00BE3CCD">
        <w:rPr>
          <w:color w:val="auto"/>
          <w:lang w:val="en-AU"/>
        </w:rPr>
        <w:fldChar w:fldCharType="end"/>
      </w:r>
      <w:r w:rsidRPr="00F2253B">
        <w:rPr>
          <w:color w:val="auto"/>
          <w:lang w:val="en-AU"/>
        </w:rPr>
        <w:t xml:space="preserve"> </w:t>
      </w:r>
      <w:r w:rsidR="000235D0" w:rsidRPr="005629F8">
        <w:rPr>
          <w:color w:val="auto"/>
          <w:lang w:val="en-AU"/>
        </w:rPr>
        <w:t xml:space="preserve">shows that the AR-DRG with the highest </w:t>
      </w:r>
      <w:r w:rsidR="009479C9" w:rsidRPr="005629F8">
        <w:rPr>
          <w:color w:val="auto"/>
          <w:lang w:val="en-AU"/>
        </w:rPr>
        <w:t>proportion</w:t>
      </w:r>
      <w:r w:rsidR="000235D0" w:rsidRPr="005629F8">
        <w:rPr>
          <w:color w:val="auto"/>
          <w:lang w:val="en-AU"/>
        </w:rPr>
        <w:t xml:space="preserve"> of their total cost belonging to the </w:t>
      </w:r>
      <w:r w:rsidR="009479C9" w:rsidRPr="005629F8">
        <w:rPr>
          <w:color w:val="auto"/>
          <w:lang w:val="en-AU"/>
        </w:rPr>
        <w:t>OR and SPS</w:t>
      </w:r>
      <w:r w:rsidR="000235D0" w:rsidRPr="005629F8">
        <w:rPr>
          <w:color w:val="auto"/>
          <w:lang w:val="en-AU"/>
        </w:rPr>
        <w:t xml:space="preserve"> bucket </w:t>
      </w:r>
      <w:r w:rsidR="009479C9" w:rsidRPr="005629F8">
        <w:rPr>
          <w:color w:val="auto"/>
          <w:lang w:val="en-AU"/>
        </w:rPr>
        <w:t>is</w:t>
      </w:r>
      <w:r w:rsidR="000235D0" w:rsidRPr="005629F8">
        <w:rPr>
          <w:color w:val="auto"/>
          <w:lang w:val="en-AU"/>
        </w:rPr>
        <w:t xml:space="preserve"> U40Z: Mental Health Treatment W ECT, </w:t>
      </w:r>
      <w:proofErr w:type="spellStart"/>
      <w:r w:rsidR="000235D0" w:rsidRPr="005629F8">
        <w:rPr>
          <w:color w:val="auto"/>
          <w:lang w:val="en-AU"/>
        </w:rPr>
        <w:t>Sameda</w:t>
      </w:r>
      <w:r w:rsidR="000235D0" w:rsidRPr="005629F8">
        <w:rPr>
          <w:lang w:val="en-AU"/>
        </w:rPr>
        <w:t>y</w:t>
      </w:r>
      <w:proofErr w:type="spellEnd"/>
      <w:r w:rsidR="000235D0" w:rsidRPr="005629F8">
        <w:rPr>
          <w:lang w:val="en-AU"/>
        </w:rPr>
        <w:t xml:space="preserve"> (</w:t>
      </w:r>
      <w:r w:rsidR="000235D0" w:rsidRPr="005629F8">
        <w:rPr>
          <w:color w:val="auto"/>
          <w:lang w:val="en-AU"/>
        </w:rPr>
        <w:t>69.4</w:t>
      </w:r>
      <w:r w:rsidR="0069133E" w:rsidRPr="005629F8">
        <w:rPr>
          <w:color w:val="auto"/>
          <w:lang w:val="en-AU"/>
        </w:rPr>
        <w:t xml:space="preserve"> per cent</w:t>
      </w:r>
      <w:r w:rsidR="000235D0" w:rsidRPr="005629F8">
        <w:rPr>
          <w:color w:val="auto"/>
          <w:lang w:val="en-AU"/>
        </w:rPr>
        <w:t xml:space="preserve">). This percentage has increased </w:t>
      </w:r>
      <w:r w:rsidR="009479C9" w:rsidRPr="005629F8">
        <w:rPr>
          <w:color w:val="auto"/>
          <w:lang w:val="en-AU"/>
        </w:rPr>
        <w:t>compared</w:t>
      </w:r>
      <w:r w:rsidR="000235D0" w:rsidRPr="005629F8">
        <w:rPr>
          <w:color w:val="auto"/>
          <w:lang w:val="en-AU"/>
        </w:rPr>
        <w:t xml:space="preserve"> to 2019-20 (58.5</w:t>
      </w:r>
      <w:r w:rsidR="00A70F44">
        <w:rPr>
          <w:color w:val="auto"/>
          <w:lang w:val="en-AU"/>
        </w:rPr>
        <w:t xml:space="preserve"> per cent</w:t>
      </w:r>
      <w:r w:rsidR="000235D0" w:rsidRPr="005629F8">
        <w:rPr>
          <w:color w:val="auto"/>
          <w:lang w:val="en-AU"/>
        </w:rPr>
        <w:t xml:space="preserve">), while the </w:t>
      </w:r>
      <w:r w:rsidR="009479C9" w:rsidRPr="005629F8">
        <w:rPr>
          <w:color w:val="auto"/>
          <w:lang w:val="en-AU"/>
        </w:rPr>
        <w:t>OR</w:t>
      </w:r>
      <w:r w:rsidR="000235D0" w:rsidRPr="005629F8">
        <w:rPr>
          <w:color w:val="auto"/>
          <w:lang w:val="en-AU"/>
        </w:rPr>
        <w:t xml:space="preserve"> and SPS cost weight (0.16) has decreased </w:t>
      </w:r>
      <w:r w:rsidR="009479C9" w:rsidRPr="005629F8">
        <w:rPr>
          <w:color w:val="auto"/>
          <w:lang w:val="en-AU"/>
        </w:rPr>
        <w:t xml:space="preserve">compared </w:t>
      </w:r>
      <w:r w:rsidR="000235D0" w:rsidRPr="005629F8">
        <w:rPr>
          <w:color w:val="auto"/>
          <w:lang w:val="en-AU"/>
        </w:rPr>
        <w:t>to 2019-20 (0.22).</w:t>
      </w:r>
      <w:r w:rsidR="009479C9" w:rsidRPr="005629F8">
        <w:rPr>
          <w:color w:val="auto"/>
          <w:lang w:val="en-AU"/>
        </w:rPr>
        <w:t xml:space="preserve"> </w:t>
      </w:r>
      <w:r w:rsidR="000235D0" w:rsidRPr="005629F8">
        <w:rPr>
          <w:color w:val="auto"/>
          <w:lang w:val="en-AU"/>
        </w:rPr>
        <w:t>For the remaining nine AR-DRGs in</w:t>
      </w:r>
      <w:r>
        <w:rPr>
          <w:color w:val="auto"/>
          <w:lang w:val="en-AU"/>
        </w:rPr>
        <w:t xml:space="preserve"> </w:t>
      </w:r>
      <w:r>
        <w:rPr>
          <w:color w:val="auto"/>
          <w:lang w:val="en-AU"/>
        </w:rPr>
        <w:fldChar w:fldCharType="begin"/>
      </w:r>
      <w:r>
        <w:rPr>
          <w:color w:val="auto"/>
          <w:lang w:val="en-AU"/>
        </w:rPr>
        <w:instrText xml:space="preserve"> REF _Ref129182557 \h  \* MERGEFORMAT </w:instrText>
      </w:r>
      <w:r>
        <w:rPr>
          <w:color w:val="auto"/>
          <w:lang w:val="en-AU"/>
        </w:rPr>
      </w:r>
      <w:r>
        <w:rPr>
          <w:color w:val="auto"/>
          <w:lang w:val="en-AU"/>
        </w:rPr>
        <w:fldChar w:fldCharType="separate"/>
      </w:r>
      <w:r w:rsidRPr="00B84E73">
        <w:t xml:space="preserve">Table </w:t>
      </w:r>
      <w:r w:rsidRPr="005629F8">
        <w:rPr>
          <w:iCs/>
          <w:noProof/>
        </w:rPr>
        <w:t>8</w:t>
      </w:r>
      <w:r>
        <w:rPr>
          <w:color w:val="auto"/>
          <w:lang w:val="en-AU"/>
        </w:rPr>
        <w:fldChar w:fldCharType="end"/>
      </w:r>
      <w:r w:rsidR="000235D0" w:rsidRPr="005629F8">
        <w:rPr>
          <w:color w:val="auto"/>
          <w:lang w:val="en-AU"/>
        </w:rPr>
        <w:t xml:space="preserve">, the </w:t>
      </w:r>
      <w:r w:rsidR="00F73E6C" w:rsidRPr="005629F8">
        <w:rPr>
          <w:color w:val="auto"/>
          <w:lang w:val="en-AU"/>
        </w:rPr>
        <w:t>OR and SPS</w:t>
      </w:r>
      <w:r w:rsidR="000235D0" w:rsidRPr="005629F8">
        <w:rPr>
          <w:color w:val="auto"/>
          <w:lang w:val="en-AU"/>
        </w:rPr>
        <w:t xml:space="preserve"> cost weights have been relatively stable over the last three years</w:t>
      </w:r>
      <w:r w:rsidR="00F73E6C" w:rsidRPr="005629F8">
        <w:rPr>
          <w:color w:val="auto"/>
          <w:lang w:val="en-AU"/>
        </w:rPr>
        <w:t xml:space="preserve">. All top 10 AR-DRGs have </w:t>
      </w:r>
      <w:r w:rsidR="00E41DDF">
        <w:rPr>
          <w:color w:val="auto"/>
          <w:lang w:val="en-AU"/>
        </w:rPr>
        <w:t xml:space="preserve">had </w:t>
      </w:r>
      <w:r w:rsidR="00F73E6C" w:rsidRPr="005629F8">
        <w:rPr>
          <w:color w:val="auto"/>
          <w:lang w:val="en-AU"/>
        </w:rPr>
        <w:t>increase</w:t>
      </w:r>
      <w:r w:rsidR="00E41DDF">
        <w:rPr>
          <w:color w:val="auto"/>
          <w:lang w:val="en-AU"/>
        </w:rPr>
        <w:t>s to</w:t>
      </w:r>
      <w:r w:rsidR="00F73E6C" w:rsidRPr="005629F8">
        <w:rPr>
          <w:color w:val="auto"/>
          <w:lang w:val="en-AU"/>
        </w:rPr>
        <w:t xml:space="preserve"> the proportion of total cost allocated to </w:t>
      </w:r>
      <w:r w:rsidR="00613D13">
        <w:rPr>
          <w:color w:val="auto"/>
          <w:lang w:val="en-AU"/>
        </w:rPr>
        <w:t xml:space="preserve">the </w:t>
      </w:r>
      <w:r w:rsidR="00F73E6C" w:rsidRPr="005629F8">
        <w:rPr>
          <w:color w:val="auto"/>
          <w:lang w:val="en-AU"/>
        </w:rPr>
        <w:t xml:space="preserve">OR and SPS </w:t>
      </w:r>
      <w:r w:rsidR="00613D13">
        <w:rPr>
          <w:color w:val="auto"/>
          <w:lang w:val="en-AU"/>
        </w:rPr>
        <w:t xml:space="preserve">cost bucket </w:t>
      </w:r>
      <w:r w:rsidR="00F73E6C" w:rsidRPr="005629F8">
        <w:rPr>
          <w:color w:val="auto"/>
          <w:lang w:val="en-AU"/>
        </w:rPr>
        <w:t>over the last three years.</w:t>
      </w:r>
    </w:p>
    <w:p w14:paraId="3BC06C6B" w14:textId="74517169" w:rsidR="00C84E77" w:rsidRDefault="00C84E77">
      <w:pPr>
        <w:ind w:left="-851"/>
        <w:rPr>
          <w:lang w:val="en-AU"/>
        </w:rPr>
      </w:pPr>
      <w:r w:rsidRPr="005629F8">
        <w:rPr>
          <w:color w:val="auto"/>
          <w:lang w:val="en-AU"/>
        </w:rPr>
        <w:t>For the AR-DRGs</w:t>
      </w:r>
      <w:r w:rsidR="003E0BC9">
        <w:rPr>
          <w:color w:val="auto"/>
          <w:lang w:val="en-AU"/>
        </w:rPr>
        <w:t xml:space="preserve"> in Table 8, </w:t>
      </w:r>
      <w:r w:rsidR="00F73E6C" w:rsidRPr="005629F8">
        <w:rPr>
          <w:color w:val="auto"/>
          <w:lang w:val="en-AU"/>
        </w:rPr>
        <w:t>the overall cost weight (0.42</w:t>
      </w:r>
      <w:r w:rsidR="00F73E6C">
        <w:rPr>
          <w:lang w:val="en-AU"/>
        </w:rPr>
        <w:t xml:space="preserve">) is lower than </w:t>
      </w:r>
      <w:r w:rsidR="005066AC">
        <w:rPr>
          <w:lang w:val="en-AU"/>
        </w:rPr>
        <w:t xml:space="preserve">the population </w:t>
      </w:r>
      <w:r w:rsidR="00F73E6C">
        <w:rPr>
          <w:lang w:val="en-AU"/>
        </w:rPr>
        <w:t>average</w:t>
      </w:r>
      <w:r w:rsidR="005066AC">
        <w:rPr>
          <w:lang w:val="en-AU"/>
        </w:rPr>
        <w:t xml:space="preserve"> (1.00)</w:t>
      </w:r>
      <w:r w:rsidR="00F73E6C">
        <w:rPr>
          <w:lang w:val="en-AU"/>
        </w:rPr>
        <w:t xml:space="preserve"> despite </w:t>
      </w:r>
      <w:r w:rsidRPr="00F67A07">
        <w:rPr>
          <w:lang w:val="en-AU"/>
        </w:rPr>
        <w:t>more than 60</w:t>
      </w:r>
      <w:r w:rsidR="0069133E">
        <w:rPr>
          <w:lang w:val="en-AU"/>
        </w:rPr>
        <w:t xml:space="preserve"> per cent</w:t>
      </w:r>
      <w:r w:rsidRPr="00F67A07">
        <w:rPr>
          <w:lang w:val="en-AU"/>
        </w:rPr>
        <w:t xml:space="preserve"> of their total cost allocated to </w:t>
      </w:r>
      <w:r w:rsidR="00291ACE">
        <w:rPr>
          <w:lang w:val="en-AU"/>
        </w:rPr>
        <w:t xml:space="preserve">the </w:t>
      </w:r>
      <w:r w:rsidR="00F73E6C">
        <w:rPr>
          <w:lang w:val="en-AU"/>
        </w:rPr>
        <w:t>OR and</w:t>
      </w:r>
      <w:r w:rsidRPr="00F67A07">
        <w:rPr>
          <w:lang w:val="en-AU"/>
        </w:rPr>
        <w:t xml:space="preserve"> SPS </w:t>
      </w:r>
      <w:r w:rsidR="00291ACE">
        <w:rPr>
          <w:lang w:val="en-AU"/>
        </w:rPr>
        <w:t xml:space="preserve">cost bucket </w:t>
      </w:r>
      <w:r w:rsidRPr="00F67A07">
        <w:rPr>
          <w:lang w:val="en-AU"/>
        </w:rPr>
        <w:t>in 2020</w:t>
      </w:r>
      <w:r>
        <w:rPr>
          <w:lang w:val="en-AU"/>
        </w:rPr>
        <w:noBreakHyphen/>
      </w:r>
      <w:r w:rsidRPr="00F67A07">
        <w:rPr>
          <w:lang w:val="en-AU"/>
        </w:rPr>
        <w:t>21.</w:t>
      </w:r>
      <w:r w:rsidR="00F73E6C">
        <w:rPr>
          <w:lang w:val="en-AU"/>
        </w:rPr>
        <w:t xml:space="preserve"> </w:t>
      </w:r>
      <w:r w:rsidR="0069133E">
        <w:rPr>
          <w:lang w:val="en-AU"/>
        </w:rPr>
        <w:t xml:space="preserve">The AR-DRGs listed are all minor complexity procedures that would require minimal time and resources to perform, with the operating room being the biggest </w:t>
      </w:r>
      <w:r w:rsidR="00357897">
        <w:rPr>
          <w:lang w:val="en-AU"/>
        </w:rPr>
        <w:t>contributor</w:t>
      </w:r>
      <w:r w:rsidR="00144D5F">
        <w:rPr>
          <w:lang w:val="en-AU"/>
        </w:rPr>
        <w:t xml:space="preserve"> </w:t>
      </w:r>
      <w:r w:rsidR="00357897">
        <w:rPr>
          <w:lang w:val="en-AU"/>
        </w:rPr>
        <w:t>to</w:t>
      </w:r>
      <w:r w:rsidR="00144D5F">
        <w:rPr>
          <w:lang w:val="en-AU"/>
        </w:rPr>
        <w:t xml:space="preserve"> cost weight</w:t>
      </w:r>
      <w:r w:rsidR="0069133E">
        <w:rPr>
          <w:lang w:val="en-AU"/>
        </w:rPr>
        <w:t>.</w:t>
      </w:r>
    </w:p>
    <w:p w14:paraId="5E91FADD" w14:textId="19612A29" w:rsidR="00C84E77" w:rsidRPr="005629F8" w:rsidRDefault="00C84E77" w:rsidP="00E87B16">
      <w:pPr>
        <w:pStyle w:val="TableFigureheading"/>
        <w:ind w:left="-851"/>
      </w:pPr>
      <w:bookmarkStart w:id="146" w:name="_Ref129182557"/>
      <w:bookmarkStart w:id="147" w:name="_Toc129179302"/>
      <w:bookmarkStart w:id="148" w:name="_Toc139881781"/>
      <w:r w:rsidRPr="00B84E73">
        <w:t xml:space="preserve">Table </w:t>
      </w:r>
      <w:r w:rsidRPr="005629F8">
        <w:fldChar w:fldCharType="begin"/>
      </w:r>
      <w:r w:rsidRPr="005629F8">
        <w:instrText xml:space="preserve"> SEQ Table \* ARABIC </w:instrText>
      </w:r>
      <w:r w:rsidRPr="005629F8">
        <w:fldChar w:fldCharType="separate"/>
      </w:r>
      <w:r w:rsidRPr="005629F8">
        <w:rPr>
          <w:noProof/>
        </w:rPr>
        <w:t>8</w:t>
      </w:r>
      <w:r w:rsidRPr="005629F8">
        <w:fldChar w:fldCharType="end"/>
      </w:r>
      <w:bookmarkEnd w:id="146"/>
      <w:r w:rsidRPr="005629F8">
        <w:t>. Top 10 AR-DRGs for costs allocated to the operating room and specialist procedures suites cost bucket</w:t>
      </w:r>
      <w:bookmarkEnd w:id="147"/>
      <w:bookmarkEnd w:id="148"/>
    </w:p>
    <w:tbl>
      <w:tblPr>
        <w:tblW w:w="15834" w:type="dxa"/>
        <w:tblInd w:w="-854" w:type="dxa"/>
        <w:tblLayout w:type="fixed"/>
        <w:tblLook w:val="0000" w:firstRow="0" w:lastRow="0" w:firstColumn="0" w:lastColumn="0" w:noHBand="0" w:noVBand="0"/>
      </w:tblPr>
      <w:tblGrid>
        <w:gridCol w:w="748"/>
        <w:gridCol w:w="815"/>
        <w:gridCol w:w="6305"/>
        <w:gridCol w:w="1033"/>
        <w:gridCol w:w="1128"/>
        <w:gridCol w:w="966"/>
        <w:gridCol w:w="967"/>
        <w:gridCol w:w="969"/>
        <w:gridCol w:w="806"/>
        <w:gridCol w:w="161"/>
        <w:gridCol w:w="106"/>
        <w:gridCol w:w="860"/>
        <w:gridCol w:w="970"/>
      </w:tblGrid>
      <w:tr w:rsidR="00216FDD" w:rsidRPr="0088109E" w14:paraId="74B4AC49" w14:textId="77777777" w:rsidTr="000771FC">
        <w:trPr>
          <w:trHeight w:val="179"/>
        </w:trPr>
        <w:tc>
          <w:tcPr>
            <w:tcW w:w="748" w:type="dxa"/>
            <w:tcBorders>
              <w:top w:val="single" w:sz="6" w:space="0" w:color="auto"/>
              <w:left w:val="nil"/>
              <w:bottom w:val="nil"/>
              <w:right w:val="nil"/>
            </w:tcBorders>
            <w:shd w:val="clear" w:color="auto" w:fill="15272F" w:themeFill="text1"/>
            <w:vAlign w:val="center"/>
          </w:tcPr>
          <w:p w14:paraId="21E998B7" w14:textId="77777777" w:rsidR="00C84E77" w:rsidRPr="005629F8" w:rsidRDefault="00C84E77" w:rsidP="00C84E77">
            <w:pPr>
              <w:autoSpaceDE w:val="0"/>
              <w:autoSpaceDN w:val="0"/>
              <w:adjustRightInd w:val="0"/>
              <w:spacing w:after="0" w:line="240" w:lineRule="auto"/>
              <w:jc w:val="center"/>
              <w:rPr>
                <w:rFonts w:cs="Arial"/>
                <w:color w:val="FFFFFF" w:themeColor="background2"/>
                <w:sz w:val="14"/>
                <w:szCs w:val="14"/>
                <w:lang w:val="en-AU"/>
              </w:rPr>
            </w:pPr>
          </w:p>
        </w:tc>
        <w:tc>
          <w:tcPr>
            <w:tcW w:w="815" w:type="dxa"/>
            <w:tcBorders>
              <w:top w:val="single" w:sz="6" w:space="0" w:color="auto"/>
              <w:left w:val="nil"/>
              <w:bottom w:val="nil"/>
              <w:right w:val="nil"/>
            </w:tcBorders>
            <w:shd w:val="clear" w:color="auto" w:fill="15272F" w:themeFill="text1"/>
            <w:vAlign w:val="center"/>
          </w:tcPr>
          <w:p w14:paraId="199456AF" w14:textId="77777777" w:rsidR="00C84E77" w:rsidRPr="005629F8" w:rsidRDefault="00C84E77" w:rsidP="00C84E77">
            <w:pPr>
              <w:autoSpaceDE w:val="0"/>
              <w:autoSpaceDN w:val="0"/>
              <w:adjustRightInd w:val="0"/>
              <w:spacing w:after="0" w:line="240" w:lineRule="auto"/>
              <w:jc w:val="center"/>
              <w:rPr>
                <w:rFonts w:cs="Arial"/>
                <w:color w:val="FFFFFF" w:themeColor="background2"/>
                <w:sz w:val="14"/>
                <w:szCs w:val="14"/>
                <w:lang w:val="en-AU"/>
              </w:rPr>
            </w:pPr>
          </w:p>
        </w:tc>
        <w:tc>
          <w:tcPr>
            <w:tcW w:w="6305" w:type="dxa"/>
            <w:tcBorders>
              <w:top w:val="single" w:sz="6" w:space="0" w:color="auto"/>
              <w:left w:val="nil"/>
              <w:right w:val="single" w:sz="4" w:space="0" w:color="D9D9D9"/>
            </w:tcBorders>
            <w:shd w:val="clear" w:color="auto" w:fill="15272F" w:themeFill="text1"/>
            <w:vAlign w:val="center"/>
          </w:tcPr>
          <w:p w14:paraId="6ACE45DF" w14:textId="77777777" w:rsidR="00C84E77" w:rsidRPr="005629F8" w:rsidRDefault="00C84E77" w:rsidP="00C84E77">
            <w:pPr>
              <w:autoSpaceDE w:val="0"/>
              <w:autoSpaceDN w:val="0"/>
              <w:adjustRightInd w:val="0"/>
              <w:spacing w:after="0" w:line="240" w:lineRule="auto"/>
              <w:jc w:val="center"/>
              <w:rPr>
                <w:rFonts w:cs="Arial"/>
                <w:color w:val="FFFFFF" w:themeColor="background2"/>
                <w:sz w:val="14"/>
                <w:szCs w:val="14"/>
                <w:lang w:val="en-AU"/>
              </w:rPr>
            </w:pPr>
          </w:p>
        </w:tc>
        <w:tc>
          <w:tcPr>
            <w:tcW w:w="1033" w:type="dxa"/>
            <w:tcBorders>
              <w:top w:val="single" w:sz="6" w:space="0" w:color="auto"/>
              <w:left w:val="single" w:sz="4" w:space="0" w:color="D9D9D9"/>
              <w:right w:val="nil"/>
            </w:tcBorders>
            <w:shd w:val="clear" w:color="auto" w:fill="15272F" w:themeFill="text1"/>
            <w:vAlign w:val="center"/>
          </w:tcPr>
          <w:p w14:paraId="065B751A" w14:textId="77777777" w:rsidR="00C84E77" w:rsidRPr="005629F8" w:rsidRDefault="00C84E77" w:rsidP="00C84E77">
            <w:pPr>
              <w:autoSpaceDE w:val="0"/>
              <w:autoSpaceDN w:val="0"/>
              <w:adjustRightInd w:val="0"/>
              <w:spacing w:after="0" w:line="240" w:lineRule="auto"/>
              <w:jc w:val="center"/>
              <w:rPr>
                <w:rFonts w:cs="Arial"/>
                <w:color w:val="FFFFFF" w:themeColor="background2"/>
                <w:sz w:val="14"/>
                <w:szCs w:val="14"/>
                <w:lang w:val="en-AU"/>
              </w:rPr>
            </w:pPr>
          </w:p>
        </w:tc>
        <w:tc>
          <w:tcPr>
            <w:tcW w:w="1128" w:type="dxa"/>
            <w:tcBorders>
              <w:top w:val="single" w:sz="6" w:space="0" w:color="auto"/>
              <w:left w:val="nil"/>
              <w:right w:val="single" w:sz="4" w:space="0" w:color="D9D9D9"/>
            </w:tcBorders>
            <w:shd w:val="clear" w:color="auto" w:fill="15272F" w:themeFill="text1"/>
            <w:vAlign w:val="center"/>
          </w:tcPr>
          <w:p w14:paraId="7DA807EF" w14:textId="77777777" w:rsidR="00C84E77" w:rsidRPr="005629F8" w:rsidRDefault="00C84E77" w:rsidP="00C84E77">
            <w:pPr>
              <w:autoSpaceDE w:val="0"/>
              <w:autoSpaceDN w:val="0"/>
              <w:adjustRightInd w:val="0"/>
              <w:spacing w:after="0" w:line="240" w:lineRule="auto"/>
              <w:jc w:val="center"/>
              <w:rPr>
                <w:rFonts w:cs="Arial"/>
                <w:color w:val="FFFFFF" w:themeColor="background2"/>
                <w:sz w:val="14"/>
                <w:szCs w:val="14"/>
                <w:lang w:val="en-AU"/>
              </w:rPr>
            </w:pPr>
          </w:p>
        </w:tc>
        <w:tc>
          <w:tcPr>
            <w:tcW w:w="2902" w:type="dxa"/>
            <w:gridSpan w:val="3"/>
            <w:tcBorders>
              <w:top w:val="single" w:sz="6" w:space="0" w:color="auto"/>
              <w:left w:val="single" w:sz="4" w:space="0" w:color="D9D9D9"/>
              <w:right w:val="single" w:sz="4" w:space="0" w:color="D9D9D9"/>
            </w:tcBorders>
            <w:shd w:val="clear" w:color="auto" w:fill="15272F" w:themeFill="text1"/>
            <w:vAlign w:val="center"/>
          </w:tcPr>
          <w:p w14:paraId="32456372" w14:textId="2F76DBC9" w:rsidR="00C84E77" w:rsidRPr="005629F8" w:rsidRDefault="00C84E77" w:rsidP="00C84E77">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OR and SPS Cost Weight</w:t>
            </w:r>
          </w:p>
        </w:tc>
        <w:tc>
          <w:tcPr>
            <w:tcW w:w="2903" w:type="dxa"/>
            <w:gridSpan w:val="5"/>
            <w:tcBorders>
              <w:top w:val="single" w:sz="6" w:space="0" w:color="auto"/>
              <w:left w:val="single" w:sz="4" w:space="0" w:color="D9D9D9"/>
              <w:bottom w:val="nil"/>
              <w:right w:val="nil"/>
            </w:tcBorders>
            <w:shd w:val="clear" w:color="auto" w:fill="15272F" w:themeFill="text1"/>
            <w:vAlign w:val="center"/>
          </w:tcPr>
          <w:p w14:paraId="2B04DD90" w14:textId="77777777" w:rsidR="00C84E77" w:rsidRPr="005629F8" w:rsidRDefault="00C84E77" w:rsidP="00C84E77">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 xml:space="preserve">% </w:t>
            </w:r>
            <w:proofErr w:type="gramStart"/>
            <w:r w:rsidRPr="005629F8">
              <w:rPr>
                <w:rFonts w:cs="Arial"/>
                <w:b/>
                <w:bCs/>
                <w:color w:val="FFFFFF" w:themeColor="background2"/>
                <w:sz w:val="14"/>
                <w:szCs w:val="14"/>
                <w:lang w:val="en-AU"/>
              </w:rPr>
              <w:t>of</w:t>
            </w:r>
            <w:proofErr w:type="gramEnd"/>
            <w:r w:rsidRPr="005629F8">
              <w:rPr>
                <w:rFonts w:cs="Arial"/>
                <w:b/>
                <w:bCs/>
                <w:color w:val="FFFFFF" w:themeColor="background2"/>
                <w:sz w:val="14"/>
                <w:szCs w:val="14"/>
                <w:lang w:val="en-AU"/>
              </w:rPr>
              <w:t xml:space="preserve"> AR-DRG total cost</w:t>
            </w:r>
          </w:p>
        </w:tc>
      </w:tr>
      <w:tr w:rsidR="00363733" w:rsidRPr="0088109E" w14:paraId="498136A8" w14:textId="77777777" w:rsidTr="000771FC">
        <w:trPr>
          <w:trHeight w:val="443"/>
        </w:trPr>
        <w:tc>
          <w:tcPr>
            <w:tcW w:w="748" w:type="dxa"/>
            <w:tcBorders>
              <w:top w:val="nil"/>
              <w:left w:val="nil"/>
              <w:bottom w:val="single" w:sz="6" w:space="0" w:color="auto"/>
              <w:right w:val="nil"/>
            </w:tcBorders>
            <w:shd w:val="clear" w:color="auto" w:fill="15272F" w:themeFill="text1"/>
            <w:vAlign w:val="center"/>
          </w:tcPr>
          <w:p w14:paraId="52425797" w14:textId="77777777" w:rsidR="00C84E77" w:rsidRPr="005629F8" w:rsidRDefault="00C84E77" w:rsidP="00C84E77">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Rank 2020-21</w:t>
            </w:r>
          </w:p>
        </w:tc>
        <w:tc>
          <w:tcPr>
            <w:tcW w:w="815" w:type="dxa"/>
            <w:tcBorders>
              <w:top w:val="nil"/>
              <w:left w:val="nil"/>
              <w:bottom w:val="single" w:sz="6" w:space="0" w:color="auto"/>
              <w:right w:val="nil"/>
            </w:tcBorders>
            <w:shd w:val="clear" w:color="auto" w:fill="15272F" w:themeFill="text1"/>
            <w:vAlign w:val="center"/>
          </w:tcPr>
          <w:p w14:paraId="56272B6C" w14:textId="46966DC0" w:rsidR="00C84E77" w:rsidRPr="005629F8" w:rsidRDefault="00F73E6C" w:rsidP="00C84E77">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AR-</w:t>
            </w:r>
            <w:r w:rsidR="00C84E77" w:rsidRPr="005629F8">
              <w:rPr>
                <w:rFonts w:cs="Arial"/>
                <w:b/>
                <w:bCs/>
                <w:color w:val="FFFFFF" w:themeColor="background2"/>
                <w:sz w:val="14"/>
                <w:szCs w:val="14"/>
                <w:lang w:val="en-AU"/>
              </w:rPr>
              <w:t>DRG</w:t>
            </w:r>
          </w:p>
        </w:tc>
        <w:tc>
          <w:tcPr>
            <w:tcW w:w="6305" w:type="dxa"/>
            <w:tcBorders>
              <w:top w:val="nil"/>
              <w:left w:val="nil"/>
              <w:bottom w:val="single" w:sz="6" w:space="0" w:color="auto"/>
              <w:right w:val="single" w:sz="4" w:space="0" w:color="FFFFFF" w:themeColor="accent6"/>
            </w:tcBorders>
            <w:shd w:val="clear" w:color="auto" w:fill="15272F" w:themeFill="text1"/>
            <w:vAlign w:val="center"/>
          </w:tcPr>
          <w:p w14:paraId="37B9B9D5" w14:textId="668322DF" w:rsidR="00C84E77" w:rsidRPr="005629F8" w:rsidRDefault="00093269" w:rsidP="00C84E77">
            <w:pPr>
              <w:autoSpaceDE w:val="0"/>
              <w:autoSpaceDN w:val="0"/>
              <w:adjustRightInd w:val="0"/>
              <w:spacing w:after="0" w:line="240" w:lineRule="auto"/>
              <w:jc w:val="center"/>
              <w:rPr>
                <w:rFonts w:cs="Arial"/>
                <w:b/>
                <w:bCs/>
                <w:color w:val="FFFFFF" w:themeColor="background2"/>
                <w:sz w:val="14"/>
                <w:szCs w:val="14"/>
                <w:lang w:val="en-AU"/>
              </w:rPr>
            </w:pPr>
            <w:r>
              <w:rPr>
                <w:rFonts w:cs="Arial"/>
                <w:b/>
                <w:bCs/>
                <w:color w:val="FFFFFF" w:themeColor="background2"/>
                <w:sz w:val="14"/>
                <w:szCs w:val="14"/>
                <w:lang w:val="en-AU"/>
              </w:rPr>
              <w:t>AR-</w:t>
            </w:r>
            <w:r w:rsidR="00C84E77" w:rsidRPr="005629F8">
              <w:rPr>
                <w:rFonts w:cs="Arial"/>
                <w:b/>
                <w:bCs/>
                <w:color w:val="FFFFFF" w:themeColor="background2"/>
                <w:sz w:val="14"/>
                <w:szCs w:val="14"/>
                <w:lang w:val="en-AU"/>
              </w:rPr>
              <w:t>DRG Description</w:t>
            </w:r>
          </w:p>
        </w:tc>
        <w:tc>
          <w:tcPr>
            <w:tcW w:w="1033" w:type="dxa"/>
            <w:tcBorders>
              <w:top w:val="nil"/>
              <w:left w:val="single" w:sz="4" w:space="0" w:color="FFFFFF" w:themeColor="accent6"/>
              <w:bottom w:val="single" w:sz="6" w:space="0" w:color="auto"/>
              <w:right w:val="nil"/>
            </w:tcBorders>
            <w:shd w:val="clear" w:color="auto" w:fill="15272F" w:themeFill="text1"/>
            <w:vAlign w:val="center"/>
          </w:tcPr>
          <w:p w14:paraId="6B1AF3EC"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No. of weighted seps</w:t>
            </w:r>
          </w:p>
          <w:p w14:paraId="040C92E2" w14:textId="77777777" w:rsidR="00C84E77" w:rsidRPr="005629F8" w:rsidRDefault="00C84E77" w:rsidP="005066AC">
            <w:pPr>
              <w:autoSpaceDE w:val="0"/>
              <w:autoSpaceDN w:val="0"/>
              <w:adjustRightInd w:val="0"/>
              <w:spacing w:after="0" w:line="240" w:lineRule="auto"/>
              <w:jc w:val="center"/>
              <w:rPr>
                <w:rFonts w:cs="Arial"/>
                <w:b/>
                <w:bCs/>
                <w:color w:val="FFFFFF" w:themeColor="background2"/>
                <w:sz w:val="14"/>
                <w:szCs w:val="14"/>
                <w:lang w:val="en-AU"/>
              </w:rPr>
            </w:pPr>
          </w:p>
        </w:tc>
        <w:tc>
          <w:tcPr>
            <w:tcW w:w="1128" w:type="dxa"/>
            <w:tcBorders>
              <w:top w:val="nil"/>
              <w:left w:val="nil"/>
              <w:bottom w:val="single" w:sz="6" w:space="0" w:color="auto"/>
              <w:right w:val="single" w:sz="4" w:space="0" w:color="FFFFFF" w:themeColor="accent6"/>
            </w:tcBorders>
            <w:shd w:val="clear" w:color="auto" w:fill="15272F" w:themeFill="text1"/>
            <w:vAlign w:val="center"/>
          </w:tcPr>
          <w:p w14:paraId="716B9C2D"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Overall cost weight</w:t>
            </w:r>
          </w:p>
          <w:p w14:paraId="48534D67" w14:textId="77777777" w:rsidR="00C84E77" w:rsidRPr="005629F8" w:rsidRDefault="00C84E77" w:rsidP="005066AC">
            <w:pPr>
              <w:autoSpaceDE w:val="0"/>
              <w:autoSpaceDN w:val="0"/>
              <w:adjustRightInd w:val="0"/>
              <w:spacing w:after="0" w:line="240" w:lineRule="auto"/>
              <w:jc w:val="center"/>
              <w:rPr>
                <w:rFonts w:cs="Arial"/>
                <w:b/>
                <w:bCs/>
                <w:color w:val="FFFFFF" w:themeColor="background2"/>
                <w:sz w:val="14"/>
                <w:szCs w:val="14"/>
                <w:lang w:val="en-AU"/>
              </w:rPr>
            </w:pPr>
          </w:p>
        </w:tc>
        <w:tc>
          <w:tcPr>
            <w:tcW w:w="966" w:type="dxa"/>
            <w:tcBorders>
              <w:top w:val="nil"/>
              <w:left w:val="single" w:sz="4" w:space="0" w:color="FFFFFF" w:themeColor="accent6"/>
              <w:bottom w:val="single" w:sz="6" w:space="0" w:color="auto"/>
              <w:right w:val="nil"/>
            </w:tcBorders>
            <w:shd w:val="clear" w:color="auto" w:fill="15272F" w:themeFill="text1"/>
            <w:vAlign w:val="center"/>
          </w:tcPr>
          <w:p w14:paraId="3ECD475A"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2018-19</w:t>
            </w:r>
          </w:p>
        </w:tc>
        <w:tc>
          <w:tcPr>
            <w:tcW w:w="967" w:type="dxa"/>
            <w:tcBorders>
              <w:top w:val="nil"/>
              <w:left w:val="nil"/>
              <w:bottom w:val="single" w:sz="6" w:space="0" w:color="auto"/>
              <w:right w:val="nil"/>
            </w:tcBorders>
            <w:shd w:val="clear" w:color="auto" w:fill="15272F" w:themeFill="text1"/>
            <w:vAlign w:val="center"/>
          </w:tcPr>
          <w:p w14:paraId="643726DA"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2019-20</w:t>
            </w:r>
          </w:p>
        </w:tc>
        <w:tc>
          <w:tcPr>
            <w:tcW w:w="969" w:type="dxa"/>
            <w:tcBorders>
              <w:top w:val="nil"/>
              <w:left w:val="nil"/>
              <w:bottom w:val="single" w:sz="6" w:space="0" w:color="auto"/>
              <w:right w:val="single" w:sz="4" w:space="0" w:color="FFFFFF" w:themeColor="accent6"/>
            </w:tcBorders>
            <w:shd w:val="clear" w:color="auto" w:fill="15272F" w:themeFill="text1"/>
            <w:vAlign w:val="center"/>
          </w:tcPr>
          <w:p w14:paraId="32DA6D43"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2020-21</w:t>
            </w:r>
          </w:p>
        </w:tc>
        <w:tc>
          <w:tcPr>
            <w:tcW w:w="967" w:type="dxa"/>
            <w:gridSpan w:val="2"/>
            <w:tcBorders>
              <w:top w:val="nil"/>
              <w:left w:val="single" w:sz="4" w:space="0" w:color="FFFFFF" w:themeColor="accent6"/>
              <w:bottom w:val="single" w:sz="6" w:space="0" w:color="auto"/>
              <w:right w:val="nil"/>
            </w:tcBorders>
            <w:shd w:val="clear" w:color="auto" w:fill="15272F" w:themeFill="text1"/>
            <w:vAlign w:val="center"/>
          </w:tcPr>
          <w:p w14:paraId="009E64AE"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2018-19</w:t>
            </w:r>
          </w:p>
        </w:tc>
        <w:tc>
          <w:tcPr>
            <w:tcW w:w="966" w:type="dxa"/>
            <w:gridSpan w:val="2"/>
            <w:tcBorders>
              <w:top w:val="nil"/>
              <w:left w:val="nil"/>
              <w:bottom w:val="single" w:sz="6" w:space="0" w:color="auto"/>
              <w:right w:val="nil"/>
            </w:tcBorders>
            <w:shd w:val="clear" w:color="auto" w:fill="15272F" w:themeFill="text1"/>
            <w:vAlign w:val="center"/>
          </w:tcPr>
          <w:p w14:paraId="578929AC"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2019-20</w:t>
            </w:r>
          </w:p>
        </w:tc>
        <w:tc>
          <w:tcPr>
            <w:tcW w:w="970" w:type="dxa"/>
            <w:tcBorders>
              <w:top w:val="nil"/>
              <w:left w:val="nil"/>
              <w:bottom w:val="single" w:sz="6" w:space="0" w:color="auto"/>
              <w:right w:val="nil"/>
            </w:tcBorders>
            <w:shd w:val="clear" w:color="auto" w:fill="15272F" w:themeFill="text1"/>
            <w:vAlign w:val="center"/>
          </w:tcPr>
          <w:p w14:paraId="441089BF" w14:textId="77777777" w:rsidR="00C84E77" w:rsidRPr="005629F8" w:rsidRDefault="00C84E77"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2020-21</w:t>
            </w:r>
          </w:p>
        </w:tc>
      </w:tr>
      <w:tr w:rsidR="00216FDD" w:rsidRPr="0088109E" w14:paraId="7310A7DE" w14:textId="77777777" w:rsidTr="000771FC">
        <w:trPr>
          <w:trHeight w:val="239"/>
        </w:trPr>
        <w:tc>
          <w:tcPr>
            <w:tcW w:w="748" w:type="dxa"/>
            <w:tcBorders>
              <w:top w:val="single" w:sz="6" w:space="0" w:color="auto"/>
              <w:left w:val="nil"/>
              <w:bottom w:val="single" w:sz="4" w:space="0" w:color="D9D9D9"/>
              <w:right w:val="nil"/>
            </w:tcBorders>
            <w:vAlign w:val="center"/>
          </w:tcPr>
          <w:p w14:paraId="7D1AB5CD"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w:t>
            </w:r>
          </w:p>
        </w:tc>
        <w:tc>
          <w:tcPr>
            <w:tcW w:w="815" w:type="dxa"/>
            <w:tcBorders>
              <w:top w:val="single" w:sz="6" w:space="0" w:color="auto"/>
              <w:left w:val="nil"/>
              <w:bottom w:val="single" w:sz="4" w:space="0" w:color="D9D9D9"/>
              <w:right w:val="nil"/>
            </w:tcBorders>
            <w:shd w:val="clear" w:color="auto" w:fill="auto"/>
            <w:vAlign w:val="center"/>
          </w:tcPr>
          <w:p w14:paraId="04BD7376" w14:textId="3D11102C"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U40Z</w:t>
            </w:r>
          </w:p>
        </w:tc>
        <w:tc>
          <w:tcPr>
            <w:tcW w:w="6305" w:type="dxa"/>
            <w:tcBorders>
              <w:top w:val="single" w:sz="6" w:space="0" w:color="auto"/>
              <w:left w:val="nil"/>
              <w:bottom w:val="single" w:sz="4" w:space="0" w:color="D9D9D9"/>
              <w:right w:val="single" w:sz="4" w:space="0" w:color="FFFFFF" w:themeColor="accent6"/>
            </w:tcBorders>
            <w:shd w:val="clear" w:color="auto" w:fill="auto"/>
            <w:vAlign w:val="center"/>
          </w:tcPr>
          <w:p w14:paraId="73031E40" w14:textId="30771D4F"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 xml:space="preserve">Mental Health Treatment W ECT, </w:t>
            </w:r>
            <w:proofErr w:type="spellStart"/>
            <w:r>
              <w:rPr>
                <w:rFonts w:cs="Arial"/>
                <w:color w:val="000000"/>
                <w:sz w:val="14"/>
                <w:szCs w:val="14"/>
              </w:rPr>
              <w:t>Sameday</w:t>
            </w:r>
            <w:proofErr w:type="spellEnd"/>
          </w:p>
        </w:tc>
        <w:tc>
          <w:tcPr>
            <w:tcW w:w="1033" w:type="dxa"/>
            <w:tcBorders>
              <w:top w:val="single" w:sz="6" w:space="0" w:color="auto"/>
              <w:left w:val="single" w:sz="4" w:space="0" w:color="FFFFFF" w:themeColor="accent6"/>
              <w:bottom w:val="single" w:sz="4" w:space="0" w:color="D9D9D9"/>
              <w:right w:val="nil"/>
            </w:tcBorders>
            <w:shd w:val="clear" w:color="auto" w:fill="auto"/>
            <w:vAlign w:val="center"/>
          </w:tcPr>
          <w:p w14:paraId="59AC79C8" w14:textId="3C060D6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4,639</w:t>
            </w:r>
          </w:p>
        </w:tc>
        <w:tc>
          <w:tcPr>
            <w:tcW w:w="1128" w:type="dxa"/>
            <w:tcBorders>
              <w:top w:val="single" w:sz="6" w:space="0" w:color="auto"/>
              <w:left w:val="nil"/>
              <w:bottom w:val="single" w:sz="4" w:space="0" w:color="D9D9D9"/>
              <w:right w:val="single" w:sz="4" w:space="0" w:color="FFFFFF" w:themeColor="accent6"/>
            </w:tcBorders>
            <w:shd w:val="clear" w:color="auto" w:fill="auto"/>
            <w:vAlign w:val="center"/>
          </w:tcPr>
          <w:p w14:paraId="48C8C34D" w14:textId="4C98A4C5"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0.23</w:t>
            </w:r>
          </w:p>
        </w:tc>
        <w:tc>
          <w:tcPr>
            <w:tcW w:w="966" w:type="dxa"/>
            <w:tcBorders>
              <w:top w:val="single" w:sz="6" w:space="0" w:color="auto"/>
              <w:left w:val="single" w:sz="4" w:space="0" w:color="FFFFFF" w:themeColor="accent6"/>
              <w:bottom w:val="single" w:sz="4" w:space="0" w:color="D9D9D9"/>
              <w:right w:val="nil"/>
            </w:tcBorders>
            <w:shd w:val="clear" w:color="auto" w:fill="F2F2F2" w:themeFill="background2" w:themeFillShade="F2"/>
            <w:vAlign w:val="center"/>
          </w:tcPr>
          <w:p w14:paraId="58F92C0D" w14:textId="74F4E989"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0.10</w:t>
            </w:r>
          </w:p>
        </w:tc>
        <w:tc>
          <w:tcPr>
            <w:tcW w:w="967" w:type="dxa"/>
            <w:tcBorders>
              <w:top w:val="single" w:sz="6" w:space="0" w:color="auto"/>
              <w:left w:val="nil"/>
              <w:bottom w:val="single" w:sz="4" w:space="0" w:color="D9D9D9"/>
              <w:right w:val="nil"/>
            </w:tcBorders>
            <w:shd w:val="clear" w:color="auto" w:fill="F2F2F2" w:themeFill="background2" w:themeFillShade="F2"/>
            <w:vAlign w:val="center"/>
          </w:tcPr>
          <w:p w14:paraId="6A1BC8B6" w14:textId="6B302469"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0.22</w:t>
            </w:r>
          </w:p>
        </w:tc>
        <w:tc>
          <w:tcPr>
            <w:tcW w:w="969" w:type="dxa"/>
            <w:tcBorders>
              <w:top w:val="single" w:sz="6" w:space="0" w:color="auto"/>
              <w:left w:val="nil"/>
              <w:bottom w:val="single" w:sz="4" w:space="0" w:color="D9D9D9"/>
              <w:right w:val="single" w:sz="4" w:space="0" w:color="FFFFFF" w:themeColor="accent6"/>
            </w:tcBorders>
            <w:shd w:val="clear" w:color="auto" w:fill="F2F2F2" w:themeFill="background2" w:themeFillShade="F2"/>
            <w:vAlign w:val="center"/>
          </w:tcPr>
          <w:p w14:paraId="46EFCDBA" w14:textId="43F5E49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0.16</w:t>
            </w:r>
          </w:p>
        </w:tc>
        <w:tc>
          <w:tcPr>
            <w:tcW w:w="967" w:type="dxa"/>
            <w:gridSpan w:val="2"/>
            <w:tcBorders>
              <w:top w:val="single" w:sz="6" w:space="0" w:color="auto"/>
              <w:left w:val="single" w:sz="4" w:space="0" w:color="FFFFFF" w:themeColor="accent6"/>
              <w:bottom w:val="single" w:sz="4" w:space="0" w:color="D9D9D9"/>
              <w:right w:val="nil"/>
            </w:tcBorders>
            <w:shd w:val="clear" w:color="auto" w:fill="F2F2F2" w:themeFill="background2" w:themeFillShade="F2"/>
            <w:vAlign w:val="center"/>
          </w:tcPr>
          <w:p w14:paraId="78B429B7" w14:textId="1AC1797B"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54.4%</w:t>
            </w:r>
          </w:p>
        </w:tc>
        <w:tc>
          <w:tcPr>
            <w:tcW w:w="966" w:type="dxa"/>
            <w:gridSpan w:val="2"/>
            <w:tcBorders>
              <w:top w:val="single" w:sz="6" w:space="0" w:color="auto"/>
              <w:left w:val="nil"/>
              <w:bottom w:val="single" w:sz="4" w:space="0" w:color="D9D9D9"/>
              <w:right w:val="nil"/>
            </w:tcBorders>
            <w:shd w:val="clear" w:color="auto" w:fill="F2F2F2" w:themeFill="background2" w:themeFillShade="F2"/>
            <w:vAlign w:val="center"/>
          </w:tcPr>
          <w:p w14:paraId="32B146D2" w14:textId="34F022F4"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58.5%</w:t>
            </w:r>
          </w:p>
        </w:tc>
        <w:tc>
          <w:tcPr>
            <w:tcW w:w="970" w:type="dxa"/>
            <w:tcBorders>
              <w:top w:val="single" w:sz="6" w:space="0" w:color="auto"/>
              <w:left w:val="nil"/>
              <w:bottom w:val="single" w:sz="4" w:space="0" w:color="D9D9D9"/>
              <w:right w:val="nil"/>
            </w:tcBorders>
            <w:shd w:val="clear" w:color="auto" w:fill="F2F2F2" w:themeFill="background2" w:themeFillShade="F2"/>
            <w:vAlign w:val="center"/>
          </w:tcPr>
          <w:p w14:paraId="55F6AB26" w14:textId="08961E51"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69.4%</w:t>
            </w:r>
          </w:p>
        </w:tc>
      </w:tr>
      <w:tr w:rsidR="00216FDD" w:rsidRPr="0088109E" w14:paraId="4C182112" w14:textId="77777777" w:rsidTr="000771FC">
        <w:trPr>
          <w:trHeight w:val="239"/>
        </w:trPr>
        <w:tc>
          <w:tcPr>
            <w:tcW w:w="748" w:type="dxa"/>
            <w:tcBorders>
              <w:top w:val="single" w:sz="4" w:space="0" w:color="D9D9D9"/>
              <w:left w:val="nil"/>
              <w:bottom w:val="single" w:sz="4" w:space="0" w:color="D9D9D9"/>
              <w:right w:val="nil"/>
            </w:tcBorders>
            <w:vAlign w:val="center"/>
          </w:tcPr>
          <w:p w14:paraId="6104F266"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w:t>
            </w:r>
          </w:p>
        </w:tc>
        <w:tc>
          <w:tcPr>
            <w:tcW w:w="815" w:type="dxa"/>
            <w:tcBorders>
              <w:top w:val="single" w:sz="4" w:space="0" w:color="D9D9D9"/>
              <w:left w:val="nil"/>
              <w:bottom w:val="single" w:sz="4" w:space="0" w:color="D9D9D9"/>
              <w:right w:val="nil"/>
            </w:tcBorders>
            <w:shd w:val="clear" w:color="auto" w:fill="auto"/>
            <w:vAlign w:val="center"/>
          </w:tcPr>
          <w:p w14:paraId="15D40B8C" w14:textId="187DEA43"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M05Z</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02CBC132" w14:textId="1C85764A"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Circumcision</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5DBF4BA4" w14:textId="722F7CC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6,087</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0EC5C06E" w14:textId="6A9ABF7B"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0.47</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5373EB04" w14:textId="108E0460"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0.30</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210BD4FE" w14:textId="511728E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0.31</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5DF6D443" w14:textId="40D1CD34"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0.32</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139ECD3" w14:textId="3BF9E44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66.2%</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063F365E" w14:textId="7C819B9A"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64.8%</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42157436" w14:textId="6A0C66E4"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68.1%</w:t>
            </w:r>
          </w:p>
        </w:tc>
      </w:tr>
      <w:tr w:rsidR="00216FDD" w:rsidRPr="0088109E" w14:paraId="4F66B760" w14:textId="77777777" w:rsidTr="000771FC">
        <w:trPr>
          <w:trHeight w:val="239"/>
        </w:trPr>
        <w:tc>
          <w:tcPr>
            <w:tcW w:w="748" w:type="dxa"/>
            <w:tcBorders>
              <w:top w:val="single" w:sz="4" w:space="0" w:color="D9D9D9"/>
              <w:left w:val="nil"/>
              <w:bottom w:val="single" w:sz="4" w:space="0" w:color="D9D9D9"/>
              <w:right w:val="nil"/>
            </w:tcBorders>
            <w:vAlign w:val="center"/>
          </w:tcPr>
          <w:p w14:paraId="54B98721"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w:t>
            </w:r>
          </w:p>
        </w:tc>
        <w:tc>
          <w:tcPr>
            <w:tcW w:w="815" w:type="dxa"/>
            <w:tcBorders>
              <w:top w:val="single" w:sz="4" w:space="0" w:color="D9D9D9"/>
              <w:left w:val="nil"/>
              <w:bottom w:val="single" w:sz="4" w:space="0" w:color="D9D9D9"/>
              <w:right w:val="nil"/>
            </w:tcBorders>
            <w:shd w:val="clear" w:color="auto" w:fill="auto"/>
            <w:vAlign w:val="center"/>
          </w:tcPr>
          <w:p w14:paraId="6C81E3CA" w14:textId="7FB3E40D"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M63Z</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4E0C9E50" w14:textId="55561847"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 xml:space="preserve">Male </w:t>
            </w:r>
            <w:proofErr w:type="spellStart"/>
            <w:r>
              <w:rPr>
                <w:rFonts w:cs="Arial"/>
                <w:color w:val="000000"/>
                <w:sz w:val="14"/>
                <w:szCs w:val="14"/>
              </w:rPr>
              <w:t>Sterilisation</w:t>
            </w:r>
            <w:proofErr w:type="spellEnd"/>
            <w:r>
              <w:rPr>
                <w:rFonts w:cs="Arial"/>
                <w:color w:val="000000"/>
                <w:sz w:val="14"/>
                <w:szCs w:val="14"/>
              </w:rPr>
              <w:t xml:space="preserve"> Interventions</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55224C7C" w14:textId="685E3015"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5,873</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1FDD20B1" w14:textId="1C03B692"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0.34</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013BF282" w14:textId="1E8BB68A"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0.25</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73D30E49" w14:textId="594F4C16"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0.23</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02D7F50B" w14:textId="380E6A33"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0.23</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31E06304" w14:textId="3B3857C9"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67.2%</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084356E4" w14:textId="59288694"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63.4%</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1A69296B" w14:textId="1116BC6E"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67.6%</w:t>
            </w:r>
          </w:p>
        </w:tc>
      </w:tr>
      <w:tr w:rsidR="00216FDD" w:rsidRPr="0088109E" w14:paraId="59C67DD7" w14:textId="77777777" w:rsidTr="000771FC">
        <w:trPr>
          <w:trHeight w:val="239"/>
        </w:trPr>
        <w:tc>
          <w:tcPr>
            <w:tcW w:w="748" w:type="dxa"/>
            <w:tcBorders>
              <w:top w:val="single" w:sz="4" w:space="0" w:color="D9D9D9"/>
              <w:left w:val="nil"/>
              <w:bottom w:val="single" w:sz="4" w:space="0" w:color="D9D9D9"/>
              <w:right w:val="nil"/>
            </w:tcBorders>
            <w:vAlign w:val="center"/>
          </w:tcPr>
          <w:p w14:paraId="3295BEFC"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w:t>
            </w:r>
          </w:p>
        </w:tc>
        <w:tc>
          <w:tcPr>
            <w:tcW w:w="815" w:type="dxa"/>
            <w:tcBorders>
              <w:top w:val="single" w:sz="4" w:space="0" w:color="D9D9D9"/>
              <w:left w:val="nil"/>
              <w:bottom w:val="single" w:sz="4" w:space="0" w:color="D9D9D9"/>
              <w:right w:val="nil"/>
            </w:tcBorders>
            <w:shd w:val="clear" w:color="auto" w:fill="auto"/>
            <w:vAlign w:val="center"/>
          </w:tcPr>
          <w:p w14:paraId="35CC8C9C" w14:textId="42B61096"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B05Z</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033B05F5" w14:textId="1084F668"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Carpal Tunnel Release</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0A602DD9" w14:textId="52CEE54E"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18,792</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26CB86E6" w14:textId="3527C897"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0.37</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902DE57" w14:textId="0DAEDC7A"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0.25</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2E18946C" w14:textId="0BD7F297"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0.25</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0002C91B" w14:textId="00E56ECB"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0.25</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05E9CA6F" w14:textId="068B1637"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65.5%</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7507AB96" w14:textId="4973B2DE"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65.9%</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424E880F" w14:textId="35F187F7"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67.5%</w:t>
            </w:r>
          </w:p>
        </w:tc>
      </w:tr>
      <w:tr w:rsidR="00216FDD" w:rsidRPr="0088109E" w14:paraId="38E9F33C" w14:textId="77777777" w:rsidTr="000771FC">
        <w:trPr>
          <w:trHeight w:val="239"/>
        </w:trPr>
        <w:tc>
          <w:tcPr>
            <w:tcW w:w="748" w:type="dxa"/>
            <w:tcBorders>
              <w:top w:val="single" w:sz="4" w:space="0" w:color="D9D9D9"/>
              <w:left w:val="nil"/>
              <w:bottom w:val="single" w:sz="4" w:space="0" w:color="D9D9D9"/>
              <w:right w:val="nil"/>
            </w:tcBorders>
            <w:vAlign w:val="center"/>
          </w:tcPr>
          <w:p w14:paraId="2ED68B81"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w:t>
            </w:r>
          </w:p>
        </w:tc>
        <w:tc>
          <w:tcPr>
            <w:tcW w:w="815" w:type="dxa"/>
            <w:tcBorders>
              <w:top w:val="single" w:sz="4" w:space="0" w:color="D9D9D9"/>
              <w:left w:val="nil"/>
              <w:bottom w:val="single" w:sz="4" w:space="0" w:color="D9D9D9"/>
              <w:right w:val="nil"/>
            </w:tcBorders>
            <w:shd w:val="clear" w:color="auto" w:fill="auto"/>
            <w:vAlign w:val="center"/>
          </w:tcPr>
          <w:p w14:paraId="77B2AB00" w14:textId="45791070"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C11Z</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1C5728B9" w14:textId="38023463"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Eyelid Interventions</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56C1EF49" w14:textId="76A393E2"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6,399</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6905B88E" w14:textId="06EBD46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0.69</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1B861527" w14:textId="370CADD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0.44</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01E62C6C" w14:textId="6C5CF0B8"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0.45</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7642E800" w14:textId="412DF073"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0.46</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7FCB2DC0" w14:textId="152F1C07"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66.6%</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30A7294B" w14:textId="4926971D"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65.8%</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17E7F68B" w14:textId="15E0F2C7"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67.2%</w:t>
            </w:r>
          </w:p>
        </w:tc>
      </w:tr>
      <w:tr w:rsidR="00216FDD" w:rsidRPr="0088109E" w14:paraId="4FEC40A3" w14:textId="77777777" w:rsidTr="000771FC">
        <w:trPr>
          <w:trHeight w:val="239"/>
        </w:trPr>
        <w:tc>
          <w:tcPr>
            <w:tcW w:w="748" w:type="dxa"/>
            <w:tcBorders>
              <w:top w:val="single" w:sz="4" w:space="0" w:color="D9D9D9"/>
              <w:left w:val="nil"/>
              <w:bottom w:val="single" w:sz="4" w:space="0" w:color="D9D9D9"/>
              <w:right w:val="nil"/>
            </w:tcBorders>
            <w:vAlign w:val="center"/>
          </w:tcPr>
          <w:p w14:paraId="02251C3E"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w:t>
            </w:r>
          </w:p>
        </w:tc>
        <w:tc>
          <w:tcPr>
            <w:tcW w:w="815" w:type="dxa"/>
            <w:tcBorders>
              <w:top w:val="single" w:sz="4" w:space="0" w:color="D9D9D9"/>
              <w:left w:val="nil"/>
              <w:bottom w:val="single" w:sz="4" w:space="0" w:color="D9D9D9"/>
              <w:right w:val="nil"/>
            </w:tcBorders>
            <w:shd w:val="clear" w:color="auto" w:fill="auto"/>
            <w:vAlign w:val="center"/>
          </w:tcPr>
          <w:p w14:paraId="64B92906" w14:textId="1BF55873"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J10B</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2E67B55B" w14:textId="5220207C"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Plastic GIs for Skin, Subcutaneous Tissue and Breast Disorders, Minor Comp</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5BA53D4C" w14:textId="31FAD552"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17,352</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6D2D7342" w14:textId="04749FA4"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0.72</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03ABA557" w14:textId="3AF7C2A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0.44</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6AF29F8B" w14:textId="2663CDB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0.42</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78DF8663" w14:textId="134CEEA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0.48</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32337D93" w14:textId="3333028F"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64.5%</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7C6542BF" w14:textId="6356DA98"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64.4%</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53BE8B21" w14:textId="0509B820"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67.0%</w:t>
            </w:r>
          </w:p>
        </w:tc>
      </w:tr>
      <w:tr w:rsidR="00216FDD" w:rsidRPr="0088109E" w14:paraId="3871CAE3" w14:textId="77777777" w:rsidTr="000771FC">
        <w:trPr>
          <w:trHeight w:val="239"/>
        </w:trPr>
        <w:tc>
          <w:tcPr>
            <w:tcW w:w="748" w:type="dxa"/>
            <w:tcBorders>
              <w:top w:val="single" w:sz="4" w:space="0" w:color="D9D9D9"/>
              <w:left w:val="nil"/>
              <w:bottom w:val="single" w:sz="4" w:space="0" w:color="D9D9D9"/>
              <w:right w:val="nil"/>
            </w:tcBorders>
            <w:vAlign w:val="center"/>
          </w:tcPr>
          <w:p w14:paraId="35788A47"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w:t>
            </w:r>
          </w:p>
        </w:tc>
        <w:tc>
          <w:tcPr>
            <w:tcW w:w="815" w:type="dxa"/>
            <w:tcBorders>
              <w:top w:val="single" w:sz="4" w:space="0" w:color="D9D9D9"/>
              <w:left w:val="nil"/>
              <w:bottom w:val="single" w:sz="4" w:space="0" w:color="D9D9D9"/>
              <w:right w:val="nil"/>
            </w:tcBorders>
            <w:shd w:val="clear" w:color="auto" w:fill="auto"/>
            <w:vAlign w:val="center"/>
          </w:tcPr>
          <w:p w14:paraId="6C5D9032" w14:textId="72AE12E4"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N07B</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5C71B62A" w14:textId="756C5DF7"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Other Uterus and Adnexa Interventions for Non-Malignancy, Minor Complexity</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11664798" w14:textId="7AE588A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35,930</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1BD55FFF" w14:textId="26C4F64D"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0.41</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3D081F1" w14:textId="751FC431"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0.27</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5115DF41" w14:textId="17E744FF"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0.27</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4F229F3F" w14:textId="4D89BCDD"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0.27</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7E441D88" w14:textId="247C5AAB"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64.8%</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162DEEF5" w14:textId="438D63B6"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64.8%</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7B34ECEA" w14:textId="33FD4342"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66.2%</w:t>
            </w:r>
          </w:p>
        </w:tc>
      </w:tr>
      <w:tr w:rsidR="00216FDD" w:rsidRPr="0088109E" w14:paraId="7844D0F1" w14:textId="77777777" w:rsidTr="000771FC">
        <w:trPr>
          <w:trHeight w:val="239"/>
        </w:trPr>
        <w:tc>
          <w:tcPr>
            <w:tcW w:w="748" w:type="dxa"/>
            <w:tcBorders>
              <w:top w:val="single" w:sz="4" w:space="0" w:color="D9D9D9"/>
              <w:left w:val="nil"/>
              <w:bottom w:val="single" w:sz="4" w:space="0" w:color="D9D9D9"/>
              <w:right w:val="nil"/>
            </w:tcBorders>
            <w:vAlign w:val="center"/>
          </w:tcPr>
          <w:p w14:paraId="0081464D"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w:t>
            </w:r>
          </w:p>
        </w:tc>
        <w:tc>
          <w:tcPr>
            <w:tcW w:w="815" w:type="dxa"/>
            <w:tcBorders>
              <w:top w:val="single" w:sz="4" w:space="0" w:color="D9D9D9"/>
              <w:left w:val="nil"/>
              <w:bottom w:val="single" w:sz="4" w:space="0" w:color="D9D9D9"/>
              <w:right w:val="nil"/>
            </w:tcBorders>
            <w:shd w:val="clear" w:color="auto" w:fill="auto"/>
            <w:vAlign w:val="center"/>
          </w:tcPr>
          <w:p w14:paraId="7A72B7A9" w14:textId="1A3DD994"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N10Z</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1DFCB75F" w14:textId="4E765F7F"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Diagnostic Curettage and Diagnostic Hysteroscopy</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031388F6" w14:textId="13826280"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25,836</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1F7A09DB" w14:textId="652D7D3D"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0.31</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27D8CACA" w14:textId="7FC990A4"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0.20</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42E862A7" w14:textId="2032619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0.20</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681D6E24" w14:textId="2CF751F5"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0.21</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C17543D" w14:textId="29737132"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64.6%</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360776FC" w14:textId="0B63AB1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64.3%</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576C7EAE" w14:textId="0C17F961"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66.0%</w:t>
            </w:r>
          </w:p>
        </w:tc>
      </w:tr>
      <w:tr w:rsidR="00216FDD" w:rsidRPr="0088109E" w14:paraId="53B430B3" w14:textId="77777777" w:rsidTr="000771FC">
        <w:trPr>
          <w:trHeight w:val="239"/>
        </w:trPr>
        <w:tc>
          <w:tcPr>
            <w:tcW w:w="748" w:type="dxa"/>
            <w:tcBorders>
              <w:top w:val="single" w:sz="4" w:space="0" w:color="D9D9D9"/>
              <w:left w:val="nil"/>
              <w:bottom w:val="single" w:sz="4" w:space="0" w:color="D9D9D9"/>
              <w:right w:val="nil"/>
            </w:tcBorders>
            <w:vAlign w:val="center"/>
          </w:tcPr>
          <w:p w14:paraId="0310B7CC"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w:t>
            </w:r>
          </w:p>
        </w:tc>
        <w:tc>
          <w:tcPr>
            <w:tcW w:w="815" w:type="dxa"/>
            <w:tcBorders>
              <w:top w:val="single" w:sz="4" w:space="0" w:color="D9D9D9"/>
              <w:left w:val="nil"/>
              <w:bottom w:val="single" w:sz="4" w:space="0" w:color="D9D9D9"/>
              <w:right w:val="nil"/>
            </w:tcBorders>
            <w:shd w:val="clear" w:color="auto" w:fill="auto"/>
            <w:vAlign w:val="center"/>
          </w:tcPr>
          <w:p w14:paraId="3367C588" w14:textId="7832046D"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N09B</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2F11C3A2" w14:textId="143AF6CC"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Other Vagina, Cervix and Vulva Interventions, Minor Complexity</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578AE46F" w14:textId="5A3EE072"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13,896</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066A5437" w14:textId="516431CA"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0.36</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382D65F2" w14:textId="4D7F0BE8"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0.24</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40ACD5F2" w14:textId="66E41218"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0.23</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4198875F" w14:textId="7C3B0AE6"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0.24</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138E14EA" w14:textId="1CB825D8"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64.1%</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4CC520D6" w14:textId="4A6BCAE3"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63.4%</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418984B0" w14:textId="2B52056E"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66.0%</w:t>
            </w:r>
          </w:p>
        </w:tc>
      </w:tr>
      <w:tr w:rsidR="00216FDD" w:rsidRPr="0088109E" w14:paraId="09C0084C" w14:textId="77777777" w:rsidTr="000771FC">
        <w:trPr>
          <w:trHeight w:val="239"/>
        </w:trPr>
        <w:tc>
          <w:tcPr>
            <w:tcW w:w="748" w:type="dxa"/>
            <w:tcBorders>
              <w:top w:val="single" w:sz="4" w:space="0" w:color="D9D9D9"/>
              <w:left w:val="nil"/>
              <w:bottom w:val="single" w:sz="4" w:space="0" w:color="D9D9D9"/>
              <w:right w:val="nil"/>
            </w:tcBorders>
            <w:vAlign w:val="center"/>
          </w:tcPr>
          <w:p w14:paraId="42BD17EC" w14:textId="77777777"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w:t>
            </w:r>
          </w:p>
        </w:tc>
        <w:tc>
          <w:tcPr>
            <w:tcW w:w="815" w:type="dxa"/>
            <w:tcBorders>
              <w:top w:val="single" w:sz="4" w:space="0" w:color="D9D9D9"/>
              <w:left w:val="nil"/>
              <w:bottom w:val="single" w:sz="4" w:space="0" w:color="D9D9D9"/>
              <w:right w:val="nil"/>
            </w:tcBorders>
            <w:shd w:val="clear" w:color="auto" w:fill="auto"/>
            <w:vAlign w:val="center"/>
          </w:tcPr>
          <w:p w14:paraId="6B4B8ADA" w14:textId="1735A9F0" w:rsidR="00C84E77" w:rsidRPr="00F67A07" w:rsidRDefault="00C84E77" w:rsidP="000771FC">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J11B</w:t>
            </w:r>
          </w:p>
        </w:tc>
        <w:tc>
          <w:tcPr>
            <w:tcW w:w="6305" w:type="dxa"/>
            <w:tcBorders>
              <w:top w:val="single" w:sz="4" w:space="0" w:color="D9D9D9"/>
              <w:left w:val="nil"/>
              <w:bottom w:val="single" w:sz="4" w:space="0" w:color="D9D9D9"/>
              <w:right w:val="single" w:sz="4" w:space="0" w:color="FFFFFF" w:themeColor="accent6"/>
            </w:tcBorders>
            <w:shd w:val="clear" w:color="auto" w:fill="auto"/>
            <w:vAlign w:val="center"/>
          </w:tcPr>
          <w:p w14:paraId="4C1AD065" w14:textId="24F3878A" w:rsidR="00C84E77" w:rsidRPr="00F67A07" w:rsidRDefault="00C84E77" w:rsidP="00C84E77">
            <w:pPr>
              <w:autoSpaceDE w:val="0"/>
              <w:autoSpaceDN w:val="0"/>
              <w:adjustRightInd w:val="0"/>
              <w:spacing w:after="0" w:line="240" w:lineRule="auto"/>
              <w:rPr>
                <w:rFonts w:cs="Arial"/>
                <w:color w:val="000000"/>
                <w:sz w:val="14"/>
                <w:szCs w:val="14"/>
                <w:lang w:val="en-AU"/>
              </w:rPr>
            </w:pPr>
            <w:r>
              <w:rPr>
                <w:rFonts w:cs="Arial"/>
                <w:color w:val="000000"/>
                <w:sz w:val="14"/>
                <w:szCs w:val="14"/>
              </w:rPr>
              <w:t>Other Skin, Subcutaneous Tissue and Breast Interventions, Minor Complexity</w:t>
            </w:r>
          </w:p>
        </w:tc>
        <w:tc>
          <w:tcPr>
            <w:tcW w:w="1033" w:type="dxa"/>
            <w:tcBorders>
              <w:top w:val="single" w:sz="4" w:space="0" w:color="D9D9D9"/>
              <w:left w:val="single" w:sz="4" w:space="0" w:color="FFFFFF" w:themeColor="accent6"/>
              <w:bottom w:val="single" w:sz="4" w:space="0" w:color="D9D9D9"/>
              <w:right w:val="nil"/>
            </w:tcBorders>
            <w:shd w:val="clear" w:color="auto" w:fill="auto"/>
            <w:vAlign w:val="center"/>
          </w:tcPr>
          <w:p w14:paraId="3BB98EA1" w14:textId="7724D94F"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25,885</w:t>
            </w:r>
          </w:p>
        </w:tc>
        <w:tc>
          <w:tcPr>
            <w:tcW w:w="1128" w:type="dxa"/>
            <w:tcBorders>
              <w:top w:val="single" w:sz="4" w:space="0" w:color="D9D9D9"/>
              <w:left w:val="nil"/>
              <w:bottom w:val="single" w:sz="4" w:space="0" w:color="D9D9D9"/>
              <w:right w:val="single" w:sz="4" w:space="0" w:color="FFFFFF" w:themeColor="accent6"/>
            </w:tcBorders>
            <w:shd w:val="clear" w:color="auto" w:fill="auto"/>
            <w:vAlign w:val="center"/>
          </w:tcPr>
          <w:p w14:paraId="58A18B75" w14:textId="48C50E15"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0.40</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86FE098" w14:textId="3A7D36CB"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0.24</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0707FFF0" w14:textId="0EDEF0CE"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0.26</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58F2500F" w14:textId="444C5A53"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0.26</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2F6404A" w14:textId="564CEB96"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61.5%</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1C0D45DB" w14:textId="16F70DCB"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63.2%</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443D9669" w14:textId="030AF06E"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65.7%</w:t>
            </w:r>
          </w:p>
        </w:tc>
      </w:tr>
      <w:tr w:rsidR="00216FDD" w:rsidRPr="0088109E" w14:paraId="5AFB22F9" w14:textId="77777777" w:rsidTr="00E87B16">
        <w:trPr>
          <w:trHeight w:val="239"/>
        </w:trPr>
        <w:tc>
          <w:tcPr>
            <w:tcW w:w="7868" w:type="dxa"/>
            <w:gridSpan w:val="3"/>
            <w:tcBorders>
              <w:top w:val="single" w:sz="4" w:space="0" w:color="D9D9D9"/>
              <w:left w:val="nil"/>
              <w:bottom w:val="nil"/>
              <w:right w:val="single" w:sz="4" w:space="0" w:color="FFFFFF" w:themeColor="accent6"/>
            </w:tcBorders>
            <w:shd w:val="clear" w:color="auto" w:fill="DFEBF1" w:themeFill="text2" w:themeFillTint="1A"/>
            <w:vAlign w:val="center"/>
          </w:tcPr>
          <w:p w14:paraId="270B1065" w14:textId="6158774E" w:rsidR="009C68CB" w:rsidRPr="00F67A07" w:rsidRDefault="009C68CB" w:rsidP="009C68CB">
            <w:pPr>
              <w:autoSpaceDE w:val="0"/>
              <w:autoSpaceDN w:val="0"/>
              <w:adjustRightInd w:val="0"/>
              <w:spacing w:after="0" w:line="240" w:lineRule="auto"/>
              <w:rPr>
                <w:rFonts w:cs="Arial"/>
                <w:b/>
                <w:bCs/>
                <w:color w:val="000000"/>
                <w:sz w:val="14"/>
                <w:szCs w:val="14"/>
                <w:lang w:val="en-AU"/>
              </w:rPr>
            </w:pPr>
            <w:r>
              <w:rPr>
                <w:rFonts w:cs="Arial"/>
                <w:b/>
                <w:bCs/>
                <w:color w:val="000000"/>
                <w:sz w:val="14"/>
                <w:szCs w:val="14"/>
              </w:rPr>
              <w:t>Sub-total, top 10 highest OR and SPS cost weight %</w:t>
            </w:r>
          </w:p>
        </w:tc>
        <w:tc>
          <w:tcPr>
            <w:tcW w:w="1033" w:type="dxa"/>
            <w:tcBorders>
              <w:top w:val="single" w:sz="4" w:space="0" w:color="D9D9D9"/>
              <w:left w:val="single" w:sz="4" w:space="0" w:color="FFFFFF" w:themeColor="accent6"/>
              <w:bottom w:val="nil"/>
              <w:right w:val="nil"/>
            </w:tcBorders>
            <w:shd w:val="clear" w:color="auto" w:fill="DFEBF1" w:themeFill="text2" w:themeFillTint="1A"/>
            <w:vAlign w:val="center"/>
          </w:tcPr>
          <w:p w14:paraId="6E80C2CA" w14:textId="3B86C945"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160,689</w:t>
            </w:r>
          </w:p>
        </w:tc>
        <w:tc>
          <w:tcPr>
            <w:tcW w:w="1128" w:type="dxa"/>
            <w:tcBorders>
              <w:top w:val="single" w:sz="4" w:space="0" w:color="D9D9D9"/>
              <w:left w:val="nil"/>
              <w:bottom w:val="nil"/>
              <w:right w:val="single" w:sz="4" w:space="0" w:color="FFFFFF" w:themeColor="accent6"/>
            </w:tcBorders>
            <w:shd w:val="clear" w:color="auto" w:fill="DFEBF1" w:themeFill="text2" w:themeFillTint="1A"/>
            <w:vAlign w:val="center"/>
          </w:tcPr>
          <w:p w14:paraId="5CBD9FE4" w14:textId="1B08CA8A"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0.42</w:t>
            </w:r>
          </w:p>
        </w:tc>
        <w:tc>
          <w:tcPr>
            <w:tcW w:w="966" w:type="dxa"/>
            <w:tcBorders>
              <w:top w:val="single" w:sz="4" w:space="0" w:color="D9D9D9"/>
              <w:left w:val="single" w:sz="4" w:space="0" w:color="FFFFFF" w:themeColor="accent6"/>
              <w:bottom w:val="nil"/>
              <w:right w:val="nil"/>
            </w:tcBorders>
            <w:shd w:val="clear" w:color="auto" w:fill="DFEBF1" w:themeFill="text2" w:themeFillTint="1A"/>
            <w:vAlign w:val="center"/>
          </w:tcPr>
          <w:p w14:paraId="71ABC5DE" w14:textId="2DDDD27B"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0.27</w:t>
            </w:r>
          </w:p>
        </w:tc>
        <w:tc>
          <w:tcPr>
            <w:tcW w:w="967" w:type="dxa"/>
            <w:tcBorders>
              <w:top w:val="single" w:sz="4" w:space="0" w:color="D9D9D9"/>
              <w:left w:val="nil"/>
              <w:bottom w:val="nil"/>
              <w:right w:val="nil"/>
            </w:tcBorders>
            <w:shd w:val="clear" w:color="auto" w:fill="DFEBF1" w:themeFill="text2" w:themeFillTint="1A"/>
            <w:vAlign w:val="center"/>
          </w:tcPr>
          <w:p w14:paraId="65D2BFE5" w14:textId="0C73B21C"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0.27</w:t>
            </w:r>
          </w:p>
        </w:tc>
        <w:tc>
          <w:tcPr>
            <w:tcW w:w="969" w:type="dxa"/>
            <w:tcBorders>
              <w:top w:val="single" w:sz="4" w:space="0" w:color="D9D9D9"/>
              <w:left w:val="nil"/>
              <w:bottom w:val="nil"/>
              <w:right w:val="single" w:sz="4" w:space="0" w:color="FFFFFF" w:themeColor="accent6"/>
            </w:tcBorders>
            <w:shd w:val="clear" w:color="auto" w:fill="DFEBF1" w:themeFill="text2" w:themeFillTint="1A"/>
            <w:vAlign w:val="center"/>
          </w:tcPr>
          <w:p w14:paraId="6118A3E8" w14:textId="71AD034B"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0.28</w:t>
            </w:r>
          </w:p>
        </w:tc>
        <w:tc>
          <w:tcPr>
            <w:tcW w:w="967" w:type="dxa"/>
            <w:gridSpan w:val="2"/>
            <w:tcBorders>
              <w:top w:val="single" w:sz="4" w:space="0" w:color="D9D9D9"/>
              <w:left w:val="single" w:sz="4" w:space="0" w:color="FFFFFF" w:themeColor="accent6"/>
              <w:bottom w:val="nil"/>
              <w:right w:val="nil"/>
            </w:tcBorders>
            <w:shd w:val="clear" w:color="auto" w:fill="DFEBF1" w:themeFill="text2" w:themeFillTint="1A"/>
            <w:vAlign w:val="center"/>
          </w:tcPr>
          <w:p w14:paraId="0954F4D2" w14:textId="42AFCCA1"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64.3%</w:t>
            </w:r>
          </w:p>
        </w:tc>
        <w:tc>
          <w:tcPr>
            <w:tcW w:w="966" w:type="dxa"/>
            <w:gridSpan w:val="2"/>
            <w:tcBorders>
              <w:top w:val="single" w:sz="4" w:space="0" w:color="D9D9D9"/>
              <w:left w:val="nil"/>
              <w:bottom w:val="nil"/>
              <w:right w:val="nil"/>
            </w:tcBorders>
            <w:shd w:val="clear" w:color="auto" w:fill="DFEBF1" w:themeFill="text2" w:themeFillTint="1A"/>
            <w:vAlign w:val="center"/>
          </w:tcPr>
          <w:p w14:paraId="1B40C13B" w14:textId="4D251340"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64.2%</w:t>
            </w:r>
          </w:p>
        </w:tc>
        <w:tc>
          <w:tcPr>
            <w:tcW w:w="970" w:type="dxa"/>
            <w:tcBorders>
              <w:top w:val="single" w:sz="4" w:space="0" w:color="D9D9D9"/>
              <w:left w:val="nil"/>
              <w:bottom w:val="nil"/>
              <w:right w:val="nil"/>
            </w:tcBorders>
            <w:shd w:val="clear" w:color="auto" w:fill="DFEBF1" w:themeFill="text2" w:themeFillTint="1A"/>
            <w:vAlign w:val="center"/>
          </w:tcPr>
          <w:p w14:paraId="1E41BCF7" w14:textId="4E1DC6E6" w:rsidR="009C68CB" w:rsidRPr="005629F8" w:rsidRDefault="009C68CB" w:rsidP="00E87B16">
            <w:pPr>
              <w:autoSpaceDE w:val="0"/>
              <w:autoSpaceDN w:val="0"/>
              <w:adjustRightInd w:val="0"/>
              <w:spacing w:after="0" w:line="240" w:lineRule="auto"/>
              <w:jc w:val="center"/>
              <w:rPr>
                <w:rFonts w:cs="Arial"/>
                <w:b/>
                <w:color w:val="000000"/>
                <w:sz w:val="14"/>
                <w:szCs w:val="14"/>
                <w:lang w:val="en-AU"/>
              </w:rPr>
            </w:pPr>
            <w:r w:rsidRPr="005629F8">
              <w:rPr>
                <w:rFonts w:cs="Arial"/>
                <w:b/>
                <w:color w:val="000000"/>
                <w:sz w:val="14"/>
                <w:szCs w:val="14"/>
              </w:rPr>
              <w:t>66.6%</w:t>
            </w:r>
          </w:p>
        </w:tc>
      </w:tr>
      <w:tr w:rsidR="00216FDD" w:rsidRPr="0088109E" w14:paraId="74360219" w14:textId="77777777" w:rsidTr="00E87B16">
        <w:trPr>
          <w:trHeight w:val="239"/>
        </w:trPr>
        <w:tc>
          <w:tcPr>
            <w:tcW w:w="7868" w:type="dxa"/>
            <w:gridSpan w:val="3"/>
            <w:tcBorders>
              <w:top w:val="nil"/>
              <w:left w:val="nil"/>
              <w:bottom w:val="nil"/>
              <w:right w:val="single" w:sz="4" w:space="0" w:color="FFFFFF" w:themeColor="accent6"/>
            </w:tcBorders>
            <w:shd w:val="clear" w:color="auto" w:fill="DFEBF1" w:themeFill="text2" w:themeFillTint="1A"/>
            <w:vAlign w:val="center"/>
          </w:tcPr>
          <w:p w14:paraId="6F79A317" w14:textId="77131A42" w:rsidR="009C68CB" w:rsidRPr="00F67A07" w:rsidRDefault="009C68CB" w:rsidP="009C68CB">
            <w:pPr>
              <w:autoSpaceDE w:val="0"/>
              <w:autoSpaceDN w:val="0"/>
              <w:adjustRightInd w:val="0"/>
              <w:spacing w:after="0" w:line="240" w:lineRule="auto"/>
              <w:rPr>
                <w:rFonts w:cs="Arial"/>
                <w:b/>
                <w:bCs/>
                <w:color w:val="000000"/>
                <w:sz w:val="14"/>
                <w:szCs w:val="14"/>
                <w:lang w:val="en-AU"/>
              </w:rPr>
            </w:pPr>
            <w:r>
              <w:rPr>
                <w:rFonts w:cs="Arial"/>
                <w:b/>
                <w:bCs/>
                <w:color w:val="000000"/>
                <w:sz w:val="14"/>
                <w:szCs w:val="14"/>
              </w:rPr>
              <w:t xml:space="preserve">All OR and SPS </w:t>
            </w:r>
            <w:r w:rsidR="00247633">
              <w:rPr>
                <w:rFonts w:cs="Arial"/>
                <w:b/>
                <w:bCs/>
                <w:color w:val="000000"/>
                <w:sz w:val="14"/>
                <w:szCs w:val="14"/>
              </w:rPr>
              <w:t>AR-</w:t>
            </w:r>
            <w:r>
              <w:rPr>
                <w:rFonts w:cs="Arial"/>
                <w:b/>
                <w:bCs/>
                <w:color w:val="000000"/>
                <w:sz w:val="14"/>
                <w:szCs w:val="14"/>
              </w:rPr>
              <w:t>DRGs</w:t>
            </w:r>
          </w:p>
        </w:tc>
        <w:tc>
          <w:tcPr>
            <w:tcW w:w="1033" w:type="dxa"/>
            <w:tcBorders>
              <w:top w:val="nil"/>
              <w:left w:val="single" w:sz="4" w:space="0" w:color="FFFFFF" w:themeColor="accent6"/>
              <w:bottom w:val="nil"/>
              <w:right w:val="nil"/>
            </w:tcBorders>
            <w:shd w:val="clear" w:color="auto" w:fill="DFEBF1" w:themeFill="text2" w:themeFillTint="1A"/>
            <w:vAlign w:val="center"/>
          </w:tcPr>
          <w:p w14:paraId="28729421" w14:textId="5B959C98"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3,482,872</w:t>
            </w:r>
          </w:p>
        </w:tc>
        <w:tc>
          <w:tcPr>
            <w:tcW w:w="1128" w:type="dxa"/>
            <w:tcBorders>
              <w:top w:val="nil"/>
              <w:left w:val="nil"/>
              <w:bottom w:val="nil"/>
              <w:right w:val="single" w:sz="4" w:space="0" w:color="FFFFFF" w:themeColor="accent6"/>
            </w:tcBorders>
            <w:shd w:val="clear" w:color="auto" w:fill="DFEBF1" w:themeFill="text2" w:themeFillTint="1A"/>
            <w:vAlign w:val="center"/>
          </w:tcPr>
          <w:p w14:paraId="4EA989AF" w14:textId="19C6A90C"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p>
        </w:tc>
        <w:tc>
          <w:tcPr>
            <w:tcW w:w="966" w:type="dxa"/>
            <w:tcBorders>
              <w:top w:val="nil"/>
              <w:left w:val="single" w:sz="4" w:space="0" w:color="FFFFFF" w:themeColor="accent6"/>
              <w:bottom w:val="nil"/>
              <w:right w:val="nil"/>
            </w:tcBorders>
            <w:shd w:val="clear" w:color="auto" w:fill="DFEBF1" w:themeFill="text2" w:themeFillTint="1A"/>
            <w:vAlign w:val="center"/>
          </w:tcPr>
          <w:p w14:paraId="5913D44A" w14:textId="0B487E39"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0.28</w:t>
            </w:r>
          </w:p>
        </w:tc>
        <w:tc>
          <w:tcPr>
            <w:tcW w:w="967" w:type="dxa"/>
            <w:tcBorders>
              <w:top w:val="nil"/>
              <w:left w:val="nil"/>
              <w:bottom w:val="nil"/>
              <w:right w:val="nil"/>
            </w:tcBorders>
            <w:shd w:val="clear" w:color="auto" w:fill="DFEBF1" w:themeFill="text2" w:themeFillTint="1A"/>
            <w:vAlign w:val="center"/>
          </w:tcPr>
          <w:p w14:paraId="68C4134A" w14:textId="771EF7F7"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0.28</w:t>
            </w:r>
          </w:p>
        </w:tc>
        <w:tc>
          <w:tcPr>
            <w:tcW w:w="969" w:type="dxa"/>
            <w:tcBorders>
              <w:top w:val="nil"/>
              <w:left w:val="nil"/>
              <w:bottom w:val="nil"/>
              <w:right w:val="single" w:sz="4" w:space="0" w:color="FFFFFF" w:themeColor="accent6"/>
            </w:tcBorders>
            <w:shd w:val="clear" w:color="auto" w:fill="DFEBF1" w:themeFill="text2" w:themeFillTint="1A"/>
            <w:vAlign w:val="center"/>
          </w:tcPr>
          <w:p w14:paraId="4524FA1D" w14:textId="16811CAD"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0.29</w:t>
            </w:r>
          </w:p>
        </w:tc>
        <w:tc>
          <w:tcPr>
            <w:tcW w:w="967" w:type="dxa"/>
            <w:gridSpan w:val="2"/>
            <w:tcBorders>
              <w:top w:val="nil"/>
              <w:left w:val="single" w:sz="4" w:space="0" w:color="FFFFFF" w:themeColor="accent6"/>
              <w:bottom w:val="nil"/>
              <w:right w:val="nil"/>
            </w:tcBorders>
            <w:shd w:val="clear" w:color="auto" w:fill="DFEBF1" w:themeFill="text2" w:themeFillTint="1A"/>
            <w:vAlign w:val="center"/>
          </w:tcPr>
          <w:p w14:paraId="369C0A85" w14:textId="1695CAB0"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28.0%</w:t>
            </w:r>
          </w:p>
        </w:tc>
        <w:tc>
          <w:tcPr>
            <w:tcW w:w="966" w:type="dxa"/>
            <w:gridSpan w:val="2"/>
            <w:tcBorders>
              <w:top w:val="nil"/>
              <w:left w:val="nil"/>
              <w:bottom w:val="nil"/>
              <w:right w:val="nil"/>
            </w:tcBorders>
            <w:shd w:val="clear" w:color="auto" w:fill="DFEBF1" w:themeFill="text2" w:themeFillTint="1A"/>
            <w:vAlign w:val="center"/>
          </w:tcPr>
          <w:p w14:paraId="1B4C5DF2" w14:textId="0B8D7903"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27.7%</w:t>
            </w:r>
          </w:p>
        </w:tc>
        <w:tc>
          <w:tcPr>
            <w:tcW w:w="970" w:type="dxa"/>
            <w:tcBorders>
              <w:top w:val="nil"/>
              <w:left w:val="nil"/>
              <w:bottom w:val="nil"/>
              <w:right w:val="nil"/>
            </w:tcBorders>
            <w:shd w:val="clear" w:color="auto" w:fill="DFEBF1" w:themeFill="text2" w:themeFillTint="1A"/>
            <w:vAlign w:val="center"/>
          </w:tcPr>
          <w:p w14:paraId="5BBCC748" w14:textId="70586067" w:rsidR="009C68CB" w:rsidRPr="005629F8" w:rsidRDefault="009C68CB" w:rsidP="00E87B16">
            <w:pPr>
              <w:autoSpaceDE w:val="0"/>
              <w:autoSpaceDN w:val="0"/>
              <w:adjustRightInd w:val="0"/>
              <w:spacing w:after="0" w:line="240" w:lineRule="auto"/>
              <w:jc w:val="center"/>
              <w:rPr>
                <w:rFonts w:cs="Arial"/>
                <w:b/>
                <w:color w:val="000000"/>
                <w:sz w:val="14"/>
                <w:szCs w:val="14"/>
                <w:lang w:val="en-AU"/>
              </w:rPr>
            </w:pPr>
            <w:r w:rsidRPr="005629F8">
              <w:rPr>
                <w:rFonts w:cs="Arial"/>
                <w:b/>
                <w:color w:val="000000"/>
                <w:sz w:val="14"/>
                <w:szCs w:val="14"/>
              </w:rPr>
              <w:t>28.9%</w:t>
            </w:r>
          </w:p>
        </w:tc>
      </w:tr>
      <w:tr w:rsidR="00216FDD" w:rsidRPr="0088109E" w14:paraId="55EF2FB2" w14:textId="77777777" w:rsidTr="00E87B16">
        <w:trPr>
          <w:trHeight w:val="239"/>
        </w:trPr>
        <w:tc>
          <w:tcPr>
            <w:tcW w:w="7868" w:type="dxa"/>
            <w:gridSpan w:val="3"/>
            <w:tcBorders>
              <w:top w:val="nil"/>
              <w:left w:val="nil"/>
              <w:bottom w:val="single" w:sz="4" w:space="0" w:color="D9D9D9"/>
              <w:right w:val="single" w:sz="4" w:space="0" w:color="FFFFFF" w:themeColor="accent6"/>
            </w:tcBorders>
            <w:shd w:val="clear" w:color="auto" w:fill="DFEBF1" w:themeFill="text2" w:themeFillTint="1A"/>
            <w:vAlign w:val="center"/>
          </w:tcPr>
          <w:p w14:paraId="56FB7D54" w14:textId="1885BB74" w:rsidR="00C84E77" w:rsidRPr="00F67A07" w:rsidRDefault="00C84E77" w:rsidP="00C84E77">
            <w:pPr>
              <w:autoSpaceDE w:val="0"/>
              <w:autoSpaceDN w:val="0"/>
              <w:adjustRightInd w:val="0"/>
              <w:spacing w:after="0" w:line="240" w:lineRule="auto"/>
              <w:rPr>
                <w:rFonts w:cs="Arial"/>
                <w:b/>
                <w:bCs/>
                <w:color w:val="000000"/>
                <w:sz w:val="14"/>
                <w:szCs w:val="14"/>
                <w:lang w:val="en-AU"/>
              </w:rPr>
            </w:pPr>
            <w:r>
              <w:rPr>
                <w:rFonts w:cs="Arial"/>
                <w:b/>
                <w:bCs/>
                <w:color w:val="000000"/>
                <w:sz w:val="14"/>
                <w:szCs w:val="14"/>
              </w:rPr>
              <w:t xml:space="preserve">Top 10 highest OR and SPS cost weights proportion (% of all OR and SPS </w:t>
            </w:r>
            <w:r w:rsidR="00247633">
              <w:rPr>
                <w:rFonts w:cs="Arial"/>
                <w:b/>
                <w:bCs/>
                <w:color w:val="000000"/>
                <w:sz w:val="14"/>
                <w:szCs w:val="14"/>
              </w:rPr>
              <w:t>AR-</w:t>
            </w:r>
            <w:r>
              <w:rPr>
                <w:rFonts w:cs="Arial"/>
                <w:b/>
                <w:bCs/>
                <w:color w:val="000000"/>
                <w:sz w:val="14"/>
                <w:szCs w:val="14"/>
              </w:rPr>
              <w:t>DRGs)</w:t>
            </w:r>
          </w:p>
        </w:tc>
        <w:tc>
          <w:tcPr>
            <w:tcW w:w="1033" w:type="dxa"/>
            <w:tcBorders>
              <w:top w:val="nil"/>
              <w:left w:val="single" w:sz="4" w:space="0" w:color="FFFFFF" w:themeColor="accent6"/>
              <w:bottom w:val="single" w:sz="4" w:space="0" w:color="D9D9D9"/>
              <w:right w:val="nil"/>
            </w:tcBorders>
            <w:shd w:val="clear" w:color="auto" w:fill="DFEBF1" w:themeFill="text2" w:themeFillTint="1A"/>
            <w:vAlign w:val="center"/>
          </w:tcPr>
          <w:p w14:paraId="0903F049" w14:textId="1338DABC"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r>
              <w:rPr>
                <w:rFonts w:cs="Arial"/>
                <w:b/>
                <w:bCs/>
                <w:color w:val="000000"/>
                <w:sz w:val="14"/>
                <w:szCs w:val="14"/>
              </w:rPr>
              <w:t>4.6%</w:t>
            </w:r>
          </w:p>
        </w:tc>
        <w:tc>
          <w:tcPr>
            <w:tcW w:w="1128" w:type="dxa"/>
            <w:tcBorders>
              <w:top w:val="nil"/>
              <w:left w:val="nil"/>
              <w:bottom w:val="single" w:sz="4" w:space="0" w:color="D9D9D9"/>
              <w:right w:val="single" w:sz="4" w:space="0" w:color="FFFFFF" w:themeColor="accent6"/>
            </w:tcBorders>
            <w:shd w:val="clear" w:color="auto" w:fill="DFEBF1" w:themeFill="text2" w:themeFillTint="1A"/>
            <w:vAlign w:val="center"/>
          </w:tcPr>
          <w:p w14:paraId="7725E227" w14:textId="0886FC64" w:rsidR="00C84E77" w:rsidRPr="00F67A07" w:rsidRDefault="00C84E77" w:rsidP="00E87B16">
            <w:pPr>
              <w:autoSpaceDE w:val="0"/>
              <w:autoSpaceDN w:val="0"/>
              <w:adjustRightInd w:val="0"/>
              <w:spacing w:after="0" w:line="240" w:lineRule="auto"/>
              <w:jc w:val="center"/>
              <w:rPr>
                <w:rFonts w:cs="Arial"/>
                <w:b/>
                <w:bCs/>
                <w:color w:val="000000"/>
                <w:sz w:val="14"/>
                <w:szCs w:val="14"/>
                <w:lang w:val="en-AU"/>
              </w:rPr>
            </w:pPr>
          </w:p>
        </w:tc>
        <w:tc>
          <w:tcPr>
            <w:tcW w:w="966" w:type="dxa"/>
            <w:tcBorders>
              <w:top w:val="nil"/>
              <w:left w:val="single" w:sz="4" w:space="0" w:color="FFFFFF" w:themeColor="accent6"/>
              <w:bottom w:val="single" w:sz="4" w:space="0" w:color="D9D9D9"/>
              <w:right w:val="nil"/>
            </w:tcBorders>
            <w:shd w:val="clear" w:color="auto" w:fill="DFEBF1" w:themeFill="text2" w:themeFillTint="1A"/>
            <w:vAlign w:val="center"/>
          </w:tcPr>
          <w:p w14:paraId="0361F6DF" w14:textId="3D8D2D45"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p>
        </w:tc>
        <w:tc>
          <w:tcPr>
            <w:tcW w:w="1936" w:type="dxa"/>
            <w:gridSpan w:val="2"/>
            <w:tcBorders>
              <w:top w:val="nil"/>
              <w:left w:val="nil"/>
              <w:bottom w:val="single" w:sz="4" w:space="0" w:color="D9D9D9"/>
              <w:right w:val="single" w:sz="4" w:space="0" w:color="FFFFFF" w:themeColor="accent6"/>
            </w:tcBorders>
            <w:shd w:val="clear" w:color="auto" w:fill="DFEBF1" w:themeFill="text2" w:themeFillTint="1A"/>
            <w:vAlign w:val="center"/>
          </w:tcPr>
          <w:p w14:paraId="6048707F" w14:textId="6C0E7898"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p>
        </w:tc>
        <w:tc>
          <w:tcPr>
            <w:tcW w:w="806" w:type="dxa"/>
            <w:tcBorders>
              <w:top w:val="nil"/>
              <w:left w:val="single" w:sz="4" w:space="0" w:color="FFFFFF" w:themeColor="accent6"/>
              <w:bottom w:val="single" w:sz="4" w:space="0" w:color="D9D9D9"/>
            </w:tcBorders>
            <w:shd w:val="clear" w:color="auto" w:fill="DFEBF1" w:themeFill="text2" w:themeFillTint="1A"/>
            <w:vAlign w:val="center"/>
          </w:tcPr>
          <w:p w14:paraId="5610ADC6" w14:textId="023558D5"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p>
        </w:tc>
        <w:tc>
          <w:tcPr>
            <w:tcW w:w="267" w:type="dxa"/>
            <w:gridSpan w:val="2"/>
            <w:tcBorders>
              <w:top w:val="nil"/>
              <w:bottom w:val="single" w:sz="4" w:space="0" w:color="D9D9D9"/>
              <w:right w:val="nil"/>
            </w:tcBorders>
            <w:shd w:val="clear" w:color="auto" w:fill="DFEBF1" w:themeFill="text2" w:themeFillTint="1A"/>
            <w:vAlign w:val="center"/>
          </w:tcPr>
          <w:p w14:paraId="58E76583" w14:textId="539D8F5C"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p>
        </w:tc>
        <w:tc>
          <w:tcPr>
            <w:tcW w:w="860" w:type="dxa"/>
            <w:tcBorders>
              <w:top w:val="nil"/>
              <w:left w:val="nil"/>
              <w:bottom w:val="single" w:sz="4" w:space="0" w:color="D9D9D9"/>
              <w:right w:val="nil"/>
            </w:tcBorders>
            <w:shd w:val="clear" w:color="auto" w:fill="DFEBF1" w:themeFill="text2" w:themeFillTint="1A"/>
            <w:vAlign w:val="center"/>
          </w:tcPr>
          <w:p w14:paraId="402E3199" w14:textId="5E91AE2A"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p>
        </w:tc>
        <w:tc>
          <w:tcPr>
            <w:tcW w:w="970" w:type="dxa"/>
            <w:tcBorders>
              <w:top w:val="nil"/>
              <w:left w:val="nil"/>
              <w:bottom w:val="single" w:sz="4" w:space="0" w:color="D9D9D9"/>
              <w:right w:val="nil"/>
            </w:tcBorders>
            <w:shd w:val="clear" w:color="auto" w:fill="DFEBF1" w:themeFill="text2" w:themeFillTint="1A"/>
            <w:vAlign w:val="center"/>
          </w:tcPr>
          <w:p w14:paraId="4731A0B6" w14:textId="15D367C3" w:rsidR="00C84E77" w:rsidRPr="00F67A07" w:rsidRDefault="00C84E77" w:rsidP="00E87B16">
            <w:pPr>
              <w:autoSpaceDE w:val="0"/>
              <w:autoSpaceDN w:val="0"/>
              <w:adjustRightInd w:val="0"/>
              <w:spacing w:after="0" w:line="240" w:lineRule="auto"/>
              <w:jc w:val="center"/>
              <w:rPr>
                <w:rFonts w:cs="Arial"/>
                <w:color w:val="000000"/>
                <w:sz w:val="14"/>
                <w:szCs w:val="14"/>
                <w:lang w:val="en-AU"/>
              </w:rPr>
            </w:pPr>
          </w:p>
        </w:tc>
      </w:tr>
    </w:tbl>
    <w:p w14:paraId="4717864C" w14:textId="77777777" w:rsidR="000C38AE" w:rsidRDefault="000C38AE" w:rsidP="00C84E77">
      <w:pPr>
        <w:pStyle w:val="TableParagraph"/>
        <w:ind w:left="-709"/>
        <w:rPr>
          <w:b/>
          <w:bCs/>
        </w:rPr>
      </w:pPr>
    </w:p>
    <w:p w14:paraId="5405A7BD" w14:textId="5BF0FC9A" w:rsidR="00C84E77" w:rsidRPr="00F67A07" w:rsidRDefault="00C84E77" w:rsidP="00C84E77">
      <w:pPr>
        <w:pStyle w:val="TableParagraph"/>
        <w:ind w:left="-709"/>
        <w:rPr>
          <w:b/>
          <w:bCs/>
        </w:rPr>
      </w:pPr>
      <w:r w:rsidRPr="00F67A07">
        <w:rPr>
          <w:b/>
          <w:bCs/>
        </w:rPr>
        <w:t>Notes</w:t>
      </w:r>
    </w:p>
    <w:p w14:paraId="550FE762" w14:textId="77777777" w:rsidR="00C84E77" w:rsidRPr="00F67A07" w:rsidRDefault="00C84E77" w:rsidP="000C38AE">
      <w:pPr>
        <w:pStyle w:val="TableParagraph"/>
        <w:numPr>
          <w:ilvl w:val="0"/>
          <w:numId w:val="30"/>
        </w:numPr>
        <w:ind w:left="-567" w:firstLine="0"/>
      </w:pPr>
      <w:r w:rsidRPr="00F67A07">
        <w:t>Separations</w:t>
      </w:r>
      <w:r w:rsidRPr="00F67A07">
        <w:rPr>
          <w:spacing w:val="-4"/>
        </w:rPr>
        <w:t xml:space="preserve"> </w:t>
      </w:r>
      <w:r w:rsidRPr="00F67A07">
        <w:t>shown</w:t>
      </w:r>
      <w:r w:rsidRPr="00F67A07">
        <w:rPr>
          <w:spacing w:val="-3"/>
        </w:rPr>
        <w:t xml:space="preserve"> </w:t>
      </w:r>
      <w:r w:rsidRPr="00F67A07">
        <w:t>are</w:t>
      </w:r>
      <w:r w:rsidRPr="00F67A07">
        <w:rPr>
          <w:spacing w:val="-1"/>
        </w:rPr>
        <w:t xml:space="preserve"> </w:t>
      </w:r>
      <w:r w:rsidRPr="00F67A07">
        <w:t>strata</w:t>
      </w:r>
      <w:r w:rsidRPr="00F67A07">
        <w:rPr>
          <w:spacing w:val="1"/>
        </w:rPr>
        <w:t xml:space="preserve"> </w:t>
      </w:r>
      <w:r w:rsidRPr="00F67A07">
        <w:t xml:space="preserve">weighted </w:t>
      </w:r>
    </w:p>
    <w:p w14:paraId="6D7B754F" w14:textId="14361204" w:rsidR="00C84E77" w:rsidRPr="000C38AE" w:rsidRDefault="00C84E77" w:rsidP="005629F8">
      <w:pPr>
        <w:pStyle w:val="TableParagraph"/>
        <w:numPr>
          <w:ilvl w:val="0"/>
          <w:numId w:val="30"/>
        </w:numPr>
        <w:ind w:left="-567" w:firstLine="0"/>
      </w:pPr>
      <w:r w:rsidRPr="00F67A07">
        <w:t>The overall cost weight represents the cost weight across all cost buckets (total cost) of the strata weighted separations.</w:t>
      </w:r>
    </w:p>
    <w:p w14:paraId="662077DE" w14:textId="77777777" w:rsidR="000C38AE" w:rsidRPr="00F67A07" w:rsidRDefault="000C38AE" w:rsidP="000C38AE">
      <w:pPr>
        <w:pStyle w:val="TableParagraph"/>
        <w:numPr>
          <w:ilvl w:val="0"/>
          <w:numId w:val="30"/>
        </w:numPr>
        <w:ind w:left="-567" w:firstLine="0"/>
      </w:pPr>
      <w:r w:rsidRPr="00F67A07">
        <w:t>For</w:t>
      </w:r>
      <w:r w:rsidRPr="00F67A07">
        <w:rPr>
          <w:spacing w:val="-3"/>
        </w:rPr>
        <w:t xml:space="preserve"> </w:t>
      </w:r>
      <w:r w:rsidRPr="00F67A07">
        <w:t>cost weight (cost</w:t>
      </w:r>
      <w:r w:rsidRPr="00F67A07">
        <w:rPr>
          <w:spacing w:val="-2"/>
        </w:rPr>
        <w:t xml:space="preserve"> </w:t>
      </w:r>
      <w:r w:rsidRPr="00F67A07">
        <w:t>bucket</w:t>
      </w:r>
      <w:r w:rsidRPr="00F67A07">
        <w:rPr>
          <w:spacing w:val="-2"/>
        </w:rPr>
        <w:t xml:space="preserve"> </w:t>
      </w:r>
      <w:r w:rsidRPr="00F67A07">
        <w:t>specific)</w:t>
      </w:r>
      <w:r w:rsidRPr="00F67A07">
        <w:rPr>
          <w:spacing w:val="-2"/>
        </w:rPr>
        <w:t xml:space="preserve"> </w:t>
      </w:r>
      <w:r w:rsidRPr="00F67A07">
        <w:t>calculations</w:t>
      </w:r>
      <w:r w:rsidRPr="00F67A07">
        <w:rPr>
          <w:spacing w:val="-2"/>
        </w:rPr>
        <w:t xml:space="preserve"> </w:t>
      </w:r>
      <w:r w:rsidRPr="00F67A07">
        <w:t>please</w:t>
      </w:r>
      <w:r w:rsidRPr="00F67A07">
        <w:rPr>
          <w:spacing w:val="-2"/>
        </w:rPr>
        <w:t xml:space="preserve"> </w:t>
      </w:r>
      <w:r w:rsidRPr="00F67A07">
        <w:t>refer</w:t>
      </w:r>
      <w:r w:rsidRPr="00F67A07">
        <w:rPr>
          <w:spacing w:val="-3"/>
        </w:rPr>
        <w:t xml:space="preserve"> </w:t>
      </w:r>
      <w:r w:rsidRPr="00F67A07">
        <w:t xml:space="preserve">to </w:t>
      </w:r>
      <w:r w:rsidRPr="00F67A07">
        <w:rPr>
          <w:szCs w:val="14"/>
        </w:rPr>
        <w:fldChar w:fldCharType="begin"/>
      </w:r>
      <w:r w:rsidRPr="00F67A07">
        <w:rPr>
          <w:szCs w:val="14"/>
        </w:rPr>
        <w:instrText xml:space="preserve"> REF _Ref103175315 \h  \* MERGEFORMAT </w:instrText>
      </w:r>
      <w:r w:rsidRPr="00F67A07">
        <w:rPr>
          <w:szCs w:val="14"/>
        </w:rPr>
      </w:r>
      <w:r w:rsidRPr="00F67A07">
        <w:rPr>
          <w:szCs w:val="14"/>
        </w:rPr>
        <w:fldChar w:fldCharType="separate"/>
      </w:r>
      <w:r w:rsidRPr="00F67A07">
        <w:rPr>
          <w:szCs w:val="14"/>
        </w:rPr>
        <w:t>Appendix</w:t>
      </w:r>
      <w:r w:rsidRPr="00F67A07">
        <w:rPr>
          <w:spacing w:val="-2"/>
          <w:szCs w:val="14"/>
        </w:rPr>
        <w:t xml:space="preserve"> </w:t>
      </w:r>
      <w:r w:rsidRPr="00F67A07">
        <w:rPr>
          <w:szCs w:val="14"/>
        </w:rPr>
        <w:t>D:</w:t>
      </w:r>
      <w:r w:rsidRPr="00F67A07">
        <w:rPr>
          <w:spacing w:val="1"/>
          <w:szCs w:val="14"/>
        </w:rPr>
        <w:t xml:space="preserve"> </w:t>
      </w:r>
      <w:r w:rsidRPr="00F67A07">
        <w:rPr>
          <w:szCs w:val="14"/>
        </w:rPr>
        <w:t>Cost</w:t>
      </w:r>
      <w:r w:rsidRPr="00F67A07">
        <w:rPr>
          <w:spacing w:val="1"/>
          <w:szCs w:val="14"/>
        </w:rPr>
        <w:t xml:space="preserve"> </w:t>
      </w:r>
      <w:r w:rsidRPr="00F67A07">
        <w:rPr>
          <w:szCs w:val="14"/>
        </w:rPr>
        <w:t>weight</w:t>
      </w:r>
      <w:r w:rsidRPr="00F67A07">
        <w:rPr>
          <w:spacing w:val="1"/>
          <w:szCs w:val="14"/>
        </w:rPr>
        <w:t xml:space="preserve"> </w:t>
      </w:r>
      <w:r w:rsidRPr="00F67A07">
        <w:rPr>
          <w:szCs w:val="14"/>
        </w:rPr>
        <w:t>tables by AR-DRG Version 10.0</w:t>
      </w:r>
      <w:r w:rsidRPr="00F67A07">
        <w:rPr>
          <w:szCs w:val="14"/>
        </w:rPr>
        <w:fldChar w:fldCharType="end"/>
      </w:r>
    </w:p>
    <w:p w14:paraId="5372B855" w14:textId="77777777" w:rsidR="000C38AE" w:rsidRDefault="000C38AE" w:rsidP="005629F8">
      <w:pPr>
        <w:rPr>
          <w:lang w:val="en-AU"/>
        </w:rPr>
        <w:sectPr w:rsidR="000C38AE" w:rsidSect="00522146">
          <w:pgSz w:w="16838" w:h="11906" w:orient="landscape" w:code="9"/>
          <w:pgMar w:top="1077" w:right="1440" w:bottom="1077" w:left="1440" w:header="709" w:footer="709" w:gutter="0"/>
          <w:cols w:space="720"/>
          <w:docGrid w:linePitch="360"/>
        </w:sectPr>
      </w:pPr>
    </w:p>
    <w:p w14:paraId="3CA7ED3D" w14:textId="51109B14" w:rsidR="00E4071B" w:rsidRPr="005629F8" w:rsidRDefault="00E4071B" w:rsidP="00156866">
      <w:pPr>
        <w:pStyle w:val="TableParagraph"/>
        <w:ind w:left="227" w:firstLine="199"/>
      </w:pPr>
    </w:p>
    <w:p w14:paraId="7A05E5A8" w14:textId="43D45F25" w:rsidR="006D5FD2" w:rsidRPr="005629F8" w:rsidRDefault="006D5FD2" w:rsidP="00E829BF">
      <w:pPr>
        <w:pStyle w:val="Heading3"/>
        <w:ind w:left="-851"/>
      </w:pPr>
      <w:bookmarkStart w:id="149" w:name="_Toc129700687"/>
      <w:bookmarkStart w:id="150" w:name="_Toc129701380"/>
      <w:r w:rsidRPr="005629F8">
        <w:t>Critical care cost bucket</w:t>
      </w:r>
      <w:bookmarkEnd w:id="149"/>
      <w:bookmarkEnd w:id="150"/>
    </w:p>
    <w:p w14:paraId="4F486859" w14:textId="6863BD9B" w:rsidR="006D5FD2" w:rsidRPr="005629F8" w:rsidRDefault="006D5FD2" w:rsidP="009E3F6F">
      <w:pPr>
        <w:pStyle w:val="Heading4"/>
        <w:ind w:left="-851"/>
        <w:rPr>
          <w:lang w:val="en-AU"/>
        </w:rPr>
      </w:pPr>
      <w:r w:rsidRPr="005629F8">
        <w:rPr>
          <w:lang w:val="en-AU"/>
        </w:rPr>
        <w:t>Key</w:t>
      </w:r>
      <w:r w:rsidRPr="005629F8">
        <w:rPr>
          <w:spacing w:val="-3"/>
          <w:lang w:val="en-AU"/>
        </w:rPr>
        <w:t xml:space="preserve"> </w:t>
      </w:r>
      <w:r w:rsidRPr="005629F8">
        <w:rPr>
          <w:lang w:val="en-AU"/>
        </w:rPr>
        <w:t>findings</w:t>
      </w:r>
    </w:p>
    <w:p w14:paraId="104C9677" w14:textId="6DA47484" w:rsidR="000235D0" w:rsidRPr="005629F8" w:rsidRDefault="00F2253B" w:rsidP="009E3F6F">
      <w:pPr>
        <w:ind w:left="-851"/>
        <w:rPr>
          <w:lang w:val="en-AU"/>
        </w:rPr>
      </w:pPr>
      <w:r w:rsidRPr="005629F8">
        <w:rPr>
          <w:lang w:val="en-AU"/>
        </w:rPr>
        <w:fldChar w:fldCharType="begin"/>
      </w:r>
      <w:r w:rsidRPr="005629F8">
        <w:rPr>
          <w:lang w:val="en-AU"/>
        </w:rPr>
        <w:instrText xml:space="preserve"> REF _Ref129182644 \h  \* MERGEFORMAT </w:instrText>
      </w:r>
      <w:r w:rsidRPr="005629F8">
        <w:rPr>
          <w:lang w:val="en-AU"/>
        </w:rPr>
      </w:r>
      <w:r w:rsidRPr="005629F8">
        <w:rPr>
          <w:lang w:val="en-AU"/>
        </w:rPr>
        <w:fldChar w:fldCharType="separate"/>
      </w:r>
      <w:r w:rsidRPr="00F2253B">
        <w:t xml:space="preserve">Table </w:t>
      </w:r>
      <w:r w:rsidRPr="00F2253B">
        <w:rPr>
          <w:noProof/>
        </w:rPr>
        <w:t>9</w:t>
      </w:r>
      <w:r w:rsidRPr="005629F8">
        <w:rPr>
          <w:lang w:val="en-AU"/>
        </w:rPr>
        <w:fldChar w:fldCharType="end"/>
      </w:r>
      <w:r w:rsidRPr="005629F8">
        <w:rPr>
          <w:lang w:val="en-AU"/>
        </w:rPr>
        <w:t xml:space="preserve"> </w:t>
      </w:r>
      <w:r w:rsidR="00156832" w:rsidRPr="00F2253B">
        <w:rPr>
          <w:lang w:val="en-AU"/>
        </w:rPr>
        <w:t xml:space="preserve">shows </w:t>
      </w:r>
      <w:r w:rsidR="000235D0" w:rsidRPr="005629F8">
        <w:rPr>
          <w:color w:val="auto"/>
          <w:lang w:val="en-AU"/>
        </w:rPr>
        <w:t xml:space="preserve">that the AR-DRG with the highest percentage of </w:t>
      </w:r>
      <w:r w:rsidR="008621D5">
        <w:rPr>
          <w:color w:val="auto"/>
          <w:lang w:val="en-AU"/>
        </w:rPr>
        <w:t>its</w:t>
      </w:r>
      <w:r w:rsidR="000235D0" w:rsidRPr="005629F8">
        <w:rPr>
          <w:color w:val="auto"/>
          <w:lang w:val="en-AU"/>
        </w:rPr>
        <w:t xml:space="preserve"> total cost belonging to the critical care bucket was F40A: Circulatory Disorder W Ventilator Support, Major Complexity (68.2</w:t>
      </w:r>
      <w:r w:rsidR="0069133E" w:rsidRPr="005629F8">
        <w:rPr>
          <w:color w:val="auto"/>
          <w:lang w:val="en-AU"/>
        </w:rPr>
        <w:t xml:space="preserve"> per cent</w:t>
      </w:r>
      <w:r w:rsidR="000235D0" w:rsidRPr="005629F8">
        <w:rPr>
          <w:color w:val="auto"/>
          <w:lang w:val="en-AU"/>
        </w:rPr>
        <w:t>).</w:t>
      </w:r>
      <w:r w:rsidR="00EB30D1" w:rsidRPr="005629F8">
        <w:rPr>
          <w:color w:val="auto"/>
          <w:lang w:val="en-AU"/>
        </w:rPr>
        <w:t xml:space="preserve"> </w:t>
      </w:r>
      <w:r w:rsidR="00E41DDF">
        <w:rPr>
          <w:color w:val="auto"/>
          <w:lang w:val="en-AU"/>
        </w:rPr>
        <w:t>A</w:t>
      </w:r>
      <w:r w:rsidR="00EB30D1" w:rsidRPr="005629F8">
        <w:rPr>
          <w:color w:val="auto"/>
          <w:lang w:val="en-AU"/>
        </w:rPr>
        <w:t>ll AR-DRGs in this table are related to ventilator support</w:t>
      </w:r>
      <w:r w:rsidR="00C8293A">
        <w:rPr>
          <w:color w:val="auto"/>
          <w:lang w:val="en-AU"/>
        </w:rPr>
        <w:t>,</w:t>
      </w:r>
      <w:r w:rsidR="00EB30D1" w:rsidRPr="005629F8">
        <w:rPr>
          <w:color w:val="auto"/>
          <w:lang w:val="en-AU"/>
        </w:rPr>
        <w:t xml:space="preserve"> which </w:t>
      </w:r>
      <w:r w:rsidR="00C8293A">
        <w:rPr>
          <w:color w:val="auto"/>
          <w:lang w:val="en-AU"/>
        </w:rPr>
        <w:t>indicates</w:t>
      </w:r>
      <w:r w:rsidR="00C8293A" w:rsidRPr="005629F8">
        <w:rPr>
          <w:color w:val="auto"/>
          <w:lang w:val="en-AU"/>
        </w:rPr>
        <w:t xml:space="preserve"> </w:t>
      </w:r>
      <w:r w:rsidR="00EB30D1" w:rsidRPr="005629F8">
        <w:rPr>
          <w:color w:val="auto"/>
          <w:lang w:val="en-AU"/>
        </w:rPr>
        <w:t xml:space="preserve">the intensive </w:t>
      </w:r>
      <w:r w:rsidR="00EB30D1">
        <w:rPr>
          <w:lang w:val="en-AU"/>
        </w:rPr>
        <w:t>care nature</w:t>
      </w:r>
      <w:r w:rsidR="00EB30D1" w:rsidRPr="00B65075">
        <w:rPr>
          <w:lang w:val="en-AU"/>
        </w:rPr>
        <w:t xml:space="preserve"> of these </w:t>
      </w:r>
      <w:r w:rsidR="00EB30D1">
        <w:rPr>
          <w:lang w:val="en-AU"/>
        </w:rPr>
        <w:t>separations</w:t>
      </w:r>
      <w:r w:rsidR="00EB30D1" w:rsidRPr="00B65075">
        <w:rPr>
          <w:lang w:val="en-AU"/>
        </w:rPr>
        <w:t>.</w:t>
      </w:r>
      <w:r w:rsidR="000235D0" w:rsidRPr="005629F8">
        <w:rPr>
          <w:lang w:val="en-AU"/>
        </w:rPr>
        <w:t xml:space="preserve"> </w:t>
      </w:r>
      <w:r w:rsidR="00DD0195">
        <w:rPr>
          <w:lang w:val="en-AU"/>
        </w:rPr>
        <w:t xml:space="preserve">The proportion of </w:t>
      </w:r>
      <w:r w:rsidR="00291ACE">
        <w:rPr>
          <w:lang w:val="en-AU"/>
        </w:rPr>
        <w:t xml:space="preserve">critical care costs for </w:t>
      </w:r>
      <w:r w:rsidR="00DD0195">
        <w:rPr>
          <w:lang w:val="en-AU"/>
        </w:rPr>
        <w:t>the</w:t>
      </w:r>
      <w:r w:rsidR="005066AC">
        <w:rPr>
          <w:lang w:val="en-AU"/>
        </w:rPr>
        <w:t>se</w:t>
      </w:r>
      <w:r w:rsidR="00DD0195">
        <w:rPr>
          <w:lang w:val="en-AU"/>
        </w:rPr>
        <w:t xml:space="preserve"> AR-DRGs’ has increased over the last three years. </w:t>
      </w:r>
      <w:r w:rsidR="00EB30D1">
        <w:rPr>
          <w:lang w:val="en-AU"/>
        </w:rPr>
        <w:t xml:space="preserve">The overall cost weight </w:t>
      </w:r>
      <w:r w:rsidR="006D2F1F">
        <w:rPr>
          <w:lang w:val="en-AU"/>
        </w:rPr>
        <w:t xml:space="preserve">for these AR-DRGs </w:t>
      </w:r>
      <w:r w:rsidR="00EB30D1">
        <w:rPr>
          <w:lang w:val="en-AU"/>
        </w:rPr>
        <w:t>(18.42) is much higher than the population average</w:t>
      </w:r>
      <w:r w:rsidR="005066AC">
        <w:rPr>
          <w:lang w:val="en-AU"/>
        </w:rPr>
        <w:t xml:space="preserve"> (1.00)</w:t>
      </w:r>
      <w:r w:rsidR="00EB30D1">
        <w:rPr>
          <w:lang w:val="en-AU"/>
        </w:rPr>
        <w:t xml:space="preserve">, with more than half (10.16) of this </w:t>
      </w:r>
      <w:r w:rsidR="00E41DDF">
        <w:rPr>
          <w:lang w:val="en-AU"/>
        </w:rPr>
        <w:t xml:space="preserve">cost weight </w:t>
      </w:r>
      <w:r w:rsidR="006D2F1F">
        <w:rPr>
          <w:lang w:val="en-AU"/>
        </w:rPr>
        <w:t>relating</w:t>
      </w:r>
      <w:r w:rsidR="00EB30D1">
        <w:rPr>
          <w:lang w:val="en-AU"/>
        </w:rPr>
        <w:t xml:space="preserve"> to the critical care cost bucket.</w:t>
      </w:r>
    </w:p>
    <w:p w14:paraId="507343B3" w14:textId="22F5FACD" w:rsidR="009E3F6F" w:rsidRDefault="000235D0" w:rsidP="005629F8">
      <w:pPr>
        <w:ind w:left="-851"/>
      </w:pPr>
      <w:r w:rsidRPr="005629F8">
        <w:rPr>
          <w:lang w:val="en-AU"/>
        </w:rPr>
        <w:t>A comparison of the critical care cost weights for the top 10 AR-</w:t>
      </w:r>
      <w:r w:rsidRPr="005629F8">
        <w:rPr>
          <w:color w:val="auto"/>
          <w:lang w:val="en-AU"/>
        </w:rPr>
        <w:t>DRGs in</w:t>
      </w:r>
      <w:r w:rsidR="00F2253B">
        <w:rPr>
          <w:color w:val="auto"/>
          <w:lang w:val="en-AU"/>
        </w:rPr>
        <w:t xml:space="preserve"> </w:t>
      </w:r>
      <w:r w:rsidR="00F2253B" w:rsidRPr="005629F8">
        <w:rPr>
          <w:lang w:val="en-AU"/>
        </w:rPr>
        <w:fldChar w:fldCharType="begin"/>
      </w:r>
      <w:r w:rsidR="00F2253B" w:rsidRPr="005629F8">
        <w:rPr>
          <w:lang w:val="en-AU"/>
        </w:rPr>
        <w:instrText xml:space="preserve"> REF _Ref129182644 \h  \* MERGEFORMAT </w:instrText>
      </w:r>
      <w:r w:rsidR="00F2253B" w:rsidRPr="005629F8">
        <w:rPr>
          <w:lang w:val="en-AU"/>
        </w:rPr>
      </w:r>
      <w:r w:rsidR="00F2253B" w:rsidRPr="005629F8">
        <w:rPr>
          <w:lang w:val="en-AU"/>
        </w:rPr>
        <w:fldChar w:fldCharType="separate"/>
      </w:r>
      <w:r w:rsidR="00F2253B" w:rsidRPr="005629F8">
        <w:t xml:space="preserve">Table </w:t>
      </w:r>
      <w:r w:rsidR="00F2253B" w:rsidRPr="005629F8">
        <w:rPr>
          <w:noProof/>
        </w:rPr>
        <w:t>9</w:t>
      </w:r>
      <w:r w:rsidR="00F2253B" w:rsidRPr="005629F8">
        <w:rPr>
          <w:lang w:val="en-AU"/>
        </w:rPr>
        <w:fldChar w:fldCharType="end"/>
      </w:r>
      <w:r w:rsidRPr="005629F8">
        <w:rPr>
          <w:color w:val="auto"/>
          <w:lang w:val="en-AU"/>
        </w:rPr>
        <w:t xml:space="preserve"> </w:t>
      </w:r>
      <w:r w:rsidRPr="005629F8">
        <w:rPr>
          <w:lang w:val="en-AU"/>
        </w:rPr>
        <w:t>shows that there is high variance in the cost weights over the past three years</w:t>
      </w:r>
      <w:r w:rsidR="00A26D9B">
        <w:rPr>
          <w:lang w:val="en-AU"/>
        </w:rPr>
        <w:t xml:space="preserve">. </w:t>
      </w:r>
      <w:r w:rsidR="00144D5F">
        <w:rPr>
          <w:lang w:val="en-AU"/>
        </w:rPr>
        <w:t>Given the low number of separations</w:t>
      </w:r>
      <w:r w:rsidR="00EB30D1">
        <w:rPr>
          <w:lang w:val="en-AU"/>
        </w:rPr>
        <w:t xml:space="preserve"> (0.04 per cent of all AR-DRGs)</w:t>
      </w:r>
      <w:r w:rsidR="00144D5F">
        <w:rPr>
          <w:lang w:val="en-AU"/>
        </w:rPr>
        <w:t xml:space="preserve"> and </w:t>
      </w:r>
      <w:proofErr w:type="gramStart"/>
      <w:r w:rsidR="00144D5F">
        <w:rPr>
          <w:lang w:val="en-AU"/>
        </w:rPr>
        <w:t>high</w:t>
      </w:r>
      <w:r w:rsidR="005066AC">
        <w:rPr>
          <w:lang w:val="en-AU"/>
        </w:rPr>
        <w:t xml:space="preserve"> </w:t>
      </w:r>
      <w:r w:rsidR="00144D5F">
        <w:rPr>
          <w:lang w:val="en-AU"/>
        </w:rPr>
        <w:t>cost</w:t>
      </w:r>
      <w:proofErr w:type="gramEnd"/>
      <w:r w:rsidR="00144D5F">
        <w:rPr>
          <w:lang w:val="en-AU"/>
        </w:rPr>
        <w:t xml:space="preserve"> weights</w:t>
      </w:r>
      <w:r w:rsidR="00E41DDF">
        <w:rPr>
          <w:lang w:val="en-AU"/>
        </w:rPr>
        <w:t>,</w:t>
      </w:r>
      <w:r w:rsidR="00144D5F">
        <w:rPr>
          <w:lang w:val="en-AU"/>
        </w:rPr>
        <w:t xml:space="preserve"> such volatility is not un</w:t>
      </w:r>
      <w:r w:rsidR="00EB30D1">
        <w:rPr>
          <w:lang w:val="en-AU"/>
        </w:rPr>
        <w:t>expected</w:t>
      </w:r>
      <w:r w:rsidRPr="005629F8">
        <w:rPr>
          <w:lang w:val="en-AU"/>
        </w:rPr>
        <w:t>.</w:t>
      </w:r>
    </w:p>
    <w:p w14:paraId="19297346" w14:textId="388B3B6B" w:rsidR="0075405B" w:rsidRPr="005629F8" w:rsidRDefault="0075405B" w:rsidP="00E87B16">
      <w:pPr>
        <w:pStyle w:val="TableFigureheading"/>
        <w:ind w:left="-851"/>
      </w:pPr>
      <w:bookmarkStart w:id="151" w:name="_Ref129182644"/>
      <w:bookmarkStart w:id="152" w:name="_Toc129179303"/>
      <w:bookmarkStart w:id="153" w:name="_Toc139881782"/>
      <w:r w:rsidRPr="005629F8">
        <w:t xml:space="preserve">Table </w:t>
      </w:r>
      <w:r w:rsidRPr="005629F8">
        <w:fldChar w:fldCharType="begin"/>
      </w:r>
      <w:r w:rsidRPr="005629F8">
        <w:instrText xml:space="preserve"> SEQ Table \* ARABIC </w:instrText>
      </w:r>
      <w:r w:rsidRPr="005629F8">
        <w:fldChar w:fldCharType="separate"/>
      </w:r>
      <w:r w:rsidRPr="005629F8">
        <w:rPr>
          <w:noProof/>
        </w:rPr>
        <w:t>9</w:t>
      </w:r>
      <w:r w:rsidRPr="005629F8">
        <w:fldChar w:fldCharType="end"/>
      </w:r>
      <w:bookmarkEnd w:id="151"/>
      <w:r w:rsidRPr="005629F8">
        <w:t>. Top 10 AR-DRGs for costs allocated to the critical care cost bucket</w:t>
      </w:r>
      <w:bookmarkEnd w:id="152"/>
      <w:bookmarkEnd w:id="153"/>
    </w:p>
    <w:tbl>
      <w:tblPr>
        <w:tblW w:w="15834" w:type="dxa"/>
        <w:tblInd w:w="-854" w:type="dxa"/>
        <w:tblLayout w:type="fixed"/>
        <w:tblLook w:val="0000" w:firstRow="0" w:lastRow="0" w:firstColumn="0" w:lastColumn="0" w:noHBand="0" w:noVBand="0"/>
      </w:tblPr>
      <w:tblGrid>
        <w:gridCol w:w="748"/>
        <w:gridCol w:w="815"/>
        <w:gridCol w:w="6305"/>
        <w:gridCol w:w="1033"/>
        <w:gridCol w:w="1128"/>
        <w:gridCol w:w="966"/>
        <w:gridCol w:w="967"/>
        <w:gridCol w:w="969"/>
        <w:gridCol w:w="806"/>
        <w:gridCol w:w="161"/>
        <w:gridCol w:w="106"/>
        <w:gridCol w:w="860"/>
        <w:gridCol w:w="970"/>
      </w:tblGrid>
      <w:tr w:rsidR="005629F8" w:rsidRPr="0088109E" w14:paraId="72AD612D" w14:textId="77777777" w:rsidTr="000771FC">
        <w:trPr>
          <w:trHeight w:val="179"/>
        </w:trPr>
        <w:tc>
          <w:tcPr>
            <w:tcW w:w="748" w:type="dxa"/>
            <w:tcBorders>
              <w:top w:val="single" w:sz="6" w:space="0" w:color="auto"/>
              <w:left w:val="nil"/>
              <w:bottom w:val="nil"/>
              <w:right w:val="nil"/>
            </w:tcBorders>
            <w:shd w:val="clear" w:color="auto" w:fill="15272F" w:themeFill="text1"/>
            <w:vAlign w:val="center"/>
          </w:tcPr>
          <w:p w14:paraId="6637FD39" w14:textId="77777777" w:rsidR="0075405B" w:rsidRPr="005629F8" w:rsidRDefault="0075405B" w:rsidP="0075405B">
            <w:pPr>
              <w:autoSpaceDE w:val="0"/>
              <w:autoSpaceDN w:val="0"/>
              <w:adjustRightInd w:val="0"/>
              <w:spacing w:after="0" w:line="240" w:lineRule="auto"/>
              <w:jc w:val="center"/>
              <w:rPr>
                <w:rFonts w:cs="Arial"/>
                <w:color w:val="FFFFFF" w:themeColor="background2"/>
                <w:sz w:val="14"/>
                <w:szCs w:val="14"/>
                <w:lang w:val="en-AU"/>
              </w:rPr>
            </w:pPr>
          </w:p>
        </w:tc>
        <w:tc>
          <w:tcPr>
            <w:tcW w:w="815" w:type="dxa"/>
            <w:tcBorders>
              <w:top w:val="single" w:sz="6" w:space="0" w:color="auto"/>
              <w:left w:val="nil"/>
              <w:bottom w:val="nil"/>
              <w:right w:val="nil"/>
            </w:tcBorders>
            <w:shd w:val="clear" w:color="auto" w:fill="15272F" w:themeFill="text1"/>
            <w:vAlign w:val="center"/>
          </w:tcPr>
          <w:p w14:paraId="0CFA67C6" w14:textId="77777777" w:rsidR="0075405B" w:rsidRPr="005629F8" w:rsidRDefault="0075405B" w:rsidP="0075405B">
            <w:pPr>
              <w:autoSpaceDE w:val="0"/>
              <w:autoSpaceDN w:val="0"/>
              <w:adjustRightInd w:val="0"/>
              <w:spacing w:after="0" w:line="240" w:lineRule="auto"/>
              <w:jc w:val="center"/>
              <w:rPr>
                <w:rFonts w:cs="Arial"/>
                <w:color w:val="FFFFFF" w:themeColor="background2"/>
                <w:sz w:val="14"/>
                <w:szCs w:val="14"/>
                <w:lang w:val="en-AU"/>
              </w:rPr>
            </w:pPr>
          </w:p>
        </w:tc>
        <w:tc>
          <w:tcPr>
            <w:tcW w:w="6305" w:type="dxa"/>
            <w:tcBorders>
              <w:top w:val="single" w:sz="6" w:space="0" w:color="auto"/>
              <w:left w:val="nil"/>
              <w:bottom w:val="nil"/>
              <w:right w:val="single" w:sz="4" w:space="0" w:color="D9D9D9"/>
            </w:tcBorders>
            <w:shd w:val="clear" w:color="auto" w:fill="15272F" w:themeFill="text1"/>
            <w:vAlign w:val="center"/>
          </w:tcPr>
          <w:p w14:paraId="7D6BD844" w14:textId="77777777" w:rsidR="0075405B" w:rsidRPr="005629F8" w:rsidRDefault="0075405B" w:rsidP="0075405B">
            <w:pPr>
              <w:autoSpaceDE w:val="0"/>
              <w:autoSpaceDN w:val="0"/>
              <w:adjustRightInd w:val="0"/>
              <w:spacing w:after="0" w:line="240" w:lineRule="auto"/>
              <w:jc w:val="center"/>
              <w:rPr>
                <w:rFonts w:cs="Arial"/>
                <w:color w:val="FFFFFF" w:themeColor="background2"/>
                <w:sz w:val="14"/>
                <w:szCs w:val="14"/>
                <w:lang w:val="en-AU"/>
              </w:rPr>
            </w:pPr>
          </w:p>
        </w:tc>
        <w:tc>
          <w:tcPr>
            <w:tcW w:w="1033" w:type="dxa"/>
            <w:tcBorders>
              <w:top w:val="single" w:sz="6" w:space="0" w:color="auto"/>
              <w:left w:val="single" w:sz="4" w:space="0" w:color="D9D9D9"/>
              <w:bottom w:val="nil"/>
              <w:right w:val="nil"/>
            </w:tcBorders>
            <w:shd w:val="clear" w:color="auto" w:fill="15272F" w:themeFill="text1"/>
            <w:vAlign w:val="center"/>
          </w:tcPr>
          <w:p w14:paraId="2D549187" w14:textId="77777777" w:rsidR="0075405B" w:rsidRPr="005629F8" w:rsidRDefault="0075405B" w:rsidP="0075405B">
            <w:pPr>
              <w:autoSpaceDE w:val="0"/>
              <w:autoSpaceDN w:val="0"/>
              <w:adjustRightInd w:val="0"/>
              <w:spacing w:after="0" w:line="240" w:lineRule="auto"/>
              <w:jc w:val="center"/>
              <w:rPr>
                <w:rFonts w:cs="Arial"/>
                <w:color w:val="FFFFFF" w:themeColor="background2"/>
                <w:sz w:val="14"/>
                <w:szCs w:val="14"/>
                <w:lang w:val="en-AU"/>
              </w:rPr>
            </w:pPr>
          </w:p>
        </w:tc>
        <w:tc>
          <w:tcPr>
            <w:tcW w:w="1128" w:type="dxa"/>
            <w:tcBorders>
              <w:top w:val="single" w:sz="6" w:space="0" w:color="auto"/>
              <w:left w:val="nil"/>
              <w:bottom w:val="nil"/>
              <w:right w:val="single" w:sz="4" w:space="0" w:color="D9D9D9"/>
            </w:tcBorders>
            <w:shd w:val="clear" w:color="auto" w:fill="15272F" w:themeFill="text1"/>
            <w:vAlign w:val="center"/>
          </w:tcPr>
          <w:p w14:paraId="205FC661" w14:textId="77777777" w:rsidR="0075405B" w:rsidRPr="005629F8" w:rsidRDefault="0075405B" w:rsidP="0075405B">
            <w:pPr>
              <w:autoSpaceDE w:val="0"/>
              <w:autoSpaceDN w:val="0"/>
              <w:adjustRightInd w:val="0"/>
              <w:spacing w:after="0" w:line="240" w:lineRule="auto"/>
              <w:jc w:val="center"/>
              <w:rPr>
                <w:rFonts w:cs="Arial"/>
                <w:color w:val="FFFFFF" w:themeColor="background2"/>
                <w:sz w:val="14"/>
                <w:szCs w:val="14"/>
                <w:lang w:val="en-AU"/>
              </w:rPr>
            </w:pPr>
          </w:p>
        </w:tc>
        <w:tc>
          <w:tcPr>
            <w:tcW w:w="2902" w:type="dxa"/>
            <w:gridSpan w:val="3"/>
            <w:tcBorders>
              <w:top w:val="single" w:sz="6" w:space="0" w:color="auto"/>
              <w:left w:val="single" w:sz="4" w:space="0" w:color="D9D9D9"/>
              <w:bottom w:val="nil"/>
              <w:right w:val="single" w:sz="4" w:space="0" w:color="D9D9D9"/>
            </w:tcBorders>
            <w:shd w:val="clear" w:color="auto" w:fill="15272F" w:themeFill="text1"/>
            <w:vAlign w:val="center"/>
          </w:tcPr>
          <w:p w14:paraId="154A4504" w14:textId="77777777" w:rsidR="0075405B" w:rsidRPr="005629F8" w:rsidRDefault="0075405B" w:rsidP="0075405B">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Critical Care Cost Weight</w:t>
            </w:r>
          </w:p>
        </w:tc>
        <w:tc>
          <w:tcPr>
            <w:tcW w:w="2903" w:type="dxa"/>
            <w:gridSpan w:val="5"/>
            <w:tcBorders>
              <w:top w:val="single" w:sz="6" w:space="0" w:color="auto"/>
              <w:left w:val="single" w:sz="4" w:space="0" w:color="D9D9D9"/>
              <w:bottom w:val="nil"/>
              <w:right w:val="nil"/>
            </w:tcBorders>
            <w:shd w:val="clear" w:color="auto" w:fill="15272F" w:themeFill="text1"/>
            <w:vAlign w:val="center"/>
          </w:tcPr>
          <w:p w14:paraId="5D4672C2" w14:textId="77777777" w:rsidR="0075405B" w:rsidRPr="005629F8" w:rsidRDefault="0075405B" w:rsidP="0075405B">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 xml:space="preserve">% </w:t>
            </w:r>
            <w:proofErr w:type="gramStart"/>
            <w:r w:rsidRPr="005629F8">
              <w:rPr>
                <w:rFonts w:cs="Arial"/>
                <w:b/>
                <w:bCs/>
                <w:color w:val="FFFFFF" w:themeColor="background2"/>
                <w:sz w:val="14"/>
                <w:szCs w:val="14"/>
                <w:lang w:val="en-AU"/>
              </w:rPr>
              <w:t>of</w:t>
            </w:r>
            <w:proofErr w:type="gramEnd"/>
            <w:r w:rsidRPr="005629F8">
              <w:rPr>
                <w:rFonts w:cs="Arial"/>
                <w:b/>
                <w:bCs/>
                <w:color w:val="FFFFFF" w:themeColor="background2"/>
                <w:sz w:val="14"/>
                <w:szCs w:val="14"/>
                <w:lang w:val="en-AU"/>
              </w:rPr>
              <w:t xml:space="preserve"> AR-DRG total cost</w:t>
            </w:r>
          </w:p>
        </w:tc>
      </w:tr>
      <w:tr w:rsidR="00E87B16" w:rsidRPr="0088109E" w14:paraId="2E53603D" w14:textId="77777777" w:rsidTr="000771FC">
        <w:trPr>
          <w:trHeight w:val="443"/>
        </w:trPr>
        <w:tc>
          <w:tcPr>
            <w:tcW w:w="748" w:type="dxa"/>
            <w:tcBorders>
              <w:top w:val="nil"/>
              <w:left w:val="nil"/>
              <w:bottom w:val="single" w:sz="6" w:space="0" w:color="auto"/>
              <w:right w:val="nil"/>
            </w:tcBorders>
            <w:shd w:val="clear" w:color="auto" w:fill="15272F" w:themeFill="text1"/>
            <w:vAlign w:val="center"/>
          </w:tcPr>
          <w:p w14:paraId="00760059" w14:textId="77777777" w:rsidR="0075405B" w:rsidRPr="005629F8" w:rsidRDefault="0075405B" w:rsidP="0075405B">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Rank 2020-21</w:t>
            </w:r>
          </w:p>
        </w:tc>
        <w:tc>
          <w:tcPr>
            <w:tcW w:w="815" w:type="dxa"/>
            <w:tcBorders>
              <w:top w:val="nil"/>
              <w:left w:val="nil"/>
              <w:bottom w:val="single" w:sz="6" w:space="0" w:color="auto"/>
              <w:right w:val="nil"/>
            </w:tcBorders>
            <w:shd w:val="clear" w:color="auto" w:fill="15272F" w:themeFill="text1"/>
            <w:vAlign w:val="center"/>
          </w:tcPr>
          <w:p w14:paraId="49F819B1" w14:textId="2118EEDE" w:rsidR="0075405B" w:rsidRPr="005629F8" w:rsidRDefault="00247633" w:rsidP="0075405B">
            <w:pPr>
              <w:autoSpaceDE w:val="0"/>
              <w:autoSpaceDN w:val="0"/>
              <w:adjustRightInd w:val="0"/>
              <w:spacing w:after="0" w:line="240" w:lineRule="auto"/>
              <w:jc w:val="center"/>
              <w:rPr>
                <w:rFonts w:cs="Arial"/>
                <w:b/>
                <w:bCs/>
                <w:color w:val="FFFFFF" w:themeColor="background2"/>
                <w:sz w:val="14"/>
                <w:szCs w:val="14"/>
                <w:lang w:val="en-AU"/>
              </w:rPr>
            </w:pPr>
            <w:r>
              <w:rPr>
                <w:rFonts w:cs="Arial"/>
                <w:b/>
                <w:bCs/>
                <w:color w:val="FFFFFF" w:themeColor="background2"/>
                <w:sz w:val="14"/>
                <w:szCs w:val="14"/>
                <w:lang w:val="en-AU"/>
              </w:rPr>
              <w:t>AR-</w:t>
            </w:r>
            <w:r w:rsidR="0075405B" w:rsidRPr="005629F8">
              <w:rPr>
                <w:rFonts w:cs="Arial"/>
                <w:b/>
                <w:bCs/>
                <w:color w:val="FFFFFF" w:themeColor="background2"/>
                <w:sz w:val="14"/>
                <w:szCs w:val="14"/>
                <w:lang w:val="en-AU"/>
              </w:rPr>
              <w:t>DRG</w:t>
            </w:r>
          </w:p>
        </w:tc>
        <w:tc>
          <w:tcPr>
            <w:tcW w:w="6305" w:type="dxa"/>
            <w:tcBorders>
              <w:top w:val="nil"/>
              <w:left w:val="nil"/>
              <w:bottom w:val="single" w:sz="6" w:space="0" w:color="auto"/>
              <w:right w:val="single" w:sz="4" w:space="0" w:color="D9D9D9"/>
            </w:tcBorders>
            <w:shd w:val="clear" w:color="auto" w:fill="15272F" w:themeFill="text1"/>
            <w:vAlign w:val="center"/>
          </w:tcPr>
          <w:p w14:paraId="4DFE8074" w14:textId="535E4489" w:rsidR="0075405B" w:rsidRPr="005629F8" w:rsidRDefault="00247633" w:rsidP="0075405B">
            <w:pPr>
              <w:autoSpaceDE w:val="0"/>
              <w:autoSpaceDN w:val="0"/>
              <w:adjustRightInd w:val="0"/>
              <w:spacing w:after="0" w:line="240" w:lineRule="auto"/>
              <w:jc w:val="center"/>
              <w:rPr>
                <w:rFonts w:cs="Arial"/>
                <w:b/>
                <w:bCs/>
                <w:color w:val="FFFFFF" w:themeColor="background2"/>
                <w:sz w:val="14"/>
                <w:szCs w:val="14"/>
                <w:lang w:val="en-AU"/>
              </w:rPr>
            </w:pPr>
            <w:r>
              <w:rPr>
                <w:rFonts w:cs="Arial"/>
                <w:b/>
                <w:bCs/>
                <w:color w:val="FFFFFF" w:themeColor="background2"/>
                <w:sz w:val="14"/>
                <w:szCs w:val="14"/>
                <w:lang w:val="en-AU"/>
              </w:rPr>
              <w:t>AR-</w:t>
            </w:r>
            <w:r w:rsidR="0075405B" w:rsidRPr="005629F8">
              <w:rPr>
                <w:rFonts w:cs="Arial"/>
                <w:b/>
                <w:bCs/>
                <w:color w:val="FFFFFF" w:themeColor="background2"/>
                <w:sz w:val="14"/>
                <w:szCs w:val="14"/>
                <w:lang w:val="en-AU"/>
              </w:rPr>
              <w:t>DRG Description</w:t>
            </w:r>
          </w:p>
        </w:tc>
        <w:tc>
          <w:tcPr>
            <w:tcW w:w="1033" w:type="dxa"/>
            <w:tcBorders>
              <w:top w:val="nil"/>
              <w:left w:val="single" w:sz="4" w:space="0" w:color="D9D9D9"/>
              <w:bottom w:val="single" w:sz="6" w:space="0" w:color="auto"/>
              <w:right w:val="nil"/>
            </w:tcBorders>
            <w:shd w:val="clear" w:color="auto" w:fill="15272F" w:themeFill="text1"/>
            <w:vAlign w:val="center"/>
          </w:tcPr>
          <w:p w14:paraId="3792CFB0"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No. of weighted seps</w:t>
            </w:r>
          </w:p>
          <w:p w14:paraId="16365BD8" w14:textId="77777777" w:rsidR="0075405B" w:rsidRPr="005629F8" w:rsidRDefault="0075405B" w:rsidP="005066AC">
            <w:pPr>
              <w:autoSpaceDE w:val="0"/>
              <w:autoSpaceDN w:val="0"/>
              <w:adjustRightInd w:val="0"/>
              <w:spacing w:after="0" w:line="240" w:lineRule="auto"/>
              <w:jc w:val="center"/>
              <w:rPr>
                <w:rFonts w:cs="Arial"/>
                <w:b/>
                <w:bCs/>
                <w:color w:val="FFFFFF" w:themeColor="background2"/>
                <w:sz w:val="14"/>
                <w:szCs w:val="14"/>
                <w:lang w:val="en-AU"/>
              </w:rPr>
            </w:pPr>
          </w:p>
        </w:tc>
        <w:tc>
          <w:tcPr>
            <w:tcW w:w="1128" w:type="dxa"/>
            <w:tcBorders>
              <w:top w:val="nil"/>
              <w:left w:val="nil"/>
              <w:bottom w:val="single" w:sz="6" w:space="0" w:color="auto"/>
              <w:right w:val="single" w:sz="4" w:space="0" w:color="D9D9D9"/>
            </w:tcBorders>
            <w:shd w:val="clear" w:color="auto" w:fill="15272F" w:themeFill="text1"/>
            <w:vAlign w:val="center"/>
          </w:tcPr>
          <w:p w14:paraId="3E6E3D31"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Overall cost weight</w:t>
            </w:r>
          </w:p>
          <w:p w14:paraId="262E64D5" w14:textId="77777777" w:rsidR="0075405B" w:rsidRPr="005629F8" w:rsidRDefault="0075405B" w:rsidP="005066AC">
            <w:pPr>
              <w:autoSpaceDE w:val="0"/>
              <w:autoSpaceDN w:val="0"/>
              <w:adjustRightInd w:val="0"/>
              <w:spacing w:after="0" w:line="240" w:lineRule="auto"/>
              <w:jc w:val="center"/>
              <w:rPr>
                <w:rFonts w:cs="Arial"/>
                <w:b/>
                <w:bCs/>
                <w:color w:val="FFFFFF" w:themeColor="background2"/>
                <w:sz w:val="14"/>
                <w:szCs w:val="14"/>
                <w:lang w:val="en-AU"/>
              </w:rPr>
            </w:pPr>
          </w:p>
        </w:tc>
        <w:tc>
          <w:tcPr>
            <w:tcW w:w="966" w:type="dxa"/>
            <w:tcBorders>
              <w:top w:val="nil"/>
              <w:left w:val="single" w:sz="4" w:space="0" w:color="D9D9D9"/>
              <w:bottom w:val="single" w:sz="6" w:space="0" w:color="auto"/>
              <w:right w:val="nil"/>
            </w:tcBorders>
            <w:shd w:val="clear" w:color="auto" w:fill="15272F" w:themeFill="text1"/>
            <w:vAlign w:val="center"/>
          </w:tcPr>
          <w:p w14:paraId="5CDF05A9"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2018-19</w:t>
            </w:r>
          </w:p>
        </w:tc>
        <w:tc>
          <w:tcPr>
            <w:tcW w:w="967" w:type="dxa"/>
            <w:tcBorders>
              <w:top w:val="nil"/>
              <w:left w:val="nil"/>
              <w:bottom w:val="single" w:sz="6" w:space="0" w:color="auto"/>
              <w:right w:val="nil"/>
            </w:tcBorders>
            <w:shd w:val="clear" w:color="auto" w:fill="15272F" w:themeFill="text1"/>
            <w:vAlign w:val="center"/>
          </w:tcPr>
          <w:p w14:paraId="72E90CC4"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2019-20</w:t>
            </w:r>
          </w:p>
        </w:tc>
        <w:tc>
          <w:tcPr>
            <w:tcW w:w="969" w:type="dxa"/>
            <w:tcBorders>
              <w:top w:val="nil"/>
              <w:left w:val="nil"/>
              <w:bottom w:val="single" w:sz="6" w:space="0" w:color="auto"/>
              <w:right w:val="single" w:sz="4" w:space="0" w:color="D9D9D9"/>
            </w:tcBorders>
            <w:shd w:val="clear" w:color="auto" w:fill="15272F" w:themeFill="text1"/>
            <w:vAlign w:val="center"/>
          </w:tcPr>
          <w:p w14:paraId="719BBC60"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2020-21</w:t>
            </w:r>
          </w:p>
        </w:tc>
        <w:tc>
          <w:tcPr>
            <w:tcW w:w="967" w:type="dxa"/>
            <w:gridSpan w:val="2"/>
            <w:tcBorders>
              <w:top w:val="nil"/>
              <w:left w:val="single" w:sz="4" w:space="0" w:color="D9D9D9"/>
              <w:bottom w:val="single" w:sz="6" w:space="0" w:color="auto"/>
              <w:right w:val="nil"/>
            </w:tcBorders>
            <w:shd w:val="clear" w:color="auto" w:fill="15272F" w:themeFill="text1"/>
            <w:vAlign w:val="center"/>
          </w:tcPr>
          <w:p w14:paraId="7E96B4C5"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2018-19</w:t>
            </w:r>
          </w:p>
        </w:tc>
        <w:tc>
          <w:tcPr>
            <w:tcW w:w="966" w:type="dxa"/>
            <w:gridSpan w:val="2"/>
            <w:tcBorders>
              <w:top w:val="nil"/>
              <w:left w:val="nil"/>
              <w:bottom w:val="single" w:sz="6" w:space="0" w:color="auto"/>
              <w:right w:val="nil"/>
            </w:tcBorders>
            <w:shd w:val="clear" w:color="auto" w:fill="15272F" w:themeFill="text1"/>
            <w:vAlign w:val="center"/>
          </w:tcPr>
          <w:p w14:paraId="76A1DA2E"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2019-20</w:t>
            </w:r>
          </w:p>
        </w:tc>
        <w:tc>
          <w:tcPr>
            <w:tcW w:w="970" w:type="dxa"/>
            <w:tcBorders>
              <w:top w:val="nil"/>
              <w:left w:val="nil"/>
              <w:bottom w:val="single" w:sz="6" w:space="0" w:color="auto"/>
              <w:right w:val="nil"/>
            </w:tcBorders>
            <w:shd w:val="clear" w:color="auto" w:fill="15272F" w:themeFill="text1"/>
            <w:vAlign w:val="center"/>
          </w:tcPr>
          <w:p w14:paraId="3A3C1737" w14:textId="77777777" w:rsidR="0075405B" w:rsidRPr="005629F8" w:rsidRDefault="0075405B"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2020-21</w:t>
            </w:r>
          </w:p>
        </w:tc>
      </w:tr>
      <w:tr w:rsidR="00216FDD" w:rsidRPr="0088109E" w14:paraId="7E136A27" w14:textId="77777777" w:rsidTr="000771FC">
        <w:trPr>
          <w:trHeight w:val="239"/>
        </w:trPr>
        <w:tc>
          <w:tcPr>
            <w:tcW w:w="748" w:type="dxa"/>
            <w:tcBorders>
              <w:top w:val="single" w:sz="6" w:space="0" w:color="auto"/>
              <w:left w:val="nil"/>
              <w:bottom w:val="single" w:sz="4" w:space="0" w:color="D9D9D9"/>
              <w:right w:val="nil"/>
            </w:tcBorders>
            <w:vAlign w:val="center"/>
          </w:tcPr>
          <w:p w14:paraId="4F9FD408"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w:t>
            </w:r>
          </w:p>
        </w:tc>
        <w:tc>
          <w:tcPr>
            <w:tcW w:w="815" w:type="dxa"/>
            <w:tcBorders>
              <w:top w:val="single" w:sz="6" w:space="0" w:color="auto"/>
              <w:left w:val="nil"/>
              <w:bottom w:val="single" w:sz="4" w:space="0" w:color="D9D9D9"/>
              <w:right w:val="nil"/>
            </w:tcBorders>
            <w:shd w:val="clear" w:color="auto" w:fill="auto"/>
            <w:vAlign w:val="center"/>
          </w:tcPr>
          <w:p w14:paraId="419628DF"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F40A</w:t>
            </w:r>
          </w:p>
        </w:tc>
        <w:tc>
          <w:tcPr>
            <w:tcW w:w="6305" w:type="dxa"/>
            <w:tcBorders>
              <w:top w:val="single" w:sz="6" w:space="0" w:color="auto"/>
              <w:left w:val="nil"/>
              <w:bottom w:val="single" w:sz="4" w:space="0" w:color="D9D9D9"/>
              <w:right w:val="single" w:sz="4" w:space="0" w:color="D9D9D9"/>
            </w:tcBorders>
            <w:shd w:val="clear" w:color="auto" w:fill="auto"/>
            <w:vAlign w:val="center"/>
          </w:tcPr>
          <w:p w14:paraId="38AAD76B"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Circulatory Disorders W Ventilator Support, Major Complexity</w:t>
            </w:r>
          </w:p>
        </w:tc>
        <w:tc>
          <w:tcPr>
            <w:tcW w:w="1033" w:type="dxa"/>
            <w:tcBorders>
              <w:top w:val="single" w:sz="6" w:space="0" w:color="auto"/>
              <w:left w:val="single" w:sz="4" w:space="0" w:color="D9D9D9"/>
              <w:bottom w:val="single" w:sz="4" w:space="0" w:color="D9D9D9"/>
              <w:right w:val="nil"/>
            </w:tcBorders>
            <w:shd w:val="clear" w:color="auto" w:fill="auto"/>
            <w:vAlign w:val="center"/>
          </w:tcPr>
          <w:p w14:paraId="0D16E6A3"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20</w:t>
            </w:r>
          </w:p>
        </w:tc>
        <w:tc>
          <w:tcPr>
            <w:tcW w:w="1128" w:type="dxa"/>
            <w:tcBorders>
              <w:top w:val="single" w:sz="6" w:space="0" w:color="auto"/>
              <w:left w:val="nil"/>
              <w:bottom w:val="single" w:sz="4" w:space="0" w:color="D9D9D9"/>
              <w:right w:val="single" w:sz="6" w:space="0" w:color="FFFFFF" w:themeColor="accent6"/>
            </w:tcBorders>
            <w:shd w:val="clear" w:color="auto" w:fill="auto"/>
            <w:vAlign w:val="center"/>
          </w:tcPr>
          <w:p w14:paraId="429AA89F"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6.96</w:t>
            </w:r>
          </w:p>
        </w:tc>
        <w:tc>
          <w:tcPr>
            <w:tcW w:w="966" w:type="dxa"/>
            <w:tcBorders>
              <w:top w:val="single" w:sz="6" w:space="0" w:color="auto"/>
              <w:left w:val="single" w:sz="6" w:space="0" w:color="FFFFFF" w:themeColor="accent6"/>
              <w:bottom w:val="single" w:sz="4" w:space="0" w:color="D9D9D9"/>
              <w:right w:val="nil"/>
            </w:tcBorders>
            <w:shd w:val="clear" w:color="auto" w:fill="F2F2F2" w:themeFill="background2" w:themeFillShade="F2"/>
            <w:vAlign w:val="center"/>
          </w:tcPr>
          <w:p w14:paraId="4243B873"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4.78</w:t>
            </w:r>
          </w:p>
        </w:tc>
        <w:tc>
          <w:tcPr>
            <w:tcW w:w="967" w:type="dxa"/>
            <w:tcBorders>
              <w:top w:val="single" w:sz="6" w:space="0" w:color="auto"/>
              <w:left w:val="nil"/>
              <w:bottom w:val="single" w:sz="4" w:space="0" w:color="D9D9D9"/>
              <w:right w:val="nil"/>
            </w:tcBorders>
            <w:shd w:val="clear" w:color="auto" w:fill="F2F2F2" w:themeFill="background2" w:themeFillShade="F2"/>
            <w:vAlign w:val="center"/>
          </w:tcPr>
          <w:p w14:paraId="3B07E1B4"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5.96</w:t>
            </w:r>
          </w:p>
        </w:tc>
        <w:tc>
          <w:tcPr>
            <w:tcW w:w="969" w:type="dxa"/>
            <w:tcBorders>
              <w:top w:val="single" w:sz="6" w:space="0" w:color="auto"/>
              <w:left w:val="nil"/>
              <w:bottom w:val="single" w:sz="4" w:space="0" w:color="D9D9D9"/>
              <w:right w:val="single" w:sz="6" w:space="0" w:color="FFFFFF" w:themeColor="accent6"/>
            </w:tcBorders>
            <w:shd w:val="clear" w:color="auto" w:fill="F2F2F2" w:themeFill="background2" w:themeFillShade="F2"/>
            <w:vAlign w:val="center"/>
          </w:tcPr>
          <w:p w14:paraId="386A8CA2"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4.75</w:t>
            </w:r>
          </w:p>
        </w:tc>
        <w:tc>
          <w:tcPr>
            <w:tcW w:w="967" w:type="dxa"/>
            <w:gridSpan w:val="2"/>
            <w:tcBorders>
              <w:top w:val="single" w:sz="6" w:space="0" w:color="auto"/>
              <w:left w:val="single" w:sz="6" w:space="0" w:color="FFFFFF" w:themeColor="accent6"/>
              <w:bottom w:val="single" w:sz="4" w:space="0" w:color="D9D9D9"/>
              <w:right w:val="nil"/>
            </w:tcBorders>
            <w:shd w:val="clear" w:color="auto" w:fill="F2F2F2" w:themeFill="background2" w:themeFillShade="F2"/>
            <w:vAlign w:val="center"/>
          </w:tcPr>
          <w:p w14:paraId="6AA1FF50"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46.2%</w:t>
            </w:r>
          </w:p>
        </w:tc>
        <w:tc>
          <w:tcPr>
            <w:tcW w:w="966" w:type="dxa"/>
            <w:gridSpan w:val="2"/>
            <w:tcBorders>
              <w:top w:val="single" w:sz="6" w:space="0" w:color="auto"/>
              <w:left w:val="nil"/>
              <w:bottom w:val="single" w:sz="4" w:space="0" w:color="D9D9D9"/>
              <w:right w:val="nil"/>
            </w:tcBorders>
            <w:shd w:val="clear" w:color="auto" w:fill="F2F2F2" w:themeFill="background2" w:themeFillShade="F2"/>
            <w:vAlign w:val="center"/>
          </w:tcPr>
          <w:p w14:paraId="63CC7F72"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57.0%</w:t>
            </w:r>
          </w:p>
        </w:tc>
        <w:tc>
          <w:tcPr>
            <w:tcW w:w="970" w:type="dxa"/>
            <w:tcBorders>
              <w:top w:val="single" w:sz="6" w:space="0" w:color="auto"/>
              <w:left w:val="nil"/>
              <w:bottom w:val="single" w:sz="4" w:space="0" w:color="D9D9D9"/>
              <w:right w:val="nil"/>
            </w:tcBorders>
            <w:shd w:val="clear" w:color="auto" w:fill="F2F2F2" w:themeFill="background2" w:themeFillShade="F2"/>
            <w:vAlign w:val="center"/>
          </w:tcPr>
          <w:p w14:paraId="37421B05"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68.2%</w:t>
            </w:r>
          </w:p>
        </w:tc>
      </w:tr>
      <w:tr w:rsidR="00216FDD" w:rsidRPr="0088109E" w14:paraId="02CA1B05" w14:textId="77777777" w:rsidTr="000771FC">
        <w:trPr>
          <w:trHeight w:val="239"/>
        </w:trPr>
        <w:tc>
          <w:tcPr>
            <w:tcW w:w="748" w:type="dxa"/>
            <w:tcBorders>
              <w:top w:val="single" w:sz="4" w:space="0" w:color="D9D9D9"/>
              <w:left w:val="nil"/>
              <w:bottom w:val="single" w:sz="4" w:space="0" w:color="D9D9D9"/>
              <w:right w:val="nil"/>
            </w:tcBorders>
            <w:vAlign w:val="center"/>
          </w:tcPr>
          <w:p w14:paraId="49DC441E"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w:t>
            </w:r>
          </w:p>
        </w:tc>
        <w:tc>
          <w:tcPr>
            <w:tcW w:w="815" w:type="dxa"/>
            <w:tcBorders>
              <w:top w:val="single" w:sz="4" w:space="0" w:color="D9D9D9"/>
              <w:left w:val="nil"/>
              <w:bottom w:val="single" w:sz="4" w:space="0" w:color="D9D9D9"/>
              <w:right w:val="nil"/>
            </w:tcBorders>
            <w:shd w:val="clear" w:color="auto" w:fill="auto"/>
            <w:vAlign w:val="center"/>
          </w:tcPr>
          <w:p w14:paraId="222E06BF"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A13A</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5AC58AAD"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Ventilation &gt;= 336 hours, Major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6765FF03"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74</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4EF51312"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50.54</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2AE9727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32.04</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58D9A376"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30.99</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3060CA59"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32.55</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0C3F8211"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60.4%</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7B6D6F7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58.9%</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3059DEEE"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64.4%</w:t>
            </w:r>
          </w:p>
        </w:tc>
      </w:tr>
      <w:tr w:rsidR="00216FDD" w:rsidRPr="0088109E" w14:paraId="3998A079" w14:textId="77777777" w:rsidTr="000771FC">
        <w:trPr>
          <w:trHeight w:val="239"/>
        </w:trPr>
        <w:tc>
          <w:tcPr>
            <w:tcW w:w="748" w:type="dxa"/>
            <w:tcBorders>
              <w:top w:val="single" w:sz="4" w:space="0" w:color="D9D9D9"/>
              <w:left w:val="nil"/>
              <w:bottom w:val="single" w:sz="4" w:space="0" w:color="D9D9D9"/>
              <w:right w:val="nil"/>
            </w:tcBorders>
            <w:vAlign w:val="center"/>
          </w:tcPr>
          <w:p w14:paraId="1E7B3808"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w:t>
            </w:r>
          </w:p>
        </w:tc>
        <w:tc>
          <w:tcPr>
            <w:tcW w:w="815" w:type="dxa"/>
            <w:tcBorders>
              <w:top w:val="single" w:sz="4" w:space="0" w:color="D9D9D9"/>
              <w:left w:val="nil"/>
              <w:bottom w:val="single" w:sz="4" w:space="0" w:color="D9D9D9"/>
              <w:right w:val="nil"/>
            </w:tcBorders>
            <w:shd w:val="clear" w:color="auto" w:fill="auto"/>
            <w:vAlign w:val="center"/>
          </w:tcPr>
          <w:p w14:paraId="78213AA3"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A13B</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2DD364BE"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Ventilation &gt;= 336 hours, Minor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21CCABA9"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83</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43E235AE"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38.11</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5832326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26.23</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18C432E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26.04</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39E14BBD"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22.76</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1323759E"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66.8%</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5263EDB6"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67.3%</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5EA34B9D"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59.7%</w:t>
            </w:r>
          </w:p>
        </w:tc>
      </w:tr>
      <w:tr w:rsidR="00216FDD" w:rsidRPr="0088109E" w14:paraId="03D40DDD" w14:textId="77777777" w:rsidTr="000771FC">
        <w:trPr>
          <w:trHeight w:val="239"/>
        </w:trPr>
        <w:tc>
          <w:tcPr>
            <w:tcW w:w="748" w:type="dxa"/>
            <w:tcBorders>
              <w:top w:val="single" w:sz="4" w:space="0" w:color="D9D9D9"/>
              <w:left w:val="nil"/>
              <w:bottom w:val="single" w:sz="4" w:space="0" w:color="D9D9D9"/>
              <w:right w:val="nil"/>
            </w:tcBorders>
            <w:vAlign w:val="center"/>
          </w:tcPr>
          <w:p w14:paraId="2F512503"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w:t>
            </w:r>
          </w:p>
        </w:tc>
        <w:tc>
          <w:tcPr>
            <w:tcW w:w="815" w:type="dxa"/>
            <w:tcBorders>
              <w:top w:val="single" w:sz="4" w:space="0" w:color="D9D9D9"/>
              <w:left w:val="nil"/>
              <w:bottom w:val="single" w:sz="4" w:space="0" w:color="D9D9D9"/>
              <w:right w:val="nil"/>
            </w:tcBorders>
            <w:shd w:val="clear" w:color="auto" w:fill="auto"/>
            <w:vAlign w:val="center"/>
          </w:tcPr>
          <w:p w14:paraId="5705C2E0"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T40Z</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1311DC9A"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Infectious and Parasitic Diseases W Ventilator Support</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2F48AF87"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26</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12828EA2"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10.39</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35A6A65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3.79</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5548D22A"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5.80</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65B37EAE"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6.11</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320FC8D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48.2%</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229945C3"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51.4%</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6D161943"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58.8%</w:t>
            </w:r>
          </w:p>
        </w:tc>
      </w:tr>
      <w:tr w:rsidR="00216FDD" w:rsidRPr="0088109E" w14:paraId="68B06F04" w14:textId="77777777" w:rsidTr="000771FC">
        <w:trPr>
          <w:trHeight w:val="239"/>
        </w:trPr>
        <w:tc>
          <w:tcPr>
            <w:tcW w:w="748" w:type="dxa"/>
            <w:tcBorders>
              <w:top w:val="single" w:sz="4" w:space="0" w:color="D9D9D9"/>
              <w:left w:val="nil"/>
              <w:bottom w:val="single" w:sz="4" w:space="0" w:color="D9D9D9"/>
              <w:right w:val="nil"/>
            </w:tcBorders>
            <w:vAlign w:val="center"/>
          </w:tcPr>
          <w:p w14:paraId="792487C3"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w:t>
            </w:r>
          </w:p>
        </w:tc>
        <w:tc>
          <w:tcPr>
            <w:tcW w:w="815" w:type="dxa"/>
            <w:tcBorders>
              <w:top w:val="single" w:sz="4" w:space="0" w:color="D9D9D9"/>
              <w:left w:val="nil"/>
              <w:bottom w:val="single" w:sz="4" w:space="0" w:color="D9D9D9"/>
              <w:right w:val="nil"/>
            </w:tcBorders>
            <w:shd w:val="clear" w:color="auto" w:fill="auto"/>
            <w:vAlign w:val="center"/>
          </w:tcPr>
          <w:p w14:paraId="097931B0"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P03B</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0973EB82"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xml:space="preserve">Neonate, </w:t>
            </w:r>
            <w:proofErr w:type="spellStart"/>
            <w:r w:rsidRPr="00F67A07">
              <w:rPr>
                <w:rFonts w:cs="Arial"/>
                <w:color w:val="000000"/>
                <w:sz w:val="14"/>
                <w:szCs w:val="14"/>
                <w:lang w:val="en-AU"/>
              </w:rPr>
              <w:t>AdmWt</w:t>
            </w:r>
            <w:proofErr w:type="spellEnd"/>
            <w:r w:rsidRPr="00F67A07">
              <w:rPr>
                <w:rFonts w:cs="Arial"/>
                <w:color w:val="000000"/>
                <w:sz w:val="14"/>
                <w:szCs w:val="14"/>
                <w:lang w:val="en-AU"/>
              </w:rPr>
              <w:t xml:space="preserve"> 1000-1499g W Significant GI/Vent &gt;= 96 hrs, Minor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3F1E810A"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37</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104939EC"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20.04</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643FCBAE"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5.93</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7E75ADD8"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10.20</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039B3D4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10.87</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758B299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27.0%</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76C8047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54.2%</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72600518"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54.3%</w:t>
            </w:r>
          </w:p>
        </w:tc>
      </w:tr>
      <w:tr w:rsidR="00216FDD" w:rsidRPr="0088109E" w14:paraId="483E8251" w14:textId="77777777" w:rsidTr="000771FC">
        <w:trPr>
          <w:trHeight w:val="239"/>
        </w:trPr>
        <w:tc>
          <w:tcPr>
            <w:tcW w:w="748" w:type="dxa"/>
            <w:tcBorders>
              <w:top w:val="single" w:sz="4" w:space="0" w:color="D9D9D9"/>
              <w:left w:val="nil"/>
              <w:bottom w:val="single" w:sz="4" w:space="0" w:color="D9D9D9"/>
              <w:right w:val="nil"/>
            </w:tcBorders>
            <w:vAlign w:val="center"/>
          </w:tcPr>
          <w:p w14:paraId="539FCBB0"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w:t>
            </w:r>
          </w:p>
        </w:tc>
        <w:tc>
          <w:tcPr>
            <w:tcW w:w="815" w:type="dxa"/>
            <w:tcBorders>
              <w:top w:val="single" w:sz="4" w:space="0" w:color="D9D9D9"/>
              <w:left w:val="nil"/>
              <w:bottom w:val="single" w:sz="4" w:space="0" w:color="D9D9D9"/>
              <w:right w:val="nil"/>
            </w:tcBorders>
            <w:shd w:val="clear" w:color="auto" w:fill="auto"/>
            <w:vAlign w:val="center"/>
          </w:tcPr>
          <w:p w14:paraId="3455F39C"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E40A</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606F64E3"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Respiratory System Disorders W Ventilator Support, Major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2C7E41AA"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38</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02A9F180"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15.23</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4CA26DB4"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7.12</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0E5760B2"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5.70</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49255006"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8.15</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377BDB5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58.9%</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259A2DF6"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53.7%</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26E2074B"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53.5%</w:t>
            </w:r>
          </w:p>
        </w:tc>
      </w:tr>
      <w:tr w:rsidR="00216FDD" w:rsidRPr="0088109E" w14:paraId="238B2129" w14:textId="77777777" w:rsidTr="000771FC">
        <w:trPr>
          <w:trHeight w:val="239"/>
        </w:trPr>
        <w:tc>
          <w:tcPr>
            <w:tcW w:w="748" w:type="dxa"/>
            <w:tcBorders>
              <w:top w:val="single" w:sz="4" w:space="0" w:color="D9D9D9"/>
              <w:left w:val="nil"/>
              <w:bottom w:val="single" w:sz="4" w:space="0" w:color="D9D9D9"/>
              <w:right w:val="nil"/>
            </w:tcBorders>
            <w:vAlign w:val="center"/>
          </w:tcPr>
          <w:p w14:paraId="211A2E80"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w:t>
            </w:r>
          </w:p>
        </w:tc>
        <w:tc>
          <w:tcPr>
            <w:tcW w:w="815" w:type="dxa"/>
            <w:tcBorders>
              <w:top w:val="single" w:sz="4" w:space="0" w:color="D9D9D9"/>
              <w:left w:val="nil"/>
              <w:bottom w:val="single" w:sz="4" w:space="0" w:color="D9D9D9"/>
              <w:right w:val="nil"/>
            </w:tcBorders>
            <w:shd w:val="clear" w:color="auto" w:fill="auto"/>
            <w:vAlign w:val="center"/>
          </w:tcPr>
          <w:p w14:paraId="0476AC83"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A14C</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57C4C00E"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Ventilation &gt;= 96 hours &amp; &lt; 336 hours, Minor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3208C83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178</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15F55B0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16.77</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00B27AE9"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7.64</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5A21DBD0"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8.89</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5FFAA9F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8.96</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2E57EB4F"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48.9%</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7DEB0977"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57.9%</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3CD71D48"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53.5%</w:t>
            </w:r>
          </w:p>
        </w:tc>
      </w:tr>
      <w:tr w:rsidR="00216FDD" w:rsidRPr="0088109E" w14:paraId="0EC31DF5" w14:textId="77777777" w:rsidTr="000771FC">
        <w:trPr>
          <w:trHeight w:val="239"/>
        </w:trPr>
        <w:tc>
          <w:tcPr>
            <w:tcW w:w="748" w:type="dxa"/>
            <w:tcBorders>
              <w:top w:val="single" w:sz="4" w:space="0" w:color="D9D9D9"/>
              <w:left w:val="nil"/>
              <w:bottom w:val="single" w:sz="4" w:space="0" w:color="D9D9D9"/>
              <w:right w:val="nil"/>
            </w:tcBorders>
            <w:vAlign w:val="center"/>
          </w:tcPr>
          <w:p w14:paraId="2B83D8BE"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w:t>
            </w:r>
          </w:p>
        </w:tc>
        <w:tc>
          <w:tcPr>
            <w:tcW w:w="815" w:type="dxa"/>
            <w:tcBorders>
              <w:top w:val="single" w:sz="4" w:space="0" w:color="D9D9D9"/>
              <w:left w:val="nil"/>
              <w:bottom w:val="single" w:sz="4" w:space="0" w:color="D9D9D9"/>
              <w:right w:val="nil"/>
            </w:tcBorders>
            <w:shd w:val="clear" w:color="auto" w:fill="auto"/>
            <w:vAlign w:val="center"/>
          </w:tcPr>
          <w:p w14:paraId="7C1EC95C"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A14A</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441FD48B"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Ventilation &gt;= 96 hours &amp; &lt; 336 hours, Major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1429B7BC"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248</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1F7A559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30.82</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3332D887"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14.70</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40A975E1"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14.61</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401C137A"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16.39</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102407E4"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47.8%</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514F5DC4"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47.3%</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6CCCFAEC"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53.2%</w:t>
            </w:r>
          </w:p>
        </w:tc>
      </w:tr>
      <w:tr w:rsidR="00216FDD" w:rsidRPr="0088109E" w14:paraId="6D3791F5" w14:textId="77777777" w:rsidTr="000771FC">
        <w:trPr>
          <w:trHeight w:val="239"/>
        </w:trPr>
        <w:tc>
          <w:tcPr>
            <w:tcW w:w="748" w:type="dxa"/>
            <w:tcBorders>
              <w:top w:val="single" w:sz="4" w:space="0" w:color="D9D9D9"/>
              <w:left w:val="nil"/>
              <w:bottom w:val="single" w:sz="4" w:space="0" w:color="D9D9D9"/>
              <w:right w:val="nil"/>
            </w:tcBorders>
            <w:vAlign w:val="center"/>
          </w:tcPr>
          <w:p w14:paraId="6E60FAF8"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w:t>
            </w:r>
          </w:p>
        </w:tc>
        <w:tc>
          <w:tcPr>
            <w:tcW w:w="815" w:type="dxa"/>
            <w:tcBorders>
              <w:top w:val="single" w:sz="4" w:space="0" w:color="D9D9D9"/>
              <w:left w:val="nil"/>
              <w:bottom w:val="single" w:sz="4" w:space="0" w:color="D9D9D9"/>
              <w:right w:val="nil"/>
            </w:tcBorders>
            <w:shd w:val="clear" w:color="auto" w:fill="auto"/>
            <w:vAlign w:val="center"/>
          </w:tcPr>
          <w:p w14:paraId="1988FA6D"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A14B</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36FBE4AA"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Ventilation &gt;= 96 hours &amp; &lt; 336 hours, Intermediate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78802904"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325</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67B287C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21.33</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47107500"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9.93</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5D655D4F"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11.18</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14B99783"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11.32</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2EF64113"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52.1%</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382B507E"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51.4%</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70BBBC66"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53.1%</w:t>
            </w:r>
          </w:p>
        </w:tc>
      </w:tr>
      <w:tr w:rsidR="00216FDD" w:rsidRPr="0088109E" w14:paraId="12233E06" w14:textId="77777777" w:rsidTr="000771FC">
        <w:trPr>
          <w:trHeight w:val="239"/>
        </w:trPr>
        <w:tc>
          <w:tcPr>
            <w:tcW w:w="748" w:type="dxa"/>
            <w:tcBorders>
              <w:top w:val="single" w:sz="4" w:space="0" w:color="D9D9D9"/>
              <w:left w:val="nil"/>
              <w:bottom w:val="single" w:sz="4" w:space="0" w:color="D9D9D9"/>
              <w:right w:val="nil"/>
            </w:tcBorders>
            <w:vAlign w:val="center"/>
          </w:tcPr>
          <w:p w14:paraId="07E75C6B"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w:t>
            </w:r>
          </w:p>
        </w:tc>
        <w:tc>
          <w:tcPr>
            <w:tcW w:w="815" w:type="dxa"/>
            <w:tcBorders>
              <w:top w:val="single" w:sz="4" w:space="0" w:color="D9D9D9"/>
              <w:left w:val="nil"/>
              <w:bottom w:val="single" w:sz="4" w:space="0" w:color="D9D9D9"/>
              <w:right w:val="nil"/>
            </w:tcBorders>
            <w:shd w:val="clear" w:color="auto" w:fill="auto"/>
            <w:vAlign w:val="center"/>
          </w:tcPr>
          <w:p w14:paraId="51D12473" w14:textId="77777777" w:rsidR="0075405B" w:rsidRPr="00F67A07" w:rsidRDefault="0075405B"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E41B</w:t>
            </w:r>
          </w:p>
        </w:tc>
        <w:tc>
          <w:tcPr>
            <w:tcW w:w="6305" w:type="dxa"/>
            <w:tcBorders>
              <w:top w:val="single" w:sz="4" w:space="0" w:color="D9D9D9"/>
              <w:left w:val="nil"/>
              <w:bottom w:val="single" w:sz="4" w:space="0" w:color="D9D9D9"/>
              <w:right w:val="single" w:sz="4" w:space="0" w:color="D9D9D9"/>
            </w:tcBorders>
            <w:shd w:val="clear" w:color="auto" w:fill="auto"/>
            <w:vAlign w:val="center"/>
          </w:tcPr>
          <w:p w14:paraId="5F7036BA"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Respiratory System Disorders W Non-Invasive Ventilation, Minor Complexity</w:t>
            </w:r>
          </w:p>
        </w:tc>
        <w:tc>
          <w:tcPr>
            <w:tcW w:w="1033" w:type="dxa"/>
            <w:tcBorders>
              <w:top w:val="single" w:sz="4" w:space="0" w:color="D9D9D9"/>
              <w:left w:val="single" w:sz="4" w:space="0" w:color="D9D9D9"/>
              <w:bottom w:val="single" w:sz="4" w:space="0" w:color="D9D9D9"/>
              <w:right w:val="nil"/>
            </w:tcBorders>
            <w:shd w:val="clear" w:color="auto" w:fill="auto"/>
            <w:vAlign w:val="center"/>
          </w:tcPr>
          <w:p w14:paraId="6EF06D70"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515</w:t>
            </w:r>
          </w:p>
        </w:tc>
        <w:tc>
          <w:tcPr>
            <w:tcW w:w="1128" w:type="dxa"/>
            <w:tcBorders>
              <w:top w:val="single" w:sz="4" w:space="0" w:color="D9D9D9"/>
              <w:left w:val="nil"/>
              <w:bottom w:val="single" w:sz="4" w:space="0" w:color="D9D9D9"/>
              <w:right w:val="single" w:sz="6" w:space="0" w:color="FFFFFF" w:themeColor="accent6"/>
            </w:tcBorders>
            <w:shd w:val="clear" w:color="auto" w:fill="auto"/>
            <w:vAlign w:val="center"/>
          </w:tcPr>
          <w:p w14:paraId="18A342CC"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4.34</w:t>
            </w:r>
          </w:p>
        </w:tc>
        <w:tc>
          <w:tcPr>
            <w:tcW w:w="966" w:type="dxa"/>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4A464F2B"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2.03</w:t>
            </w:r>
          </w:p>
        </w:tc>
        <w:tc>
          <w:tcPr>
            <w:tcW w:w="967" w:type="dxa"/>
            <w:tcBorders>
              <w:top w:val="single" w:sz="4" w:space="0" w:color="D9D9D9"/>
              <w:left w:val="nil"/>
              <w:bottom w:val="single" w:sz="4" w:space="0" w:color="D9D9D9"/>
              <w:right w:val="nil"/>
            </w:tcBorders>
            <w:shd w:val="clear" w:color="auto" w:fill="F2F2F2" w:themeFill="background2" w:themeFillShade="F2"/>
            <w:vAlign w:val="center"/>
          </w:tcPr>
          <w:p w14:paraId="06581445"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1.81</w:t>
            </w:r>
          </w:p>
        </w:tc>
        <w:tc>
          <w:tcPr>
            <w:tcW w:w="969" w:type="dxa"/>
            <w:tcBorders>
              <w:top w:val="single" w:sz="4" w:space="0" w:color="D9D9D9"/>
              <w:left w:val="nil"/>
              <w:bottom w:val="single" w:sz="4" w:space="0" w:color="D9D9D9"/>
              <w:right w:val="single" w:sz="6" w:space="0" w:color="FFFFFF" w:themeColor="accent6"/>
            </w:tcBorders>
            <w:shd w:val="clear" w:color="auto" w:fill="F2F2F2" w:themeFill="background2" w:themeFillShade="F2"/>
            <w:vAlign w:val="center"/>
          </w:tcPr>
          <w:p w14:paraId="7C0E40E7"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2.10</w:t>
            </w:r>
          </w:p>
        </w:tc>
        <w:tc>
          <w:tcPr>
            <w:tcW w:w="967" w:type="dxa"/>
            <w:gridSpan w:val="2"/>
            <w:tcBorders>
              <w:top w:val="single" w:sz="4" w:space="0" w:color="D9D9D9"/>
              <w:left w:val="single" w:sz="6" w:space="0" w:color="FFFFFF" w:themeColor="accent6"/>
              <w:bottom w:val="single" w:sz="4" w:space="0" w:color="D9D9D9"/>
              <w:right w:val="nil"/>
            </w:tcBorders>
            <w:shd w:val="clear" w:color="auto" w:fill="F2F2F2" w:themeFill="background2" w:themeFillShade="F2"/>
            <w:vAlign w:val="center"/>
          </w:tcPr>
          <w:p w14:paraId="49DCD3B4"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46.8%</w:t>
            </w:r>
          </w:p>
        </w:tc>
        <w:tc>
          <w:tcPr>
            <w:tcW w:w="966" w:type="dxa"/>
            <w:gridSpan w:val="2"/>
            <w:tcBorders>
              <w:top w:val="single" w:sz="4" w:space="0" w:color="D9D9D9"/>
              <w:left w:val="nil"/>
              <w:bottom w:val="single" w:sz="4" w:space="0" w:color="D9D9D9"/>
              <w:right w:val="nil"/>
            </w:tcBorders>
            <w:shd w:val="clear" w:color="auto" w:fill="F2F2F2" w:themeFill="background2" w:themeFillShade="F2"/>
            <w:vAlign w:val="center"/>
          </w:tcPr>
          <w:p w14:paraId="37B28EE9" w14:textId="77777777" w:rsidR="0075405B" w:rsidRPr="00F67A07" w:rsidRDefault="0075405B"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43.6%</w:t>
            </w:r>
          </w:p>
        </w:tc>
        <w:tc>
          <w:tcPr>
            <w:tcW w:w="970" w:type="dxa"/>
            <w:tcBorders>
              <w:top w:val="single" w:sz="4" w:space="0" w:color="D9D9D9"/>
              <w:left w:val="nil"/>
              <w:bottom w:val="single" w:sz="4" w:space="0" w:color="D9D9D9"/>
              <w:right w:val="nil"/>
            </w:tcBorders>
            <w:shd w:val="clear" w:color="auto" w:fill="F2F2F2" w:themeFill="background2" w:themeFillShade="F2"/>
            <w:vAlign w:val="center"/>
          </w:tcPr>
          <w:p w14:paraId="58215769" w14:textId="77777777" w:rsidR="0075405B" w:rsidRPr="00F67A07" w:rsidRDefault="0075405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48.4%</w:t>
            </w:r>
          </w:p>
        </w:tc>
      </w:tr>
      <w:tr w:rsidR="00216FDD" w:rsidRPr="0088109E" w14:paraId="5C88D29E" w14:textId="77777777" w:rsidTr="00E87B16">
        <w:trPr>
          <w:trHeight w:val="239"/>
        </w:trPr>
        <w:tc>
          <w:tcPr>
            <w:tcW w:w="7868" w:type="dxa"/>
            <w:gridSpan w:val="3"/>
            <w:tcBorders>
              <w:top w:val="single" w:sz="4" w:space="0" w:color="D9D9D9"/>
              <w:left w:val="nil"/>
              <w:bottom w:val="nil"/>
              <w:right w:val="single" w:sz="4" w:space="0" w:color="D9D9D9"/>
            </w:tcBorders>
            <w:shd w:val="clear" w:color="auto" w:fill="DFEBF1" w:themeFill="text2" w:themeFillTint="1A"/>
            <w:vAlign w:val="center"/>
          </w:tcPr>
          <w:p w14:paraId="6D0F2EB7" w14:textId="77777777" w:rsidR="009C68CB" w:rsidRPr="00F67A07" w:rsidRDefault="009C68CB" w:rsidP="009C68CB">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Sub-total, top 10 critical care cost weight %</w:t>
            </w:r>
          </w:p>
        </w:tc>
        <w:tc>
          <w:tcPr>
            <w:tcW w:w="1033" w:type="dxa"/>
            <w:tcBorders>
              <w:top w:val="single" w:sz="4" w:space="0" w:color="D9D9D9"/>
              <w:left w:val="single" w:sz="4" w:space="0" w:color="D9D9D9"/>
              <w:bottom w:val="nil"/>
              <w:right w:val="nil"/>
            </w:tcBorders>
            <w:shd w:val="clear" w:color="auto" w:fill="DFEBF1" w:themeFill="text2" w:themeFillTint="1A"/>
            <w:vAlign w:val="center"/>
          </w:tcPr>
          <w:p w14:paraId="7A8007B5" w14:textId="77777777"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1,544</w:t>
            </w:r>
          </w:p>
        </w:tc>
        <w:tc>
          <w:tcPr>
            <w:tcW w:w="1128" w:type="dxa"/>
            <w:tcBorders>
              <w:top w:val="single" w:sz="4" w:space="0" w:color="D9D9D9"/>
              <w:left w:val="nil"/>
              <w:bottom w:val="nil"/>
              <w:right w:val="single" w:sz="6" w:space="0" w:color="FFFFFF" w:themeColor="accent6"/>
            </w:tcBorders>
            <w:shd w:val="clear" w:color="auto" w:fill="DFEBF1" w:themeFill="text2" w:themeFillTint="1A"/>
            <w:vAlign w:val="center"/>
          </w:tcPr>
          <w:p w14:paraId="1CB493E1" w14:textId="77777777"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18.42</w:t>
            </w:r>
          </w:p>
        </w:tc>
        <w:tc>
          <w:tcPr>
            <w:tcW w:w="966" w:type="dxa"/>
            <w:tcBorders>
              <w:top w:val="single" w:sz="4" w:space="0" w:color="D9D9D9"/>
              <w:left w:val="single" w:sz="6" w:space="0" w:color="FFFFFF" w:themeColor="accent6"/>
              <w:right w:val="nil"/>
            </w:tcBorders>
            <w:shd w:val="clear" w:color="auto" w:fill="DFEBF1" w:themeFill="text2" w:themeFillTint="1A"/>
            <w:vAlign w:val="center"/>
          </w:tcPr>
          <w:p w14:paraId="5699F295" w14:textId="4C768EEA"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8.54</w:t>
            </w:r>
          </w:p>
        </w:tc>
        <w:tc>
          <w:tcPr>
            <w:tcW w:w="967" w:type="dxa"/>
            <w:tcBorders>
              <w:top w:val="single" w:sz="4" w:space="0" w:color="D9D9D9"/>
              <w:left w:val="nil"/>
              <w:right w:val="nil"/>
            </w:tcBorders>
            <w:shd w:val="clear" w:color="auto" w:fill="DFEBF1" w:themeFill="text2" w:themeFillTint="1A"/>
            <w:vAlign w:val="center"/>
          </w:tcPr>
          <w:p w14:paraId="6AFC21C8" w14:textId="1B22CC29"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8.69</w:t>
            </w:r>
          </w:p>
        </w:tc>
        <w:tc>
          <w:tcPr>
            <w:tcW w:w="969" w:type="dxa"/>
            <w:tcBorders>
              <w:top w:val="single" w:sz="4" w:space="0" w:color="D9D9D9"/>
              <w:left w:val="nil"/>
              <w:right w:val="single" w:sz="6" w:space="0" w:color="FFFFFF" w:themeColor="accent6"/>
            </w:tcBorders>
            <w:shd w:val="clear" w:color="auto" w:fill="DFEBF1" w:themeFill="text2" w:themeFillTint="1A"/>
            <w:vAlign w:val="center"/>
          </w:tcPr>
          <w:p w14:paraId="65A8E5D2" w14:textId="723C17CC"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10.16</w:t>
            </w:r>
          </w:p>
        </w:tc>
        <w:tc>
          <w:tcPr>
            <w:tcW w:w="967" w:type="dxa"/>
            <w:gridSpan w:val="2"/>
            <w:tcBorders>
              <w:top w:val="single" w:sz="4" w:space="0" w:color="D9D9D9"/>
              <w:left w:val="single" w:sz="6" w:space="0" w:color="FFFFFF" w:themeColor="accent6"/>
              <w:bottom w:val="nil"/>
              <w:right w:val="nil"/>
            </w:tcBorders>
            <w:shd w:val="clear" w:color="auto" w:fill="DFEBF1" w:themeFill="text2" w:themeFillTint="1A"/>
            <w:vAlign w:val="center"/>
          </w:tcPr>
          <w:p w14:paraId="1B85A659" w14:textId="292F22E6"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53.0%</w:t>
            </w:r>
          </w:p>
        </w:tc>
        <w:tc>
          <w:tcPr>
            <w:tcW w:w="966" w:type="dxa"/>
            <w:gridSpan w:val="2"/>
            <w:tcBorders>
              <w:top w:val="single" w:sz="4" w:space="0" w:color="D9D9D9"/>
              <w:left w:val="nil"/>
              <w:bottom w:val="nil"/>
              <w:right w:val="nil"/>
            </w:tcBorders>
            <w:shd w:val="clear" w:color="auto" w:fill="DFEBF1" w:themeFill="text2" w:themeFillTint="1A"/>
            <w:vAlign w:val="center"/>
          </w:tcPr>
          <w:p w14:paraId="714B5DE0" w14:textId="7C2FAFC1"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54.2%</w:t>
            </w:r>
          </w:p>
        </w:tc>
        <w:tc>
          <w:tcPr>
            <w:tcW w:w="970" w:type="dxa"/>
            <w:tcBorders>
              <w:top w:val="single" w:sz="4" w:space="0" w:color="D9D9D9"/>
              <w:left w:val="nil"/>
              <w:bottom w:val="nil"/>
              <w:right w:val="nil"/>
            </w:tcBorders>
            <w:shd w:val="clear" w:color="auto" w:fill="DFEBF1" w:themeFill="text2" w:themeFillTint="1A"/>
            <w:vAlign w:val="center"/>
          </w:tcPr>
          <w:p w14:paraId="735D4765" w14:textId="79E22E07" w:rsidR="009C68CB" w:rsidRPr="005629F8" w:rsidRDefault="009C68CB" w:rsidP="00E87B16">
            <w:pPr>
              <w:autoSpaceDE w:val="0"/>
              <w:autoSpaceDN w:val="0"/>
              <w:adjustRightInd w:val="0"/>
              <w:spacing w:after="0" w:line="240" w:lineRule="auto"/>
              <w:jc w:val="center"/>
              <w:rPr>
                <w:rFonts w:cs="Arial"/>
                <w:b/>
                <w:color w:val="000000"/>
                <w:sz w:val="14"/>
                <w:szCs w:val="14"/>
                <w:lang w:val="en-AU"/>
              </w:rPr>
            </w:pPr>
            <w:r w:rsidRPr="005629F8">
              <w:rPr>
                <w:rFonts w:cs="Arial"/>
                <w:b/>
                <w:color w:val="000000"/>
                <w:sz w:val="14"/>
                <w:szCs w:val="14"/>
              </w:rPr>
              <w:t>55.2%</w:t>
            </w:r>
          </w:p>
        </w:tc>
      </w:tr>
      <w:tr w:rsidR="00216FDD" w:rsidRPr="0088109E" w14:paraId="5762CAA3" w14:textId="77777777" w:rsidTr="00E87B16">
        <w:trPr>
          <w:trHeight w:val="239"/>
        </w:trPr>
        <w:tc>
          <w:tcPr>
            <w:tcW w:w="7868" w:type="dxa"/>
            <w:gridSpan w:val="3"/>
            <w:tcBorders>
              <w:top w:val="nil"/>
              <w:left w:val="nil"/>
              <w:bottom w:val="nil"/>
              <w:right w:val="single" w:sz="4" w:space="0" w:color="D9D9D9"/>
            </w:tcBorders>
            <w:shd w:val="clear" w:color="auto" w:fill="DFEBF1" w:themeFill="text2" w:themeFillTint="1A"/>
            <w:vAlign w:val="center"/>
          </w:tcPr>
          <w:p w14:paraId="0804EB04" w14:textId="464AFF7F" w:rsidR="009C68CB" w:rsidRPr="00F67A07" w:rsidRDefault="009C68CB" w:rsidP="009C68CB">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 xml:space="preserve">All </w:t>
            </w:r>
            <w:r w:rsidR="00D338A9">
              <w:rPr>
                <w:rFonts w:cs="Arial"/>
                <w:b/>
                <w:bCs/>
                <w:color w:val="000000"/>
                <w:sz w:val="14"/>
                <w:szCs w:val="14"/>
                <w:lang w:val="en-AU"/>
              </w:rPr>
              <w:t>c</w:t>
            </w:r>
            <w:r w:rsidRPr="00F67A07">
              <w:rPr>
                <w:rFonts w:cs="Arial"/>
                <w:b/>
                <w:bCs/>
                <w:color w:val="000000"/>
                <w:sz w:val="14"/>
                <w:szCs w:val="14"/>
                <w:lang w:val="en-AU"/>
              </w:rPr>
              <w:t xml:space="preserve">ritical </w:t>
            </w:r>
            <w:r w:rsidR="00D338A9">
              <w:rPr>
                <w:rFonts w:cs="Arial"/>
                <w:b/>
                <w:bCs/>
                <w:color w:val="000000"/>
                <w:sz w:val="14"/>
                <w:szCs w:val="14"/>
                <w:lang w:val="en-AU"/>
              </w:rPr>
              <w:t>c</w:t>
            </w:r>
            <w:r w:rsidRPr="00F67A07">
              <w:rPr>
                <w:rFonts w:cs="Arial"/>
                <w:b/>
                <w:bCs/>
                <w:color w:val="000000"/>
                <w:sz w:val="14"/>
                <w:szCs w:val="14"/>
                <w:lang w:val="en-AU"/>
              </w:rPr>
              <w:t xml:space="preserve">are </w:t>
            </w:r>
            <w:r w:rsidR="00247633">
              <w:rPr>
                <w:rFonts w:cs="Arial"/>
                <w:b/>
                <w:bCs/>
                <w:color w:val="000000"/>
                <w:sz w:val="14"/>
                <w:szCs w:val="14"/>
                <w:lang w:val="en-AU"/>
              </w:rPr>
              <w:t>AR-</w:t>
            </w:r>
            <w:r w:rsidRPr="00F67A07">
              <w:rPr>
                <w:rFonts w:cs="Arial"/>
                <w:b/>
                <w:bCs/>
                <w:color w:val="000000"/>
                <w:sz w:val="14"/>
                <w:szCs w:val="14"/>
                <w:lang w:val="en-AU"/>
              </w:rPr>
              <w:t>DRGs</w:t>
            </w:r>
          </w:p>
        </w:tc>
        <w:tc>
          <w:tcPr>
            <w:tcW w:w="1033" w:type="dxa"/>
            <w:tcBorders>
              <w:top w:val="nil"/>
              <w:left w:val="single" w:sz="4" w:space="0" w:color="D9D9D9"/>
              <w:bottom w:val="nil"/>
              <w:right w:val="nil"/>
            </w:tcBorders>
            <w:shd w:val="clear" w:color="auto" w:fill="DFEBF1" w:themeFill="text2" w:themeFillTint="1A"/>
            <w:vAlign w:val="center"/>
          </w:tcPr>
          <w:p w14:paraId="3FB8B658" w14:textId="77777777"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3,458,079</w:t>
            </w:r>
          </w:p>
        </w:tc>
        <w:tc>
          <w:tcPr>
            <w:tcW w:w="1128" w:type="dxa"/>
            <w:tcBorders>
              <w:top w:val="nil"/>
              <w:left w:val="nil"/>
              <w:bottom w:val="nil"/>
              <w:right w:val="single" w:sz="6" w:space="0" w:color="FFFFFF" w:themeColor="accent6"/>
            </w:tcBorders>
            <w:shd w:val="clear" w:color="auto" w:fill="DFEBF1" w:themeFill="text2" w:themeFillTint="1A"/>
            <w:vAlign w:val="center"/>
          </w:tcPr>
          <w:p w14:paraId="2C382928" w14:textId="35A5C8FE"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p>
        </w:tc>
        <w:tc>
          <w:tcPr>
            <w:tcW w:w="966" w:type="dxa"/>
            <w:tcBorders>
              <w:top w:val="nil"/>
              <w:left w:val="single" w:sz="6" w:space="0" w:color="FFFFFF" w:themeColor="accent6"/>
              <w:bottom w:val="nil"/>
              <w:right w:val="nil"/>
            </w:tcBorders>
            <w:shd w:val="clear" w:color="auto" w:fill="DFEBF1" w:themeFill="text2" w:themeFillTint="1A"/>
            <w:vAlign w:val="center"/>
          </w:tcPr>
          <w:p w14:paraId="018FBF8C" w14:textId="04D19423"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0.06</w:t>
            </w:r>
          </w:p>
        </w:tc>
        <w:tc>
          <w:tcPr>
            <w:tcW w:w="967" w:type="dxa"/>
            <w:tcBorders>
              <w:top w:val="nil"/>
              <w:left w:val="nil"/>
              <w:bottom w:val="nil"/>
              <w:right w:val="nil"/>
            </w:tcBorders>
            <w:shd w:val="clear" w:color="auto" w:fill="DFEBF1" w:themeFill="text2" w:themeFillTint="1A"/>
            <w:vAlign w:val="center"/>
          </w:tcPr>
          <w:p w14:paraId="02B41370" w14:textId="772CAD32"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0.06</w:t>
            </w:r>
          </w:p>
        </w:tc>
        <w:tc>
          <w:tcPr>
            <w:tcW w:w="969" w:type="dxa"/>
            <w:tcBorders>
              <w:top w:val="nil"/>
              <w:left w:val="nil"/>
              <w:bottom w:val="nil"/>
              <w:right w:val="single" w:sz="6" w:space="0" w:color="FFFFFF" w:themeColor="accent6"/>
            </w:tcBorders>
            <w:shd w:val="clear" w:color="auto" w:fill="DFEBF1" w:themeFill="text2" w:themeFillTint="1A"/>
            <w:vAlign w:val="center"/>
          </w:tcPr>
          <w:p w14:paraId="515A5E4B" w14:textId="1CFF239F"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0.06</w:t>
            </w:r>
          </w:p>
        </w:tc>
        <w:tc>
          <w:tcPr>
            <w:tcW w:w="967" w:type="dxa"/>
            <w:gridSpan w:val="2"/>
            <w:tcBorders>
              <w:top w:val="nil"/>
              <w:left w:val="single" w:sz="6" w:space="0" w:color="FFFFFF" w:themeColor="accent6"/>
              <w:bottom w:val="nil"/>
              <w:right w:val="nil"/>
            </w:tcBorders>
            <w:shd w:val="clear" w:color="auto" w:fill="DFEBF1" w:themeFill="text2" w:themeFillTint="1A"/>
            <w:vAlign w:val="center"/>
          </w:tcPr>
          <w:p w14:paraId="12E047D7" w14:textId="20EAA335"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5.6%</w:t>
            </w:r>
          </w:p>
        </w:tc>
        <w:tc>
          <w:tcPr>
            <w:tcW w:w="966" w:type="dxa"/>
            <w:gridSpan w:val="2"/>
            <w:tcBorders>
              <w:top w:val="nil"/>
              <w:left w:val="nil"/>
              <w:bottom w:val="nil"/>
              <w:right w:val="nil"/>
            </w:tcBorders>
            <w:shd w:val="clear" w:color="auto" w:fill="DFEBF1" w:themeFill="text2" w:themeFillTint="1A"/>
            <w:vAlign w:val="center"/>
          </w:tcPr>
          <w:p w14:paraId="4130AD24" w14:textId="6483E000"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5.8%</w:t>
            </w:r>
          </w:p>
        </w:tc>
        <w:tc>
          <w:tcPr>
            <w:tcW w:w="970" w:type="dxa"/>
            <w:tcBorders>
              <w:top w:val="nil"/>
              <w:left w:val="nil"/>
              <w:bottom w:val="nil"/>
              <w:right w:val="nil"/>
            </w:tcBorders>
            <w:shd w:val="clear" w:color="auto" w:fill="DFEBF1" w:themeFill="text2" w:themeFillTint="1A"/>
            <w:vAlign w:val="center"/>
          </w:tcPr>
          <w:p w14:paraId="036F141A" w14:textId="433A2DC3" w:rsidR="009C68CB" w:rsidRPr="005629F8" w:rsidRDefault="009C68CB" w:rsidP="00E87B16">
            <w:pPr>
              <w:autoSpaceDE w:val="0"/>
              <w:autoSpaceDN w:val="0"/>
              <w:adjustRightInd w:val="0"/>
              <w:spacing w:after="0" w:line="240" w:lineRule="auto"/>
              <w:jc w:val="center"/>
              <w:rPr>
                <w:rFonts w:cs="Arial"/>
                <w:b/>
                <w:color w:val="000000"/>
                <w:sz w:val="14"/>
                <w:szCs w:val="14"/>
                <w:lang w:val="en-AU"/>
              </w:rPr>
            </w:pPr>
            <w:r w:rsidRPr="005629F8">
              <w:rPr>
                <w:rFonts w:cs="Arial"/>
                <w:b/>
                <w:color w:val="000000"/>
                <w:sz w:val="14"/>
                <w:szCs w:val="14"/>
              </w:rPr>
              <w:t>5.6%</w:t>
            </w:r>
          </w:p>
        </w:tc>
      </w:tr>
      <w:tr w:rsidR="00216FDD" w:rsidRPr="0088109E" w14:paraId="125F666A" w14:textId="77777777" w:rsidTr="00E87B16">
        <w:trPr>
          <w:trHeight w:val="239"/>
        </w:trPr>
        <w:tc>
          <w:tcPr>
            <w:tcW w:w="7868" w:type="dxa"/>
            <w:gridSpan w:val="3"/>
            <w:tcBorders>
              <w:top w:val="nil"/>
              <w:left w:val="nil"/>
              <w:bottom w:val="single" w:sz="4" w:space="0" w:color="D9D9D9"/>
              <w:right w:val="single" w:sz="4" w:space="0" w:color="D9D9D9"/>
            </w:tcBorders>
            <w:shd w:val="clear" w:color="auto" w:fill="DFEBF1" w:themeFill="text2" w:themeFillTint="1A"/>
            <w:vAlign w:val="center"/>
          </w:tcPr>
          <w:p w14:paraId="0404BAF7" w14:textId="029CCDA0" w:rsidR="0075405B" w:rsidRPr="00F67A07" w:rsidRDefault="0075405B" w:rsidP="0075405B">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 xml:space="preserve">Top 10 highest critical care cost weights proportion (% of all </w:t>
            </w:r>
            <w:r w:rsidR="00D338A9">
              <w:rPr>
                <w:rFonts w:cs="Arial"/>
                <w:b/>
                <w:bCs/>
                <w:color w:val="000000"/>
                <w:sz w:val="14"/>
                <w:szCs w:val="14"/>
                <w:lang w:val="en-AU"/>
              </w:rPr>
              <w:t>c</w:t>
            </w:r>
            <w:r w:rsidRPr="00F67A07">
              <w:rPr>
                <w:rFonts w:cs="Arial"/>
                <w:b/>
                <w:bCs/>
                <w:color w:val="000000"/>
                <w:sz w:val="14"/>
                <w:szCs w:val="14"/>
                <w:lang w:val="en-AU"/>
              </w:rPr>
              <w:t xml:space="preserve">ritical </w:t>
            </w:r>
            <w:r w:rsidR="00D338A9">
              <w:rPr>
                <w:rFonts w:cs="Arial"/>
                <w:b/>
                <w:bCs/>
                <w:color w:val="000000"/>
                <w:sz w:val="14"/>
                <w:szCs w:val="14"/>
                <w:lang w:val="en-AU"/>
              </w:rPr>
              <w:t>c</w:t>
            </w:r>
            <w:r w:rsidRPr="00F67A07">
              <w:rPr>
                <w:rFonts w:cs="Arial"/>
                <w:b/>
                <w:bCs/>
                <w:color w:val="000000"/>
                <w:sz w:val="14"/>
                <w:szCs w:val="14"/>
                <w:lang w:val="en-AU"/>
              </w:rPr>
              <w:t xml:space="preserve">are </w:t>
            </w:r>
            <w:r w:rsidR="00247633">
              <w:rPr>
                <w:rFonts w:cs="Arial"/>
                <w:b/>
                <w:bCs/>
                <w:color w:val="000000"/>
                <w:sz w:val="14"/>
                <w:szCs w:val="14"/>
                <w:lang w:val="en-AU"/>
              </w:rPr>
              <w:t>AR-</w:t>
            </w:r>
            <w:r w:rsidRPr="00F67A07">
              <w:rPr>
                <w:rFonts w:cs="Arial"/>
                <w:b/>
                <w:bCs/>
                <w:color w:val="000000"/>
                <w:sz w:val="14"/>
                <w:szCs w:val="14"/>
                <w:lang w:val="en-AU"/>
              </w:rPr>
              <w:t>DRGs)</w:t>
            </w:r>
          </w:p>
        </w:tc>
        <w:tc>
          <w:tcPr>
            <w:tcW w:w="1033" w:type="dxa"/>
            <w:tcBorders>
              <w:top w:val="nil"/>
              <w:left w:val="single" w:sz="4" w:space="0" w:color="D9D9D9"/>
              <w:bottom w:val="single" w:sz="4" w:space="0" w:color="D9D9D9"/>
              <w:right w:val="nil"/>
            </w:tcBorders>
            <w:shd w:val="clear" w:color="auto" w:fill="DFEBF1" w:themeFill="text2" w:themeFillTint="1A"/>
            <w:vAlign w:val="center"/>
          </w:tcPr>
          <w:p w14:paraId="448550D9" w14:textId="77777777" w:rsidR="0075405B" w:rsidRPr="00F67A07" w:rsidRDefault="0075405B" w:rsidP="000C2921">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0.04%</w:t>
            </w:r>
          </w:p>
        </w:tc>
        <w:tc>
          <w:tcPr>
            <w:tcW w:w="1128" w:type="dxa"/>
            <w:tcBorders>
              <w:top w:val="nil"/>
              <w:left w:val="nil"/>
              <w:bottom w:val="single" w:sz="4" w:space="0" w:color="D9D9D9"/>
              <w:right w:val="single" w:sz="6" w:space="0" w:color="FFFFFF" w:themeColor="accent6"/>
            </w:tcBorders>
            <w:shd w:val="clear" w:color="auto" w:fill="DFEBF1" w:themeFill="text2" w:themeFillTint="1A"/>
            <w:vAlign w:val="center"/>
          </w:tcPr>
          <w:p w14:paraId="497B7ABC" w14:textId="77777777" w:rsidR="0075405B" w:rsidRPr="00F67A07" w:rsidRDefault="0075405B" w:rsidP="0075405B">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 </w:t>
            </w:r>
          </w:p>
        </w:tc>
        <w:tc>
          <w:tcPr>
            <w:tcW w:w="966" w:type="dxa"/>
            <w:tcBorders>
              <w:top w:val="nil"/>
              <w:left w:val="single" w:sz="6" w:space="0" w:color="FFFFFF" w:themeColor="accent6"/>
              <w:bottom w:val="single" w:sz="4" w:space="0" w:color="D9D9D9"/>
              <w:right w:val="nil"/>
            </w:tcBorders>
            <w:shd w:val="clear" w:color="auto" w:fill="DFEBF1" w:themeFill="text2" w:themeFillTint="1A"/>
            <w:vAlign w:val="center"/>
          </w:tcPr>
          <w:p w14:paraId="21205956"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w:t>
            </w:r>
          </w:p>
        </w:tc>
        <w:tc>
          <w:tcPr>
            <w:tcW w:w="1936" w:type="dxa"/>
            <w:gridSpan w:val="2"/>
            <w:tcBorders>
              <w:top w:val="nil"/>
              <w:left w:val="nil"/>
              <w:bottom w:val="single" w:sz="4" w:space="0" w:color="D9D9D9"/>
              <w:right w:val="single" w:sz="6" w:space="0" w:color="FFFFFF" w:themeColor="accent6"/>
            </w:tcBorders>
            <w:shd w:val="clear" w:color="auto" w:fill="DFEBF1" w:themeFill="text2" w:themeFillTint="1A"/>
            <w:vAlign w:val="center"/>
          </w:tcPr>
          <w:p w14:paraId="71100651"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w:t>
            </w:r>
          </w:p>
        </w:tc>
        <w:tc>
          <w:tcPr>
            <w:tcW w:w="806" w:type="dxa"/>
            <w:tcBorders>
              <w:top w:val="nil"/>
              <w:left w:val="single" w:sz="6" w:space="0" w:color="FFFFFF" w:themeColor="accent6"/>
              <w:bottom w:val="single" w:sz="4" w:space="0" w:color="D9D9D9"/>
            </w:tcBorders>
            <w:shd w:val="clear" w:color="auto" w:fill="DFEBF1" w:themeFill="text2" w:themeFillTint="1A"/>
            <w:vAlign w:val="center"/>
          </w:tcPr>
          <w:p w14:paraId="0ECF359C"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w:t>
            </w:r>
          </w:p>
        </w:tc>
        <w:tc>
          <w:tcPr>
            <w:tcW w:w="267" w:type="dxa"/>
            <w:gridSpan w:val="2"/>
            <w:tcBorders>
              <w:top w:val="nil"/>
              <w:bottom w:val="single" w:sz="4" w:space="0" w:color="D9D9D9"/>
              <w:right w:val="nil"/>
            </w:tcBorders>
            <w:shd w:val="clear" w:color="auto" w:fill="DFEBF1" w:themeFill="text2" w:themeFillTint="1A"/>
            <w:vAlign w:val="center"/>
          </w:tcPr>
          <w:p w14:paraId="3E484F9A"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w:t>
            </w:r>
          </w:p>
        </w:tc>
        <w:tc>
          <w:tcPr>
            <w:tcW w:w="860" w:type="dxa"/>
            <w:tcBorders>
              <w:top w:val="nil"/>
              <w:left w:val="nil"/>
              <w:bottom w:val="single" w:sz="4" w:space="0" w:color="D9D9D9"/>
              <w:right w:val="nil"/>
            </w:tcBorders>
            <w:shd w:val="clear" w:color="auto" w:fill="DFEBF1" w:themeFill="text2" w:themeFillTint="1A"/>
            <w:vAlign w:val="center"/>
          </w:tcPr>
          <w:p w14:paraId="7722AE0B"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w:t>
            </w:r>
          </w:p>
        </w:tc>
        <w:tc>
          <w:tcPr>
            <w:tcW w:w="970" w:type="dxa"/>
            <w:tcBorders>
              <w:top w:val="nil"/>
              <w:left w:val="nil"/>
              <w:bottom w:val="single" w:sz="4" w:space="0" w:color="D9D9D9"/>
              <w:right w:val="nil"/>
            </w:tcBorders>
            <w:shd w:val="clear" w:color="auto" w:fill="DFEBF1" w:themeFill="text2" w:themeFillTint="1A"/>
            <w:vAlign w:val="center"/>
          </w:tcPr>
          <w:p w14:paraId="087BD9CE" w14:textId="77777777" w:rsidR="0075405B" w:rsidRPr="00F67A07" w:rsidRDefault="0075405B" w:rsidP="0075405B">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 </w:t>
            </w:r>
          </w:p>
        </w:tc>
      </w:tr>
    </w:tbl>
    <w:p w14:paraId="5F9C4384" w14:textId="77777777" w:rsidR="000C38AE" w:rsidRDefault="000C38AE" w:rsidP="009E3F6F">
      <w:pPr>
        <w:pStyle w:val="TableParagraph"/>
        <w:ind w:left="-709"/>
        <w:rPr>
          <w:b/>
          <w:bCs/>
        </w:rPr>
      </w:pPr>
    </w:p>
    <w:p w14:paraId="20F80AB3" w14:textId="6FD1D318" w:rsidR="0075405B" w:rsidRPr="00F67A07" w:rsidRDefault="0075405B" w:rsidP="009E3F6F">
      <w:pPr>
        <w:pStyle w:val="TableParagraph"/>
        <w:ind w:left="-709"/>
        <w:rPr>
          <w:b/>
          <w:bCs/>
        </w:rPr>
      </w:pPr>
      <w:r w:rsidRPr="00F67A07">
        <w:rPr>
          <w:b/>
          <w:bCs/>
        </w:rPr>
        <w:t>Notes</w:t>
      </w:r>
    </w:p>
    <w:p w14:paraId="500E5CB0" w14:textId="77777777" w:rsidR="0075405B" w:rsidRPr="00F67A07" w:rsidRDefault="0075405B" w:rsidP="005629F8">
      <w:pPr>
        <w:pStyle w:val="TableParagraph"/>
        <w:numPr>
          <w:ilvl w:val="0"/>
          <w:numId w:val="51"/>
        </w:numPr>
        <w:ind w:left="-426" w:firstLine="0"/>
      </w:pPr>
      <w:r w:rsidRPr="00F67A07">
        <w:t>Separations</w:t>
      </w:r>
      <w:r w:rsidRPr="00F67A07">
        <w:rPr>
          <w:spacing w:val="-4"/>
        </w:rPr>
        <w:t xml:space="preserve"> </w:t>
      </w:r>
      <w:r w:rsidRPr="00F67A07">
        <w:t>shown</w:t>
      </w:r>
      <w:r w:rsidRPr="00F67A07">
        <w:rPr>
          <w:spacing w:val="-3"/>
        </w:rPr>
        <w:t xml:space="preserve"> </w:t>
      </w:r>
      <w:r w:rsidRPr="00F67A07">
        <w:t>are</w:t>
      </w:r>
      <w:r w:rsidRPr="00F67A07">
        <w:rPr>
          <w:spacing w:val="-1"/>
        </w:rPr>
        <w:t xml:space="preserve"> </w:t>
      </w:r>
      <w:r w:rsidRPr="00F67A07">
        <w:t>strata</w:t>
      </w:r>
      <w:r w:rsidRPr="00F67A07">
        <w:rPr>
          <w:spacing w:val="1"/>
        </w:rPr>
        <w:t xml:space="preserve"> </w:t>
      </w:r>
      <w:r w:rsidRPr="00F67A07">
        <w:t xml:space="preserve">weighted </w:t>
      </w:r>
    </w:p>
    <w:p w14:paraId="0DDAB076" w14:textId="52B05E24" w:rsidR="0075405B" w:rsidRPr="000C38AE" w:rsidRDefault="0075405B" w:rsidP="005629F8">
      <w:pPr>
        <w:pStyle w:val="TableParagraph"/>
        <w:numPr>
          <w:ilvl w:val="0"/>
          <w:numId w:val="51"/>
        </w:numPr>
        <w:ind w:left="-426" w:firstLine="0"/>
      </w:pPr>
      <w:r w:rsidRPr="00F67A07">
        <w:t>The overall cost weight represents the cost weight across all cost buckets (total cost) of the strata weighted separations.</w:t>
      </w:r>
    </w:p>
    <w:p w14:paraId="569E32C9" w14:textId="77777777" w:rsidR="000C38AE" w:rsidRPr="00F67A07" w:rsidRDefault="000C38AE" w:rsidP="005629F8">
      <w:pPr>
        <w:pStyle w:val="TableParagraph"/>
        <w:numPr>
          <w:ilvl w:val="0"/>
          <w:numId w:val="51"/>
        </w:numPr>
        <w:ind w:left="-426" w:firstLine="0"/>
      </w:pPr>
      <w:r w:rsidRPr="00F67A07">
        <w:t>For</w:t>
      </w:r>
      <w:r w:rsidRPr="00F67A07">
        <w:rPr>
          <w:spacing w:val="-3"/>
        </w:rPr>
        <w:t xml:space="preserve"> </w:t>
      </w:r>
      <w:r w:rsidRPr="00F67A07">
        <w:t>cost weight (cost</w:t>
      </w:r>
      <w:r w:rsidRPr="00F67A07">
        <w:rPr>
          <w:spacing w:val="-2"/>
        </w:rPr>
        <w:t xml:space="preserve"> </w:t>
      </w:r>
      <w:r w:rsidRPr="00F67A07">
        <w:t>bucket</w:t>
      </w:r>
      <w:r w:rsidRPr="00F67A07">
        <w:rPr>
          <w:spacing w:val="-2"/>
        </w:rPr>
        <w:t xml:space="preserve"> </w:t>
      </w:r>
      <w:r w:rsidRPr="00F67A07">
        <w:t>specific)</w:t>
      </w:r>
      <w:r w:rsidRPr="00F67A07">
        <w:rPr>
          <w:spacing w:val="-2"/>
        </w:rPr>
        <w:t xml:space="preserve"> </w:t>
      </w:r>
      <w:r w:rsidRPr="00F67A07">
        <w:t>calculations</w:t>
      </w:r>
      <w:r w:rsidRPr="00F67A07">
        <w:rPr>
          <w:spacing w:val="-2"/>
        </w:rPr>
        <w:t xml:space="preserve"> </w:t>
      </w:r>
      <w:r w:rsidRPr="00F67A07">
        <w:t>please</w:t>
      </w:r>
      <w:r w:rsidRPr="00F67A07">
        <w:rPr>
          <w:spacing w:val="-2"/>
        </w:rPr>
        <w:t xml:space="preserve"> </w:t>
      </w:r>
      <w:r w:rsidRPr="00F67A07">
        <w:t>refer</w:t>
      </w:r>
      <w:r w:rsidRPr="00F67A07">
        <w:rPr>
          <w:spacing w:val="-3"/>
        </w:rPr>
        <w:t xml:space="preserve"> </w:t>
      </w:r>
      <w:r w:rsidRPr="00F67A07">
        <w:t xml:space="preserve">to </w:t>
      </w:r>
      <w:r w:rsidRPr="00F67A07">
        <w:rPr>
          <w:szCs w:val="14"/>
        </w:rPr>
        <w:fldChar w:fldCharType="begin"/>
      </w:r>
      <w:r w:rsidRPr="00F67A07">
        <w:rPr>
          <w:szCs w:val="14"/>
        </w:rPr>
        <w:instrText xml:space="preserve"> REF _Ref103175315 \h  \* MERGEFORMAT </w:instrText>
      </w:r>
      <w:r w:rsidRPr="00F67A07">
        <w:rPr>
          <w:szCs w:val="14"/>
        </w:rPr>
      </w:r>
      <w:r w:rsidRPr="00F67A07">
        <w:rPr>
          <w:szCs w:val="14"/>
        </w:rPr>
        <w:fldChar w:fldCharType="separate"/>
      </w:r>
      <w:r w:rsidRPr="00F67A07">
        <w:rPr>
          <w:szCs w:val="14"/>
        </w:rPr>
        <w:t>Appendix</w:t>
      </w:r>
      <w:r w:rsidRPr="00F67A07">
        <w:rPr>
          <w:spacing w:val="-2"/>
          <w:szCs w:val="14"/>
        </w:rPr>
        <w:t xml:space="preserve"> </w:t>
      </w:r>
      <w:r w:rsidRPr="00F67A07">
        <w:rPr>
          <w:szCs w:val="14"/>
        </w:rPr>
        <w:t>D:</w:t>
      </w:r>
      <w:r w:rsidRPr="00F67A07">
        <w:rPr>
          <w:spacing w:val="1"/>
          <w:szCs w:val="14"/>
        </w:rPr>
        <w:t xml:space="preserve"> </w:t>
      </w:r>
      <w:r w:rsidRPr="00F67A07">
        <w:rPr>
          <w:szCs w:val="14"/>
        </w:rPr>
        <w:t>Cost</w:t>
      </w:r>
      <w:r w:rsidRPr="00F67A07">
        <w:rPr>
          <w:spacing w:val="1"/>
          <w:szCs w:val="14"/>
        </w:rPr>
        <w:t xml:space="preserve"> </w:t>
      </w:r>
      <w:r w:rsidRPr="00F67A07">
        <w:rPr>
          <w:szCs w:val="14"/>
        </w:rPr>
        <w:t>weight</w:t>
      </w:r>
      <w:r w:rsidRPr="00F67A07">
        <w:rPr>
          <w:spacing w:val="1"/>
          <w:szCs w:val="14"/>
        </w:rPr>
        <w:t xml:space="preserve"> </w:t>
      </w:r>
      <w:r w:rsidRPr="00F67A07">
        <w:rPr>
          <w:szCs w:val="14"/>
        </w:rPr>
        <w:t>tables by AR-DRG Version 10.0</w:t>
      </w:r>
      <w:r w:rsidRPr="00F67A07">
        <w:rPr>
          <w:szCs w:val="14"/>
        </w:rPr>
        <w:fldChar w:fldCharType="end"/>
      </w:r>
    </w:p>
    <w:p w14:paraId="4E28CCBA" w14:textId="77777777" w:rsidR="000C38AE" w:rsidRDefault="000C38AE" w:rsidP="000235D0">
      <w:pPr>
        <w:rPr>
          <w:lang w:val="en-AU"/>
        </w:rPr>
        <w:sectPr w:rsidR="000C38AE" w:rsidSect="00522146">
          <w:pgSz w:w="16838" w:h="11906" w:orient="landscape" w:code="9"/>
          <w:pgMar w:top="1077" w:right="1440" w:bottom="1077" w:left="1440" w:header="709" w:footer="709" w:gutter="0"/>
          <w:cols w:space="720"/>
          <w:docGrid w:linePitch="360"/>
        </w:sectPr>
      </w:pPr>
    </w:p>
    <w:p w14:paraId="5067F724" w14:textId="3D45EF67" w:rsidR="00167F76" w:rsidRPr="005629F8" w:rsidRDefault="00167F76" w:rsidP="00E829BF">
      <w:pPr>
        <w:pStyle w:val="Heading3"/>
      </w:pPr>
      <w:bookmarkStart w:id="154" w:name="_Toc129700688"/>
      <w:bookmarkStart w:id="155" w:name="_Toc129701381"/>
      <w:r w:rsidRPr="005629F8">
        <w:lastRenderedPageBreak/>
        <w:t>Prostheses cost bucket</w:t>
      </w:r>
      <w:bookmarkEnd w:id="154"/>
      <w:bookmarkEnd w:id="155"/>
    </w:p>
    <w:p w14:paraId="3F80F8CB" w14:textId="77777777" w:rsidR="00167F76" w:rsidRPr="005629F8" w:rsidRDefault="00167F76" w:rsidP="00167F76">
      <w:pPr>
        <w:pStyle w:val="Heading4"/>
        <w:rPr>
          <w:lang w:val="en-AU"/>
        </w:rPr>
      </w:pPr>
      <w:r w:rsidRPr="005629F8">
        <w:rPr>
          <w:lang w:val="en-AU"/>
        </w:rPr>
        <w:t>Key</w:t>
      </w:r>
      <w:r w:rsidRPr="005629F8">
        <w:rPr>
          <w:spacing w:val="-3"/>
          <w:lang w:val="en-AU"/>
        </w:rPr>
        <w:t xml:space="preserve"> </w:t>
      </w:r>
      <w:r w:rsidRPr="005629F8">
        <w:rPr>
          <w:lang w:val="en-AU"/>
        </w:rPr>
        <w:t>findings</w:t>
      </w:r>
    </w:p>
    <w:p w14:paraId="15831993" w14:textId="6387BF57" w:rsidR="00A26D9B" w:rsidRPr="005629F8" w:rsidRDefault="00026E0A" w:rsidP="000235D0">
      <w:pPr>
        <w:rPr>
          <w:color w:val="auto"/>
          <w:lang w:val="en-AU"/>
        </w:rPr>
      </w:pPr>
      <w:r w:rsidRPr="005629F8">
        <w:rPr>
          <w:color w:val="auto"/>
          <w:highlight w:val="yellow"/>
          <w:lang w:val="en-AU"/>
        </w:rPr>
        <w:fldChar w:fldCharType="begin"/>
      </w:r>
      <w:r w:rsidRPr="005629F8">
        <w:rPr>
          <w:color w:val="auto"/>
          <w:highlight w:val="yellow"/>
          <w:lang w:val="en-AU"/>
        </w:rPr>
        <w:instrText xml:space="preserve"> REF _Ref128054897 \h </w:instrText>
      </w:r>
      <w:r w:rsidR="00F2253B" w:rsidRPr="005629F8">
        <w:rPr>
          <w:color w:val="auto"/>
          <w:highlight w:val="yellow"/>
          <w:lang w:val="en-AU"/>
        </w:rPr>
        <w:instrText xml:space="preserve"> \* MERGEFORMAT </w:instrText>
      </w:r>
      <w:r w:rsidRPr="005629F8">
        <w:rPr>
          <w:color w:val="auto"/>
          <w:highlight w:val="yellow"/>
          <w:lang w:val="en-AU"/>
        </w:rPr>
      </w:r>
      <w:r w:rsidRPr="005629F8">
        <w:rPr>
          <w:color w:val="auto"/>
          <w:highlight w:val="yellow"/>
          <w:lang w:val="en-AU"/>
        </w:rPr>
        <w:fldChar w:fldCharType="separate"/>
      </w:r>
      <w:r w:rsidR="00F2253B" w:rsidRPr="00F2253B">
        <w:t xml:space="preserve">Table </w:t>
      </w:r>
      <w:r w:rsidR="00F2253B" w:rsidRPr="00F2253B">
        <w:rPr>
          <w:noProof/>
        </w:rPr>
        <w:t>10</w:t>
      </w:r>
      <w:r w:rsidRPr="005629F8">
        <w:rPr>
          <w:color w:val="auto"/>
          <w:highlight w:val="yellow"/>
          <w:lang w:val="en-AU"/>
        </w:rPr>
        <w:fldChar w:fldCharType="end"/>
      </w:r>
      <w:r w:rsidRPr="005629F8">
        <w:rPr>
          <w:color w:val="auto"/>
          <w:lang w:val="en-AU"/>
        </w:rPr>
        <w:t xml:space="preserve"> </w:t>
      </w:r>
      <w:r w:rsidR="000235D0" w:rsidRPr="005629F8">
        <w:rPr>
          <w:color w:val="auto"/>
          <w:lang w:val="en-AU"/>
        </w:rPr>
        <w:t xml:space="preserve">shows that the AR-DRG with the highest </w:t>
      </w:r>
      <w:r w:rsidR="004D6457">
        <w:rPr>
          <w:color w:val="auto"/>
          <w:lang w:val="en-AU"/>
        </w:rPr>
        <w:t>proportion</w:t>
      </w:r>
      <w:r w:rsidR="004D6457" w:rsidRPr="005629F8">
        <w:rPr>
          <w:color w:val="auto"/>
          <w:lang w:val="en-AU"/>
        </w:rPr>
        <w:t xml:space="preserve"> </w:t>
      </w:r>
      <w:r w:rsidR="000235D0" w:rsidRPr="005629F8">
        <w:rPr>
          <w:color w:val="auto"/>
          <w:lang w:val="en-AU"/>
        </w:rPr>
        <w:t xml:space="preserve">of their total cost belonging to the prostheses </w:t>
      </w:r>
      <w:r w:rsidR="00291ACE">
        <w:rPr>
          <w:color w:val="auto"/>
          <w:lang w:val="en-AU"/>
        </w:rPr>
        <w:t xml:space="preserve">cost </w:t>
      </w:r>
      <w:r w:rsidR="000235D0" w:rsidRPr="005629F8">
        <w:rPr>
          <w:color w:val="auto"/>
          <w:lang w:val="en-AU"/>
        </w:rPr>
        <w:t>bucket was F10B: Implantation and Replacement of AICD, Total System, Minor Complexity (84.8</w:t>
      </w:r>
      <w:r w:rsidR="00EB30D1" w:rsidRPr="005629F8">
        <w:rPr>
          <w:color w:val="auto"/>
          <w:lang w:val="en-AU"/>
        </w:rPr>
        <w:t xml:space="preserve"> per cent</w:t>
      </w:r>
      <w:r w:rsidR="006D2F1F" w:rsidRPr="005629F8">
        <w:rPr>
          <w:color w:val="auto"/>
          <w:lang w:val="en-AU"/>
        </w:rPr>
        <w:t xml:space="preserve">). The </w:t>
      </w:r>
      <w:r w:rsidR="000235D0" w:rsidRPr="005629F8">
        <w:rPr>
          <w:color w:val="auto"/>
          <w:lang w:val="en-AU"/>
        </w:rPr>
        <w:t xml:space="preserve">cost weight and prostheses cost allocation </w:t>
      </w:r>
      <w:r w:rsidR="006D2F1F" w:rsidRPr="005629F8">
        <w:rPr>
          <w:color w:val="auto"/>
          <w:lang w:val="en-AU"/>
        </w:rPr>
        <w:t xml:space="preserve">has been </w:t>
      </w:r>
      <w:r w:rsidR="004D6457">
        <w:rPr>
          <w:color w:val="auto"/>
          <w:lang w:val="en-AU"/>
        </w:rPr>
        <w:t xml:space="preserve">relatively </w:t>
      </w:r>
      <w:r w:rsidR="006D2F1F" w:rsidRPr="005629F8">
        <w:rPr>
          <w:color w:val="auto"/>
          <w:lang w:val="en-AU"/>
        </w:rPr>
        <w:t xml:space="preserve">stable for this AR-DRG </w:t>
      </w:r>
      <w:r w:rsidR="000235D0" w:rsidRPr="005629F8">
        <w:rPr>
          <w:color w:val="auto"/>
          <w:lang w:val="en-AU"/>
        </w:rPr>
        <w:t>over the past three years.</w:t>
      </w:r>
      <w:r w:rsidR="00EB30D1" w:rsidRPr="005629F8">
        <w:rPr>
          <w:color w:val="auto"/>
          <w:lang w:val="en-AU"/>
        </w:rPr>
        <w:t xml:space="preserve"> The overall cost weight </w:t>
      </w:r>
      <w:r w:rsidR="006D2F1F" w:rsidRPr="005629F8">
        <w:rPr>
          <w:color w:val="auto"/>
          <w:lang w:val="en-AU"/>
        </w:rPr>
        <w:t xml:space="preserve">for the AR-DRGs </w:t>
      </w:r>
      <w:r w:rsidR="004D6457">
        <w:rPr>
          <w:color w:val="auto"/>
          <w:lang w:val="en-AU"/>
        </w:rPr>
        <w:t>in Table 10</w:t>
      </w:r>
      <w:r w:rsidR="00BA0004">
        <w:rPr>
          <w:color w:val="auto"/>
          <w:lang w:val="en-AU"/>
        </w:rPr>
        <w:t xml:space="preserve"> </w:t>
      </w:r>
      <w:r w:rsidR="00EB30D1" w:rsidRPr="005629F8">
        <w:rPr>
          <w:color w:val="auto"/>
          <w:lang w:val="en-AU"/>
        </w:rPr>
        <w:t>(5.76) is higher than the population average</w:t>
      </w:r>
      <w:r w:rsidR="005066AC">
        <w:rPr>
          <w:color w:val="auto"/>
          <w:lang w:val="en-AU"/>
        </w:rPr>
        <w:t xml:space="preserve"> (1.00)</w:t>
      </w:r>
      <w:r w:rsidR="00EB30D1" w:rsidRPr="005629F8">
        <w:rPr>
          <w:color w:val="auto"/>
          <w:lang w:val="en-AU"/>
        </w:rPr>
        <w:t>, with 6</w:t>
      </w:r>
      <w:r w:rsidR="004D6457">
        <w:rPr>
          <w:color w:val="auto"/>
          <w:lang w:val="en-AU"/>
        </w:rPr>
        <w:t>5.8</w:t>
      </w:r>
      <w:r w:rsidR="00EB30D1" w:rsidRPr="005629F8">
        <w:rPr>
          <w:color w:val="auto"/>
          <w:lang w:val="en-AU"/>
        </w:rPr>
        <w:t xml:space="preserve"> per cent (3.79) of this </w:t>
      </w:r>
      <w:r w:rsidR="006D2F1F" w:rsidRPr="005629F8">
        <w:rPr>
          <w:color w:val="auto"/>
          <w:lang w:val="en-AU"/>
        </w:rPr>
        <w:t>relating</w:t>
      </w:r>
      <w:r w:rsidR="00EB30D1" w:rsidRPr="005629F8">
        <w:rPr>
          <w:color w:val="auto"/>
          <w:lang w:val="en-AU"/>
        </w:rPr>
        <w:t xml:space="preserve"> to the prosthes</w:t>
      </w:r>
      <w:r w:rsidR="001B336C">
        <w:rPr>
          <w:color w:val="auto"/>
          <w:lang w:val="en-AU"/>
        </w:rPr>
        <w:t>e</w:t>
      </w:r>
      <w:r w:rsidR="00EB30D1" w:rsidRPr="005629F8">
        <w:rPr>
          <w:color w:val="auto"/>
          <w:lang w:val="en-AU"/>
        </w:rPr>
        <w:t>s cost bucket.</w:t>
      </w:r>
      <w:r w:rsidR="00154F08" w:rsidRPr="005629F8">
        <w:rPr>
          <w:color w:val="auto"/>
          <w:lang w:val="en-AU"/>
        </w:rPr>
        <w:t xml:space="preserve"> </w:t>
      </w:r>
      <w:r w:rsidR="0034265B" w:rsidRPr="005629F8">
        <w:rPr>
          <w:color w:val="auto"/>
          <w:lang w:val="en-AU"/>
        </w:rPr>
        <w:t xml:space="preserve">Overall, the </w:t>
      </w:r>
      <w:r w:rsidR="00A26D9B" w:rsidRPr="005629F8">
        <w:rPr>
          <w:color w:val="auto"/>
          <w:lang w:val="en-AU"/>
        </w:rPr>
        <w:t>proportion of cost</w:t>
      </w:r>
      <w:r w:rsidR="004D6457">
        <w:rPr>
          <w:color w:val="auto"/>
          <w:lang w:val="en-AU"/>
        </w:rPr>
        <w:t>s</w:t>
      </w:r>
      <w:r w:rsidR="00A26D9B" w:rsidRPr="005629F8">
        <w:rPr>
          <w:color w:val="auto"/>
          <w:lang w:val="en-AU"/>
        </w:rPr>
        <w:t xml:space="preserve"> allocated to the prosthes</w:t>
      </w:r>
      <w:r w:rsidR="001B336C">
        <w:rPr>
          <w:color w:val="auto"/>
          <w:lang w:val="en-AU"/>
        </w:rPr>
        <w:t>e</w:t>
      </w:r>
      <w:r w:rsidR="00A26D9B" w:rsidRPr="005629F8">
        <w:rPr>
          <w:color w:val="auto"/>
          <w:lang w:val="en-AU"/>
        </w:rPr>
        <w:t>s cost bucket</w:t>
      </w:r>
      <w:r w:rsidR="0034265B" w:rsidRPr="005629F8">
        <w:rPr>
          <w:color w:val="auto"/>
          <w:lang w:val="en-AU"/>
        </w:rPr>
        <w:t xml:space="preserve"> was relatively stable </w:t>
      </w:r>
      <w:r w:rsidR="00A26D9B" w:rsidRPr="005629F8">
        <w:rPr>
          <w:color w:val="auto"/>
          <w:lang w:val="en-AU"/>
        </w:rPr>
        <w:t>over the last three years</w:t>
      </w:r>
      <w:r w:rsidR="0034265B" w:rsidRPr="005629F8">
        <w:rPr>
          <w:color w:val="auto"/>
          <w:lang w:val="en-AU"/>
        </w:rPr>
        <w:t xml:space="preserve"> for these </w:t>
      </w:r>
      <w:r w:rsidR="00291ACE">
        <w:rPr>
          <w:color w:val="auto"/>
          <w:lang w:val="en-AU"/>
        </w:rPr>
        <w:br/>
      </w:r>
      <w:r w:rsidR="0034265B" w:rsidRPr="005629F8">
        <w:rPr>
          <w:color w:val="auto"/>
          <w:lang w:val="en-AU"/>
        </w:rPr>
        <w:t xml:space="preserve">AR-DRGs, although this varied more for </w:t>
      </w:r>
      <w:r w:rsidR="004D6457">
        <w:rPr>
          <w:color w:val="auto"/>
          <w:lang w:val="en-AU"/>
        </w:rPr>
        <w:t xml:space="preserve">some </w:t>
      </w:r>
      <w:r w:rsidR="0034265B" w:rsidRPr="005629F8">
        <w:rPr>
          <w:color w:val="auto"/>
          <w:lang w:val="en-AU"/>
        </w:rPr>
        <w:t>AR-DRGs with lower separation volumes</w:t>
      </w:r>
      <w:r w:rsidR="00A26D9B" w:rsidRPr="005629F8">
        <w:rPr>
          <w:color w:val="auto"/>
          <w:lang w:val="en-AU"/>
        </w:rPr>
        <w:t>.</w:t>
      </w:r>
    </w:p>
    <w:p w14:paraId="18E9077D" w14:textId="16D19CEA" w:rsidR="00A26D9B" w:rsidRDefault="0034265B" w:rsidP="000235D0">
      <w:pPr>
        <w:rPr>
          <w:lang w:val="en-AU"/>
        </w:rPr>
      </w:pPr>
      <w:r w:rsidRPr="005629F8">
        <w:rPr>
          <w:color w:val="auto"/>
          <w:lang w:val="en-AU"/>
        </w:rPr>
        <w:t>Although the proportion of costs in the prostheses cost bucket has remained relatively stable, a</w:t>
      </w:r>
      <w:r w:rsidR="000235D0" w:rsidRPr="005629F8">
        <w:rPr>
          <w:color w:val="auto"/>
          <w:lang w:val="en-AU"/>
        </w:rPr>
        <w:t xml:space="preserve"> comparison of the prostheses cost weights for the top 10 AR</w:t>
      </w:r>
      <w:r w:rsidR="00DB117A">
        <w:rPr>
          <w:color w:val="auto"/>
          <w:lang w:val="en-AU"/>
        </w:rPr>
        <w:noBreakHyphen/>
      </w:r>
      <w:r w:rsidR="000235D0" w:rsidRPr="005629F8">
        <w:rPr>
          <w:color w:val="auto"/>
          <w:lang w:val="en-AU"/>
        </w:rPr>
        <w:t xml:space="preserve">DRGs in </w:t>
      </w:r>
      <w:r w:rsidR="008C242F" w:rsidRPr="005629F8">
        <w:rPr>
          <w:color w:val="auto"/>
          <w:highlight w:val="yellow"/>
          <w:lang w:val="en-AU"/>
        </w:rPr>
        <w:fldChar w:fldCharType="begin"/>
      </w:r>
      <w:r w:rsidR="008C242F" w:rsidRPr="005629F8">
        <w:rPr>
          <w:color w:val="auto"/>
          <w:highlight w:val="yellow"/>
          <w:lang w:val="en-AU"/>
        </w:rPr>
        <w:instrText xml:space="preserve"> REF _Ref128054897 \h </w:instrText>
      </w:r>
      <w:r w:rsidR="00F2253B" w:rsidRPr="005629F8">
        <w:rPr>
          <w:color w:val="auto"/>
          <w:highlight w:val="yellow"/>
          <w:lang w:val="en-AU"/>
        </w:rPr>
        <w:instrText xml:space="preserve"> \* MERGEFORMAT </w:instrText>
      </w:r>
      <w:r w:rsidR="008C242F" w:rsidRPr="005629F8">
        <w:rPr>
          <w:color w:val="auto"/>
          <w:highlight w:val="yellow"/>
          <w:lang w:val="en-AU"/>
        </w:rPr>
      </w:r>
      <w:r w:rsidR="008C242F" w:rsidRPr="005629F8">
        <w:rPr>
          <w:color w:val="auto"/>
          <w:highlight w:val="yellow"/>
          <w:lang w:val="en-AU"/>
        </w:rPr>
        <w:fldChar w:fldCharType="separate"/>
      </w:r>
      <w:r w:rsidR="00F2253B" w:rsidRPr="00F2253B">
        <w:t xml:space="preserve">Table </w:t>
      </w:r>
      <w:r w:rsidR="00F2253B" w:rsidRPr="00F2253B">
        <w:rPr>
          <w:noProof/>
        </w:rPr>
        <w:t>10</w:t>
      </w:r>
      <w:r w:rsidR="008C242F" w:rsidRPr="005629F8">
        <w:rPr>
          <w:color w:val="auto"/>
          <w:highlight w:val="yellow"/>
          <w:lang w:val="en-AU"/>
        </w:rPr>
        <w:fldChar w:fldCharType="end"/>
      </w:r>
      <w:r w:rsidR="000235D0" w:rsidRPr="005629F8">
        <w:rPr>
          <w:color w:val="auto"/>
          <w:lang w:val="en-AU"/>
        </w:rPr>
        <w:t xml:space="preserve">, shows that the </w:t>
      </w:r>
      <w:r w:rsidR="000235D0" w:rsidRPr="005629F8">
        <w:rPr>
          <w:lang w:val="en-AU"/>
        </w:rPr>
        <w:t>cost weights</w:t>
      </w:r>
      <w:r w:rsidR="00A26D9B">
        <w:rPr>
          <w:lang w:val="en-AU"/>
        </w:rPr>
        <w:t xml:space="preserve"> have </w:t>
      </w:r>
      <w:r w:rsidR="00244FA6">
        <w:rPr>
          <w:lang w:val="en-AU"/>
        </w:rPr>
        <w:t xml:space="preserve">generally </w:t>
      </w:r>
      <w:r w:rsidR="00AA1908">
        <w:rPr>
          <w:lang w:val="en-AU"/>
        </w:rPr>
        <w:t>decreas</w:t>
      </w:r>
      <w:r w:rsidR="005066AC">
        <w:rPr>
          <w:lang w:val="en-AU"/>
        </w:rPr>
        <w:t xml:space="preserve">ed between 2018-19 </w:t>
      </w:r>
      <w:r w:rsidR="00244FA6">
        <w:rPr>
          <w:lang w:val="en-AU"/>
        </w:rPr>
        <w:t>and</w:t>
      </w:r>
      <w:r w:rsidR="005066AC">
        <w:rPr>
          <w:lang w:val="en-AU"/>
        </w:rPr>
        <w:t xml:space="preserve"> 2020-21</w:t>
      </w:r>
      <w:r w:rsidR="00A26D9B">
        <w:rPr>
          <w:lang w:val="en-AU"/>
        </w:rPr>
        <w:t>.</w:t>
      </w:r>
      <w:r w:rsidR="00154F08">
        <w:rPr>
          <w:lang w:val="en-AU"/>
        </w:rPr>
        <w:t xml:space="preserve"> </w:t>
      </w:r>
    </w:p>
    <w:p w14:paraId="10309E40" w14:textId="77777777" w:rsidR="009E3F6F" w:rsidRPr="00C84E77" w:rsidRDefault="009E3F6F" w:rsidP="00E87B16">
      <w:pPr>
        <w:pStyle w:val="TableFigureheading"/>
      </w:pPr>
      <w:bookmarkStart w:id="156" w:name="_Ref128054897"/>
      <w:bookmarkStart w:id="157" w:name="_Toc129179304"/>
      <w:bookmarkStart w:id="158" w:name="_Toc139881783"/>
      <w:r w:rsidRPr="005629F8">
        <w:t xml:space="preserve">Table </w:t>
      </w:r>
      <w:r w:rsidRPr="005629F8">
        <w:fldChar w:fldCharType="begin"/>
      </w:r>
      <w:r w:rsidRPr="005629F8">
        <w:instrText xml:space="preserve"> SEQ Table \* ARABIC </w:instrText>
      </w:r>
      <w:r w:rsidRPr="005629F8">
        <w:fldChar w:fldCharType="separate"/>
      </w:r>
      <w:r w:rsidRPr="005629F8">
        <w:rPr>
          <w:noProof/>
        </w:rPr>
        <w:t>10</w:t>
      </w:r>
      <w:r w:rsidRPr="005629F8">
        <w:fldChar w:fldCharType="end"/>
      </w:r>
      <w:bookmarkEnd w:id="156"/>
      <w:r w:rsidRPr="005629F8">
        <w:t>. Top 10 AR-DRGs for costs allocated to the prostheses cost bucket</w:t>
      </w:r>
      <w:bookmarkEnd w:id="157"/>
      <w:bookmarkEnd w:id="158"/>
    </w:p>
    <w:tbl>
      <w:tblPr>
        <w:tblW w:w="15782" w:type="dxa"/>
        <w:tblInd w:w="-30" w:type="dxa"/>
        <w:tblLayout w:type="fixed"/>
        <w:tblLook w:val="0000" w:firstRow="0" w:lastRow="0" w:firstColumn="0" w:lastColumn="0" w:noHBand="0" w:noVBand="0"/>
      </w:tblPr>
      <w:tblGrid>
        <w:gridCol w:w="739"/>
        <w:gridCol w:w="851"/>
        <w:gridCol w:w="6495"/>
        <w:gridCol w:w="1159"/>
        <w:gridCol w:w="1418"/>
        <w:gridCol w:w="850"/>
        <w:gridCol w:w="851"/>
        <w:gridCol w:w="850"/>
        <w:gridCol w:w="851"/>
        <w:gridCol w:w="14"/>
        <w:gridCol w:w="894"/>
        <w:gridCol w:w="810"/>
      </w:tblGrid>
      <w:tr w:rsidR="00216FDD" w:rsidRPr="0088109E" w14:paraId="151FE798" w14:textId="77777777" w:rsidTr="000771FC">
        <w:trPr>
          <w:trHeight w:val="199"/>
        </w:trPr>
        <w:tc>
          <w:tcPr>
            <w:tcW w:w="739" w:type="dxa"/>
            <w:tcBorders>
              <w:top w:val="single" w:sz="6" w:space="0" w:color="auto"/>
              <w:left w:val="nil"/>
              <w:bottom w:val="nil"/>
              <w:right w:val="nil"/>
            </w:tcBorders>
            <w:shd w:val="clear" w:color="auto" w:fill="15272F" w:themeFill="text1"/>
            <w:vAlign w:val="center"/>
          </w:tcPr>
          <w:p w14:paraId="3433BD77" w14:textId="77777777" w:rsidR="009E3F6F" w:rsidRPr="005629F8" w:rsidRDefault="009E3F6F" w:rsidP="00C82F8C">
            <w:pPr>
              <w:autoSpaceDE w:val="0"/>
              <w:autoSpaceDN w:val="0"/>
              <w:adjustRightInd w:val="0"/>
              <w:spacing w:after="0" w:line="240" w:lineRule="auto"/>
              <w:rPr>
                <w:rFonts w:cs="Arial"/>
                <w:color w:val="FFFFFF" w:themeColor="background2"/>
                <w:sz w:val="14"/>
                <w:szCs w:val="14"/>
                <w:lang w:val="en-AU"/>
              </w:rPr>
            </w:pPr>
          </w:p>
        </w:tc>
        <w:tc>
          <w:tcPr>
            <w:tcW w:w="851" w:type="dxa"/>
            <w:tcBorders>
              <w:top w:val="single" w:sz="6" w:space="0" w:color="auto"/>
              <w:left w:val="nil"/>
              <w:bottom w:val="nil"/>
              <w:right w:val="nil"/>
            </w:tcBorders>
            <w:shd w:val="clear" w:color="auto" w:fill="15272F" w:themeFill="text1"/>
            <w:vAlign w:val="center"/>
          </w:tcPr>
          <w:p w14:paraId="3FF84B42" w14:textId="77777777" w:rsidR="009E3F6F" w:rsidRPr="005629F8" w:rsidRDefault="009E3F6F" w:rsidP="00C82F8C">
            <w:pPr>
              <w:autoSpaceDE w:val="0"/>
              <w:autoSpaceDN w:val="0"/>
              <w:adjustRightInd w:val="0"/>
              <w:spacing w:after="0" w:line="240" w:lineRule="auto"/>
              <w:rPr>
                <w:rFonts w:cs="Arial"/>
                <w:color w:val="FFFFFF" w:themeColor="background2"/>
                <w:sz w:val="14"/>
                <w:szCs w:val="14"/>
                <w:lang w:val="en-AU"/>
              </w:rPr>
            </w:pPr>
          </w:p>
        </w:tc>
        <w:tc>
          <w:tcPr>
            <w:tcW w:w="6495" w:type="dxa"/>
            <w:tcBorders>
              <w:top w:val="single" w:sz="6" w:space="0" w:color="auto"/>
              <w:left w:val="nil"/>
              <w:right w:val="single" w:sz="4" w:space="0" w:color="D9D9D9"/>
            </w:tcBorders>
            <w:shd w:val="clear" w:color="auto" w:fill="15272F" w:themeFill="text1"/>
            <w:vAlign w:val="center"/>
          </w:tcPr>
          <w:p w14:paraId="336BF254" w14:textId="77777777" w:rsidR="009E3F6F" w:rsidRPr="005629F8" w:rsidRDefault="009E3F6F" w:rsidP="00C82F8C">
            <w:pPr>
              <w:autoSpaceDE w:val="0"/>
              <w:autoSpaceDN w:val="0"/>
              <w:adjustRightInd w:val="0"/>
              <w:spacing w:after="0" w:line="240" w:lineRule="auto"/>
              <w:rPr>
                <w:rFonts w:cs="Arial"/>
                <w:color w:val="FFFFFF" w:themeColor="background2"/>
                <w:sz w:val="14"/>
                <w:szCs w:val="14"/>
                <w:lang w:val="en-AU"/>
              </w:rPr>
            </w:pPr>
          </w:p>
        </w:tc>
        <w:tc>
          <w:tcPr>
            <w:tcW w:w="1159" w:type="dxa"/>
            <w:tcBorders>
              <w:top w:val="single" w:sz="6" w:space="0" w:color="auto"/>
              <w:left w:val="single" w:sz="4" w:space="0" w:color="D9D9D9"/>
              <w:right w:val="nil"/>
            </w:tcBorders>
            <w:shd w:val="clear" w:color="auto" w:fill="15272F" w:themeFill="text1"/>
            <w:vAlign w:val="center"/>
          </w:tcPr>
          <w:p w14:paraId="4F3C41B4" w14:textId="77777777" w:rsidR="009E3F6F" w:rsidRPr="005629F8" w:rsidRDefault="009E3F6F" w:rsidP="00C82F8C">
            <w:pPr>
              <w:autoSpaceDE w:val="0"/>
              <w:autoSpaceDN w:val="0"/>
              <w:adjustRightInd w:val="0"/>
              <w:spacing w:after="0" w:line="240" w:lineRule="auto"/>
              <w:rPr>
                <w:rFonts w:cs="Arial"/>
                <w:color w:val="FFFFFF" w:themeColor="background2"/>
                <w:sz w:val="14"/>
                <w:szCs w:val="14"/>
                <w:lang w:val="en-AU"/>
              </w:rPr>
            </w:pPr>
          </w:p>
        </w:tc>
        <w:tc>
          <w:tcPr>
            <w:tcW w:w="1418" w:type="dxa"/>
            <w:tcBorders>
              <w:top w:val="single" w:sz="6" w:space="0" w:color="auto"/>
              <w:left w:val="nil"/>
              <w:right w:val="single" w:sz="4" w:space="0" w:color="D9D9D9"/>
            </w:tcBorders>
            <w:shd w:val="clear" w:color="auto" w:fill="15272F" w:themeFill="text1"/>
            <w:vAlign w:val="center"/>
          </w:tcPr>
          <w:p w14:paraId="55B17147" w14:textId="77777777" w:rsidR="009E3F6F" w:rsidRPr="005629F8" w:rsidRDefault="009E3F6F" w:rsidP="00C82F8C">
            <w:pPr>
              <w:autoSpaceDE w:val="0"/>
              <w:autoSpaceDN w:val="0"/>
              <w:adjustRightInd w:val="0"/>
              <w:spacing w:after="0" w:line="240" w:lineRule="auto"/>
              <w:rPr>
                <w:rFonts w:cs="Arial"/>
                <w:color w:val="FFFFFF" w:themeColor="background2"/>
                <w:sz w:val="14"/>
                <w:szCs w:val="14"/>
                <w:lang w:val="en-AU"/>
              </w:rPr>
            </w:pPr>
          </w:p>
        </w:tc>
        <w:tc>
          <w:tcPr>
            <w:tcW w:w="2551" w:type="dxa"/>
            <w:gridSpan w:val="3"/>
            <w:tcBorders>
              <w:top w:val="single" w:sz="6" w:space="0" w:color="auto"/>
              <w:left w:val="single" w:sz="4" w:space="0" w:color="D9D9D9"/>
              <w:right w:val="single" w:sz="4" w:space="0" w:color="D9D9D9"/>
            </w:tcBorders>
            <w:shd w:val="clear" w:color="auto" w:fill="15272F" w:themeFill="text1"/>
            <w:vAlign w:val="center"/>
          </w:tcPr>
          <w:p w14:paraId="1353974C" w14:textId="77777777" w:rsidR="009E3F6F" w:rsidRPr="005629F8" w:rsidRDefault="009E3F6F" w:rsidP="00C82F8C">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Prostheses Cost Weight</w:t>
            </w:r>
          </w:p>
        </w:tc>
        <w:tc>
          <w:tcPr>
            <w:tcW w:w="2569" w:type="dxa"/>
            <w:gridSpan w:val="4"/>
            <w:tcBorders>
              <w:top w:val="single" w:sz="6" w:space="0" w:color="auto"/>
              <w:left w:val="single" w:sz="4" w:space="0" w:color="D9D9D9"/>
              <w:bottom w:val="nil"/>
              <w:right w:val="nil"/>
            </w:tcBorders>
            <w:shd w:val="clear" w:color="auto" w:fill="15272F" w:themeFill="text1"/>
            <w:vAlign w:val="center"/>
          </w:tcPr>
          <w:p w14:paraId="08E004AC" w14:textId="77777777" w:rsidR="009E3F6F" w:rsidRPr="005629F8" w:rsidRDefault="009E3F6F" w:rsidP="00C82F8C">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 xml:space="preserve">% </w:t>
            </w:r>
            <w:proofErr w:type="gramStart"/>
            <w:r w:rsidRPr="005629F8">
              <w:rPr>
                <w:rFonts w:cs="Arial"/>
                <w:b/>
                <w:bCs/>
                <w:color w:val="FFFFFF" w:themeColor="background2"/>
                <w:sz w:val="14"/>
                <w:szCs w:val="14"/>
                <w:lang w:val="en-AU"/>
              </w:rPr>
              <w:t>of</w:t>
            </w:r>
            <w:proofErr w:type="gramEnd"/>
            <w:r w:rsidRPr="005629F8">
              <w:rPr>
                <w:rFonts w:cs="Arial"/>
                <w:b/>
                <w:bCs/>
                <w:color w:val="FFFFFF" w:themeColor="background2"/>
                <w:sz w:val="14"/>
                <w:szCs w:val="14"/>
                <w:lang w:val="en-AU"/>
              </w:rPr>
              <w:t xml:space="preserve"> AR-DRG total cost</w:t>
            </w:r>
          </w:p>
        </w:tc>
      </w:tr>
      <w:tr w:rsidR="00363733" w:rsidRPr="0088109E" w14:paraId="060DB8C3" w14:textId="77777777" w:rsidTr="000771FC">
        <w:trPr>
          <w:trHeight w:val="491"/>
        </w:trPr>
        <w:tc>
          <w:tcPr>
            <w:tcW w:w="739" w:type="dxa"/>
            <w:tcBorders>
              <w:top w:val="nil"/>
              <w:left w:val="nil"/>
              <w:bottom w:val="single" w:sz="6" w:space="0" w:color="auto"/>
              <w:right w:val="nil"/>
            </w:tcBorders>
            <w:shd w:val="clear" w:color="auto" w:fill="15272F" w:themeFill="text1"/>
            <w:vAlign w:val="center"/>
          </w:tcPr>
          <w:p w14:paraId="04047309" w14:textId="77777777" w:rsidR="009E3F6F" w:rsidRPr="005629F8" w:rsidRDefault="009E3F6F" w:rsidP="00C82F8C">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Rank 2020-21</w:t>
            </w:r>
          </w:p>
        </w:tc>
        <w:tc>
          <w:tcPr>
            <w:tcW w:w="851" w:type="dxa"/>
            <w:tcBorders>
              <w:top w:val="nil"/>
              <w:left w:val="nil"/>
              <w:bottom w:val="single" w:sz="6" w:space="0" w:color="auto"/>
              <w:right w:val="nil"/>
            </w:tcBorders>
            <w:shd w:val="clear" w:color="auto" w:fill="15272F" w:themeFill="text1"/>
            <w:vAlign w:val="center"/>
          </w:tcPr>
          <w:p w14:paraId="39BDD851" w14:textId="5AA8F8B6" w:rsidR="009E3F6F" w:rsidRPr="005629F8" w:rsidRDefault="00247633" w:rsidP="00C82F8C">
            <w:pPr>
              <w:autoSpaceDE w:val="0"/>
              <w:autoSpaceDN w:val="0"/>
              <w:adjustRightInd w:val="0"/>
              <w:spacing w:after="0" w:line="240" w:lineRule="auto"/>
              <w:jc w:val="center"/>
              <w:rPr>
                <w:rFonts w:cs="Arial"/>
                <w:b/>
                <w:bCs/>
                <w:color w:val="FFFFFF" w:themeColor="background2"/>
                <w:sz w:val="14"/>
                <w:szCs w:val="14"/>
                <w:lang w:val="en-AU"/>
              </w:rPr>
            </w:pPr>
            <w:r>
              <w:rPr>
                <w:rFonts w:cs="Arial"/>
                <w:b/>
                <w:bCs/>
                <w:color w:val="FFFFFF" w:themeColor="background2"/>
                <w:sz w:val="14"/>
                <w:szCs w:val="14"/>
                <w:lang w:val="en-AU"/>
              </w:rPr>
              <w:t>AR-</w:t>
            </w:r>
            <w:r w:rsidR="009E3F6F" w:rsidRPr="005629F8">
              <w:rPr>
                <w:rFonts w:cs="Arial"/>
                <w:b/>
                <w:bCs/>
                <w:color w:val="FFFFFF" w:themeColor="background2"/>
                <w:sz w:val="14"/>
                <w:szCs w:val="14"/>
                <w:lang w:val="en-AU"/>
              </w:rPr>
              <w:t>DRG</w:t>
            </w:r>
          </w:p>
        </w:tc>
        <w:tc>
          <w:tcPr>
            <w:tcW w:w="6495" w:type="dxa"/>
            <w:tcBorders>
              <w:top w:val="nil"/>
              <w:left w:val="nil"/>
              <w:bottom w:val="single" w:sz="6" w:space="0" w:color="auto"/>
              <w:right w:val="single" w:sz="4" w:space="0" w:color="FFFFFF" w:themeColor="accent6"/>
            </w:tcBorders>
            <w:shd w:val="clear" w:color="auto" w:fill="15272F" w:themeFill="text1"/>
            <w:vAlign w:val="center"/>
          </w:tcPr>
          <w:p w14:paraId="4320702B" w14:textId="686C6435" w:rsidR="009E3F6F" w:rsidRPr="005629F8" w:rsidRDefault="00247633" w:rsidP="00C82F8C">
            <w:pPr>
              <w:autoSpaceDE w:val="0"/>
              <w:autoSpaceDN w:val="0"/>
              <w:adjustRightInd w:val="0"/>
              <w:spacing w:after="0" w:line="240" w:lineRule="auto"/>
              <w:jc w:val="center"/>
              <w:rPr>
                <w:rFonts w:cs="Arial"/>
                <w:b/>
                <w:bCs/>
                <w:color w:val="FFFFFF" w:themeColor="background2"/>
                <w:sz w:val="14"/>
                <w:szCs w:val="14"/>
                <w:lang w:val="en-AU"/>
              </w:rPr>
            </w:pPr>
            <w:r>
              <w:rPr>
                <w:rFonts w:cs="Arial"/>
                <w:b/>
                <w:bCs/>
                <w:color w:val="FFFFFF" w:themeColor="background2"/>
                <w:sz w:val="14"/>
                <w:szCs w:val="14"/>
                <w:lang w:val="en-AU"/>
              </w:rPr>
              <w:t>AR-</w:t>
            </w:r>
            <w:r w:rsidR="009E3F6F" w:rsidRPr="005629F8">
              <w:rPr>
                <w:rFonts w:cs="Arial"/>
                <w:b/>
                <w:bCs/>
                <w:color w:val="FFFFFF" w:themeColor="background2"/>
                <w:sz w:val="14"/>
                <w:szCs w:val="14"/>
                <w:lang w:val="en-AU"/>
              </w:rPr>
              <w:t>DRG Description</w:t>
            </w:r>
          </w:p>
        </w:tc>
        <w:tc>
          <w:tcPr>
            <w:tcW w:w="1159" w:type="dxa"/>
            <w:tcBorders>
              <w:top w:val="nil"/>
              <w:left w:val="single" w:sz="4" w:space="0" w:color="FFFFFF" w:themeColor="accent6"/>
              <w:bottom w:val="single" w:sz="6" w:space="0" w:color="auto"/>
              <w:right w:val="nil"/>
            </w:tcBorders>
            <w:shd w:val="clear" w:color="auto" w:fill="15272F" w:themeFill="text1"/>
            <w:vAlign w:val="center"/>
          </w:tcPr>
          <w:p w14:paraId="4E7C0C2B"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No. of weighted seps</w:t>
            </w:r>
          </w:p>
          <w:p w14:paraId="07EBB2B4" w14:textId="77777777" w:rsidR="009E3F6F" w:rsidRPr="005629F8" w:rsidRDefault="009E3F6F" w:rsidP="005066AC">
            <w:pPr>
              <w:autoSpaceDE w:val="0"/>
              <w:autoSpaceDN w:val="0"/>
              <w:adjustRightInd w:val="0"/>
              <w:spacing w:after="0" w:line="240" w:lineRule="auto"/>
              <w:jc w:val="center"/>
              <w:rPr>
                <w:rFonts w:cs="Arial"/>
                <w:b/>
                <w:bCs/>
                <w:color w:val="FFFFFF" w:themeColor="background2"/>
                <w:sz w:val="14"/>
                <w:szCs w:val="14"/>
                <w:lang w:val="en-AU"/>
              </w:rPr>
            </w:pPr>
          </w:p>
        </w:tc>
        <w:tc>
          <w:tcPr>
            <w:tcW w:w="1418" w:type="dxa"/>
            <w:tcBorders>
              <w:top w:val="nil"/>
              <w:left w:val="nil"/>
              <w:bottom w:val="single" w:sz="6" w:space="0" w:color="auto"/>
              <w:right w:val="single" w:sz="4" w:space="0" w:color="FFFFFF" w:themeColor="accent6"/>
            </w:tcBorders>
            <w:shd w:val="clear" w:color="auto" w:fill="15272F" w:themeFill="text1"/>
            <w:vAlign w:val="center"/>
          </w:tcPr>
          <w:p w14:paraId="78335823"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Overall cost weight</w:t>
            </w:r>
          </w:p>
          <w:p w14:paraId="64C9321F" w14:textId="77777777" w:rsidR="009E3F6F" w:rsidRPr="005629F8" w:rsidRDefault="009E3F6F" w:rsidP="005066AC">
            <w:pPr>
              <w:autoSpaceDE w:val="0"/>
              <w:autoSpaceDN w:val="0"/>
              <w:adjustRightInd w:val="0"/>
              <w:spacing w:after="0" w:line="240" w:lineRule="auto"/>
              <w:jc w:val="center"/>
              <w:rPr>
                <w:rFonts w:cs="Arial"/>
                <w:b/>
                <w:bCs/>
                <w:color w:val="FFFFFF" w:themeColor="background2"/>
                <w:sz w:val="14"/>
                <w:szCs w:val="14"/>
                <w:lang w:val="en-AU"/>
              </w:rPr>
            </w:pPr>
          </w:p>
        </w:tc>
        <w:tc>
          <w:tcPr>
            <w:tcW w:w="850" w:type="dxa"/>
            <w:tcBorders>
              <w:top w:val="nil"/>
              <w:left w:val="single" w:sz="4" w:space="0" w:color="FFFFFF" w:themeColor="accent6"/>
              <w:bottom w:val="single" w:sz="6" w:space="0" w:color="auto"/>
              <w:right w:val="nil"/>
            </w:tcBorders>
            <w:shd w:val="clear" w:color="auto" w:fill="15272F" w:themeFill="text1"/>
            <w:vAlign w:val="center"/>
          </w:tcPr>
          <w:p w14:paraId="1594AF66"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2018-19</w:t>
            </w:r>
          </w:p>
        </w:tc>
        <w:tc>
          <w:tcPr>
            <w:tcW w:w="851" w:type="dxa"/>
            <w:tcBorders>
              <w:top w:val="nil"/>
              <w:left w:val="nil"/>
              <w:bottom w:val="single" w:sz="6" w:space="0" w:color="auto"/>
              <w:right w:val="nil"/>
            </w:tcBorders>
            <w:shd w:val="clear" w:color="auto" w:fill="15272F" w:themeFill="text1"/>
            <w:vAlign w:val="center"/>
          </w:tcPr>
          <w:p w14:paraId="04199142"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2019-20</w:t>
            </w:r>
          </w:p>
        </w:tc>
        <w:tc>
          <w:tcPr>
            <w:tcW w:w="850" w:type="dxa"/>
            <w:tcBorders>
              <w:top w:val="nil"/>
              <w:left w:val="nil"/>
              <w:bottom w:val="single" w:sz="6" w:space="0" w:color="auto"/>
              <w:right w:val="single" w:sz="4" w:space="0" w:color="FFFFFF" w:themeColor="accent6"/>
            </w:tcBorders>
            <w:shd w:val="clear" w:color="auto" w:fill="15272F" w:themeFill="text1"/>
            <w:vAlign w:val="center"/>
          </w:tcPr>
          <w:p w14:paraId="63E6431A"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2020-21</w:t>
            </w:r>
          </w:p>
        </w:tc>
        <w:tc>
          <w:tcPr>
            <w:tcW w:w="851" w:type="dxa"/>
            <w:tcBorders>
              <w:top w:val="nil"/>
              <w:left w:val="single" w:sz="4" w:space="0" w:color="FFFFFF" w:themeColor="accent6"/>
              <w:bottom w:val="single" w:sz="6" w:space="0" w:color="auto"/>
              <w:right w:val="nil"/>
            </w:tcBorders>
            <w:shd w:val="clear" w:color="auto" w:fill="15272F" w:themeFill="text1"/>
            <w:vAlign w:val="center"/>
          </w:tcPr>
          <w:p w14:paraId="13A92A25"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2018-19</w:t>
            </w:r>
          </w:p>
        </w:tc>
        <w:tc>
          <w:tcPr>
            <w:tcW w:w="908" w:type="dxa"/>
            <w:gridSpan w:val="2"/>
            <w:tcBorders>
              <w:top w:val="nil"/>
              <w:left w:val="nil"/>
              <w:bottom w:val="single" w:sz="6" w:space="0" w:color="auto"/>
              <w:right w:val="nil"/>
            </w:tcBorders>
            <w:shd w:val="clear" w:color="auto" w:fill="15272F" w:themeFill="text1"/>
            <w:vAlign w:val="center"/>
          </w:tcPr>
          <w:p w14:paraId="5BC27DEB"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2019-20</w:t>
            </w:r>
          </w:p>
        </w:tc>
        <w:tc>
          <w:tcPr>
            <w:tcW w:w="810" w:type="dxa"/>
            <w:tcBorders>
              <w:top w:val="nil"/>
              <w:left w:val="nil"/>
              <w:bottom w:val="single" w:sz="6" w:space="0" w:color="auto"/>
              <w:right w:val="nil"/>
            </w:tcBorders>
            <w:shd w:val="clear" w:color="auto" w:fill="15272F" w:themeFill="text1"/>
            <w:vAlign w:val="center"/>
          </w:tcPr>
          <w:p w14:paraId="4F658E37" w14:textId="77777777" w:rsidR="009E3F6F" w:rsidRPr="005629F8" w:rsidRDefault="009E3F6F" w:rsidP="00E87B16">
            <w:pPr>
              <w:autoSpaceDE w:val="0"/>
              <w:autoSpaceDN w:val="0"/>
              <w:adjustRightInd w:val="0"/>
              <w:spacing w:after="0" w:line="240" w:lineRule="auto"/>
              <w:jc w:val="center"/>
              <w:rPr>
                <w:rFonts w:cs="Arial"/>
                <w:b/>
                <w:bCs/>
                <w:color w:val="FFFFFF" w:themeColor="background2"/>
                <w:sz w:val="14"/>
                <w:szCs w:val="14"/>
                <w:lang w:val="en-AU"/>
              </w:rPr>
            </w:pPr>
            <w:r w:rsidRPr="005629F8">
              <w:rPr>
                <w:rFonts w:cs="Arial"/>
                <w:b/>
                <w:bCs/>
                <w:color w:val="FFFFFF" w:themeColor="background2"/>
                <w:sz w:val="14"/>
                <w:szCs w:val="14"/>
                <w:lang w:val="en-AU"/>
              </w:rPr>
              <w:t>2020-21</w:t>
            </w:r>
          </w:p>
        </w:tc>
      </w:tr>
      <w:tr w:rsidR="00216FDD" w:rsidRPr="0088109E" w14:paraId="424D9513" w14:textId="77777777" w:rsidTr="000771FC">
        <w:trPr>
          <w:trHeight w:val="265"/>
        </w:trPr>
        <w:tc>
          <w:tcPr>
            <w:tcW w:w="739" w:type="dxa"/>
            <w:tcBorders>
              <w:top w:val="single" w:sz="6" w:space="0" w:color="auto"/>
              <w:left w:val="nil"/>
              <w:bottom w:val="single" w:sz="4" w:space="0" w:color="D9D9D9"/>
              <w:right w:val="nil"/>
            </w:tcBorders>
            <w:shd w:val="clear" w:color="auto" w:fill="auto"/>
            <w:vAlign w:val="center"/>
          </w:tcPr>
          <w:p w14:paraId="5775D014"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w:t>
            </w:r>
          </w:p>
        </w:tc>
        <w:tc>
          <w:tcPr>
            <w:tcW w:w="851" w:type="dxa"/>
            <w:tcBorders>
              <w:top w:val="single" w:sz="6" w:space="0" w:color="auto"/>
              <w:left w:val="nil"/>
              <w:bottom w:val="single" w:sz="4" w:space="0" w:color="D9D9D9"/>
              <w:right w:val="nil"/>
            </w:tcBorders>
            <w:shd w:val="clear" w:color="auto" w:fill="auto"/>
            <w:vAlign w:val="center"/>
          </w:tcPr>
          <w:p w14:paraId="5DBC74CB"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F01B</w:t>
            </w:r>
          </w:p>
        </w:tc>
        <w:tc>
          <w:tcPr>
            <w:tcW w:w="6495" w:type="dxa"/>
            <w:tcBorders>
              <w:top w:val="single" w:sz="6" w:space="0" w:color="auto"/>
              <w:left w:val="nil"/>
              <w:bottom w:val="single" w:sz="4" w:space="0" w:color="D9D9D9"/>
              <w:right w:val="single" w:sz="4" w:space="0" w:color="FFFFFF" w:themeColor="accent6"/>
            </w:tcBorders>
            <w:shd w:val="clear" w:color="auto" w:fill="auto"/>
            <w:vAlign w:val="center"/>
          </w:tcPr>
          <w:p w14:paraId="21D96E4F"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Implantation and Replacement of AICD, Total System, Minor Complexity</w:t>
            </w:r>
          </w:p>
        </w:tc>
        <w:tc>
          <w:tcPr>
            <w:tcW w:w="1159" w:type="dxa"/>
            <w:tcBorders>
              <w:top w:val="single" w:sz="6" w:space="0" w:color="auto"/>
              <w:left w:val="single" w:sz="4" w:space="0" w:color="FFFFFF" w:themeColor="accent6"/>
              <w:bottom w:val="single" w:sz="4" w:space="0" w:color="D9D9D9"/>
              <w:right w:val="nil"/>
            </w:tcBorders>
            <w:shd w:val="clear" w:color="auto" w:fill="auto"/>
            <w:vAlign w:val="center"/>
          </w:tcPr>
          <w:p w14:paraId="2D698905"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2,560</w:t>
            </w:r>
          </w:p>
        </w:tc>
        <w:tc>
          <w:tcPr>
            <w:tcW w:w="1418" w:type="dxa"/>
            <w:tcBorders>
              <w:top w:val="single" w:sz="6" w:space="0" w:color="auto"/>
              <w:left w:val="nil"/>
              <w:bottom w:val="single" w:sz="4" w:space="0" w:color="D9D9D9"/>
              <w:right w:val="single" w:sz="4" w:space="0" w:color="FFFFFF" w:themeColor="accent6"/>
            </w:tcBorders>
            <w:shd w:val="clear" w:color="auto" w:fill="auto"/>
            <w:vAlign w:val="center"/>
          </w:tcPr>
          <w:p w14:paraId="44BA40C2"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11.28</w:t>
            </w:r>
          </w:p>
        </w:tc>
        <w:tc>
          <w:tcPr>
            <w:tcW w:w="850" w:type="dxa"/>
            <w:tcBorders>
              <w:top w:val="single" w:sz="6" w:space="0" w:color="auto"/>
              <w:left w:val="single" w:sz="4" w:space="0" w:color="FFFFFF" w:themeColor="accent6"/>
              <w:bottom w:val="single" w:sz="4" w:space="0" w:color="D9D9D9"/>
              <w:right w:val="nil"/>
            </w:tcBorders>
            <w:shd w:val="clear" w:color="auto" w:fill="F2F2F2" w:themeFill="background2" w:themeFillShade="F2"/>
            <w:vAlign w:val="center"/>
          </w:tcPr>
          <w:p w14:paraId="3853384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10.14</w:t>
            </w:r>
          </w:p>
        </w:tc>
        <w:tc>
          <w:tcPr>
            <w:tcW w:w="851" w:type="dxa"/>
            <w:tcBorders>
              <w:top w:val="single" w:sz="6" w:space="0" w:color="auto"/>
              <w:left w:val="nil"/>
              <w:bottom w:val="single" w:sz="4" w:space="0" w:color="D9D9D9"/>
              <w:right w:val="nil"/>
            </w:tcBorders>
            <w:shd w:val="clear" w:color="auto" w:fill="F2F2F2" w:themeFill="background2" w:themeFillShade="F2"/>
            <w:vAlign w:val="center"/>
          </w:tcPr>
          <w:p w14:paraId="6BA3DC67"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9.12</w:t>
            </w:r>
          </w:p>
        </w:tc>
        <w:tc>
          <w:tcPr>
            <w:tcW w:w="850" w:type="dxa"/>
            <w:tcBorders>
              <w:top w:val="single" w:sz="6" w:space="0" w:color="auto"/>
              <w:left w:val="nil"/>
              <w:bottom w:val="single" w:sz="4" w:space="0" w:color="D9D9D9"/>
              <w:right w:val="single" w:sz="4" w:space="0" w:color="FFFFFF" w:themeColor="accent6"/>
            </w:tcBorders>
            <w:shd w:val="clear" w:color="auto" w:fill="F2F2F2" w:themeFill="background2" w:themeFillShade="F2"/>
            <w:vAlign w:val="center"/>
          </w:tcPr>
          <w:p w14:paraId="084B53FB"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9.57</w:t>
            </w:r>
          </w:p>
        </w:tc>
        <w:tc>
          <w:tcPr>
            <w:tcW w:w="851" w:type="dxa"/>
            <w:tcBorders>
              <w:top w:val="single" w:sz="6" w:space="0" w:color="auto"/>
              <w:left w:val="single" w:sz="4" w:space="0" w:color="FFFFFF" w:themeColor="accent6"/>
              <w:bottom w:val="single" w:sz="4" w:space="0" w:color="D9D9D9"/>
              <w:right w:val="nil"/>
            </w:tcBorders>
            <w:shd w:val="clear" w:color="auto" w:fill="F2F2F2" w:themeFill="background2" w:themeFillShade="F2"/>
            <w:vAlign w:val="center"/>
          </w:tcPr>
          <w:p w14:paraId="4CE181B3"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85.5%</w:t>
            </w:r>
          </w:p>
        </w:tc>
        <w:tc>
          <w:tcPr>
            <w:tcW w:w="908" w:type="dxa"/>
            <w:gridSpan w:val="2"/>
            <w:tcBorders>
              <w:top w:val="single" w:sz="6" w:space="0" w:color="auto"/>
              <w:left w:val="nil"/>
              <w:bottom w:val="single" w:sz="4" w:space="0" w:color="D9D9D9"/>
              <w:right w:val="nil"/>
            </w:tcBorders>
            <w:shd w:val="clear" w:color="auto" w:fill="F2F2F2" w:themeFill="background2" w:themeFillShade="F2"/>
            <w:vAlign w:val="center"/>
          </w:tcPr>
          <w:p w14:paraId="02398EB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83.4%</w:t>
            </w:r>
          </w:p>
        </w:tc>
        <w:tc>
          <w:tcPr>
            <w:tcW w:w="810" w:type="dxa"/>
            <w:tcBorders>
              <w:top w:val="single" w:sz="6" w:space="0" w:color="auto"/>
              <w:left w:val="nil"/>
              <w:bottom w:val="single" w:sz="4" w:space="0" w:color="D9D9D9"/>
              <w:right w:val="nil"/>
            </w:tcBorders>
            <w:shd w:val="clear" w:color="auto" w:fill="F2F2F2" w:themeFill="background2" w:themeFillShade="F2"/>
            <w:vAlign w:val="center"/>
          </w:tcPr>
          <w:p w14:paraId="7525B2E9"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84.8%</w:t>
            </w:r>
          </w:p>
        </w:tc>
      </w:tr>
      <w:tr w:rsidR="00216FDD" w:rsidRPr="0088109E" w14:paraId="6BB03264"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355CD132"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w:t>
            </w:r>
          </w:p>
        </w:tc>
        <w:tc>
          <w:tcPr>
            <w:tcW w:w="851" w:type="dxa"/>
            <w:tcBorders>
              <w:top w:val="single" w:sz="4" w:space="0" w:color="D9D9D9"/>
              <w:left w:val="nil"/>
              <w:bottom w:val="single" w:sz="4" w:space="0" w:color="D9D9D9"/>
              <w:right w:val="nil"/>
            </w:tcBorders>
            <w:shd w:val="clear" w:color="auto" w:fill="auto"/>
            <w:vAlign w:val="center"/>
          </w:tcPr>
          <w:p w14:paraId="44D23618"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D01Z</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4F7202C5"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Cochlear Implant</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63E1276A"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918</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4FB20445"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7.88</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7B5AA115"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6.20</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5EE2908C"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6.18</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34D036AF"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6.37</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32CE99A9"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79.6%</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3AE9CA2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79.8%</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35FDFBC3"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80.8%</w:t>
            </w:r>
          </w:p>
        </w:tc>
      </w:tr>
      <w:tr w:rsidR="00216FDD" w:rsidRPr="0088109E" w14:paraId="4D49EA8E"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618A1C43"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w:t>
            </w:r>
          </w:p>
        </w:tc>
        <w:tc>
          <w:tcPr>
            <w:tcW w:w="851" w:type="dxa"/>
            <w:tcBorders>
              <w:top w:val="single" w:sz="4" w:space="0" w:color="D9D9D9"/>
              <w:left w:val="nil"/>
              <w:bottom w:val="single" w:sz="4" w:space="0" w:color="D9D9D9"/>
              <w:right w:val="nil"/>
            </w:tcBorders>
            <w:shd w:val="clear" w:color="auto" w:fill="auto"/>
            <w:vAlign w:val="center"/>
          </w:tcPr>
          <w:p w14:paraId="0A6B32F3"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F17B</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4D8E4A60"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Insertion and Replacement of Pacemaker Generator,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66C82442"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3,395</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2723DA96"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3.27</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2585617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2.64</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08F8FC2F"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2.39</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52EF446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2.52</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0201F80"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76.8%</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2B65438C"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74.0%</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66DD27BA"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76.9%</w:t>
            </w:r>
          </w:p>
        </w:tc>
      </w:tr>
      <w:tr w:rsidR="00216FDD" w:rsidRPr="0088109E" w14:paraId="5438B28A"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27B81737"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w:t>
            </w:r>
          </w:p>
        </w:tc>
        <w:tc>
          <w:tcPr>
            <w:tcW w:w="851" w:type="dxa"/>
            <w:tcBorders>
              <w:top w:val="single" w:sz="4" w:space="0" w:color="D9D9D9"/>
              <w:left w:val="nil"/>
              <w:bottom w:val="single" w:sz="4" w:space="0" w:color="D9D9D9"/>
              <w:right w:val="nil"/>
            </w:tcBorders>
            <w:shd w:val="clear" w:color="auto" w:fill="auto"/>
            <w:vAlign w:val="center"/>
          </w:tcPr>
          <w:p w14:paraId="5C5F5359"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F01A</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500D6A47"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Implantation and Replacement of AICD, Total System, Major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2DB303A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289</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47A0F48A"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15.49</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04D2332B"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11.35</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0F01B4B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9.32</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4F7E9DE1"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10.40</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77BB2E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68.0%</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6F8C2767"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65.4%</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6ED09D8A"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67.2%</w:t>
            </w:r>
          </w:p>
        </w:tc>
      </w:tr>
      <w:tr w:rsidR="00216FDD" w:rsidRPr="0088109E" w14:paraId="3B6BA5FD"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1E263845"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w:t>
            </w:r>
          </w:p>
        </w:tc>
        <w:tc>
          <w:tcPr>
            <w:tcW w:w="851" w:type="dxa"/>
            <w:tcBorders>
              <w:top w:val="single" w:sz="4" w:space="0" w:color="D9D9D9"/>
              <w:left w:val="nil"/>
              <w:bottom w:val="single" w:sz="4" w:space="0" w:color="D9D9D9"/>
              <w:right w:val="nil"/>
            </w:tcBorders>
            <w:shd w:val="clear" w:color="auto" w:fill="auto"/>
            <w:vAlign w:val="center"/>
          </w:tcPr>
          <w:p w14:paraId="3B496444"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I11Z</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09985D32"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Limb Lengthening Interventions</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353C0E7F"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139</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5C04F4FA"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6.87</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53708AA"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4.83</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6B544689"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4.04</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1B22DB60"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4.56</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2346B10B"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66.6%</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6A02AB31"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60.2%</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036E597C"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66.4%</w:t>
            </w:r>
          </w:p>
        </w:tc>
      </w:tr>
      <w:tr w:rsidR="00216FDD" w:rsidRPr="0088109E" w14:paraId="7FD18BAC"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2BCBC0BD"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w:t>
            </w:r>
          </w:p>
        </w:tc>
        <w:tc>
          <w:tcPr>
            <w:tcW w:w="851" w:type="dxa"/>
            <w:tcBorders>
              <w:top w:val="single" w:sz="4" w:space="0" w:color="D9D9D9"/>
              <w:left w:val="nil"/>
              <w:bottom w:val="single" w:sz="4" w:space="0" w:color="D9D9D9"/>
              <w:right w:val="nil"/>
            </w:tcBorders>
            <w:shd w:val="clear" w:color="auto" w:fill="auto"/>
            <w:vAlign w:val="center"/>
          </w:tcPr>
          <w:p w14:paraId="42ADE6BB"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F12B</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24796622"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Implantation and Replacement of Pacemaker, Total System,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604FE3CB"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8,322</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73E2BA7C"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4.11</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5C191BC9"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2.85</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4A4BC7DC"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2.53</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583F149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2.64</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0705E49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65.6%</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082002E7"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63.0%</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4F1BFD4E"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64.1%</w:t>
            </w:r>
          </w:p>
        </w:tc>
      </w:tr>
      <w:tr w:rsidR="00216FDD" w:rsidRPr="0088109E" w14:paraId="6618FAD1"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24E84CBB"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7</w:t>
            </w:r>
          </w:p>
        </w:tc>
        <w:tc>
          <w:tcPr>
            <w:tcW w:w="851" w:type="dxa"/>
            <w:tcBorders>
              <w:top w:val="single" w:sz="4" w:space="0" w:color="D9D9D9"/>
              <w:left w:val="nil"/>
              <w:bottom w:val="single" w:sz="4" w:space="0" w:color="D9D9D9"/>
              <w:right w:val="nil"/>
            </w:tcBorders>
            <w:shd w:val="clear" w:color="auto" w:fill="auto"/>
            <w:vAlign w:val="center"/>
          </w:tcPr>
          <w:p w14:paraId="7ED47686"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I17A</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37D3F5A8"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Maxillo-Facial Surgery, Major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5983F4F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312</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365A6846"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4.19</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55F2184"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1.60</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6D95A7DB"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1.34</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215573C6"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522146">
              <w:rPr>
                <w:rFonts w:cs="Arial"/>
                <w:color w:val="000000"/>
                <w:sz w:val="14"/>
                <w:szCs w:val="14"/>
                <w:lang w:val="en-AU"/>
              </w:rPr>
              <w:t>2.51</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647261B"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51.8%</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528DB5F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46.5%</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218AD4F8"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60.0%</w:t>
            </w:r>
          </w:p>
        </w:tc>
      </w:tr>
      <w:tr w:rsidR="00216FDD" w:rsidRPr="0088109E" w14:paraId="46056F1F"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675B2420"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8</w:t>
            </w:r>
          </w:p>
        </w:tc>
        <w:tc>
          <w:tcPr>
            <w:tcW w:w="851" w:type="dxa"/>
            <w:tcBorders>
              <w:top w:val="single" w:sz="4" w:space="0" w:color="D9D9D9"/>
              <w:left w:val="nil"/>
              <w:bottom w:val="single" w:sz="4" w:space="0" w:color="D9D9D9"/>
              <w:right w:val="nil"/>
            </w:tcBorders>
            <w:shd w:val="clear" w:color="auto" w:fill="auto"/>
            <w:vAlign w:val="center"/>
          </w:tcPr>
          <w:p w14:paraId="2E85D7A9"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F17A</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5FAF47C8"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Insertion and Replacement of Pacemaker Generator, Major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6261B83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266</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59E614A3"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4.16</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AB2A38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2.87</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62395F77"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2.32</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4E10531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2.47</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351552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65.3%</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423D90CA"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49.8%</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4EE86F5F"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59.6%</w:t>
            </w:r>
          </w:p>
        </w:tc>
      </w:tr>
      <w:tr w:rsidR="00216FDD" w:rsidRPr="0088109E" w14:paraId="5BD7660C"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5984C968"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9</w:t>
            </w:r>
          </w:p>
        </w:tc>
        <w:tc>
          <w:tcPr>
            <w:tcW w:w="851" w:type="dxa"/>
            <w:tcBorders>
              <w:top w:val="single" w:sz="4" w:space="0" w:color="D9D9D9"/>
              <w:left w:val="nil"/>
              <w:bottom w:val="single" w:sz="4" w:space="0" w:color="D9D9D9"/>
              <w:right w:val="nil"/>
            </w:tcBorders>
            <w:shd w:val="clear" w:color="auto" w:fill="auto"/>
            <w:vAlign w:val="center"/>
          </w:tcPr>
          <w:p w14:paraId="562F901E"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F19B</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79B8B9F8"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Trans-Vascular Percutaneous Cardiac Intervention,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3EC34E96"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1,127</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65AAB51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3.36</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60F33DE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2.00</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6E9B9ADD"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1.88</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62911475"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1.89</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72CAB63A"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55.3%</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65BDB439"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55.8%</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39B7D0F0"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56.2%</w:t>
            </w:r>
          </w:p>
        </w:tc>
      </w:tr>
      <w:tr w:rsidR="00216FDD" w:rsidRPr="0088109E" w14:paraId="5F96FABE" w14:textId="77777777" w:rsidTr="000771FC">
        <w:trPr>
          <w:trHeight w:val="265"/>
        </w:trPr>
        <w:tc>
          <w:tcPr>
            <w:tcW w:w="739" w:type="dxa"/>
            <w:tcBorders>
              <w:top w:val="single" w:sz="4" w:space="0" w:color="D9D9D9"/>
              <w:left w:val="nil"/>
              <w:bottom w:val="single" w:sz="4" w:space="0" w:color="D9D9D9"/>
              <w:right w:val="nil"/>
            </w:tcBorders>
            <w:shd w:val="clear" w:color="auto" w:fill="auto"/>
            <w:vAlign w:val="center"/>
          </w:tcPr>
          <w:p w14:paraId="7172B28C"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w:t>
            </w:r>
          </w:p>
        </w:tc>
        <w:tc>
          <w:tcPr>
            <w:tcW w:w="851" w:type="dxa"/>
            <w:tcBorders>
              <w:top w:val="single" w:sz="4" w:space="0" w:color="D9D9D9"/>
              <w:left w:val="nil"/>
              <w:bottom w:val="single" w:sz="4" w:space="0" w:color="D9D9D9"/>
              <w:right w:val="nil"/>
            </w:tcBorders>
            <w:shd w:val="clear" w:color="auto" w:fill="auto"/>
            <w:vAlign w:val="center"/>
          </w:tcPr>
          <w:p w14:paraId="58389D0B" w14:textId="77777777" w:rsidR="009E3F6F" w:rsidRPr="00F67A07" w:rsidRDefault="009E3F6F" w:rsidP="000771FC">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I09C</w:t>
            </w:r>
          </w:p>
        </w:tc>
        <w:tc>
          <w:tcPr>
            <w:tcW w:w="6495" w:type="dxa"/>
            <w:tcBorders>
              <w:top w:val="single" w:sz="4" w:space="0" w:color="D9D9D9"/>
              <w:left w:val="nil"/>
              <w:bottom w:val="single" w:sz="4" w:space="0" w:color="D9D9D9"/>
              <w:right w:val="single" w:sz="4" w:space="0" w:color="FFFFFF" w:themeColor="accent6"/>
            </w:tcBorders>
            <w:shd w:val="clear" w:color="auto" w:fill="auto"/>
            <w:vAlign w:val="center"/>
          </w:tcPr>
          <w:p w14:paraId="0EED9653" w14:textId="77777777" w:rsidR="009E3F6F" w:rsidRPr="00F67A07" w:rsidRDefault="009E3F6F" w:rsidP="00C82F8C">
            <w:pPr>
              <w:autoSpaceDE w:val="0"/>
              <w:autoSpaceDN w:val="0"/>
              <w:adjustRightInd w:val="0"/>
              <w:spacing w:after="0" w:line="240" w:lineRule="auto"/>
              <w:rPr>
                <w:rFonts w:cs="Arial"/>
                <w:color w:val="000000"/>
                <w:sz w:val="14"/>
                <w:szCs w:val="14"/>
                <w:lang w:val="en-AU"/>
              </w:rPr>
            </w:pPr>
            <w:r w:rsidRPr="00F67A07">
              <w:rPr>
                <w:rFonts w:cs="Arial"/>
                <w:color w:val="000000"/>
                <w:sz w:val="14"/>
                <w:szCs w:val="14"/>
                <w:lang w:val="en-AU"/>
              </w:rPr>
              <w:t>Spinal Fusion,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vAlign w:val="center"/>
          </w:tcPr>
          <w:p w14:paraId="4BACB423"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10,728</w:t>
            </w:r>
          </w:p>
        </w:tc>
        <w:tc>
          <w:tcPr>
            <w:tcW w:w="1418" w:type="dxa"/>
            <w:tcBorders>
              <w:top w:val="single" w:sz="4" w:space="0" w:color="D9D9D9"/>
              <w:left w:val="nil"/>
              <w:bottom w:val="single" w:sz="4" w:space="0" w:color="D9D9D9"/>
              <w:right w:val="single" w:sz="4" w:space="0" w:color="FFFFFF" w:themeColor="accent6"/>
            </w:tcBorders>
            <w:shd w:val="clear" w:color="auto" w:fill="auto"/>
            <w:vAlign w:val="center"/>
          </w:tcPr>
          <w:p w14:paraId="3B876F3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6.39</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55C27C47"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3.74</w:t>
            </w:r>
          </w:p>
        </w:tc>
        <w:tc>
          <w:tcPr>
            <w:tcW w:w="851" w:type="dxa"/>
            <w:tcBorders>
              <w:top w:val="single" w:sz="4" w:space="0" w:color="D9D9D9"/>
              <w:left w:val="nil"/>
              <w:bottom w:val="single" w:sz="4" w:space="0" w:color="D9D9D9"/>
              <w:right w:val="nil"/>
            </w:tcBorders>
            <w:shd w:val="clear" w:color="auto" w:fill="F2F2F2" w:themeFill="background2" w:themeFillShade="F2"/>
            <w:vAlign w:val="center"/>
          </w:tcPr>
          <w:p w14:paraId="21268DD5"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3.50</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vAlign w:val="center"/>
          </w:tcPr>
          <w:p w14:paraId="5F1BD648"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3.58</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vAlign w:val="center"/>
          </w:tcPr>
          <w:p w14:paraId="49F860F2"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56.0%</w:t>
            </w:r>
          </w:p>
        </w:tc>
        <w:tc>
          <w:tcPr>
            <w:tcW w:w="908" w:type="dxa"/>
            <w:gridSpan w:val="2"/>
            <w:tcBorders>
              <w:top w:val="single" w:sz="4" w:space="0" w:color="D9D9D9"/>
              <w:left w:val="nil"/>
              <w:bottom w:val="single" w:sz="4" w:space="0" w:color="D9D9D9"/>
              <w:right w:val="nil"/>
            </w:tcBorders>
            <w:shd w:val="clear" w:color="auto" w:fill="F2F2F2" w:themeFill="background2" w:themeFillShade="F2"/>
            <w:vAlign w:val="center"/>
          </w:tcPr>
          <w:p w14:paraId="58AC071E" w14:textId="77777777"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r w:rsidRPr="00F67A07">
              <w:rPr>
                <w:rFonts w:cs="Arial"/>
                <w:color w:val="000000"/>
                <w:sz w:val="14"/>
                <w:szCs w:val="14"/>
                <w:lang w:val="en-AU"/>
              </w:rPr>
              <w:t>54.9%</w:t>
            </w:r>
          </w:p>
        </w:tc>
        <w:tc>
          <w:tcPr>
            <w:tcW w:w="810" w:type="dxa"/>
            <w:tcBorders>
              <w:top w:val="single" w:sz="4" w:space="0" w:color="D9D9D9"/>
              <w:left w:val="nil"/>
              <w:bottom w:val="single" w:sz="4" w:space="0" w:color="D9D9D9"/>
              <w:right w:val="nil"/>
            </w:tcBorders>
            <w:shd w:val="clear" w:color="auto" w:fill="F2F2F2" w:themeFill="background2" w:themeFillShade="F2"/>
            <w:vAlign w:val="center"/>
          </w:tcPr>
          <w:p w14:paraId="5A99F69E"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56.0%</w:t>
            </w:r>
          </w:p>
        </w:tc>
      </w:tr>
      <w:tr w:rsidR="00216FDD" w:rsidRPr="0088109E" w14:paraId="76E9009E" w14:textId="77777777" w:rsidTr="00E87B16">
        <w:trPr>
          <w:trHeight w:val="265"/>
        </w:trPr>
        <w:tc>
          <w:tcPr>
            <w:tcW w:w="8085" w:type="dxa"/>
            <w:gridSpan w:val="3"/>
            <w:tcBorders>
              <w:top w:val="single" w:sz="4" w:space="0" w:color="D9D9D9"/>
              <w:left w:val="nil"/>
              <w:bottom w:val="nil"/>
              <w:right w:val="single" w:sz="4" w:space="0" w:color="FFFFFF" w:themeColor="accent6"/>
            </w:tcBorders>
            <w:shd w:val="clear" w:color="auto" w:fill="DFEBF1" w:themeFill="text2" w:themeFillTint="1A"/>
            <w:vAlign w:val="center"/>
          </w:tcPr>
          <w:p w14:paraId="3E1E21B7" w14:textId="77777777" w:rsidR="009C68CB" w:rsidRPr="00F67A07" w:rsidRDefault="009C68CB" w:rsidP="009C68CB">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Sub-total, top 10 highest prostheses cost weight %</w:t>
            </w:r>
          </w:p>
        </w:tc>
        <w:tc>
          <w:tcPr>
            <w:tcW w:w="1159" w:type="dxa"/>
            <w:tcBorders>
              <w:top w:val="single" w:sz="4" w:space="0" w:color="D9D9D9"/>
              <w:left w:val="single" w:sz="4" w:space="0" w:color="FFFFFF" w:themeColor="accent6"/>
              <w:bottom w:val="nil"/>
              <w:right w:val="nil"/>
            </w:tcBorders>
            <w:shd w:val="clear" w:color="auto" w:fill="DFEBF1" w:themeFill="text2" w:themeFillTint="1A"/>
            <w:vAlign w:val="center"/>
          </w:tcPr>
          <w:p w14:paraId="25004964" w14:textId="77777777"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28,055</w:t>
            </w:r>
          </w:p>
        </w:tc>
        <w:tc>
          <w:tcPr>
            <w:tcW w:w="1418" w:type="dxa"/>
            <w:tcBorders>
              <w:top w:val="single" w:sz="4" w:space="0" w:color="D9D9D9"/>
              <w:left w:val="nil"/>
              <w:bottom w:val="nil"/>
              <w:right w:val="single" w:sz="4" w:space="0" w:color="FFFFFF" w:themeColor="accent6"/>
            </w:tcBorders>
            <w:shd w:val="clear" w:color="auto" w:fill="DFEBF1" w:themeFill="text2" w:themeFillTint="1A"/>
            <w:vAlign w:val="center"/>
          </w:tcPr>
          <w:p w14:paraId="170C47FD" w14:textId="77777777"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5.76</w:t>
            </w:r>
          </w:p>
        </w:tc>
        <w:tc>
          <w:tcPr>
            <w:tcW w:w="850" w:type="dxa"/>
            <w:tcBorders>
              <w:top w:val="single" w:sz="4" w:space="0" w:color="D9D9D9"/>
              <w:left w:val="single" w:sz="4" w:space="0" w:color="FFFFFF" w:themeColor="accent6"/>
              <w:bottom w:val="nil"/>
              <w:right w:val="nil"/>
            </w:tcBorders>
            <w:shd w:val="clear" w:color="auto" w:fill="DFEBF1" w:themeFill="text2" w:themeFillTint="1A"/>
            <w:vAlign w:val="center"/>
          </w:tcPr>
          <w:p w14:paraId="4D327366" w14:textId="5A5D6482"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4.14</w:t>
            </w:r>
          </w:p>
        </w:tc>
        <w:tc>
          <w:tcPr>
            <w:tcW w:w="851" w:type="dxa"/>
            <w:tcBorders>
              <w:top w:val="single" w:sz="4" w:space="0" w:color="D9D9D9"/>
              <w:left w:val="nil"/>
              <w:bottom w:val="nil"/>
              <w:right w:val="nil"/>
            </w:tcBorders>
            <w:shd w:val="clear" w:color="auto" w:fill="DFEBF1" w:themeFill="text2" w:themeFillTint="1A"/>
            <w:vAlign w:val="center"/>
          </w:tcPr>
          <w:p w14:paraId="2381FCA1" w14:textId="44576590"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3.66</w:t>
            </w:r>
          </w:p>
        </w:tc>
        <w:tc>
          <w:tcPr>
            <w:tcW w:w="850" w:type="dxa"/>
            <w:tcBorders>
              <w:top w:val="single" w:sz="4" w:space="0" w:color="D9D9D9"/>
              <w:left w:val="nil"/>
              <w:bottom w:val="nil"/>
              <w:right w:val="single" w:sz="4" w:space="0" w:color="FFFFFF" w:themeColor="accent6"/>
            </w:tcBorders>
            <w:shd w:val="clear" w:color="auto" w:fill="DFEBF1" w:themeFill="text2" w:themeFillTint="1A"/>
            <w:vAlign w:val="center"/>
          </w:tcPr>
          <w:p w14:paraId="4CC56788" w14:textId="1D7F3CAD"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3.79</w:t>
            </w:r>
          </w:p>
        </w:tc>
        <w:tc>
          <w:tcPr>
            <w:tcW w:w="865" w:type="dxa"/>
            <w:gridSpan w:val="2"/>
            <w:tcBorders>
              <w:top w:val="single" w:sz="4" w:space="0" w:color="D9D9D9"/>
              <w:left w:val="single" w:sz="4" w:space="0" w:color="FFFFFF" w:themeColor="accent6"/>
              <w:bottom w:val="nil"/>
              <w:right w:val="nil"/>
            </w:tcBorders>
            <w:shd w:val="clear" w:color="auto" w:fill="DFEBF1" w:themeFill="text2" w:themeFillTint="1A"/>
            <w:vAlign w:val="center"/>
          </w:tcPr>
          <w:p w14:paraId="4C21AB57" w14:textId="134C78B6"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66.2%</w:t>
            </w:r>
          </w:p>
        </w:tc>
        <w:tc>
          <w:tcPr>
            <w:tcW w:w="894" w:type="dxa"/>
            <w:tcBorders>
              <w:top w:val="single" w:sz="4" w:space="0" w:color="D9D9D9"/>
              <w:left w:val="nil"/>
              <w:bottom w:val="nil"/>
              <w:right w:val="nil"/>
            </w:tcBorders>
            <w:shd w:val="clear" w:color="auto" w:fill="DFEBF1" w:themeFill="text2" w:themeFillTint="1A"/>
            <w:vAlign w:val="center"/>
          </w:tcPr>
          <w:p w14:paraId="42B707C4" w14:textId="0C2A1B6B"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64.1%</w:t>
            </w:r>
          </w:p>
        </w:tc>
        <w:tc>
          <w:tcPr>
            <w:tcW w:w="810" w:type="dxa"/>
            <w:tcBorders>
              <w:top w:val="single" w:sz="4" w:space="0" w:color="D9D9D9"/>
              <w:left w:val="nil"/>
              <w:bottom w:val="nil"/>
              <w:right w:val="nil"/>
            </w:tcBorders>
            <w:shd w:val="clear" w:color="auto" w:fill="DFEBF1" w:themeFill="text2" w:themeFillTint="1A"/>
            <w:vAlign w:val="center"/>
          </w:tcPr>
          <w:p w14:paraId="02B1B7E8" w14:textId="021A13DE" w:rsidR="009C68CB" w:rsidRPr="005629F8" w:rsidRDefault="009C68CB" w:rsidP="00E87B16">
            <w:pPr>
              <w:autoSpaceDE w:val="0"/>
              <w:autoSpaceDN w:val="0"/>
              <w:adjustRightInd w:val="0"/>
              <w:spacing w:after="0" w:line="240" w:lineRule="auto"/>
              <w:jc w:val="center"/>
              <w:rPr>
                <w:rFonts w:cs="Arial"/>
                <w:b/>
                <w:color w:val="000000"/>
                <w:sz w:val="14"/>
                <w:szCs w:val="14"/>
                <w:lang w:val="en-AU"/>
              </w:rPr>
            </w:pPr>
            <w:r w:rsidRPr="005629F8">
              <w:rPr>
                <w:rFonts w:cs="Arial"/>
                <w:b/>
                <w:color w:val="000000"/>
                <w:sz w:val="14"/>
                <w:szCs w:val="14"/>
              </w:rPr>
              <w:t>65.8%</w:t>
            </w:r>
          </w:p>
        </w:tc>
      </w:tr>
      <w:tr w:rsidR="00216FDD" w:rsidRPr="0088109E" w14:paraId="1D4FFF7B" w14:textId="77777777" w:rsidTr="00E87B16">
        <w:trPr>
          <w:trHeight w:val="265"/>
        </w:trPr>
        <w:tc>
          <w:tcPr>
            <w:tcW w:w="8085" w:type="dxa"/>
            <w:gridSpan w:val="3"/>
            <w:tcBorders>
              <w:top w:val="nil"/>
              <w:left w:val="nil"/>
              <w:bottom w:val="nil"/>
              <w:right w:val="single" w:sz="4" w:space="0" w:color="FFFFFF" w:themeColor="accent6"/>
            </w:tcBorders>
            <w:shd w:val="clear" w:color="auto" w:fill="DFEBF1" w:themeFill="text2" w:themeFillTint="1A"/>
            <w:vAlign w:val="center"/>
          </w:tcPr>
          <w:p w14:paraId="63C99639" w14:textId="1A3AE5A2" w:rsidR="009C68CB" w:rsidRPr="00F67A07" w:rsidRDefault="009C68CB" w:rsidP="009C68CB">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 xml:space="preserve">All Prostheses </w:t>
            </w:r>
            <w:r w:rsidR="00247633">
              <w:rPr>
                <w:rFonts w:cs="Arial"/>
                <w:b/>
                <w:bCs/>
                <w:color w:val="000000"/>
                <w:sz w:val="14"/>
                <w:szCs w:val="14"/>
                <w:lang w:val="en-AU"/>
              </w:rPr>
              <w:t>AR-</w:t>
            </w:r>
            <w:r w:rsidRPr="00F67A07">
              <w:rPr>
                <w:rFonts w:cs="Arial"/>
                <w:b/>
                <w:bCs/>
                <w:color w:val="000000"/>
                <w:sz w:val="14"/>
                <w:szCs w:val="14"/>
                <w:lang w:val="en-AU"/>
              </w:rPr>
              <w:t>DRGs</w:t>
            </w:r>
          </w:p>
        </w:tc>
        <w:tc>
          <w:tcPr>
            <w:tcW w:w="1159" w:type="dxa"/>
            <w:tcBorders>
              <w:top w:val="nil"/>
              <w:left w:val="single" w:sz="4" w:space="0" w:color="FFFFFF" w:themeColor="accent6"/>
              <w:bottom w:val="nil"/>
              <w:right w:val="nil"/>
            </w:tcBorders>
            <w:shd w:val="clear" w:color="auto" w:fill="DFEBF1" w:themeFill="text2" w:themeFillTint="1A"/>
            <w:vAlign w:val="center"/>
          </w:tcPr>
          <w:p w14:paraId="4794FDF8" w14:textId="77777777"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3,481,232</w:t>
            </w:r>
          </w:p>
        </w:tc>
        <w:tc>
          <w:tcPr>
            <w:tcW w:w="1418" w:type="dxa"/>
            <w:tcBorders>
              <w:top w:val="nil"/>
              <w:left w:val="nil"/>
              <w:bottom w:val="nil"/>
              <w:right w:val="single" w:sz="4" w:space="0" w:color="FFFFFF" w:themeColor="accent6"/>
            </w:tcBorders>
            <w:shd w:val="clear" w:color="auto" w:fill="DFEBF1" w:themeFill="text2" w:themeFillTint="1A"/>
            <w:vAlign w:val="center"/>
          </w:tcPr>
          <w:p w14:paraId="39DFF733" w14:textId="3D1E29B6" w:rsidR="009C68CB" w:rsidRPr="00F67A07" w:rsidRDefault="009C68CB" w:rsidP="00E87B16">
            <w:pPr>
              <w:autoSpaceDE w:val="0"/>
              <w:autoSpaceDN w:val="0"/>
              <w:adjustRightInd w:val="0"/>
              <w:spacing w:after="0" w:line="240" w:lineRule="auto"/>
              <w:jc w:val="center"/>
              <w:rPr>
                <w:rFonts w:cs="Arial"/>
                <w:b/>
                <w:bCs/>
                <w:color w:val="000000"/>
                <w:sz w:val="14"/>
                <w:szCs w:val="14"/>
                <w:lang w:val="en-AU"/>
              </w:rPr>
            </w:pPr>
          </w:p>
        </w:tc>
        <w:tc>
          <w:tcPr>
            <w:tcW w:w="850" w:type="dxa"/>
            <w:tcBorders>
              <w:top w:val="nil"/>
              <w:left w:val="single" w:sz="4" w:space="0" w:color="FFFFFF" w:themeColor="accent6"/>
              <w:bottom w:val="nil"/>
              <w:right w:val="nil"/>
            </w:tcBorders>
            <w:shd w:val="clear" w:color="auto" w:fill="DFEBF1" w:themeFill="text2" w:themeFillTint="1A"/>
            <w:vAlign w:val="center"/>
          </w:tcPr>
          <w:p w14:paraId="601B2CC7" w14:textId="6198DA59"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0.18</w:t>
            </w:r>
          </w:p>
        </w:tc>
        <w:tc>
          <w:tcPr>
            <w:tcW w:w="851" w:type="dxa"/>
            <w:tcBorders>
              <w:top w:val="nil"/>
              <w:left w:val="nil"/>
              <w:bottom w:val="nil"/>
              <w:right w:val="nil"/>
            </w:tcBorders>
            <w:shd w:val="clear" w:color="auto" w:fill="DFEBF1" w:themeFill="text2" w:themeFillTint="1A"/>
            <w:vAlign w:val="center"/>
          </w:tcPr>
          <w:p w14:paraId="0D91B28D" w14:textId="3FFD7AF9"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0.17</w:t>
            </w:r>
          </w:p>
        </w:tc>
        <w:tc>
          <w:tcPr>
            <w:tcW w:w="850" w:type="dxa"/>
            <w:tcBorders>
              <w:top w:val="nil"/>
              <w:left w:val="nil"/>
              <w:bottom w:val="nil"/>
              <w:right w:val="single" w:sz="4" w:space="0" w:color="FFFFFF" w:themeColor="accent6"/>
            </w:tcBorders>
            <w:shd w:val="clear" w:color="auto" w:fill="DFEBF1" w:themeFill="text2" w:themeFillTint="1A"/>
            <w:vAlign w:val="center"/>
          </w:tcPr>
          <w:p w14:paraId="297B800C" w14:textId="5520073B"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0.19</w:t>
            </w:r>
          </w:p>
        </w:tc>
        <w:tc>
          <w:tcPr>
            <w:tcW w:w="865" w:type="dxa"/>
            <w:gridSpan w:val="2"/>
            <w:tcBorders>
              <w:top w:val="nil"/>
              <w:left w:val="single" w:sz="4" w:space="0" w:color="FFFFFF" w:themeColor="accent6"/>
              <w:bottom w:val="nil"/>
              <w:right w:val="nil"/>
            </w:tcBorders>
            <w:shd w:val="clear" w:color="auto" w:fill="DFEBF1" w:themeFill="text2" w:themeFillTint="1A"/>
            <w:vAlign w:val="center"/>
          </w:tcPr>
          <w:p w14:paraId="01EC2860" w14:textId="5E279FC1"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18.1%</w:t>
            </w:r>
          </w:p>
        </w:tc>
        <w:tc>
          <w:tcPr>
            <w:tcW w:w="894" w:type="dxa"/>
            <w:tcBorders>
              <w:top w:val="nil"/>
              <w:left w:val="nil"/>
              <w:bottom w:val="nil"/>
              <w:right w:val="nil"/>
            </w:tcBorders>
            <w:shd w:val="clear" w:color="auto" w:fill="DFEBF1" w:themeFill="text2" w:themeFillTint="1A"/>
            <w:vAlign w:val="center"/>
          </w:tcPr>
          <w:p w14:paraId="5BD5A073" w14:textId="3128A9C6" w:rsidR="009C68CB" w:rsidRPr="00F67A07" w:rsidRDefault="009C68CB" w:rsidP="00E87B16">
            <w:pPr>
              <w:autoSpaceDE w:val="0"/>
              <w:autoSpaceDN w:val="0"/>
              <w:adjustRightInd w:val="0"/>
              <w:spacing w:after="0" w:line="240" w:lineRule="auto"/>
              <w:jc w:val="center"/>
              <w:rPr>
                <w:rFonts w:cs="Arial"/>
                <w:color w:val="000000"/>
                <w:sz w:val="14"/>
                <w:szCs w:val="14"/>
                <w:lang w:val="en-AU"/>
              </w:rPr>
            </w:pPr>
            <w:r>
              <w:rPr>
                <w:rFonts w:cs="Arial"/>
                <w:color w:val="000000"/>
                <w:sz w:val="14"/>
                <w:szCs w:val="14"/>
              </w:rPr>
              <w:t>17.2%</w:t>
            </w:r>
          </w:p>
        </w:tc>
        <w:tc>
          <w:tcPr>
            <w:tcW w:w="810" w:type="dxa"/>
            <w:tcBorders>
              <w:top w:val="nil"/>
              <w:left w:val="nil"/>
              <w:bottom w:val="nil"/>
              <w:right w:val="nil"/>
            </w:tcBorders>
            <w:shd w:val="clear" w:color="auto" w:fill="DFEBF1" w:themeFill="text2" w:themeFillTint="1A"/>
            <w:vAlign w:val="center"/>
          </w:tcPr>
          <w:p w14:paraId="2D7930C0" w14:textId="7A49648F" w:rsidR="009C68CB" w:rsidRPr="005629F8" w:rsidRDefault="009C68CB" w:rsidP="00E87B16">
            <w:pPr>
              <w:autoSpaceDE w:val="0"/>
              <w:autoSpaceDN w:val="0"/>
              <w:adjustRightInd w:val="0"/>
              <w:spacing w:after="0" w:line="240" w:lineRule="auto"/>
              <w:jc w:val="center"/>
              <w:rPr>
                <w:rFonts w:cs="Arial"/>
                <w:b/>
                <w:color w:val="000000"/>
                <w:sz w:val="14"/>
                <w:szCs w:val="14"/>
                <w:lang w:val="en-AU"/>
              </w:rPr>
            </w:pPr>
            <w:r w:rsidRPr="005629F8">
              <w:rPr>
                <w:rFonts w:cs="Arial"/>
                <w:b/>
                <w:color w:val="000000"/>
                <w:sz w:val="14"/>
                <w:szCs w:val="14"/>
              </w:rPr>
              <w:t>18.6%</w:t>
            </w:r>
          </w:p>
        </w:tc>
      </w:tr>
      <w:tr w:rsidR="00216FDD" w:rsidRPr="0088109E" w14:paraId="262F54CF" w14:textId="77777777" w:rsidTr="00E87B16">
        <w:trPr>
          <w:trHeight w:val="265"/>
        </w:trPr>
        <w:tc>
          <w:tcPr>
            <w:tcW w:w="8085" w:type="dxa"/>
            <w:gridSpan w:val="3"/>
            <w:tcBorders>
              <w:top w:val="nil"/>
              <w:left w:val="nil"/>
              <w:bottom w:val="single" w:sz="4" w:space="0" w:color="D9D9D9"/>
              <w:right w:val="single" w:sz="4" w:space="0" w:color="FFFFFF" w:themeColor="accent6"/>
            </w:tcBorders>
            <w:shd w:val="clear" w:color="auto" w:fill="DFEBF1" w:themeFill="text2" w:themeFillTint="1A"/>
            <w:vAlign w:val="center"/>
          </w:tcPr>
          <w:p w14:paraId="2108E156" w14:textId="7259EF53" w:rsidR="009E3F6F" w:rsidRPr="00F67A07" w:rsidRDefault="009E3F6F" w:rsidP="00C82F8C">
            <w:pPr>
              <w:autoSpaceDE w:val="0"/>
              <w:autoSpaceDN w:val="0"/>
              <w:adjustRightInd w:val="0"/>
              <w:spacing w:after="0" w:line="240" w:lineRule="auto"/>
              <w:rPr>
                <w:rFonts w:cs="Arial"/>
                <w:b/>
                <w:bCs/>
                <w:color w:val="000000"/>
                <w:sz w:val="14"/>
                <w:szCs w:val="14"/>
                <w:lang w:val="en-AU"/>
              </w:rPr>
            </w:pPr>
            <w:r w:rsidRPr="00F67A07">
              <w:rPr>
                <w:rFonts w:cs="Arial"/>
                <w:b/>
                <w:bCs/>
                <w:color w:val="000000"/>
                <w:sz w:val="14"/>
                <w:szCs w:val="14"/>
                <w:lang w:val="en-AU"/>
              </w:rPr>
              <w:t xml:space="preserve">Top 10 highest prostheses cost weights proportion (% of all Prostheses </w:t>
            </w:r>
            <w:r w:rsidR="00247633">
              <w:rPr>
                <w:rFonts w:cs="Arial"/>
                <w:b/>
                <w:bCs/>
                <w:color w:val="000000"/>
                <w:sz w:val="14"/>
                <w:szCs w:val="14"/>
                <w:lang w:val="en-AU"/>
              </w:rPr>
              <w:t>AR-</w:t>
            </w:r>
            <w:r w:rsidRPr="00F67A07">
              <w:rPr>
                <w:rFonts w:cs="Arial"/>
                <w:b/>
                <w:bCs/>
                <w:color w:val="000000"/>
                <w:sz w:val="14"/>
                <w:szCs w:val="14"/>
                <w:lang w:val="en-AU"/>
              </w:rPr>
              <w:t>DRGs)</w:t>
            </w:r>
          </w:p>
        </w:tc>
        <w:tc>
          <w:tcPr>
            <w:tcW w:w="1159" w:type="dxa"/>
            <w:tcBorders>
              <w:top w:val="nil"/>
              <w:left w:val="single" w:sz="4" w:space="0" w:color="FFFFFF" w:themeColor="accent6"/>
              <w:bottom w:val="single" w:sz="4" w:space="0" w:color="D9D9D9"/>
              <w:right w:val="nil"/>
            </w:tcBorders>
            <w:shd w:val="clear" w:color="auto" w:fill="DFEBF1" w:themeFill="text2" w:themeFillTint="1A"/>
            <w:vAlign w:val="center"/>
          </w:tcPr>
          <w:p w14:paraId="6CB956F0" w14:textId="77777777"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r w:rsidRPr="00F67A07">
              <w:rPr>
                <w:rFonts w:cs="Arial"/>
                <w:b/>
                <w:bCs/>
                <w:color w:val="000000"/>
                <w:sz w:val="14"/>
                <w:szCs w:val="14"/>
                <w:lang w:val="en-AU"/>
              </w:rPr>
              <w:t>0.81%</w:t>
            </w:r>
          </w:p>
        </w:tc>
        <w:tc>
          <w:tcPr>
            <w:tcW w:w="1418" w:type="dxa"/>
            <w:tcBorders>
              <w:top w:val="nil"/>
              <w:left w:val="nil"/>
              <w:bottom w:val="single" w:sz="4" w:space="0" w:color="D9D9D9"/>
              <w:right w:val="single" w:sz="4" w:space="0" w:color="FFFFFF" w:themeColor="accent6"/>
            </w:tcBorders>
            <w:shd w:val="clear" w:color="auto" w:fill="DFEBF1" w:themeFill="text2" w:themeFillTint="1A"/>
            <w:vAlign w:val="center"/>
          </w:tcPr>
          <w:p w14:paraId="1D4925F5" w14:textId="26A8FCE9" w:rsidR="009E3F6F" w:rsidRPr="00F67A07" w:rsidRDefault="009E3F6F" w:rsidP="00E87B16">
            <w:pPr>
              <w:autoSpaceDE w:val="0"/>
              <w:autoSpaceDN w:val="0"/>
              <w:adjustRightInd w:val="0"/>
              <w:spacing w:after="0" w:line="240" w:lineRule="auto"/>
              <w:jc w:val="center"/>
              <w:rPr>
                <w:rFonts w:cs="Arial"/>
                <w:b/>
                <w:bCs/>
                <w:color w:val="000000"/>
                <w:sz w:val="14"/>
                <w:szCs w:val="14"/>
                <w:lang w:val="en-AU"/>
              </w:rPr>
            </w:pPr>
          </w:p>
        </w:tc>
        <w:tc>
          <w:tcPr>
            <w:tcW w:w="850" w:type="dxa"/>
            <w:tcBorders>
              <w:top w:val="nil"/>
              <w:left w:val="single" w:sz="4" w:space="0" w:color="FFFFFF" w:themeColor="accent6"/>
              <w:bottom w:val="single" w:sz="4" w:space="0" w:color="D9D9D9"/>
              <w:right w:val="nil"/>
            </w:tcBorders>
            <w:shd w:val="clear" w:color="auto" w:fill="DFEBF1" w:themeFill="text2" w:themeFillTint="1A"/>
            <w:vAlign w:val="center"/>
          </w:tcPr>
          <w:p w14:paraId="1A41E9B8" w14:textId="3BFB33F0"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p>
        </w:tc>
        <w:tc>
          <w:tcPr>
            <w:tcW w:w="851" w:type="dxa"/>
            <w:tcBorders>
              <w:top w:val="nil"/>
              <w:left w:val="nil"/>
              <w:bottom w:val="single" w:sz="4" w:space="0" w:color="D9D9D9"/>
              <w:right w:val="nil"/>
            </w:tcBorders>
            <w:shd w:val="clear" w:color="auto" w:fill="DFEBF1" w:themeFill="text2" w:themeFillTint="1A"/>
            <w:vAlign w:val="center"/>
          </w:tcPr>
          <w:p w14:paraId="6DAFF6C8" w14:textId="2F0447FE"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p>
        </w:tc>
        <w:tc>
          <w:tcPr>
            <w:tcW w:w="850" w:type="dxa"/>
            <w:tcBorders>
              <w:top w:val="nil"/>
              <w:left w:val="nil"/>
              <w:bottom w:val="single" w:sz="4" w:space="0" w:color="D9D9D9"/>
              <w:right w:val="single" w:sz="4" w:space="0" w:color="FFFFFF" w:themeColor="accent6"/>
            </w:tcBorders>
            <w:shd w:val="clear" w:color="auto" w:fill="DFEBF1" w:themeFill="text2" w:themeFillTint="1A"/>
            <w:vAlign w:val="center"/>
          </w:tcPr>
          <w:p w14:paraId="129B46AD" w14:textId="524AB1E4"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p>
        </w:tc>
        <w:tc>
          <w:tcPr>
            <w:tcW w:w="865" w:type="dxa"/>
            <w:gridSpan w:val="2"/>
            <w:tcBorders>
              <w:top w:val="nil"/>
              <w:left w:val="single" w:sz="4" w:space="0" w:color="FFFFFF" w:themeColor="accent6"/>
              <w:bottom w:val="single" w:sz="4" w:space="0" w:color="D9D9D9"/>
              <w:right w:val="nil"/>
            </w:tcBorders>
            <w:shd w:val="clear" w:color="auto" w:fill="DFEBF1" w:themeFill="text2" w:themeFillTint="1A"/>
            <w:vAlign w:val="center"/>
          </w:tcPr>
          <w:p w14:paraId="69F3239A" w14:textId="169750C5"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p>
        </w:tc>
        <w:tc>
          <w:tcPr>
            <w:tcW w:w="894" w:type="dxa"/>
            <w:tcBorders>
              <w:top w:val="nil"/>
              <w:left w:val="nil"/>
              <w:bottom w:val="single" w:sz="4" w:space="0" w:color="D9D9D9"/>
              <w:right w:val="nil"/>
            </w:tcBorders>
            <w:shd w:val="clear" w:color="auto" w:fill="DFEBF1" w:themeFill="text2" w:themeFillTint="1A"/>
            <w:vAlign w:val="center"/>
          </w:tcPr>
          <w:p w14:paraId="2FA9B319" w14:textId="46026058"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p>
        </w:tc>
        <w:tc>
          <w:tcPr>
            <w:tcW w:w="810" w:type="dxa"/>
            <w:tcBorders>
              <w:top w:val="nil"/>
              <w:left w:val="nil"/>
              <w:bottom w:val="single" w:sz="4" w:space="0" w:color="D9D9D9"/>
              <w:right w:val="nil"/>
            </w:tcBorders>
            <w:shd w:val="clear" w:color="auto" w:fill="DFEBF1" w:themeFill="text2" w:themeFillTint="1A"/>
            <w:vAlign w:val="center"/>
          </w:tcPr>
          <w:p w14:paraId="1C488BFE" w14:textId="6436F472" w:rsidR="009E3F6F" w:rsidRPr="00F67A07" w:rsidRDefault="009E3F6F" w:rsidP="00E87B16">
            <w:pPr>
              <w:autoSpaceDE w:val="0"/>
              <w:autoSpaceDN w:val="0"/>
              <w:adjustRightInd w:val="0"/>
              <w:spacing w:after="0" w:line="240" w:lineRule="auto"/>
              <w:jc w:val="center"/>
              <w:rPr>
                <w:rFonts w:cs="Arial"/>
                <w:color w:val="000000"/>
                <w:sz w:val="14"/>
                <w:szCs w:val="14"/>
                <w:lang w:val="en-AU"/>
              </w:rPr>
            </w:pPr>
          </w:p>
        </w:tc>
      </w:tr>
    </w:tbl>
    <w:p w14:paraId="00D55242" w14:textId="77777777" w:rsidR="009E3F6F" w:rsidRPr="0088109E" w:rsidRDefault="009E3F6F" w:rsidP="009E3F6F">
      <w:pPr>
        <w:pStyle w:val="TableParagraph"/>
        <w:rPr>
          <w:b/>
          <w:bCs/>
          <w:highlight w:val="yellow"/>
        </w:rPr>
      </w:pPr>
    </w:p>
    <w:p w14:paraId="12C16547" w14:textId="77777777" w:rsidR="009E3F6F" w:rsidRPr="00F67A07" w:rsidRDefault="009E3F6F" w:rsidP="009E3F6F">
      <w:pPr>
        <w:pStyle w:val="TableParagraph"/>
        <w:rPr>
          <w:b/>
          <w:bCs/>
        </w:rPr>
      </w:pPr>
      <w:r w:rsidRPr="00F67A07">
        <w:rPr>
          <w:b/>
          <w:bCs/>
        </w:rPr>
        <w:t>Notes</w:t>
      </w:r>
    </w:p>
    <w:p w14:paraId="20570A38" w14:textId="77777777" w:rsidR="009E3F6F" w:rsidRPr="00F67A07" w:rsidRDefault="009E3F6F" w:rsidP="000C38AE">
      <w:pPr>
        <w:pStyle w:val="TableParagraph"/>
        <w:numPr>
          <w:ilvl w:val="0"/>
          <w:numId w:val="32"/>
        </w:numPr>
        <w:ind w:left="340" w:hanging="56"/>
      </w:pPr>
      <w:r w:rsidRPr="00F67A07">
        <w:t>For</w:t>
      </w:r>
      <w:r w:rsidRPr="00F67A07">
        <w:rPr>
          <w:spacing w:val="-3"/>
        </w:rPr>
        <w:t xml:space="preserve"> </w:t>
      </w:r>
      <w:r w:rsidRPr="00F67A07">
        <w:t>cost weight (cost</w:t>
      </w:r>
      <w:r w:rsidRPr="00F67A07">
        <w:rPr>
          <w:spacing w:val="-2"/>
        </w:rPr>
        <w:t xml:space="preserve"> </w:t>
      </w:r>
      <w:r w:rsidRPr="00F67A07">
        <w:t>bucket</w:t>
      </w:r>
      <w:r w:rsidRPr="00F67A07">
        <w:rPr>
          <w:spacing w:val="-2"/>
        </w:rPr>
        <w:t xml:space="preserve"> </w:t>
      </w:r>
      <w:r w:rsidRPr="00F67A07">
        <w:t>specific)</w:t>
      </w:r>
      <w:r w:rsidRPr="00F67A07">
        <w:rPr>
          <w:spacing w:val="-2"/>
        </w:rPr>
        <w:t xml:space="preserve"> </w:t>
      </w:r>
      <w:r w:rsidRPr="00F67A07">
        <w:t>calculations</w:t>
      </w:r>
      <w:r w:rsidRPr="00F67A07">
        <w:rPr>
          <w:spacing w:val="-2"/>
        </w:rPr>
        <w:t xml:space="preserve"> </w:t>
      </w:r>
      <w:r w:rsidRPr="00F67A07">
        <w:t>please</w:t>
      </w:r>
      <w:r w:rsidRPr="00F67A07">
        <w:rPr>
          <w:spacing w:val="-2"/>
        </w:rPr>
        <w:t xml:space="preserve"> </w:t>
      </w:r>
      <w:r w:rsidRPr="00F67A07">
        <w:t>refer</w:t>
      </w:r>
      <w:r w:rsidRPr="00F67A07">
        <w:rPr>
          <w:spacing w:val="-3"/>
        </w:rPr>
        <w:t xml:space="preserve"> </w:t>
      </w:r>
      <w:r w:rsidRPr="00F67A07">
        <w:t xml:space="preserve">to </w:t>
      </w:r>
      <w:r w:rsidRPr="00F67A07">
        <w:fldChar w:fldCharType="begin"/>
      </w:r>
      <w:r w:rsidRPr="00F67A07">
        <w:instrText xml:space="preserve"> REF _Ref103175315 \h  \* MERGEFORMAT </w:instrText>
      </w:r>
      <w:r w:rsidRPr="00F67A07">
        <w:fldChar w:fldCharType="separate"/>
      </w:r>
      <w:r w:rsidRPr="00F67A07">
        <w:t>Appendix</w:t>
      </w:r>
      <w:r w:rsidRPr="00F67A07">
        <w:rPr>
          <w:spacing w:val="-2"/>
        </w:rPr>
        <w:t xml:space="preserve"> </w:t>
      </w:r>
      <w:r w:rsidRPr="00F67A07">
        <w:t>D:</w:t>
      </w:r>
      <w:r w:rsidRPr="00F67A07">
        <w:rPr>
          <w:spacing w:val="1"/>
        </w:rPr>
        <w:t xml:space="preserve"> </w:t>
      </w:r>
      <w:r w:rsidRPr="00F67A07">
        <w:t>Cost</w:t>
      </w:r>
      <w:r w:rsidRPr="00F67A07">
        <w:rPr>
          <w:spacing w:val="1"/>
        </w:rPr>
        <w:t xml:space="preserve"> </w:t>
      </w:r>
      <w:r w:rsidRPr="00F67A07">
        <w:t>weight</w:t>
      </w:r>
      <w:r w:rsidRPr="00F67A07">
        <w:rPr>
          <w:spacing w:val="1"/>
        </w:rPr>
        <w:t xml:space="preserve"> </w:t>
      </w:r>
      <w:r w:rsidRPr="00F67A07">
        <w:t>tables by AR-DRG Version 10.0</w:t>
      </w:r>
      <w:r w:rsidRPr="00F67A07">
        <w:fldChar w:fldCharType="end"/>
      </w:r>
    </w:p>
    <w:p w14:paraId="462FD8E1" w14:textId="77777777" w:rsidR="009E3F6F" w:rsidRPr="00F67A07" w:rsidRDefault="009E3F6F" w:rsidP="000C38AE">
      <w:pPr>
        <w:pStyle w:val="TableParagraph"/>
        <w:numPr>
          <w:ilvl w:val="0"/>
          <w:numId w:val="32"/>
        </w:numPr>
        <w:ind w:left="340" w:hanging="56"/>
      </w:pPr>
      <w:r w:rsidRPr="00F67A07">
        <w:t>Separations</w:t>
      </w:r>
      <w:r w:rsidRPr="00F67A07">
        <w:rPr>
          <w:spacing w:val="-4"/>
        </w:rPr>
        <w:t xml:space="preserve"> </w:t>
      </w:r>
      <w:r w:rsidRPr="00F67A07">
        <w:t>shown</w:t>
      </w:r>
      <w:r w:rsidRPr="00F67A07">
        <w:rPr>
          <w:spacing w:val="-3"/>
        </w:rPr>
        <w:t xml:space="preserve"> </w:t>
      </w:r>
      <w:r w:rsidRPr="00F67A07">
        <w:t>are</w:t>
      </w:r>
      <w:r w:rsidRPr="00F67A07">
        <w:rPr>
          <w:spacing w:val="-1"/>
        </w:rPr>
        <w:t xml:space="preserve"> </w:t>
      </w:r>
      <w:r w:rsidRPr="00F67A07">
        <w:t>strata</w:t>
      </w:r>
      <w:r w:rsidRPr="00F67A07">
        <w:rPr>
          <w:spacing w:val="1"/>
        </w:rPr>
        <w:t xml:space="preserve"> </w:t>
      </w:r>
      <w:r w:rsidRPr="00F67A07">
        <w:t>weighted</w:t>
      </w:r>
    </w:p>
    <w:p w14:paraId="07039A86" w14:textId="5AFE69B8" w:rsidR="0024696A" w:rsidRDefault="009E3F6F" w:rsidP="0024696A">
      <w:pPr>
        <w:pStyle w:val="TableParagraph"/>
        <w:numPr>
          <w:ilvl w:val="0"/>
          <w:numId w:val="32"/>
        </w:numPr>
        <w:ind w:left="340" w:hanging="56"/>
      </w:pPr>
      <w:r w:rsidRPr="00F67A07">
        <w:t>The overall cost weight represents the cost weight across all cost buckets (total cost) of the strata weighted separations.</w:t>
      </w:r>
    </w:p>
    <w:p w14:paraId="262D6A0A" w14:textId="027D846B" w:rsidR="0024696A" w:rsidRPr="005629F8" w:rsidRDefault="0024696A" w:rsidP="00E829BF">
      <w:pPr>
        <w:pStyle w:val="Heading3"/>
      </w:pPr>
      <w:bookmarkStart w:id="159" w:name="_Toc129700689"/>
      <w:bookmarkStart w:id="160" w:name="_Toc129701382"/>
      <w:r w:rsidRPr="005629F8">
        <w:lastRenderedPageBreak/>
        <w:t xml:space="preserve">Ward </w:t>
      </w:r>
      <w:r w:rsidR="00DB117A">
        <w:t>n</w:t>
      </w:r>
      <w:r w:rsidRPr="005629F8">
        <w:t>ursing cost bucket</w:t>
      </w:r>
      <w:bookmarkEnd w:id="159"/>
      <w:bookmarkEnd w:id="160"/>
    </w:p>
    <w:p w14:paraId="14463B46" w14:textId="3A431D05" w:rsidR="0024696A" w:rsidRPr="005629F8" w:rsidRDefault="00C15507" w:rsidP="0024696A">
      <w:r w:rsidRPr="005629F8">
        <w:t>Of t</w:t>
      </w:r>
      <w:r w:rsidR="0024696A" w:rsidRPr="005629F8">
        <w:t xml:space="preserve">he </w:t>
      </w:r>
      <w:r w:rsidRPr="005629F8">
        <w:t xml:space="preserve">remaining costs that are grouped into the </w:t>
      </w:r>
      <w:r w:rsidR="00DB117A">
        <w:t>m</w:t>
      </w:r>
      <w:r w:rsidR="00DB117A" w:rsidRPr="005629F8">
        <w:t xml:space="preserve">iscellaneous </w:t>
      </w:r>
      <w:r w:rsidRPr="005629F8">
        <w:t xml:space="preserve">cost bucket, </w:t>
      </w:r>
      <w:r w:rsidR="00DB117A">
        <w:t>w</w:t>
      </w:r>
      <w:r w:rsidR="00DB117A" w:rsidRPr="005629F8">
        <w:t xml:space="preserve">ard </w:t>
      </w:r>
      <w:r w:rsidR="00DB117A">
        <w:t>n</w:t>
      </w:r>
      <w:r w:rsidR="0024696A" w:rsidRPr="005629F8">
        <w:t xml:space="preserve">ursing comprises </w:t>
      </w:r>
      <w:r w:rsidR="004B684B" w:rsidRPr="005629F8">
        <w:t>a significant</w:t>
      </w:r>
      <w:r w:rsidR="0024696A" w:rsidRPr="005629F8">
        <w:t xml:space="preserve"> component</w:t>
      </w:r>
      <w:r w:rsidR="00BA0004">
        <w:t>.</w:t>
      </w:r>
      <w:r w:rsidR="004B684B" w:rsidRPr="005629F8">
        <w:t xml:space="preserve"> </w:t>
      </w:r>
      <w:r w:rsidR="00BA0004">
        <w:t xml:space="preserve">These costs </w:t>
      </w:r>
      <w:r w:rsidR="0034265B" w:rsidRPr="005629F8">
        <w:t>mak</w:t>
      </w:r>
      <w:r w:rsidR="00BA0004">
        <w:t>e</w:t>
      </w:r>
      <w:r w:rsidR="0034265B" w:rsidRPr="005629F8">
        <w:t xml:space="preserve"> up </w:t>
      </w:r>
      <w:r w:rsidR="00DD0195" w:rsidRPr="005629F8">
        <w:t>14</w:t>
      </w:r>
      <w:r w:rsidR="0034265B" w:rsidRPr="005629F8">
        <w:t xml:space="preserve"> per cent of total cost</w:t>
      </w:r>
      <w:r w:rsidRPr="005629F8">
        <w:t>s</w:t>
      </w:r>
      <w:r w:rsidR="00DD0195" w:rsidRPr="005629F8">
        <w:t xml:space="preserve"> in 2020</w:t>
      </w:r>
      <w:r w:rsidR="00DD0195" w:rsidRPr="005629F8">
        <w:noBreakHyphen/>
        <w:t>21</w:t>
      </w:r>
      <w:r w:rsidRPr="005629F8">
        <w:t xml:space="preserve"> and have been </w:t>
      </w:r>
      <w:proofErr w:type="spellStart"/>
      <w:r w:rsidRPr="005629F8">
        <w:t>analysed</w:t>
      </w:r>
      <w:proofErr w:type="spellEnd"/>
      <w:r w:rsidRPr="005629F8">
        <w:t xml:space="preserve"> separately below.</w:t>
      </w:r>
    </w:p>
    <w:p w14:paraId="655CB94E" w14:textId="6A559945" w:rsidR="0024696A" w:rsidRPr="005629F8" w:rsidRDefault="00F2253B" w:rsidP="0024696A">
      <w:r>
        <w:fldChar w:fldCharType="begin"/>
      </w:r>
      <w:r>
        <w:instrText xml:space="preserve"> REF _Ref129182733 \h </w:instrText>
      </w:r>
      <w:r>
        <w:fldChar w:fldCharType="separate"/>
      </w:r>
      <w:r>
        <w:t xml:space="preserve">Figure </w:t>
      </w:r>
      <w:r>
        <w:rPr>
          <w:noProof/>
        </w:rPr>
        <w:t>15</w:t>
      </w:r>
      <w:r>
        <w:fldChar w:fldCharType="end"/>
      </w:r>
      <w:r w:rsidR="00926033" w:rsidRPr="005629F8">
        <w:fldChar w:fldCharType="begin"/>
      </w:r>
      <w:r w:rsidR="00926033" w:rsidRPr="005629F8">
        <w:instrText xml:space="preserve"> REF _Ref128668548 \h  \* MERGEFORMAT </w:instrText>
      </w:r>
      <w:r w:rsidR="00926033" w:rsidRPr="005629F8">
        <w:fldChar w:fldCharType="end"/>
      </w:r>
      <w:r w:rsidR="00926033" w:rsidRPr="005629F8">
        <w:t xml:space="preserve"> </w:t>
      </w:r>
      <w:r w:rsidR="0024696A" w:rsidRPr="005629F8">
        <w:t xml:space="preserve">shows the total costs and average costs per separation in the </w:t>
      </w:r>
      <w:r w:rsidR="00DB117A">
        <w:t>w</w:t>
      </w:r>
      <w:r w:rsidR="0024696A" w:rsidRPr="005629F8">
        <w:t>ar</w:t>
      </w:r>
      <w:r w:rsidR="009C3879" w:rsidRPr="005629F8">
        <w:t xml:space="preserve">d </w:t>
      </w:r>
      <w:r w:rsidR="00DB117A">
        <w:t>n</w:t>
      </w:r>
      <w:r w:rsidR="00DB117A" w:rsidRPr="005629F8">
        <w:t xml:space="preserve">ursing </w:t>
      </w:r>
      <w:r w:rsidR="009C3879" w:rsidRPr="005629F8">
        <w:t>cost bucket from 2015</w:t>
      </w:r>
      <w:r w:rsidR="009C3879" w:rsidRPr="005629F8">
        <w:noBreakHyphen/>
        <w:t>16 to 2020</w:t>
      </w:r>
      <w:r w:rsidR="009C3879" w:rsidRPr="005629F8">
        <w:noBreakHyphen/>
      </w:r>
      <w:r w:rsidR="0024696A" w:rsidRPr="005629F8">
        <w:t xml:space="preserve">21. There has generally been an increase in total </w:t>
      </w:r>
      <w:r w:rsidR="00DB117A">
        <w:t>w</w:t>
      </w:r>
      <w:r w:rsidR="00DB117A" w:rsidRPr="005629F8">
        <w:t xml:space="preserve">ard </w:t>
      </w:r>
      <w:r w:rsidR="00DB117A">
        <w:t>n</w:t>
      </w:r>
      <w:r w:rsidR="0024696A" w:rsidRPr="005629F8">
        <w:t>ursing costs over the last six years</w:t>
      </w:r>
      <w:r w:rsidR="00BA0004">
        <w:t>, with the exception being 2019-20</w:t>
      </w:r>
      <w:r w:rsidR="0024696A" w:rsidRPr="005629F8">
        <w:t xml:space="preserve">. This growth in costs has been observed in both the overhead and direct cost components. There has been a similar trend in average </w:t>
      </w:r>
      <w:r w:rsidR="00DB117A">
        <w:t>w</w:t>
      </w:r>
      <w:r w:rsidR="00DB117A" w:rsidRPr="005629F8">
        <w:t xml:space="preserve">ard </w:t>
      </w:r>
      <w:r w:rsidR="00DB117A">
        <w:t>n</w:t>
      </w:r>
      <w:r w:rsidR="00DB117A" w:rsidRPr="005629F8">
        <w:t xml:space="preserve">ursing </w:t>
      </w:r>
      <w:r w:rsidR="0024696A" w:rsidRPr="005629F8">
        <w:t>costs, with average costs generally growing each year.</w:t>
      </w:r>
    </w:p>
    <w:p w14:paraId="313DCD1D" w14:textId="73727E7A" w:rsidR="0024696A" w:rsidRPr="005629F8" w:rsidRDefault="009C3879" w:rsidP="0024696A">
      <w:r w:rsidRPr="005629F8">
        <w:t>The 2019</w:t>
      </w:r>
      <w:r w:rsidRPr="005629F8">
        <w:noBreakHyphen/>
      </w:r>
      <w:r w:rsidR="0024696A" w:rsidRPr="005629F8">
        <w:t xml:space="preserve">20 year was an exception to the growth observed in prior years as both total and average </w:t>
      </w:r>
      <w:r w:rsidR="00DB117A">
        <w:t>w</w:t>
      </w:r>
      <w:r w:rsidR="0024696A" w:rsidRPr="005629F8">
        <w:t xml:space="preserve">ard </w:t>
      </w:r>
      <w:r w:rsidR="00DB117A">
        <w:t>n</w:t>
      </w:r>
      <w:r w:rsidR="00DB117A" w:rsidRPr="005629F8">
        <w:t xml:space="preserve">ursing </w:t>
      </w:r>
      <w:r w:rsidR="0024696A" w:rsidRPr="005629F8">
        <w:t xml:space="preserve">costs fell. This was driven by direct </w:t>
      </w:r>
      <w:r w:rsidR="00DB117A">
        <w:t>w</w:t>
      </w:r>
      <w:r w:rsidR="00DB117A" w:rsidRPr="005629F8">
        <w:t xml:space="preserve">ard </w:t>
      </w:r>
      <w:r w:rsidR="00DB117A">
        <w:t>n</w:t>
      </w:r>
      <w:r w:rsidR="0024696A" w:rsidRPr="005629F8">
        <w:t>ursing costs</w:t>
      </w:r>
      <w:r w:rsidR="00BA0004">
        <w:t>,</w:t>
      </w:r>
      <w:r w:rsidR="0024696A" w:rsidRPr="005629F8">
        <w:t xml:space="preserve"> as activity levels</w:t>
      </w:r>
      <w:r w:rsidRPr="005629F8">
        <w:t xml:space="preserve"> fell during the national COVID</w:t>
      </w:r>
      <w:r w:rsidRPr="005629F8">
        <w:noBreakHyphen/>
      </w:r>
      <w:r w:rsidR="0024696A" w:rsidRPr="005629F8">
        <w:t xml:space="preserve">19 lockdown. Both total and </w:t>
      </w:r>
      <w:r w:rsidRPr="005629F8">
        <w:t>average costs increased in 2020</w:t>
      </w:r>
      <w:r w:rsidRPr="005629F8">
        <w:noBreakHyphen/>
      </w:r>
      <w:r w:rsidR="0024696A" w:rsidRPr="005629F8">
        <w:t>21 as elective surgery restrictions eased and activity recovered in most Australian states</w:t>
      </w:r>
      <w:r w:rsidR="003C674B" w:rsidRPr="005629F8">
        <w:t xml:space="preserve">, increasing by </w:t>
      </w:r>
      <w:r w:rsidR="00DD0195" w:rsidRPr="005629F8">
        <w:t>15.2 and 4.6</w:t>
      </w:r>
      <w:r w:rsidR="003C674B" w:rsidRPr="005629F8">
        <w:t xml:space="preserve"> per cent </w:t>
      </w:r>
      <w:r w:rsidR="00DD0195" w:rsidRPr="005629F8">
        <w:t xml:space="preserve">respectively </w:t>
      </w:r>
      <w:r w:rsidR="003C674B" w:rsidRPr="005629F8">
        <w:t>between 2019-20 and 2020-21</w:t>
      </w:r>
      <w:r w:rsidR="0024696A" w:rsidRPr="005629F8">
        <w:t>.</w:t>
      </w:r>
    </w:p>
    <w:p w14:paraId="01D463AC" w14:textId="56136F07" w:rsidR="0024696A" w:rsidRPr="005629F8" w:rsidRDefault="0024696A" w:rsidP="0024696A">
      <w:r w:rsidRPr="005629F8">
        <w:t xml:space="preserve">The observed increase in total </w:t>
      </w:r>
      <w:r w:rsidR="00DB117A">
        <w:t>w</w:t>
      </w:r>
      <w:r w:rsidRPr="005629F8">
        <w:t xml:space="preserve">ard </w:t>
      </w:r>
      <w:r w:rsidR="00DB117A">
        <w:t>n</w:t>
      </w:r>
      <w:r w:rsidR="00DB117A" w:rsidRPr="005629F8">
        <w:t xml:space="preserve">ursing </w:t>
      </w:r>
      <w:r w:rsidRPr="005629F8">
        <w:t xml:space="preserve">costs is expected with the natural growth of private sector activity. The general increase in average </w:t>
      </w:r>
      <w:r w:rsidR="00DB117A">
        <w:t>w</w:t>
      </w:r>
      <w:r w:rsidRPr="005629F8">
        <w:t xml:space="preserve">ard </w:t>
      </w:r>
      <w:r w:rsidR="00DB117A">
        <w:t>n</w:t>
      </w:r>
      <w:r w:rsidR="00DB117A" w:rsidRPr="005629F8">
        <w:t xml:space="preserve">ursing </w:t>
      </w:r>
      <w:r w:rsidRPr="005629F8">
        <w:t>costs is also expected with economic inflation and annual increases i</w:t>
      </w:r>
      <w:r w:rsidR="009C3879" w:rsidRPr="005629F8">
        <w:t xml:space="preserve">n award wage rates. </w:t>
      </w:r>
      <w:r w:rsidR="003C674B" w:rsidRPr="005629F8">
        <w:t xml:space="preserve">The </w:t>
      </w:r>
      <w:r w:rsidR="009C3879" w:rsidRPr="005629F8">
        <w:t>COVID</w:t>
      </w:r>
      <w:r w:rsidR="009C3879" w:rsidRPr="005629F8">
        <w:noBreakHyphen/>
      </w:r>
      <w:r w:rsidRPr="005629F8">
        <w:t xml:space="preserve">19 </w:t>
      </w:r>
      <w:r w:rsidR="003C674B" w:rsidRPr="005629F8">
        <w:t xml:space="preserve">pandemic has placed </w:t>
      </w:r>
      <w:r w:rsidRPr="005629F8">
        <w:t>additional cost pressures on the health industry</w:t>
      </w:r>
      <w:r w:rsidR="003C674B" w:rsidRPr="005629F8">
        <w:t xml:space="preserve">, as </w:t>
      </w:r>
      <w:r w:rsidRPr="005629F8">
        <w:t xml:space="preserve">staffing </w:t>
      </w:r>
      <w:proofErr w:type="gramStart"/>
      <w:r w:rsidRPr="005629F8">
        <w:t>difficulties</w:t>
      </w:r>
      <w:proofErr w:type="gramEnd"/>
      <w:r w:rsidRPr="005629F8">
        <w:t xml:space="preserve"> and the use of agency nurses to replace furloughed staff have added additional costs.</w:t>
      </w:r>
      <w:r w:rsidR="009C3879" w:rsidRPr="005629F8">
        <w:t xml:space="preserve"> The private sector continued to face these cost pressures through 2020</w:t>
      </w:r>
      <w:r w:rsidR="009C3879" w:rsidRPr="005629F8">
        <w:noBreakHyphen/>
        <w:t>21 while activity levels recovered, placing upward pressure on both total and average costs.</w:t>
      </w:r>
    </w:p>
    <w:p w14:paraId="47A0F5D4" w14:textId="42974A65" w:rsidR="00B90AAB" w:rsidRDefault="00B90AAB" w:rsidP="00E87B16">
      <w:pPr>
        <w:pStyle w:val="TableFigureheading"/>
      </w:pPr>
      <w:bookmarkStart w:id="161" w:name="_Ref129182733"/>
      <w:bookmarkStart w:id="162" w:name="_Toc129263254"/>
      <w:r>
        <w:t xml:space="preserve">Figure </w:t>
      </w:r>
      <w:r>
        <w:fldChar w:fldCharType="begin"/>
      </w:r>
      <w:r>
        <w:instrText xml:space="preserve"> SEQ Figure \* ARABIC </w:instrText>
      </w:r>
      <w:r>
        <w:fldChar w:fldCharType="separate"/>
      </w:r>
      <w:r>
        <w:rPr>
          <w:noProof/>
        </w:rPr>
        <w:t>15</w:t>
      </w:r>
      <w:r>
        <w:fldChar w:fldCharType="end"/>
      </w:r>
      <w:bookmarkEnd w:id="161"/>
      <w:r>
        <w:t xml:space="preserve">. Ward </w:t>
      </w:r>
      <w:r w:rsidR="00DB117A">
        <w:t>n</w:t>
      </w:r>
      <w:r>
        <w:t>ursing costs from 2015-16 to 2020-21</w:t>
      </w:r>
      <w:bookmarkEnd w:id="162"/>
    </w:p>
    <w:p w14:paraId="32ED79DB" w14:textId="5EF3E7CC" w:rsidR="0024696A" w:rsidRPr="0024696A" w:rsidRDefault="00912541" w:rsidP="0024696A">
      <w:pPr>
        <w:sectPr w:rsidR="0024696A" w:rsidRPr="0024696A" w:rsidSect="00522146">
          <w:footerReference w:type="default" r:id="rId37"/>
          <w:pgSz w:w="16838" w:h="11906" w:orient="landscape" w:code="9"/>
          <w:pgMar w:top="1077" w:right="567" w:bottom="1077" w:left="567" w:header="709" w:footer="709" w:gutter="0"/>
          <w:cols w:space="720"/>
          <w:docGrid w:linePitch="360"/>
        </w:sectPr>
      </w:pPr>
      <w:r w:rsidRPr="00912541">
        <w:rPr>
          <w:noProof/>
          <w:lang w:val="en-US"/>
        </w:rPr>
        <w:drawing>
          <wp:inline distT="0" distB="0" distL="0" distR="0" wp14:anchorId="589DAE39" wp14:editId="252FC2F0">
            <wp:extent cx="5242134" cy="2289842"/>
            <wp:effectExtent l="0" t="0" r="0" b="0"/>
            <wp:docPr id="52" name="Picture 52" descr="Ward nursing costs from 2015-16 to 2020-21&#10;&#10;This is a combined column and line chart. The column graph shows total ward nursing costs over the past six years and the line graph shows average ward nursing costs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ard nursing costs from 2015-16 to 2020-21&#10;&#10;This is a combined column and line chart. The column graph shows total ward nursing costs over the past six years and the line graph shows average ward nursing costs over the same perio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5914" cy="2295861"/>
                    </a:xfrm>
                    <a:prstGeom prst="rect">
                      <a:avLst/>
                    </a:prstGeom>
                    <a:noFill/>
                    <a:ln>
                      <a:noFill/>
                    </a:ln>
                  </pic:spPr>
                </pic:pic>
              </a:graphicData>
            </a:graphic>
          </wp:inline>
        </w:drawing>
      </w:r>
    </w:p>
    <w:p w14:paraId="077A7EB0" w14:textId="24732D69" w:rsidR="005C4EDC" w:rsidRPr="005629F8" w:rsidRDefault="00F37CAA" w:rsidP="00FC4599">
      <w:pPr>
        <w:pStyle w:val="Heading1"/>
        <w:numPr>
          <w:ilvl w:val="0"/>
          <w:numId w:val="35"/>
        </w:numPr>
      </w:pPr>
      <w:bookmarkStart w:id="163" w:name="_Toc129178847"/>
      <w:bookmarkStart w:id="164" w:name="_Toc129185003"/>
      <w:bookmarkStart w:id="165" w:name="_Toc129178848"/>
      <w:bookmarkStart w:id="166" w:name="_Toc129185004"/>
      <w:bookmarkStart w:id="167" w:name="_Toc129178849"/>
      <w:bookmarkStart w:id="168" w:name="_Toc129185005"/>
      <w:bookmarkStart w:id="169" w:name="_Toc129178850"/>
      <w:bookmarkStart w:id="170" w:name="_Toc129185006"/>
      <w:bookmarkStart w:id="171" w:name="_Toc129178851"/>
      <w:bookmarkStart w:id="172" w:name="_Toc129185007"/>
      <w:bookmarkStart w:id="173" w:name="_Toc129178852"/>
      <w:bookmarkStart w:id="174" w:name="_Toc129185008"/>
      <w:bookmarkStart w:id="175" w:name="_Toc129178853"/>
      <w:bookmarkStart w:id="176" w:name="_Toc129185009"/>
      <w:bookmarkStart w:id="177" w:name="_Toc129178854"/>
      <w:bookmarkStart w:id="178" w:name="_Toc129185010"/>
      <w:bookmarkStart w:id="179" w:name="_Toc129178855"/>
      <w:bookmarkStart w:id="180" w:name="_Toc129185011"/>
      <w:bookmarkStart w:id="181" w:name="_Toc129178856"/>
      <w:bookmarkStart w:id="182" w:name="_Toc129185012"/>
      <w:bookmarkStart w:id="183" w:name="_Toc129178857"/>
      <w:bookmarkStart w:id="184" w:name="_Toc129185013"/>
      <w:bookmarkStart w:id="185" w:name="_Toc129178858"/>
      <w:bookmarkStart w:id="186" w:name="_Toc129185014"/>
      <w:bookmarkStart w:id="187" w:name="_Toc129178859"/>
      <w:bookmarkStart w:id="188" w:name="_Toc129185015"/>
      <w:bookmarkStart w:id="189" w:name="_Toc129178860"/>
      <w:bookmarkStart w:id="190" w:name="_Toc129185016"/>
      <w:bookmarkStart w:id="191" w:name="_Toc129178861"/>
      <w:bookmarkStart w:id="192" w:name="_Toc129185017"/>
      <w:bookmarkStart w:id="193" w:name="_Toc129178862"/>
      <w:bookmarkStart w:id="194" w:name="_Toc129185018"/>
      <w:bookmarkStart w:id="195" w:name="_Toc129178863"/>
      <w:bookmarkStart w:id="196" w:name="_Toc129185019"/>
      <w:bookmarkStart w:id="197" w:name="_Toc129178864"/>
      <w:bookmarkStart w:id="198" w:name="_Toc129185020"/>
      <w:bookmarkStart w:id="199" w:name="_Toc129178865"/>
      <w:bookmarkStart w:id="200" w:name="_Toc129185021"/>
      <w:bookmarkStart w:id="201" w:name="_Toc129178866"/>
      <w:bookmarkStart w:id="202" w:name="_Toc129185022"/>
      <w:bookmarkStart w:id="203" w:name="_Toc129178867"/>
      <w:bookmarkStart w:id="204" w:name="_Toc129185023"/>
      <w:bookmarkStart w:id="205" w:name="_Toc129178868"/>
      <w:bookmarkStart w:id="206" w:name="_Toc129185024"/>
      <w:bookmarkStart w:id="207" w:name="_Toc129178869"/>
      <w:bookmarkStart w:id="208" w:name="_Toc129185025"/>
      <w:bookmarkStart w:id="209" w:name="_Toc129178870"/>
      <w:bookmarkStart w:id="210" w:name="_Toc129185026"/>
      <w:bookmarkStart w:id="211" w:name="_Toc129178871"/>
      <w:bookmarkStart w:id="212" w:name="_Toc129185027"/>
      <w:bookmarkStart w:id="213" w:name="_Toc129178872"/>
      <w:bookmarkStart w:id="214" w:name="_Toc129185028"/>
      <w:bookmarkStart w:id="215" w:name="_Toc129178873"/>
      <w:bookmarkStart w:id="216" w:name="_Toc129185029"/>
      <w:bookmarkStart w:id="217" w:name="_Toc129178874"/>
      <w:bookmarkStart w:id="218" w:name="_Toc129185030"/>
      <w:bookmarkStart w:id="219" w:name="_Toc129178875"/>
      <w:bookmarkStart w:id="220" w:name="_Toc129185031"/>
      <w:bookmarkStart w:id="221" w:name="_Toc129178876"/>
      <w:bookmarkStart w:id="222" w:name="_Toc129185032"/>
      <w:bookmarkStart w:id="223" w:name="_Toc129178889"/>
      <w:bookmarkStart w:id="224" w:name="_Toc129185045"/>
      <w:bookmarkStart w:id="225" w:name="_Toc129179243"/>
      <w:bookmarkStart w:id="226" w:name="_Toc129185399"/>
      <w:bookmarkStart w:id="227" w:name="_Toc129179244"/>
      <w:bookmarkStart w:id="228" w:name="_Toc129185400"/>
      <w:bookmarkStart w:id="229" w:name="_Toc129179245"/>
      <w:bookmarkStart w:id="230" w:name="_Toc129185401"/>
      <w:bookmarkStart w:id="231" w:name="_Toc129179246"/>
      <w:bookmarkStart w:id="232" w:name="_Toc129185402"/>
      <w:bookmarkStart w:id="233" w:name="_Toc129179247"/>
      <w:bookmarkStart w:id="234" w:name="_Toc129185403"/>
      <w:bookmarkStart w:id="235" w:name="_Toc129179248"/>
      <w:bookmarkStart w:id="236" w:name="_Toc129185404"/>
      <w:bookmarkStart w:id="237" w:name="_Ref128382891"/>
      <w:bookmarkStart w:id="238" w:name="_Toc12970138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5629F8">
        <w:lastRenderedPageBreak/>
        <w:t>COVID-19</w:t>
      </w:r>
      <w:bookmarkEnd w:id="237"/>
      <w:bookmarkEnd w:id="238"/>
    </w:p>
    <w:p w14:paraId="13903D7D" w14:textId="0E4D6970" w:rsidR="005C4EDC" w:rsidRPr="005629F8" w:rsidRDefault="005C4EDC" w:rsidP="00FC4599">
      <w:pPr>
        <w:pStyle w:val="Heading2"/>
      </w:pPr>
      <w:bookmarkStart w:id="239" w:name="_Toc129700691"/>
      <w:bookmarkStart w:id="240" w:name="_Toc129701384"/>
      <w:r w:rsidRPr="005629F8">
        <w:t>Background</w:t>
      </w:r>
      <w:bookmarkEnd w:id="239"/>
      <w:bookmarkEnd w:id="240"/>
    </w:p>
    <w:p w14:paraId="1689D33A" w14:textId="33F31E81" w:rsidR="00AA3CAC" w:rsidRPr="005629F8" w:rsidRDefault="00AA3CAC" w:rsidP="00AA3CAC">
      <w:pPr>
        <w:rPr>
          <w:lang w:val="en-AU"/>
        </w:rPr>
      </w:pPr>
      <w:r w:rsidRPr="005629F8">
        <w:rPr>
          <w:lang w:val="en-AU"/>
        </w:rPr>
        <w:t>The COVID</w:t>
      </w:r>
      <w:r w:rsidRPr="005629F8">
        <w:rPr>
          <w:lang w:val="en-AU"/>
        </w:rPr>
        <w:noBreakHyphen/>
        <w:t xml:space="preserve">19 pandemic affected the healthcare system within Australia, causing systemic impacts that directly and indirectly affected the private hospital sector. Actions from governments as part of the COVID-19 response impacted hospital activity and hence expenditure submitted to the </w:t>
      </w:r>
      <w:r w:rsidR="00855591">
        <w:rPr>
          <w:lang w:val="en-AU"/>
        </w:rPr>
        <w:t>p</w:t>
      </w:r>
      <w:r w:rsidRPr="005629F8">
        <w:rPr>
          <w:lang w:val="en-AU"/>
        </w:rPr>
        <w:t xml:space="preserve">rivate </w:t>
      </w:r>
      <w:r w:rsidR="00855591">
        <w:rPr>
          <w:lang w:val="en-AU"/>
        </w:rPr>
        <w:t>s</w:t>
      </w:r>
      <w:r w:rsidRPr="005629F8">
        <w:rPr>
          <w:lang w:val="en-AU"/>
        </w:rPr>
        <w:t>ector NHCDC, which had financial implications</w:t>
      </w:r>
      <w:r w:rsidR="00157180">
        <w:rPr>
          <w:lang w:val="en-AU"/>
        </w:rPr>
        <w:t xml:space="preserve"> that are</w:t>
      </w:r>
      <w:r w:rsidRPr="005629F8">
        <w:rPr>
          <w:lang w:val="en-AU"/>
        </w:rPr>
        <w:t xml:space="preserve"> reflected in this report.</w:t>
      </w:r>
    </w:p>
    <w:p w14:paraId="32131913" w14:textId="119B50DA" w:rsidR="003640D7" w:rsidRPr="000413C7" w:rsidRDefault="00996578" w:rsidP="003640D7">
      <w:r>
        <w:rPr>
          <w:lang w:val="en-AU"/>
        </w:rPr>
        <w:t xml:space="preserve">At the beginning of the pandemic in </w:t>
      </w:r>
      <w:r>
        <w:t xml:space="preserve">March 2020, national lockdowns </w:t>
      </w:r>
      <w:r w:rsidR="003640D7">
        <w:t>impacted</w:t>
      </w:r>
      <w:r w:rsidR="003640D7" w:rsidRPr="000413C7">
        <w:t xml:space="preserve"> non-essential activities</w:t>
      </w:r>
      <w:r>
        <w:t xml:space="preserve">, </w:t>
      </w:r>
      <w:proofErr w:type="gramStart"/>
      <w:r w:rsidR="003640D7" w:rsidRPr="000413C7">
        <w:t>pausing</w:t>
      </w:r>
      <w:proofErr w:type="gramEnd"/>
      <w:r w:rsidR="003640D7" w:rsidRPr="000413C7">
        <w:t xml:space="preserve"> or reducing activities under </w:t>
      </w:r>
      <w:r w:rsidR="00EC4B3D">
        <w:t xml:space="preserve">the </w:t>
      </w:r>
      <w:r w:rsidR="003640D7" w:rsidRPr="000413C7">
        <w:t>‘stay at home’ orders. This had the following impact on public hospital activities:</w:t>
      </w:r>
    </w:p>
    <w:p w14:paraId="21B5B0BE" w14:textId="56D804FA" w:rsidR="003640D7" w:rsidRPr="000413C7" w:rsidRDefault="001E0E68" w:rsidP="003640D7">
      <w:pPr>
        <w:pStyle w:val="ListLevel1"/>
      </w:pPr>
      <w:r>
        <w:t>E</w:t>
      </w:r>
      <w:r w:rsidR="003640D7" w:rsidRPr="000413C7">
        <w:t>lective surgeries were suspended, except for category 1 and urgent category 2</w:t>
      </w:r>
      <w:r>
        <w:t>.</w:t>
      </w:r>
    </w:p>
    <w:p w14:paraId="524A1D66" w14:textId="19ABA6C7" w:rsidR="003640D7" w:rsidRPr="000413C7" w:rsidRDefault="001E0E68" w:rsidP="003640D7">
      <w:pPr>
        <w:pStyle w:val="ListLevel1"/>
      </w:pPr>
      <w:r>
        <w:t>E</w:t>
      </w:r>
      <w:r w:rsidR="003640D7" w:rsidRPr="000413C7">
        <w:t>mergency department presentations</w:t>
      </w:r>
      <w:r>
        <w:t xml:space="preserve"> were </w:t>
      </w:r>
      <w:r w:rsidRPr="000413C7">
        <w:t>reduced</w:t>
      </w:r>
      <w:r>
        <w:t>.</w:t>
      </w:r>
    </w:p>
    <w:p w14:paraId="0056AAA0" w14:textId="6929E227" w:rsidR="003640D7" w:rsidRPr="000413C7" w:rsidRDefault="001E0E68" w:rsidP="003640D7">
      <w:pPr>
        <w:pStyle w:val="ListLevel1"/>
      </w:pPr>
      <w:r>
        <w:t>H</w:t>
      </w:r>
      <w:r w:rsidR="003640D7" w:rsidRPr="000413C7">
        <w:t>ospitals incurred additional costs related to preparedness activities.</w:t>
      </w:r>
    </w:p>
    <w:p w14:paraId="17DC6411" w14:textId="0F4F56BB" w:rsidR="003640D7" w:rsidRDefault="003640D7" w:rsidP="003640D7">
      <w:r w:rsidRPr="000413C7">
        <w:t>In April 2020</w:t>
      </w:r>
      <w:r w:rsidR="00855591">
        <w:t>,</w:t>
      </w:r>
      <w:r w:rsidRPr="000413C7">
        <w:t xml:space="preserve"> some category 2 and 3 elective surgeries were resumed, and by May 2020 a 3</w:t>
      </w:r>
      <w:r w:rsidRPr="000413C7">
        <w:noBreakHyphen/>
        <w:t>stage plan to resume elective surgeries was announced. These events directly impacted the level of activity in hospitals across the country.</w:t>
      </w:r>
    </w:p>
    <w:p w14:paraId="672BD9C3" w14:textId="1923AB33" w:rsidR="006D1937" w:rsidRPr="000C38AE" w:rsidRDefault="00996578" w:rsidP="005629F8">
      <w:r w:rsidRPr="00E57742">
        <w:rPr>
          <w:lang w:val="en-AU"/>
        </w:rPr>
        <w:t>Following the</w:t>
      </w:r>
      <w:r>
        <w:rPr>
          <w:lang w:val="en-AU"/>
        </w:rPr>
        <w:t>se</w:t>
      </w:r>
      <w:r w:rsidRPr="00E57742">
        <w:rPr>
          <w:lang w:val="en-AU"/>
        </w:rPr>
        <w:t xml:space="preserve"> </w:t>
      </w:r>
      <w:r>
        <w:rPr>
          <w:lang w:val="en-AU"/>
        </w:rPr>
        <w:t xml:space="preserve">initial </w:t>
      </w:r>
      <w:r w:rsidRPr="00E57742">
        <w:rPr>
          <w:lang w:val="en-AU"/>
        </w:rPr>
        <w:t xml:space="preserve">national </w:t>
      </w:r>
      <w:r>
        <w:rPr>
          <w:lang w:val="en-AU"/>
        </w:rPr>
        <w:t>lockdowns</w:t>
      </w:r>
      <w:r w:rsidRPr="00E57742">
        <w:rPr>
          <w:lang w:val="en-AU"/>
        </w:rPr>
        <w:t xml:space="preserve">, </w:t>
      </w:r>
      <w:r w:rsidRPr="00DA6CD0">
        <w:rPr>
          <w:lang w:val="en-AU"/>
        </w:rPr>
        <w:t>government responses to the pandemic varied across states</w:t>
      </w:r>
      <w:r w:rsidRPr="00E57742">
        <w:rPr>
          <w:lang w:val="en-AU"/>
        </w:rPr>
        <w:t>. Jurisdictions had different restrictions imposed during 2020</w:t>
      </w:r>
      <w:r w:rsidRPr="00E57742">
        <w:rPr>
          <w:lang w:val="en-AU"/>
        </w:rPr>
        <w:noBreakHyphen/>
        <w:t>21</w:t>
      </w:r>
      <w:r w:rsidR="000C464C">
        <w:rPr>
          <w:lang w:val="en-AU"/>
        </w:rPr>
        <w:t xml:space="preserve">, which meant the impact of </w:t>
      </w:r>
      <w:r w:rsidRPr="00E57742">
        <w:rPr>
          <w:lang w:val="en-AU"/>
        </w:rPr>
        <w:t>COVID</w:t>
      </w:r>
      <w:r w:rsidRPr="00E57742">
        <w:rPr>
          <w:lang w:val="en-AU"/>
        </w:rPr>
        <w:noBreakHyphen/>
        <w:t>19 on activity and costs varied between jurisdictions and individual facilities within hospital groups.</w:t>
      </w:r>
    </w:p>
    <w:p w14:paraId="31EAB1F9" w14:textId="4F9918F8" w:rsidR="00AA3CAC" w:rsidRPr="005629F8" w:rsidRDefault="00AA3CAC" w:rsidP="00FC4599">
      <w:pPr>
        <w:pStyle w:val="Heading2"/>
      </w:pPr>
      <w:bookmarkStart w:id="241" w:name="_Toc129700692"/>
      <w:bookmarkStart w:id="242" w:name="_Toc129701385"/>
      <w:r w:rsidRPr="005629F8">
        <w:t>Costing Approach to COVID-19</w:t>
      </w:r>
      <w:bookmarkEnd w:id="241"/>
      <w:bookmarkEnd w:id="242"/>
    </w:p>
    <w:p w14:paraId="045B20BD" w14:textId="06D5E569" w:rsidR="00996578" w:rsidRDefault="00AA3CAC" w:rsidP="005629F8">
      <w:pPr>
        <w:rPr>
          <w:lang w:val="en-AU"/>
        </w:rPr>
      </w:pPr>
      <w:r w:rsidRPr="005629F8">
        <w:rPr>
          <w:lang w:val="en-AU"/>
        </w:rPr>
        <w:t xml:space="preserve">In June 2020, IHACPA released the </w:t>
      </w:r>
      <w:r w:rsidRPr="005629F8">
        <w:rPr>
          <w:i/>
          <w:iCs/>
          <w:lang w:val="en-AU"/>
        </w:rPr>
        <w:t>COVID-19 Response - Costing and pricing guidelines</w:t>
      </w:r>
      <w:r w:rsidRPr="005629F8">
        <w:rPr>
          <w:rStyle w:val="FootnoteReference"/>
          <w:lang w:val="en-AU"/>
        </w:rPr>
        <w:footnoteReference w:id="12"/>
      </w:r>
      <w:r w:rsidRPr="005629F8">
        <w:rPr>
          <w:lang w:val="en-AU"/>
        </w:rPr>
        <w:t xml:space="preserve"> for the costing and pricing of activity for the COVID</w:t>
      </w:r>
      <w:r w:rsidRPr="005629F8">
        <w:rPr>
          <w:lang w:val="en-AU"/>
        </w:rPr>
        <w:noBreakHyphen/>
        <w:t>19 response</w:t>
      </w:r>
      <w:r w:rsidR="00605F54">
        <w:rPr>
          <w:lang w:val="en-AU"/>
        </w:rPr>
        <w:t xml:space="preserve">. This relates </w:t>
      </w:r>
      <w:r w:rsidRPr="005629F8">
        <w:rPr>
          <w:lang w:val="en-AU"/>
        </w:rPr>
        <w:t xml:space="preserve">to the National Partnership on COVID-19 Response (NPCR) </w:t>
      </w:r>
      <w:proofErr w:type="gramStart"/>
      <w:r w:rsidRPr="005629F8">
        <w:rPr>
          <w:lang w:val="en-AU"/>
        </w:rPr>
        <w:t>entered into</w:t>
      </w:r>
      <w:proofErr w:type="gramEnd"/>
      <w:r w:rsidRPr="005629F8">
        <w:rPr>
          <w:lang w:val="en-AU"/>
        </w:rPr>
        <w:t xml:space="preserve"> by the Commonwealth </w:t>
      </w:r>
      <w:r w:rsidR="00B567BF">
        <w:rPr>
          <w:lang w:val="en-AU"/>
        </w:rPr>
        <w:t xml:space="preserve">Government </w:t>
      </w:r>
      <w:r w:rsidRPr="005629F8">
        <w:rPr>
          <w:lang w:val="en-AU"/>
        </w:rPr>
        <w:t xml:space="preserve">and state and territory governments. </w:t>
      </w:r>
      <w:r w:rsidR="004B684B">
        <w:rPr>
          <w:lang w:val="en-AU"/>
        </w:rPr>
        <w:t>This document was also a reference for private sector hospitals undertaking costing in the COVID</w:t>
      </w:r>
      <w:r w:rsidR="001234D1">
        <w:rPr>
          <w:lang w:val="en-AU"/>
        </w:rPr>
        <w:t>-19</w:t>
      </w:r>
      <w:r w:rsidR="004B684B">
        <w:rPr>
          <w:lang w:val="en-AU"/>
        </w:rPr>
        <w:t xml:space="preserve"> period. </w:t>
      </w:r>
    </w:p>
    <w:p w14:paraId="5D82B43C" w14:textId="2CF330F7" w:rsidR="00AA3CAC" w:rsidRPr="005629F8" w:rsidRDefault="00AA3CAC" w:rsidP="005629F8">
      <w:pPr>
        <w:rPr>
          <w:lang w:val="en-AU"/>
        </w:rPr>
      </w:pPr>
      <w:r w:rsidRPr="005629F8">
        <w:rPr>
          <w:lang w:val="en-AU"/>
        </w:rPr>
        <w:t>Although provided with the guidelines by IHACPA, due to the timing and uncertainty of the pandemic response</w:t>
      </w:r>
      <w:r w:rsidR="00996578">
        <w:rPr>
          <w:lang w:val="en-AU"/>
        </w:rPr>
        <w:t>,</w:t>
      </w:r>
      <w:r w:rsidRPr="005629F8">
        <w:rPr>
          <w:lang w:val="en-AU"/>
        </w:rPr>
        <w:t xml:space="preserve"> the participating hospital groups undertook different approaches to costing for 2020</w:t>
      </w:r>
      <w:r w:rsidRPr="005629F8">
        <w:rPr>
          <w:lang w:val="en-AU"/>
        </w:rPr>
        <w:noBreakHyphen/>
        <w:t>21. Some utilised COVID-19 cost centres to capture the pandemic related costs and others excluded these costs from their</w:t>
      </w:r>
      <w:r w:rsidR="00A51ACE" w:rsidRPr="005629F8">
        <w:rPr>
          <w:lang w:val="en-AU"/>
        </w:rPr>
        <w:t xml:space="preserve"> NHCDC</w:t>
      </w:r>
      <w:r w:rsidRPr="005629F8">
        <w:rPr>
          <w:lang w:val="en-AU"/>
        </w:rPr>
        <w:t xml:space="preserve"> submission. These differences in costing approach resulted in variations in how costs were spread across time periods and episodes.</w:t>
      </w:r>
    </w:p>
    <w:p w14:paraId="01A8846C" w14:textId="4206880A" w:rsidR="00AA3CAC" w:rsidRPr="005629F8" w:rsidRDefault="00996578" w:rsidP="00FC4599">
      <w:pPr>
        <w:pStyle w:val="Heading2"/>
      </w:pPr>
      <w:bookmarkStart w:id="243" w:name="_Toc129700693"/>
      <w:bookmarkStart w:id="244" w:name="_Toc129701386"/>
      <w:r>
        <w:t>Impacts by j</w:t>
      </w:r>
      <w:r w:rsidR="00AA3CAC" w:rsidRPr="005629F8">
        <w:t>urisdiction</w:t>
      </w:r>
      <w:bookmarkEnd w:id="243"/>
      <w:bookmarkEnd w:id="244"/>
    </w:p>
    <w:p w14:paraId="602CC0AA" w14:textId="2F178F9F" w:rsidR="004B684B" w:rsidRDefault="00996578" w:rsidP="005629F8">
      <w:pPr>
        <w:rPr>
          <w:lang w:val="en-AU"/>
        </w:rPr>
      </w:pPr>
      <w:r w:rsidRPr="00DA6CD0">
        <w:rPr>
          <w:lang w:val="en-AU"/>
        </w:rPr>
        <w:t>Following the nation-wide lockdown in the last quarter of 2019-20, state governments varied in their public health orders and restrictions on activity throughout 2020-</w:t>
      </w:r>
      <w:r w:rsidR="00536475">
        <w:rPr>
          <w:lang w:val="en-AU"/>
        </w:rPr>
        <w:t>21</w:t>
      </w:r>
      <w:r>
        <w:rPr>
          <w:lang w:val="en-AU"/>
        </w:rPr>
        <w:t xml:space="preserve">. </w:t>
      </w:r>
      <w:r w:rsidR="00F2253B">
        <w:rPr>
          <w:lang w:val="en-AU"/>
        </w:rPr>
        <w:fldChar w:fldCharType="begin"/>
      </w:r>
      <w:r w:rsidR="00F2253B">
        <w:rPr>
          <w:lang w:val="en-AU"/>
        </w:rPr>
        <w:instrText xml:space="preserve"> REF _Ref129182780 \h </w:instrText>
      </w:r>
      <w:r w:rsidR="00F2253B">
        <w:rPr>
          <w:lang w:val="en-AU"/>
        </w:rPr>
      </w:r>
      <w:r w:rsidR="00F2253B">
        <w:rPr>
          <w:lang w:val="en-AU"/>
        </w:rPr>
        <w:fldChar w:fldCharType="separate"/>
      </w:r>
      <w:r w:rsidR="00F2253B">
        <w:t xml:space="preserve">Figure </w:t>
      </w:r>
      <w:r w:rsidR="00F2253B">
        <w:rPr>
          <w:noProof/>
        </w:rPr>
        <w:t>16</w:t>
      </w:r>
      <w:r w:rsidR="00F2253B">
        <w:rPr>
          <w:lang w:val="en-AU"/>
        </w:rPr>
        <w:fldChar w:fldCharType="end"/>
      </w:r>
      <w:r w:rsidR="00A51ACE" w:rsidRPr="005629F8">
        <w:rPr>
          <w:lang w:val="en-AU"/>
        </w:rPr>
        <w:fldChar w:fldCharType="begin"/>
      </w:r>
      <w:r w:rsidR="00A51ACE" w:rsidRPr="005629F8">
        <w:rPr>
          <w:lang w:val="en-AU"/>
        </w:rPr>
        <w:instrText xml:space="preserve"> REF _Ref127976228 \h </w:instrText>
      </w:r>
      <w:r w:rsidR="00A51ACE" w:rsidRPr="005629F8">
        <w:rPr>
          <w:lang w:val="en-AU"/>
        </w:rPr>
      </w:r>
      <w:r w:rsidR="00A51ACE" w:rsidRPr="005629F8">
        <w:rPr>
          <w:lang w:val="en-AU"/>
        </w:rPr>
        <w:fldChar w:fldCharType="end"/>
      </w:r>
      <w:r w:rsidR="00A51ACE" w:rsidRPr="005629F8">
        <w:rPr>
          <w:lang w:val="en-AU"/>
        </w:rPr>
        <w:t xml:space="preserve"> below shows the number of sample separations by jurisdiction across years 2018-19, 2019-20 and 2020-21.</w:t>
      </w:r>
      <w:r w:rsidR="000427AA">
        <w:rPr>
          <w:lang w:val="en-AU"/>
        </w:rPr>
        <w:t xml:space="preserve"> </w:t>
      </w:r>
    </w:p>
    <w:p w14:paraId="0E21DA3F" w14:textId="7574A0D8" w:rsidR="00536475" w:rsidRDefault="000427AA" w:rsidP="005629F8">
      <w:pPr>
        <w:rPr>
          <w:lang w:val="en-AU"/>
        </w:rPr>
      </w:pPr>
      <w:r>
        <w:rPr>
          <w:lang w:val="en-AU"/>
        </w:rPr>
        <w:lastRenderedPageBreak/>
        <w:t>The jurisdictional data is based on the location of private sector facilities.</w:t>
      </w:r>
      <w:r w:rsidR="004B684B">
        <w:rPr>
          <w:lang w:val="en-AU"/>
        </w:rPr>
        <w:t xml:space="preserve"> </w:t>
      </w:r>
      <w:r>
        <w:rPr>
          <w:lang w:val="en-AU"/>
        </w:rPr>
        <w:t xml:space="preserve">The three states comprising </w:t>
      </w:r>
      <w:r w:rsidR="002C5C56">
        <w:rPr>
          <w:lang w:val="en-AU"/>
        </w:rPr>
        <w:t xml:space="preserve">the </w:t>
      </w:r>
      <w:r>
        <w:rPr>
          <w:lang w:val="en-AU"/>
        </w:rPr>
        <w:t xml:space="preserve">most private sector activity in the NHCDC (Victoria, New South </w:t>
      </w:r>
      <w:proofErr w:type="gramStart"/>
      <w:r>
        <w:rPr>
          <w:lang w:val="en-AU"/>
        </w:rPr>
        <w:t>Wales</w:t>
      </w:r>
      <w:proofErr w:type="gramEnd"/>
      <w:r>
        <w:rPr>
          <w:lang w:val="en-AU"/>
        </w:rPr>
        <w:t xml:space="preserve"> and Queensland) are shown separately. The remaining states and territories are grouped </w:t>
      </w:r>
      <w:r w:rsidR="000C464C">
        <w:rPr>
          <w:lang w:val="en-AU"/>
        </w:rPr>
        <w:t xml:space="preserve">under </w:t>
      </w:r>
      <w:r>
        <w:rPr>
          <w:lang w:val="en-AU"/>
        </w:rPr>
        <w:t xml:space="preserve">the </w:t>
      </w:r>
      <w:r w:rsidR="000C464C">
        <w:rPr>
          <w:lang w:val="en-AU"/>
        </w:rPr>
        <w:t>‘</w:t>
      </w:r>
      <w:r>
        <w:rPr>
          <w:lang w:val="en-AU"/>
        </w:rPr>
        <w:t>other’ jurisdiction.</w:t>
      </w:r>
      <w:r w:rsidR="004B684B">
        <w:rPr>
          <w:lang w:val="en-AU"/>
        </w:rPr>
        <w:t xml:space="preserve"> </w:t>
      </w:r>
    </w:p>
    <w:p w14:paraId="1D711BAD" w14:textId="56CEAE8E" w:rsidR="00A51ACE" w:rsidRPr="005629F8" w:rsidRDefault="004B684B" w:rsidP="005629F8">
      <w:pPr>
        <w:rPr>
          <w:lang w:val="en-AU"/>
        </w:rPr>
      </w:pPr>
      <w:r>
        <w:rPr>
          <w:lang w:val="en-AU"/>
        </w:rPr>
        <w:t>Victorian hospitals submitted the highest volume of separations to the NHCDC sample</w:t>
      </w:r>
      <w:r w:rsidR="001234D1">
        <w:rPr>
          <w:lang w:val="en-AU"/>
        </w:rPr>
        <w:t>.</w:t>
      </w:r>
      <w:r>
        <w:rPr>
          <w:lang w:val="en-AU"/>
        </w:rPr>
        <w:t xml:space="preserve"> </w:t>
      </w:r>
      <w:r w:rsidR="001234D1">
        <w:rPr>
          <w:lang w:val="en-AU"/>
        </w:rPr>
        <w:t>A</w:t>
      </w:r>
      <w:r w:rsidR="00536475">
        <w:rPr>
          <w:lang w:val="en-AU"/>
        </w:rPr>
        <w:t>s a result, the 2020-21 NHCDC continues to be impacted by COVID</w:t>
      </w:r>
      <w:r w:rsidR="001234D1">
        <w:rPr>
          <w:lang w:val="en-AU"/>
        </w:rPr>
        <w:t>-19,</w:t>
      </w:r>
      <w:r w:rsidR="00536475">
        <w:rPr>
          <w:lang w:val="en-AU"/>
        </w:rPr>
        <w:t xml:space="preserve"> as Victoria had the most </w:t>
      </w:r>
      <w:r w:rsidR="00536475" w:rsidRPr="00DA6CD0">
        <w:rPr>
          <w:lang w:val="en-AU"/>
        </w:rPr>
        <w:t>restrictions on elective surgeries and lockdowns due to their higher volume of COVID-19 cases</w:t>
      </w:r>
      <w:r w:rsidR="00536475">
        <w:rPr>
          <w:lang w:val="en-AU"/>
        </w:rPr>
        <w:t>.</w:t>
      </w:r>
    </w:p>
    <w:p w14:paraId="079EC29F" w14:textId="273F3E40" w:rsidR="00B90AAB" w:rsidRDefault="00B90AAB" w:rsidP="00E87B16">
      <w:pPr>
        <w:pStyle w:val="TableFigureheading"/>
      </w:pPr>
      <w:bookmarkStart w:id="245" w:name="_Ref129182780"/>
      <w:bookmarkStart w:id="246" w:name="_Toc129263255"/>
      <w:r>
        <w:t xml:space="preserve">Figure </w:t>
      </w:r>
      <w:r>
        <w:fldChar w:fldCharType="begin"/>
      </w:r>
      <w:r>
        <w:instrText xml:space="preserve"> SEQ Figure \* ARABIC </w:instrText>
      </w:r>
      <w:r>
        <w:fldChar w:fldCharType="separate"/>
      </w:r>
      <w:r>
        <w:rPr>
          <w:noProof/>
        </w:rPr>
        <w:t>16</w:t>
      </w:r>
      <w:r>
        <w:fldChar w:fldCharType="end"/>
      </w:r>
      <w:bookmarkEnd w:id="245"/>
      <w:r>
        <w:t>. Total separations by jurisdiction</w:t>
      </w:r>
      <w:bookmarkEnd w:id="246"/>
    </w:p>
    <w:p w14:paraId="64F465B3" w14:textId="08D96A31" w:rsidR="00AA3CAC" w:rsidRPr="005629F8" w:rsidRDefault="005372BF" w:rsidP="005629F8">
      <w:pPr>
        <w:rPr>
          <w:lang w:val="en-AU"/>
        </w:rPr>
      </w:pPr>
      <w:r w:rsidRPr="005372BF">
        <w:rPr>
          <w:noProof/>
          <w:lang w:val="en-US"/>
        </w:rPr>
        <w:drawing>
          <wp:inline distT="0" distB="0" distL="0" distR="0" wp14:anchorId="47B0A172" wp14:editId="01C912BF">
            <wp:extent cx="4958862" cy="2540781"/>
            <wp:effectExtent l="0" t="0" r="0" b="0"/>
            <wp:docPr id="45" name="Picture 45" descr="Total separations by jurisdiction&#10;&#10;This is a column graph which shows the total number of separations by jurisdiction over 2018-19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otal separations by jurisdiction&#10;&#10;This is a column graph which shows the total number of separations by jurisdiction over 2018-19 to 20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5892" cy="2544383"/>
                    </a:xfrm>
                    <a:prstGeom prst="rect">
                      <a:avLst/>
                    </a:prstGeom>
                    <a:noFill/>
                    <a:ln>
                      <a:noFill/>
                    </a:ln>
                  </pic:spPr>
                </pic:pic>
              </a:graphicData>
            </a:graphic>
          </wp:inline>
        </w:drawing>
      </w:r>
    </w:p>
    <w:p w14:paraId="35CC3E5F" w14:textId="3231DC6C" w:rsidR="000427AA" w:rsidRDefault="000427AA" w:rsidP="005629F8">
      <w:pPr>
        <w:rPr>
          <w:lang w:val="en-AU"/>
        </w:rPr>
      </w:pPr>
      <w:r>
        <w:rPr>
          <w:lang w:val="en-AU"/>
        </w:rPr>
        <w:t>Around one-third of private sector activity reported to the 2020-21 NHCDC were from hospitals based in Victoria. Queensland reported around 25 per cent, followed by NSW reporting around 20 per cent.</w:t>
      </w:r>
    </w:p>
    <w:p w14:paraId="6869BBCB" w14:textId="7915C301" w:rsidR="00A51ACE" w:rsidRPr="005629F8" w:rsidRDefault="00A51ACE" w:rsidP="005629F8">
      <w:pPr>
        <w:rPr>
          <w:lang w:val="en-AU"/>
        </w:rPr>
      </w:pPr>
      <w:r w:rsidRPr="005629F8">
        <w:rPr>
          <w:lang w:val="en-AU"/>
        </w:rPr>
        <w:t xml:space="preserve">All jurisdictions </w:t>
      </w:r>
      <w:r w:rsidR="00996578" w:rsidRPr="00DA6CD0">
        <w:rPr>
          <w:lang w:val="en-AU"/>
        </w:rPr>
        <w:t>experienced a reduction in the volume of separations in 2019-20</w:t>
      </w:r>
      <w:r w:rsidR="001234D1">
        <w:rPr>
          <w:lang w:val="en-AU"/>
        </w:rPr>
        <w:t>, with variations</w:t>
      </w:r>
      <w:r w:rsidR="00996578" w:rsidRPr="00DA6CD0">
        <w:rPr>
          <w:lang w:val="en-AU"/>
        </w:rPr>
        <w:t xml:space="preserve"> ranging from -1.9 per cent in Queensland to -9.4 per cent in New South Wales. These reductions in activity were followed by increases in activity </w:t>
      </w:r>
      <w:r w:rsidR="000C464C">
        <w:rPr>
          <w:lang w:val="en-AU"/>
        </w:rPr>
        <w:t>for</w:t>
      </w:r>
      <w:r w:rsidR="00996578" w:rsidRPr="00DA6CD0">
        <w:rPr>
          <w:lang w:val="en-AU"/>
        </w:rPr>
        <w:t xml:space="preserve"> all jurisdictions in 2020-21. New South Wales experienced the largest reduction in the volume of separations in 2019-20 </w:t>
      </w:r>
      <w:r w:rsidR="001234D1">
        <w:rPr>
          <w:lang w:val="en-AU"/>
        </w:rPr>
        <w:t>as well as</w:t>
      </w:r>
      <w:r w:rsidR="00996578" w:rsidRPr="00DA6CD0">
        <w:rPr>
          <w:lang w:val="en-AU"/>
        </w:rPr>
        <w:t xml:space="preserve"> the largest recovery in 2020</w:t>
      </w:r>
      <w:r w:rsidR="002C5C56">
        <w:rPr>
          <w:lang w:val="en-AU"/>
        </w:rPr>
        <w:noBreakHyphen/>
      </w:r>
      <w:r w:rsidR="00996578" w:rsidRPr="00DA6CD0">
        <w:rPr>
          <w:lang w:val="en-AU"/>
        </w:rPr>
        <w:t>21. The total volume of separations for Victoria in 2020-21 remains below 2018-19 levels.</w:t>
      </w:r>
    </w:p>
    <w:p w14:paraId="1C52B8D3" w14:textId="13EB68A3" w:rsidR="00AA3CAC" w:rsidRPr="005629F8" w:rsidRDefault="00996578" w:rsidP="00FC4599">
      <w:pPr>
        <w:pStyle w:val="Heading2"/>
      </w:pPr>
      <w:bookmarkStart w:id="247" w:name="_Toc129700694"/>
      <w:bookmarkStart w:id="248" w:name="_Toc129701387"/>
      <w:r>
        <w:t>Impact on i</w:t>
      </w:r>
      <w:r w:rsidR="00AA3CAC" w:rsidRPr="005629F8">
        <w:t>ntervention</w:t>
      </w:r>
      <w:r>
        <w:t xml:space="preserve"> type activity</w:t>
      </w:r>
      <w:bookmarkEnd w:id="247"/>
      <w:bookmarkEnd w:id="248"/>
    </w:p>
    <w:p w14:paraId="610D9FC0" w14:textId="28139567" w:rsidR="000427AA" w:rsidRDefault="000427AA" w:rsidP="000427AA">
      <w:pPr>
        <w:rPr>
          <w:lang w:val="en-AU"/>
        </w:rPr>
      </w:pPr>
      <w:r>
        <w:rPr>
          <w:lang w:val="en-AU"/>
        </w:rPr>
        <w:t>Through 2020</w:t>
      </w:r>
      <w:r>
        <w:rPr>
          <w:lang w:val="en-AU"/>
        </w:rPr>
        <w:noBreakHyphen/>
        <w:t>21, state governments imposed COVID</w:t>
      </w:r>
      <w:r>
        <w:rPr>
          <w:lang w:val="en-AU"/>
        </w:rPr>
        <w:noBreakHyphen/>
        <w:t xml:space="preserve">19 elective surgery restrictions which were eased in jurisdictions at different points in time. </w:t>
      </w:r>
      <w:r w:rsidR="0047731E" w:rsidRPr="00DA6CD0">
        <w:rPr>
          <w:lang w:val="en-AU"/>
        </w:rPr>
        <w:t xml:space="preserve">Analyses of intervention type </w:t>
      </w:r>
      <w:r w:rsidR="00EC4B3D">
        <w:rPr>
          <w:lang w:val="en-AU"/>
        </w:rPr>
        <w:t>AR-</w:t>
      </w:r>
      <w:r w:rsidR="0047731E" w:rsidRPr="00DA6CD0">
        <w:rPr>
          <w:lang w:val="en-AU"/>
        </w:rPr>
        <w:t xml:space="preserve">DRG activity </w:t>
      </w:r>
      <w:r>
        <w:rPr>
          <w:lang w:val="en-AU"/>
        </w:rPr>
        <w:t xml:space="preserve">(as a proxy for surgery or other procedures) was undertaken to understand how the </w:t>
      </w:r>
      <w:r w:rsidRPr="00DA6CD0">
        <w:rPr>
          <w:lang w:val="en-AU"/>
        </w:rPr>
        <w:t>restrictions may have impacted surgical hospital activity in the private sector</w:t>
      </w:r>
      <w:r>
        <w:rPr>
          <w:lang w:val="en-AU"/>
        </w:rPr>
        <w:t>.</w:t>
      </w:r>
    </w:p>
    <w:p w14:paraId="6AC5E451" w14:textId="1C308481" w:rsidR="00AA3CAC" w:rsidRPr="005629F8" w:rsidRDefault="0047731E" w:rsidP="005629F8">
      <w:pPr>
        <w:rPr>
          <w:lang w:val="en-AU"/>
        </w:rPr>
      </w:pPr>
      <w:r>
        <w:rPr>
          <w:lang w:val="en-AU"/>
        </w:rPr>
        <w:t>A</w:t>
      </w:r>
      <w:r w:rsidRPr="00DA6CD0">
        <w:rPr>
          <w:lang w:val="en-AU"/>
        </w:rPr>
        <w:t xml:space="preserve">pproximately 60 per cent </w:t>
      </w:r>
      <w:r>
        <w:rPr>
          <w:lang w:val="en-AU"/>
        </w:rPr>
        <w:t xml:space="preserve">of separations </w:t>
      </w:r>
      <w:r w:rsidRPr="00DA6CD0">
        <w:rPr>
          <w:lang w:val="en-AU"/>
        </w:rPr>
        <w:t xml:space="preserve">were </w:t>
      </w:r>
      <w:r>
        <w:rPr>
          <w:lang w:val="en-AU"/>
        </w:rPr>
        <w:t xml:space="preserve">classified as intervention type activities based on </w:t>
      </w:r>
      <w:r w:rsidRPr="00DA6CD0">
        <w:rPr>
          <w:lang w:val="en-AU"/>
        </w:rPr>
        <w:t xml:space="preserve">the </w:t>
      </w:r>
      <w:r>
        <w:rPr>
          <w:lang w:val="en-AU"/>
        </w:rPr>
        <w:t xml:space="preserve">grouping in the </w:t>
      </w:r>
      <w:r w:rsidRPr="00DA6CD0">
        <w:rPr>
          <w:lang w:val="en-AU"/>
        </w:rPr>
        <w:t>AR-DRG Version 10.0 classification</w:t>
      </w:r>
      <w:r w:rsidR="00A51ACE" w:rsidRPr="005629F8">
        <w:rPr>
          <w:lang w:val="en-AU"/>
        </w:rPr>
        <w:t>.</w:t>
      </w:r>
    </w:p>
    <w:p w14:paraId="0163341F" w14:textId="2D153863" w:rsidR="00B90AAB" w:rsidRDefault="00A51ACE">
      <w:r w:rsidRPr="005629F8">
        <w:rPr>
          <w:lang w:val="en-AU"/>
        </w:rPr>
        <w:t>The number of intervention and medical episodes both fell in 2019</w:t>
      </w:r>
      <w:r w:rsidRPr="005629F8">
        <w:rPr>
          <w:lang w:val="en-AU"/>
        </w:rPr>
        <w:noBreakHyphen/>
        <w:t xml:space="preserve">20, driven by a fall in activity levels following the outbreak of the COVID-19 pandemic. </w:t>
      </w:r>
      <w:r w:rsidR="00F2253B">
        <w:rPr>
          <w:lang w:val="en-AU"/>
        </w:rPr>
        <w:fldChar w:fldCharType="begin"/>
      </w:r>
      <w:r w:rsidR="00F2253B">
        <w:rPr>
          <w:lang w:val="en-AU"/>
        </w:rPr>
        <w:instrText xml:space="preserve"> REF _Ref129182804 \h </w:instrText>
      </w:r>
      <w:r w:rsidR="00F2253B">
        <w:rPr>
          <w:lang w:val="en-AU"/>
        </w:rPr>
      </w:r>
      <w:r w:rsidR="00F2253B">
        <w:rPr>
          <w:lang w:val="en-AU"/>
        </w:rPr>
        <w:fldChar w:fldCharType="separate"/>
      </w:r>
      <w:r w:rsidR="00F2253B">
        <w:t xml:space="preserve">Figure </w:t>
      </w:r>
      <w:r w:rsidR="00F2253B">
        <w:rPr>
          <w:noProof/>
        </w:rPr>
        <w:t>17</w:t>
      </w:r>
      <w:r w:rsidR="00F2253B">
        <w:rPr>
          <w:lang w:val="en-AU"/>
        </w:rPr>
        <w:fldChar w:fldCharType="end"/>
      </w:r>
      <w:r w:rsidRPr="005629F8">
        <w:rPr>
          <w:lang w:val="en-AU"/>
        </w:rPr>
        <w:fldChar w:fldCharType="begin"/>
      </w:r>
      <w:r w:rsidRPr="005629F8">
        <w:rPr>
          <w:lang w:val="en-AU"/>
        </w:rPr>
        <w:instrText xml:space="preserve"> REF _Ref127976772 \h </w:instrText>
      </w:r>
      <w:r w:rsidRPr="005629F8">
        <w:rPr>
          <w:lang w:val="en-AU"/>
        </w:rPr>
      </w:r>
      <w:r w:rsidRPr="005629F8">
        <w:rPr>
          <w:lang w:val="en-AU"/>
        </w:rPr>
        <w:fldChar w:fldCharType="end"/>
      </w:r>
      <w:r w:rsidRPr="005629F8">
        <w:rPr>
          <w:lang w:val="en-AU"/>
        </w:rPr>
        <w:t xml:space="preserve"> and </w:t>
      </w:r>
      <w:r w:rsidR="00F2253B">
        <w:rPr>
          <w:lang w:val="en-AU"/>
        </w:rPr>
        <w:fldChar w:fldCharType="begin"/>
      </w:r>
      <w:r w:rsidR="00F2253B">
        <w:rPr>
          <w:lang w:val="en-AU"/>
        </w:rPr>
        <w:instrText xml:space="preserve"> REF _Ref129182811 \h </w:instrText>
      </w:r>
      <w:r w:rsidR="00F2253B">
        <w:rPr>
          <w:lang w:val="en-AU"/>
        </w:rPr>
      </w:r>
      <w:r w:rsidR="00F2253B">
        <w:rPr>
          <w:lang w:val="en-AU"/>
        </w:rPr>
        <w:fldChar w:fldCharType="separate"/>
      </w:r>
      <w:r w:rsidR="00F2253B">
        <w:t xml:space="preserve">Figure </w:t>
      </w:r>
      <w:r w:rsidR="00F2253B">
        <w:rPr>
          <w:noProof/>
        </w:rPr>
        <w:t>18</w:t>
      </w:r>
      <w:r w:rsidR="00F2253B">
        <w:rPr>
          <w:lang w:val="en-AU"/>
        </w:rPr>
        <w:fldChar w:fldCharType="end"/>
      </w:r>
      <w:r w:rsidRPr="005629F8">
        <w:rPr>
          <w:lang w:val="en-AU"/>
        </w:rPr>
        <w:fldChar w:fldCharType="begin"/>
      </w:r>
      <w:r w:rsidRPr="005629F8">
        <w:rPr>
          <w:lang w:val="en-AU"/>
        </w:rPr>
        <w:instrText xml:space="preserve"> REF _Ref127976774 \h </w:instrText>
      </w:r>
      <w:r w:rsidRPr="005629F8">
        <w:rPr>
          <w:lang w:val="en-AU"/>
        </w:rPr>
      </w:r>
      <w:r w:rsidRPr="005629F8">
        <w:rPr>
          <w:lang w:val="en-AU"/>
        </w:rPr>
        <w:fldChar w:fldCharType="end"/>
      </w:r>
      <w:r w:rsidRPr="005629F8">
        <w:rPr>
          <w:lang w:val="en-AU"/>
        </w:rPr>
        <w:t xml:space="preserve"> show the separations by month for intervention and medical episodes.</w:t>
      </w:r>
    </w:p>
    <w:p w14:paraId="55D34979" w14:textId="03A28658" w:rsidR="00B90AAB" w:rsidRDefault="00B90AAB" w:rsidP="00E87B16">
      <w:pPr>
        <w:pStyle w:val="TableFigureheading"/>
      </w:pPr>
      <w:bookmarkStart w:id="249" w:name="_Ref129182804"/>
      <w:bookmarkStart w:id="250" w:name="_Toc129263256"/>
      <w:r>
        <w:lastRenderedPageBreak/>
        <w:t xml:space="preserve">Figure </w:t>
      </w:r>
      <w:r>
        <w:fldChar w:fldCharType="begin"/>
      </w:r>
      <w:r>
        <w:instrText xml:space="preserve"> SEQ Figure \* ARABIC </w:instrText>
      </w:r>
      <w:r>
        <w:fldChar w:fldCharType="separate"/>
      </w:r>
      <w:r>
        <w:rPr>
          <w:noProof/>
        </w:rPr>
        <w:t>17</w:t>
      </w:r>
      <w:r>
        <w:fldChar w:fldCharType="end"/>
      </w:r>
      <w:bookmarkEnd w:id="249"/>
      <w:r>
        <w:t>. Separations by month for intervention episodes</w:t>
      </w:r>
      <w:bookmarkEnd w:id="250"/>
    </w:p>
    <w:p w14:paraId="51D18B80" w14:textId="1328BABE" w:rsidR="003244F6" w:rsidRPr="005629F8" w:rsidRDefault="005372BF">
      <w:pPr>
        <w:rPr>
          <w:highlight w:val="yellow"/>
          <w:lang w:val="en-AU"/>
        </w:rPr>
      </w:pPr>
      <w:r w:rsidRPr="005629F8">
        <w:rPr>
          <w:noProof/>
          <w:lang w:val="en-US"/>
        </w:rPr>
        <w:drawing>
          <wp:inline distT="0" distB="0" distL="0" distR="0" wp14:anchorId="15E0C656" wp14:editId="784E4F71">
            <wp:extent cx="4439715" cy="2549769"/>
            <wp:effectExtent l="0" t="0" r="0" b="3175"/>
            <wp:docPr id="46" name="Picture 46" descr="This line graph shows the total number of separations by month for intervention episodes over the past three years." title="Separations by month for intervention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49135" cy="2555179"/>
                    </a:xfrm>
                    <a:prstGeom prst="rect">
                      <a:avLst/>
                    </a:prstGeom>
                    <a:noFill/>
                    <a:ln>
                      <a:noFill/>
                    </a:ln>
                  </pic:spPr>
                </pic:pic>
              </a:graphicData>
            </a:graphic>
          </wp:inline>
        </w:drawing>
      </w:r>
    </w:p>
    <w:p w14:paraId="393418F5" w14:textId="4D6D4F7B" w:rsidR="00B90AAB" w:rsidRDefault="00B90AAB" w:rsidP="00E87B16">
      <w:pPr>
        <w:pStyle w:val="TableFigureheading"/>
      </w:pPr>
      <w:bookmarkStart w:id="251" w:name="_Ref129182811"/>
      <w:bookmarkStart w:id="252" w:name="_Toc129263257"/>
      <w:r>
        <w:t xml:space="preserve">Figure </w:t>
      </w:r>
      <w:r>
        <w:fldChar w:fldCharType="begin"/>
      </w:r>
      <w:r>
        <w:instrText xml:space="preserve"> SEQ Figure \* ARABIC </w:instrText>
      </w:r>
      <w:r>
        <w:fldChar w:fldCharType="separate"/>
      </w:r>
      <w:r>
        <w:rPr>
          <w:noProof/>
        </w:rPr>
        <w:t>18</w:t>
      </w:r>
      <w:r>
        <w:fldChar w:fldCharType="end"/>
      </w:r>
      <w:bookmarkEnd w:id="251"/>
      <w:r>
        <w:t>. Separations by month for medical episodes</w:t>
      </w:r>
      <w:bookmarkEnd w:id="252"/>
    </w:p>
    <w:p w14:paraId="6AEDA6A5" w14:textId="1033FD74" w:rsidR="00A51ACE" w:rsidRPr="005629F8" w:rsidRDefault="00FA60FD" w:rsidP="005629F8">
      <w:pPr>
        <w:rPr>
          <w:highlight w:val="yellow"/>
          <w:lang w:val="en-AU"/>
        </w:rPr>
      </w:pPr>
      <w:r w:rsidRPr="005629F8">
        <w:rPr>
          <w:noProof/>
          <w:lang w:val="en-US"/>
        </w:rPr>
        <w:drawing>
          <wp:inline distT="0" distB="0" distL="0" distR="0" wp14:anchorId="702FF333" wp14:editId="783DFEC9">
            <wp:extent cx="4296949" cy="2637692"/>
            <wp:effectExtent l="0" t="0" r="8890" b="0"/>
            <wp:docPr id="49" name="Picture 49" descr="This line graph shows the number of separations by month for medical episodes, over the past three years." title="Separations by month for medical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836" cy="2652355"/>
                    </a:xfrm>
                    <a:prstGeom prst="rect">
                      <a:avLst/>
                    </a:prstGeom>
                    <a:noFill/>
                    <a:ln>
                      <a:noFill/>
                    </a:ln>
                  </pic:spPr>
                </pic:pic>
              </a:graphicData>
            </a:graphic>
          </wp:inline>
        </w:drawing>
      </w:r>
    </w:p>
    <w:p w14:paraId="167FF2B7" w14:textId="5146F4B4" w:rsidR="00A51ACE" w:rsidRPr="005629F8" w:rsidRDefault="0047731E" w:rsidP="00AA3CAC">
      <w:pPr>
        <w:rPr>
          <w:lang w:val="en-AU"/>
        </w:rPr>
      </w:pPr>
      <w:r w:rsidRPr="00DA6CD0">
        <w:rPr>
          <w:lang w:val="en-AU"/>
        </w:rPr>
        <w:t xml:space="preserve">Both intervention and medical episodes saw a lower volume of activity in the last quarter of 2020. Intervention type episodes </w:t>
      </w:r>
      <w:proofErr w:type="gramStart"/>
      <w:r w:rsidRPr="00DA6CD0">
        <w:rPr>
          <w:lang w:val="en-AU"/>
        </w:rPr>
        <w:t>in particular had</w:t>
      </w:r>
      <w:proofErr w:type="gramEnd"/>
      <w:r w:rsidRPr="00DA6CD0">
        <w:rPr>
          <w:lang w:val="en-AU"/>
        </w:rPr>
        <w:t xml:space="preserve"> </w:t>
      </w:r>
      <w:r w:rsidR="00321269">
        <w:rPr>
          <w:lang w:val="en-AU"/>
        </w:rPr>
        <w:t xml:space="preserve">significantly lower levels of activity in April and May 2020 (54.2 and 31.6 per cent lower than April and May 2019 respectively). </w:t>
      </w:r>
      <w:r w:rsidRPr="00DA6CD0">
        <w:rPr>
          <w:lang w:val="en-AU"/>
        </w:rPr>
        <w:t xml:space="preserve">This compares to 23.0 and 21.0 per cent decreases for medical episodes. These reductions were driven by the COVID-19 responses for New South Wales and Victoria who had </w:t>
      </w:r>
      <w:r w:rsidR="00DD218D">
        <w:rPr>
          <w:lang w:val="en-AU"/>
        </w:rPr>
        <w:t>tougher</w:t>
      </w:r>
      <w:r w:rsidR="00DD218D" w:rsidRPr="00DA6CD0">
        <w:rPr>
          <w:lang w:val="en-AU"/>
        </w:rPr>
        <w:t xml:space="preserve"> </w:t>
      </w:r>
      <w:r w:rsidRPr="00DA6CD0">
        <w:rPr>
          <w:lang w:val="en-AU"/>
        </w:rPr>
        <w:t>elective surgery restrictions</w:t>
      </w:r>
      <w:r>
        <w:rPr>
          <w:lang w:val="en-AU"/>
        </w:rPr>
        <w:t>.</w:t>
      </w:r>
    </w:p>
    <w:p w14:paraId="401A24EB" w14:textId="4A7484AE" w:rsidR="00A51ACE" w:rsidRPr="005629F8" w:rsidRDefault="00A51ACE" w:rsidP="005629F8">
      <w:pPr>
        <w:spacing w:line="259" w:lineRule="auto"/>
        <w:rPr>
          <w:lang w:val="en-AU"/>
        </w:rPr>
      </w:pPr>
      <w:r w:rsidRPr="005629F8">
        <w:rPr>
          <w:lang w:val="en-AU"/>
        </w:rPr>
        <w:br w:type="page"/>
      </w:r>
    </w:p>
    <w:p w14:paraId="63CE763C" w14:textId="369DE3AC" w:rsidR="00B76B05" w:rsidRPr="00E87B16" w:rsidRDefault="00B76B05" w:rsidP="00E87B16">
      <w:pPr>
        <w:pStyle w:val="Heading1"/>
        <w:numPr>
          <w:ilvl w:val="0"/>
          <w:numId w:val="0"/>
        </w:numPr>
        <w:rPr>
          <w:sz w:val="48"/>
          <w:szCs w:val="48"/>
        </w:rPr>
      </w:pPr>
      <w:bookmarkStart w:id="253" w:name="_Toc106888110"/>
      <w:bookmarkStart w:id="254" w:name="_Toc129701388"/>
      <w:r w:rsidRPr="00E87B16">
        <w:rPr>
          <w:sz w:val="48"/>
          <w:szCs w:val="48"/>
        </w:rPr>
        <w:lastRenderedPageBreak/>
        <w:t>Appendix A: Methodology</w:t>
      </w:r>
      <w:bookmarkEnd w:id="253"/>
      <w:bookmarkEnd w:id="254"/>
    </w:p>
    <w:p w14:paraId="075BDBAE" w14:textId="77777777" w:rsidR="00B76B05" w:rsidRPr="005629F8" w:rsidRDefault="00B76B05" w:rsidP="00B76B05">
      <w:pPr>
        <w:rPr>
          <w:lang w:val="en-AU"/>
        </w:rPr>
      </w:pPr>
      <w:r w:rsidRPr="005629F8">
        <w:rPr>
          <w:lang w:val="en-AU"/>
        </w:rPr>
        <w:t>There</w:t>
      </w:r>
      <w:r w:rsidRPr="005629F8">
        <w:rPr>
          <w:spacing w:val="-3"/>
          <w:lang w:val="en-AU"/>
        </w:rPr>
        <w:t xml:space="preserve"> </w:t>
      </w:r>
      <w:r w:rsidRPr="005629F8">
        <w:rPr>
          <w:lang w:val="en-AU"/>
        </w:rPr>
        <w:t>are</w:t>
      </w:r>
      <w:r w:rsidRPr="005629F8">
        <w:rPr>
          <w:spacing w:val="-2"/>
          <w:lang w:val="en-AU"/>
        </w:rPr>
        <w:t xml:space="preserve"> </w:t>
      </w:r>
      <w:r w:rsidRPr="005629F8">
        <w:rPr>
          <w:lang w:val="en-AU"/>
        </w:rPr>
        <w:t>eight</w:t>
      </w:r>
      <w:r w:rsidRPr="005629F8">
        <w:rPr>
          <w:spacing w:val="-3"/>
          <w:lang w:val="en-AU"/>
        </w:rPr>
        <w:t xml:space="preserve"> </w:t>
      </w:r>
      <w:r w:rsidRPr="005629F8">
        <w:rPr>
          <w:lang w:val="en-AU"/>
        </w:rPr>
        <w:t>stages</w:t>
      </w:r>
      <w:r w:rsidRPr="005629F8">
        <w:rPr>
          <w:spacing w:val="-2"/>
          <w:lang w:val="en-AU"/>
        </w:rPr>
        <w:t xml:space="preserve"> </w:t>
      </w:r>
      <w:r w:rsidRPr="005629F8">
        <w:rPr>
          <w:lang w:val="en-AU"/>
        </w:rPr>
        <w:t>of</w:t>
      </w:r>
      <w:r w:rsidRPr="005629F8">
        <w:rPr>
          <w:spacing w:val="-3"/>
          <w:lang w:val="en-AU"/>
        </w:rPr>
        <w:t xml:space="preserve"> </w:t>
      </w:r>
      <w:r w:rsidRPr="005629F8">
        <w:rPr>
          <w:lang w:val="en-AU"/>
        </w:rPr>
        <w:t>the</w:t>
      </w:r>
      <w:r w:rsidRPr="005629F8">
        <w:rPr>
          <w:spacing w:val="-4"/>
          <w:lang w:val="en-AU"/>
        </w:rPr>
        <w:t xml:space="preserve"> </w:t>
      </w:r>
      <w:r w:rsidRPr="005629F8">
        <w:rPr>
          <w:lang w:val="en-AU"/>
        </w:rPr>
        <w:t>private</w:t>
      </w:r>
      <w:r w:rsidRPr="005629F8">
        <w:rPr>
          <w:spacing w:val="-1"/>
          <w:lang w:val="en-AU"/>
        </w:rPr>
        <w:t xml:space="preserve"> </w:t>
      </w:r>
      <w:r w:rsidRPr="005629F8">
        <w:rPr>
          <w:lang w:val="en-AU"/>
        </w:rPr>
        <w:t>sector</w:t>
      </w:r>
      <w:r w:rsidRPr="005629F8">
        <w:rPr>
          <w:spacing w:val="-3"/>
          <w:lang w:val="en-AU"/>
        </w:rPr>
        <w:t xml:space="preserve"> </w:t>
      </w:r>
      <w:r w:rsidRPr="005629F8">
        <w:rPr>
          <w:lang w:val="en-AU"/>
        </w:rPr>
        <w:t>NHCDC</w:t>
      </w:r>
      <w:r w:rsidRPr="005629F8">
        <w:rPr>
          <w:spacing w:val="-2"/>
          <w:lang w:val="en-AU"/>
        </w:rPr>
        <w:t xml:space="preserve"> process</w:t>
      </w:r>
      <w:r w:rsidRPr="005629F8">
        <w:rPr>
          <w:lang w:val="en-AU"/>
        </w:rPr>
        <w:t>.</w:t>
      </w:r>
    </w:p>
    <w:p w14:paraId="6A07523D" w14:textId="43775C90" w:rsidR="00B76B05" w:rsidRPr="005629F8" w:rsidRDefault="00B76B05" w:rsidP="00FC4599">
      <w:pPr>
        <w:pStyle w:val="Heading2"/>
      </w:pPr>
      <w:r w:rsidRPr="005629F8">
        <w:rPr>
          <w:spacing w:val="-58"/>
        </w:rPr>
        <w:t xml:space="preserve"> </w:t>
      </w:r>
      <w:bookmarkStart w:id="255" w:name="_Toc129700696"/>
      <w:bookmarkStart w:id="256" w:name="_Toc129701389"/>
      <w:r w:rsidRPr="005629F8">
        <w:t>Stage</w:t>
      </w:r>
      <w:r w:rsidRPr="005629F8">
        <w:rPr>
          <w:spacing w:val="-3"/>
        </w:rPr>
        <w:t xml:space="preserve"> </w:t>
      </w:r>
      <w:r w:rsidRPr="005629F8">
        <w:t>1:</w:t>
      </w:r>
      <w:r w:rsidRPr="005629F8">
        <w:rPr>
          <w:spacing w:val="2"/>
        </w:rPr>
        <w:t xml:space="preserve"> </w:t>
      </w:r>
      <w:r w:rsidRPr="005629F8">
        <w:t>Stakeholder</w:t>
      </w:r>
      <w:r w:rsidRPr="005629F8">
        <w:rPr>
          <w:spacing w:val="1"/>
        </w:rPr>
        <w:t xml:space="preserve"> </w:t>
      </w:r>
      <w:r w:rsidRPr="005629F8">
        <w:t>engagement</w:t>
      </w:r>
      <w:bookmarkEnd w:id="255"/>
      <w:bookmarkEnd w:id="256"/>
    </w:p>
    <w:p w14:paraId="35EAEF8E" w14:textId="776FFE29" w:rsidR="00B76B05" w:rsidRPr="005629F8" w:rsidRDefault="00BE3E10" w:rsidP="00B76B05">
      <w:pPr>
        <w:rPr>
          <w:lang w:val="en-AU"/>
        </w:rPr>
      </w:pPr>
      <w:r w:rsidRPr="005629F8">
        <w:rPr>
          <w:lang w:val="en-AU"/>
        </w:rPr>
        <w:t>IHACPA</w:t>
      </w:r>
      <w:r w:rsidR="00B76B05" w:rsidRPr="005629F8">
        <w:rPr>
          <w:lang w:val="en-AU"/>
        </w:rPr>
        <w:t xml:space="preserve"> sought costed data directly from private hospitals for the private sector NHCDC. Participants were requested to provide a methodology that outlined their costing processes.</w:t>
      </w:r>
    </w:p>
    <w:p w14:paraId="10F4D961" w14:textId="6151CBFC" w:rsidR="00B76B05" w:rsidRPr="005629F8" w:rsidRDefault="00B76B05" w:rsidP="00FC4599">
      <w:pPr>
        <w:pStyle w:val="Heading2"/>
      </w:pPr>
      <w:bookmarkStart w:id="257" w:name="_Toc129700697"/>
      <w:bookmarkStart w:id="258" w:name="_Toc129701390"/>
      <w:r w:rsidRPr="005629F8">
        <w:t>Stage</w:t>
      </w:r>
      <w:r w:rsidRPr="005629F8">
        <w:rPr>
          <w:spacing w:val="-3"/>
        </w:rPr>
        <w:t xml:space="preserve"> </w:t>
      </w:r>
      <w:r w:rsidRPr="005629F8">
        <w:t>2:</w:t>
      </w:r>
      <w:r w:rsidRPr="005629F8">
        <w:rPr>
          <w:spacing w:val="2"/>
        </w:rPr>
        <w:t xml:space="preserve"> </w:t>
      </w:r>
      <w:r w:rsidRPr="005629F8">
        <w:t>Data</w:t>
      </w:r>
      <w:r w:rsidRPr="005629F8">
        <w:rPr>
          <w:spacing w:val="-3"/>
        </w:rPr>
        <w:t xml:space="preserve"> </w:t>
      </w:r>
      <w:r w:rsidRPr="005629F8">
        <w:t>collection</w:t>
      </w:r>
      <w:bookmarkEnd w:id="257"/>
      <w:bookmarkEnd w:id="258"/>
    </w:p>
    <w:p w14:paraId="1C4419F5" w14:textId="74698514" w:rsidR="00B76B05" w:rsidRPr="005629F8" w:rsidRDefault="00B76B05" w:rsidP="00B76B05">
      <w:pPr>
        <w:rPr>
          <w:lang w:val="en-AU"/>
        </w:rPr>
      </w:pPr>
      <w:r w:rsidRPr="005629F8">
        <w:rPr>
          <w:lang w:val="en-AU"/>
        </w:rPr>
        <w:t xml:space="preserve">At the commencement of the data collection phase, a </w:t>
      </w:r>
      <w:r w:rsidR="00D97C80">
        <w:rPr>
          <w:lang w:val="en-AU"/>
        </w:rPr>
        <w:t>d</w:t>
      </w:r>
      <w:r w:rsidRPr="005629F8">
        <w:rPr>
          <w:lang w:val="en-AU"/>
        </w:rPr>
        <w:t xml:space="preserve">ata </w:t>
      </w:r>
      <w:r w:rsidR="00D97C80">
        <w:rPr>
          <w:lang w:val="en-AU"/>
        </w:rPr>
        <w:t>r</w:t>
      </w:r>
      <w:r w:rsidRPr="005629F8">
        <w:rPr>
          <w:lang w:val="en-AU"/>
        </w:rPr>
        <w:t xml:space="preserve">equest </w:t>
      </w:r>
      <w:r w:rsidR="00D97C80">
        <w:rPr>
          <w:lang w:val="en-AU"/>
        </w:rPr>
        <w:t>s</w:t>
      </w:r>
      <w:r w:rsidRPr="005629F8">
        <w:rPr>
          <w:lang w:val="en-AU"/>
        </w:rPr>
        <w:t xml:space="preserve">pecification (DRS) for </w:t>
      </w:r>
      <w:r w:rsidR="00DD218D">
        <w:rPr>
          <w:lang w:val="en-AU"/>
        </w:rPr>
        <w:t xml:space="preserve">the </w:t>
      </w:r>
      <w:r w:rsidR="00A96EDB" w:rsidRPr="005629F8">
        <w:rPr>
          <w:lang w:val="en-AU"/>
        </w:rPr>
        <w:t>20</w:t>
      </w:r>
      <w:r w:rsidR="00C82F8C">
        <w:rPr>
          <w:lang w:val="en-AU"/>
        </w:rPr>
        <w:t>20</w:t>
      </w:r>
      <w:r w:rsidR="00C82F8C">
        <w:rPr>
          <w:lang w:val="en-AU"/>
        </w:rPr>
        <w:noBreakHyphen/>
      </w:r>
      <w:r w:rsidR="00A96EDB" w:rsidRPr="005629F8">
        <w:rPr>
          <w:lang w:val="en-AU"/>
        </w:rPr>
        <w:t>21</w:t>
      </w:r>
      <w:r w:rsidRPr="005629F8">
        <w:rPr>
          <w:lang w:val="en-AU"/>
        </w:rPr>
        <w:t xml:space="preserve"> private </w:t>
      </w:r>
      <w:r w:rsidR="00DD218D">
        <w:rPr>
          <w:lang w:val="en-AU"/>
        </w:rPr>
        <w:t>sector</w:t>
      </w:r>
      <w:r w:rsidR="00DD218D" w:rsidRPr="005629F8">
        <w:rPr>
          <w:lang w:val="en-AU"/>
        </w:rPr>
        <w:t xml:space="preserve"> </w:t>
      </w:r>
      <w:r w:rsidRPr="005629F8">
        <w:rPr>
          <w:lang w:val="en-AU"/>
        </w:rPr>
        <w:t>NHCDC was prepared and distributed to all participants.</w:t>
      </w:r>
    </w:p>
    <w:p w14:paraId="015BB3E5" w14:textId="77777777" w:rsidR="00B76B05" w:rsidRPr="005629F8" w:rsidRDefault="00B76B05" w:rsidP="00B76B05">
      <w:pPr>
        <w:rPr>
          <w:lang w:val="en-AU"/>
        </w:rPr>
      </w:pPr>
      <w:r w:rsidRPr="005629F8">
        <w:rPr>
          <w:lang w:val="en-AU"/>
        </w:rPr>
        <w:t>Participants performed their own data collection.</w:t>
      </w:r>
    </w:p>
    <w:p w14:paraId="7BA49CEC" w14:textId="2988B63D" w:rsidR="00B76B05" w:rsidRPr="005629F8" w:rsidRDefault="00B76B05" w:rsidP="00FC4599">
      <w:pPr>
        <w:pStyle w:val="Heading2"/>
      </w:pPr>
      <w:bookmarkStart w:id="259" w:name="_Toc129700698"/>
      <w:bookmarkStart w:id="260" w:name="_Toc129701391"/>
      <w:r w:rsidRPr="005629F8">
        <w:t>Stage 3: Data preparation</w:t>
      </w:r>
      <w:bookmarkEnd w:id="259"/>
      <w:bookmarkEnd w:id="260"/>
    </w:p>
    <w:p w14:paraId="75251087" w14:textId="4B4568A4" w:rsidR="00B76B05" w:rsidRPr="005629F8" w:rsidRDefault="00B76B05" w:rsidP="00B76B05">
      <w:pPr>
        <w:rPr>
          <w:lang w:val="en-AU"/>
        </w:rPr>
      </w:pPr>
      <w:r w:rsidRPr="005629F8">
        <w:rPr>
          <w:lang w:val="en-AU"/>
        </w:rPr>
        <w:t>Participants performed their own quality assurance checks on their data to verify that they were appropriate to use in their costing process</w:t>
      </w:r>
      <w:r w:rsidR="00DD218D">
        <w:rPr>
          <w:lang w:val="en-AU"/>
        </w:rPr>
        <w:t>es</w:t>
      </w:r>
      <w:r w:rsidRPr="005629F8">
        <w:rPr>
          <w:lang w:val="en-AU"/>
        </w:rPr>
        <w:t>.</w:t>
      </w:r>
    </w:p>
    <w:p w14:paraId="29F8028E" w14:textId="77BFD940" w:rsidR="00B76B05" w:rsidRPr="005629F8" w:rsidRDefault="00B76B05" w:rsidP="00FC4599">
      <w:pPr>
        <w:pStyle w:val="Heading2"/>
      </w:pPr>
      <w:bookmarkStart w:id="261" w:name="_Toc129700699"/>
      <w:bookmarkStart w:id="262" w:name="_Toc129701392"/>
      <w:r w:rsidRPr="005629F8">
        <w:t>Stage</w:t>
      </w:r>
      <w:r w:rsidRPr="005629F8">
        <w:rPr>
          <w:spacing w:val="-5"/>
        </w:rPr>
        <w:t xml:space="preserve"> </w:t>
      </w:r>
      <w:r w:rsidRPr="005629F8">
        <w:t>4: Costing</w:t>
      </w:r>
      <w:bookmarkEnd w:id="261"/>
      <w:bookmarkEnd w:id="262"/>
    </w:p>
    <w:p w14:paraId="2A86D0A3" w14:textId="2F9C59DF" w:rsidR="00B76B05" w:rsidRPr="005629F8" w:rsidRDefault="00B76B05" w:rsidP="00B76B05">
      <w:pPr>
        <w:rPr>
          <w:lang w:val="en-AU"/>
        </w:rPr>
      </w:pPr>
      <w:r w:rsidRPr="005629F8">
        <w:rPr>
          <w:lang w:val="en-AU"/>
        </w:rPr>
        <w:t xml:space="preserve">The costing phase involved participants performing episode-level </w:t>
      </w:r>
      <w:r w:rsidR="00DD0195">
        <w:rPr>
          <w:lang w:val="en-AU"/>
        </w:rPr>
        <w:t xml:space="preserve">and phase-level (where available) </w:t>
      </w:r>
      <w:r w:rsidRPr="005629F8">
        <w:rPr>
          <w:lang w:val="en-AU"/>
        </w:rPr>
        <w:t>costing using commercial costing software.</w:t>
      </w:r>
    </w:p>
    <w:p w14:paraId="10FEC8E5" w14:textId="386367D7" w:rsidR="00B76B05" w:rsidRPr="005629F8" w:rsidRDefault="00B76B05" w:rsidP="00FC4599">
      <w:pPr>
        <w:pStyle w:val="Heading2"/>
      </w:pPr>
      <w:bookmarkStart w:id="263" w:name="_Toc129700700"/>
      <w:bookmarkStart w:id="264" w:name="_Toc129701393"/>
      <w:r w:rsidRPr="005629F8">
        <w:t>Stage</w:t>
      </w:r>
      <w:r w:rsidRPr="005629F8">
        <w:rPr>
          <w:spacing w:val="-3"/>
        </w:rPr>
        <w:t xml:space="preserve"> </w:t>
      </w:r>
      <w:r w:rsidRPr="005629F8">
        <w:t>5:</w:t>
      </w:r>
      <w:r w:rsidRPr="005629F8">
        <w:rPr>
          <w:spacing w:val="1"/>
        </w:rPr>
        <w:t xml:space="preserve"> </w:t>
      </w:r>
      <w:r w:rsidRPr="005629F8">
        <w:t>Data</w:t>
      </w:r>
      <w:r w:rsidRPr="005629F8">
        <w:rPr>
          <w:spacing w:val="-3"/>
        </w:rPr>
        <w:t xml:space="preserve"> </w:t>
      </w:r>
      <w:r w:rsidRPr="005629F8">
        <w:t>submission</w:t>
      </w:r>
      <w:bookmarkEnd w:id="263"/>
      <w:bookmarkEnd w:id="264"/>
    </w:p>
    <w:p w14:paraId="196DBE34" w14:textId="0E08505E" w:rsidR="00B76B05" w:rsidRPr="005629F8" w:rsidRDefault="00BE3E10" w:rsidP="00B76B05">
      <w:pPr>
        <w:rPr>
          <w:lang w:val="en-AU"/>
        </w:rPr>
      </w:pPr>
      <w:r w:rsidRPr="005629F8">
        <w:rPr>
          <w:lang w:val="en-AU"/>
        </w:rPr>
        <w:t>IHACPA</w:t>
      </w:r>
      <w:r w:rsidR="00B76B05" w:rsidRPr="005629F8">
        <w:rPr>
          <w:lang w:val="en-AU"/>
        </w:rPr>
        <w:t xml:space="preserve"> required that the participating hospital groups submit data in accordance with the DRS, along with a data quality checklist that set out the hospital costing process. The various costing methodologies used by private sector hospitals are outlined in </w:t>
      </w:r>
      <w:r w:rsidR="00B76B05" w:rsidRPr="005629F8">
        <w:rPr>
          <w:lang w:val="en-AU"/>
        </w:rPr>
        <w:fldChar w:fldCharType="begin"/>
      </w:r>
      <w:r w:rsidR="00B76B05" w:rsidRPr="005629F8">
        <w:rPr>
          <w:lang w:val="en-AU"/>
        </w:rPr>
        <w:instrText xml:space="preserve"> REF _Ref103176206 \h  \* MERGEFORMAT </w:instrText>
      </w:r>
      <w:r w:rsidR="00B76B05" w:rsidRPr="005629F8">
        <w:rPr>
          <w:lang w:val="en-AU"/>
        </w:rPr>
      </w:r>
      <w:r w:rsidR="00B76B05" w:rsidRPr="005629F8">
        <w:rPr>
          <w:lang w:val="en-AU"/>
        </w:rPr>
        <w:fldChar w:fldCharType="separate"/>
      </w:r>
      <w:r w:rsidR="00F2253B" w:rsidRPr="00F2253B">
        <w:rPr>
          <w:lang w:val="en-AU"/>
        </w:rPr>
        <w:t>Appendix B: Private sector costing approaches</w:t>
      </w:r>
      <w:r w:rsidR="00B76B05" w:rsidRPr="005629F8">
        <w:rPr>
          <w:lang w:val="en-AU"/>
        </w:rPr>
        <w:fldChar w:fldCharType="end"/>
      </w:r>
      <w:r w:rsidR="00B76B05" w:rsidRPr="005629F8">
        <w:rPr>
          <w:lang w:val="en-AU"/>
        </w:rPr>
        <w:t>.</w:t>
      </w:r>
    </w:p>
    <w:p w14:paraId="22268F88" w14:textId="77777777" w:rsidR="00B76B05" w:rsidRPr="005629F8" w:rsidRDefault="00B76B05" w:rsidP="00B76B05">
      <w:pPr>
        <w:rPr>
          <w:lang w:val="en-AU"/>
        </w:rPr>
      </w:pPr>
      <w:r w:rsidRPr="005629F8">
        <w:rPr>
          <w:lang w:val="en-AU"/>
        </w:rPr>
        <w:t>Participants were informed of the timeframes for the costed data collection and provided access to a secure data portal to upload and submit their data.</w:t>
      </w:r>
    </w:p>
    <w:p w14:paraId="3C5D288D" w14:textId="1BD3A01E" w:rsidR="00B76B05" w:rsidRPr="005629F8" w:rsidRDefault="00B76B05" w:rsidP="00FC4599">
      <w:pPr>
        <w:pStyle w:val="Heading2"/>
      </w:pPr>
      <w:bookmarkStart w:id="265" w:name="_Toc129700701"/>
      <w:bookmarkStart w:id="266" w:name="_Toc129701394"/>
      <w:r w:rsidRPr="005629F8">
        <w:t>Stage</w:t>
      </w:r>
      <w:r w:rsidRPr="005629F8">
        <w:rPr>
          <w:spacing w:val="-3"/>
        </w:rPr>
        <w:t xml:space="preserve"> </w:t>
      </w:r>
      <w:r w:rsidRPr="005629F8">
        <w:t>6:</w:t>
      </w:r>
      <w:r w:rsidRPr="005629F8">
        <w:rPr>
          <w:spacing w:val="1"/>
        </w:rPr>
        <w:t xml:space="preserve"> </w:t>
      </w:r>
      <w:r w:rsidRPr="005629F8">
        <w:t>Data</w:t>
      </w:r>
      <w:r w:rsidRPr="005629F8">
        <w:rPr>
          <w:spacing w:val="-3"/>
        </w:rPr>
        <w:t xml:space="preserve"> </w:t>
      </w:r>
      <w:r w:rsidRPr="005629F8">
        <w:t>validation</w:t>
      </w:r>
      <w:r w:rsidRPr="005629F8">
        <w:rPr>
          <w:spacing w:val="-1"/>
        </w:rPr>
        <w:t xml:space="preserve"> </w:t>
      </w:r>
      <w:r w:rsidRPr="005629F8">
        <w:t>and</w:t>
      </w:r>
      <w:r w:rsidRPr="005629F8">
        <w:rPr>
          <w:spacing w:val="-2"/>
        </w:rPr>
        <w:t xml:space="preserve"> </w:t>
      </w:r>
      <w:r w:rsidRPr="005629F8">
        <w:t>quality</w:t>
      </w:r>
      <w:r w:rsidRPr="005629F8">
        <w:rPr>
          <w:spacing w:val="-3"/>
        </w:rPr>
        <w:t xml:space="preserve"> </w:t>
      </w:r>
      <w:r w:rsidRPr="005629F8">
        <w:t>assurance</w:t>
      </w:r>
      <w:bookmarkEnd w:id="265"/>
      <w:bookmarkEnd w:id="266"/>
    </w:p>
    <w:p w14:paraId="5CE98263" w14:textId="68DB1A89" w:rsidR="00B76B05" w:rsidRPr="005629F8" w:rsidRDefault="00B76B05" w:rsidP="004325C3">
      <w:pPr>
        <w:rPr>
          <w:lang w:val="en-AU"/>
        </w:rPr>
      </w:pPr>
      <w:r w:rsidRPr="005629F8">
        <w:rPr>
          <w:lang w:val="en-AU"/>
        </w:rPr>
        <w:t xml:space="preserve">Participants were required to submit their costed data as csv files, which passed data checks documented in the DRS. </w:t>
      </w:r>
      <w:r w:rsidR="00BE3E10" w:rsidRPr="005629F8">
        <w:rPr>
          <w:lang w:val="en-AU"/>
        </w:rPr>
        <w:t>IHACPA</w:t>
      </w:r>
      <w:r w:rsidRPr="005629F8">
        <w:rPr>
          <w:lang w:val="en-AU"/>
        </w:rPr>
        <w:t xml:space="preserve"> accepted data with zero critical errors. Hospitals submitted at least 90 per cent of the establishment’s total in-scope activity.</w:t>
      </w:r>
    </w:p>
    <w:p w14:paraId="053BEFA7" w14:textId="77777777" w:rsidR="00B76B05" w:rsidRPr="005629F8" w:rsidRDefault="00B76B05" w:rsidP="004325C3">
      <w:pPr>
        <w:rPr>
          <w:lang w:val="en-AU"/>
        </w:rPr>
      </w:pPr>
      <w:r w:rsidRPr="005629F8">
        <w:rPr>
          <w:lang w:val="en-AU"/>
        </w:rPr>
        <w:t>Where the costed data did not meet the DRS requirements, participants were asked to review the files and make the necessary changes before resubmitting the data.</w:t>
      </w:r>
    </w:p>
    <w:p w14:paraId="767912BF" w14:textId="0F233652" w:rsidR="008E00F1" w:rsidRDefault="00B76B05" w:rsidP="004325C3">
      <w:pPr>
        <w:rPr>
          <w:lang w:val="en-AU"/>
        </w:rPr>
      </w:pPr>
      <w:r w:rsidRPr="005629F8">
        <w:rPr>
          <w:lang w:val="en-AU"/>
        </w:rPr>
        <w:t>Once the data was validated, quality assurance (QA) reports were produced to assist participants in confirming the accuracy and suitability of the</w:t>
      </w:r>
      <w:r w:rsidR="00DD218D">
        <w:rPr>
          <w:lang w:val="en-AU"/>
        </w:rPr>
        <w:t>ir</w:t>
      </w:r>
      <w:r w:rsidRPr="005629F8">
        <w:rPr>
          <w:lang w:val="en-AU"/>
        </w:rPr>
        <w:t xml:space="preserve"> data submission. These included checks in areas </w:t>
      </w:r>
      <w:r w:rsidRPr="005629F8">
        <w:rPr>
          <w:lang w:val="en-AU"/>
        </w:rPr>
        <w:lastRenderedPageBreak/>
        <w:t>with potential to have a material impact on results, such as zero or negative cost buckets, extreme high or low</w:t>
      </w:r>
      <w:r w:rsidR="00EB2C7F">
        <w:rPr>
          <w:lang w:val="en-AU"/>
        </w:rPr>
        <w:t>-</w:t>
      </w:r>
      <w:r w:rsidRPr="005629F8">
        <w:rPr>
          <w:lang w:val="en-AU"/>
        </w:rPr>
        <w:t>cost separations and AR-DRG flipping</w:t>
      </w:r>
      <w:r w:rsidR="00E13965" w:rsidRPr="005629F8">
        <w:rPr>
          <w:rStyle w:val="FootnoteReference"/>
          <w:lang w:val="en-AU"/>
        </w:rPr>
        <w:footnoteReference w:id="13"/>
      </w:r>
      <w:r w:rsidRPr="005629F8">
        <w:rPr>
          <w:lang w:val="en-AU"/>
        </w:rPr>
        <w:t xml:space="preserve">. </w:t>
      </w:r>
    </w:p>
    <w:p w14:paraId="7CFCC968" w14:textId="369B14C8" w:rsidR="00B76B05" w:rsidRPr="005629F8" w:rsidRDefault="00B76B05" w:rsidP="004325C3">
      <w:pPr>
        <w:rPr>
          <w:lang w:val="en-AU"/>
        </w:rPr>
      </w:pPr>
      <w:r w:rsidRPr="005629F8">
        <w:rPr>
          <w:lang w:val="en-AU"/>
        </w:rPr>
        <w:t>If the QA reports identified unexpected variation in the submitted data, the participant was asked to investigate and either adjust the data or justify the variation. Once all unexpected variation was understood, the participant confirmed their data was final.</w:t>
      </w:r>
      <w:r w:rsidR="004325C3" w:rsidRPr="005629F8">
        <w:rPr>
          <w:lang w:val="en-AU"/>
        </w:rPr>
        <w:t xml:space="preserve"> </w:t>
      </w:r>
      <w:r w:rsidRPr="005629F8">
        <w:rPr>
          <w:lang w:val="en-AU"/>
        </w:rPr>
        <w:t xml:space="preserve">On finalisation of the valid costed data submission, participants were required to submit a data quality statement. The data quality statements informed </w:t>
      </w:r>
      <w:r w:rsidR="00BE3E10" w:rsidRPr="005629F8">
        <w:rPr>
          <w:lang w:val="en-AU"/>
        </w:rPr>
        <w:t>IHACPA</w:t>
      </w:r>
      <w:r w:rsidRPr="005629F8">
        <w:rPr>
          <w:lang w:val="en-AU"/>
        </w:rPr>
        <w:t xml:space="preserve"> of the key issues that may impact each participant’s data submission and provided assurance that the data was fit for purpose.</w:t>
      </w:r>
    </w:p>
    <w:p w14:paraId="255DA014" w14:textId="18BA8AAF" w:rsidR="004325C3" w:rsidRPr="005629F8" w:rsidRDefault="00BE3E10" w:rsidP="004325C3">
      <w:pPr>
        <w:rPr>
          <w:spacing w:val="-59"/>
          <w:lang w:val="en-AU"/>
        </w:rPr>
      </w:pPr>
      <w:r w:rsidRPr="005629F8">
        <w:rPr>
          <w:lang w:val="en-AU"/>
        </w:rPr>
        <w:t>IHACPA</w:t>
      </w:r>
      <w:r w:rsidR="00B76B05" w:rsidRPr="005629F8">
        <w:rPr>
          <w:lang w:val="en-AU"/>
        </w:rPr>
        <w:t xml:space="preserve"> then consolidated the data submission into a national costed dataset.</w:t>
      </w:r>
      <w:r w:rsidR="00B76B05" w:rsidRPr="005629F8">
        <w:rPr>
          <w:spacing w:val="-59"/>
          <w:lang w:val="en-AU"/>
        </w:rPr>
        <w:t xml:space="preserve"> </w:t>
      </w:r>
    </w:p>
    <w:p w14:paraId="08C79D63" w14:textId="65A3A6BF" w:rsidR="00B76B05" w:rsidRPr="005629F8" w:rsidRDefault="00B76B05" w:rsidP="004325C3">
      <w:pPr>
        <w:rPr>
          <w:rStyle w:val="Heading2Char"/>
        </w:rPr>
      </w:pPr>
      <w:bookmarkStart w:id="267" w:name="_Toc129700702"/>
      <w:bookmarkStart w:id="268" w:name="_Toc129701395"/>
      <w:r w:rsidRPr="005629F8">
        <w:rPr>
          <w:rStyle w:val="Heading2Char"/>
        </w:rPr>
        <w:t>Stage 7: Data analysis (including adjustments)</w:t>
      </w:r>
      <w:bookmarkEnd w:id="267"/>
      <w:bookmarkEnd w:id="268"/>
    </w:p>
    <w:p w14:paraId="6CED8327" w14:textId="538E0C7D" w:rsidR="00B76B05" w:rsidRPr="005629F8" w:rsidRDefault="00B76B05" w:rsidP="004325C3">
      <w:pPr>
        <w:rPr>
          <w:lang w:val="en-AU"/>
        </w:rPr>
      </w:pPr>
      <w:r w:rsidRPr="005629F8">
        <w:rPr>
          <w:lang w:val="en-AU"/>
        </w:rPr>
        <w:t xml:space="preserve">The national costed dataset was reviewed to ensure that the separations were in scope. PHDB </w:t>
      </w:r>
      <w:r w:rsidR="00D97C80">
        <w:rPr>
          <w:lang w:val="en-AU"/>
        </w:rPr>
        <w:t xml:space="preserve">data </w:t>
      </w:r>
      <w:r w:rsidRPr="005629F8">
        <w:rPr>
          <w:lang w:val="en-AU"/>
        </w:rPr>
        <w:t>was used to develop a national estimate of both the number of in-scope private hospitals and the number of in-scope separations in 20</w:t>
      </w:r>
      <w:r w:rsidR="00A96EDB" w:rsidRPr="005629F8">
        <w:rPr>
          <w:lang w:val="en-AU"/>
        </w:rPr>
        <w:t>20</w:t>
      </w:r>
      <w:r w:rsidRPr="005629F8">
        <w:rPr>
          <w:lang w:val="en-AU"/>
        </w:rPr>
        <w:t>-2</w:t>
      </w:r>
      <w:r w:rsidR="00A96EDB" w:rsidRPr="005629F8">
        <w:rPr>
          <w:lang w:val="en-AU"/>
        </w:rPr>
        <w:t>1</w:t>
      </w:r>
      <w:r w:rsidRPr="005629F8">
        <w:rPr>
          <w:lang w:val="en-AU"/>
        </w:rPr>
        <w:t>.</w:t>
      </w:r>
    </w:p>
    <w:p w14:paraId="6ECD651A" w14:textId="7D7875DC" w:rsidR="00B76B05" w:rsidRPr="005629F8" w:rsidRDefault="00B76B05" w:rsidP="004325C3">
      <w:pPr>
        <w:rPr>
          <w:lang w:val="en-AU"/>
        </w:rPr>
      </w:pPr>
      <w:r w:rsidRPr="005629F8">
        <w:rPr>
          <w:lang w:val="en-AU"/>
        </w:rPr>
        <w:t xml:space="preserve">The data was also </w:t>
      </w:r>
      <w:r w:rsidR="008E00F1">
        <w:rPr>
          <w:lang w:val="en-AU"/>
        </w:rPr>
        <w:t>analysed</w:t>
      </w:r>
      <w:r w:rsidR="008E00F1" w:rsidRPr="005629F8">
        <w:rPr>
          <w:lang w:val="en-AU"/>
        </w:rPr>
        <w:t xml:space="preserve"> </w:t>
      </w:r>
      <w:r w:rsidRPr="005629F8">
        <w:rPr>
          <w:lang w:val="en-AU"/>
        </w:rPr>
        <w:t>by hospital group and compared against PHDB</w:t>
      </w:r>
      <w:r w:rsidR="00D97C80">
        <w:rPr>
          <w:lang w:val="en-AU"/>
        </w:rPr>
        <w:t xml:space="preserve"> data</w:t>
      </w:r>
      <w:r w:rsidRPr="005629F8">
        <w:rPr>
          <w:lang w:val="en-AU"/>
        </w:rPr>
        <w:t>, to ensure that no hospital group was over</w:t>
      </w:r>
      <w:r w:rsidR="008E00F1">
        <w:rPr>
          <w:lang w:val="en-AU"/>
        </w:rPr>
        <w:t>-</w:t>
      </w:r>
      <w:r w:rsidRPr="005629F8">
        <w:rPr>
          <w:lang w:val="en-AU"/>
        </w:rPr>
        <w:t xml:space="preserve">represented in the dataset in a way that would potentially bias the analysis. An adjustment was made to the activity data in </w:t>
      </w:r>
      <w:r w:rsidR="00C82F8C">
        <w:rPr>
          <w:lang w:val="en-AU"/>
        </w:rPr>
        <w:t>20</w:t>
      </w:r>
      <w:r w:rsidR="00A96EDB" w:rsidRPr="005629F8">
        <w:rPr>
          <w:lang w:val="en-AU"/>
        </w:rPr>
        <w:t>20-21</w:t>
      </w:r>
      <w:r w:rsidRPr="005629F8">
        <w:rPr>
          <w:lang w:val="en-AU"/>
        </w:rPr>
        <w:t xml:space="preserve"> to align the cost profile of each hospital group more closely in the NHCDC to that of the population activity. Population activity is defined as all in-scope private hospital episodes that take place within the financial year.</w:t>
      </w:r>
    </w:p>
    <w:p w14:paraId="58AC930D" w14:textId="2972258A" w:rsidR="00B76B05" w:rsidRPr="005629F8" w:rsidRDefault="00B76B05" w:rsidP="004325C3">
      <w:pPr>
        <w:rPr>
          <w:lang w:val="en-AU"/>
        </w:rPr>
      </w:pPr>
      <w:r w:rsidRPr="005629F8">
        <w:rPr>
          <w:lang w:val="en-AU"/>
        </w:rPr>
        <w:t xml:space="preserve">An overall participation rate was calculated relative to population activity. Hospital groups were consulted to ensure they were satisfied with the level of participation </w:t>
      </w:r>
      <w:r w:rsidR="00A96EDB" w:rsidRPr="005629F8">
        <w:rPr>
          <w:lang w:val="en-AU"/>
        </w:rPr>
        <w:t xml:space="preserve">throughout </w:t>
      </w:r>
      <w:r w:rsidRPr="005629F8">
        <w:rPr>
          <w:lang w:val="en-AU"/>
        </w:rPr>
        <w:t xml:space="preserve">the </w:t>
      </w:r>
      <w:r w:rsidR="00A96EDB" w:rsidRPr="005629F8">
        <w:rPr>
          <w:lang w:val="en-AU"/>
        </w:rPr>
        <w:t>year</w:t>
      </w:r>
      <w:r w:rsidRPr="005629F8">
        <w:rPr>
          <w:lang w:val="en-AU"/>
        </w:rPr>
        <w:t>. The separations in the submitted data were then scaled up using estimated weights to be reflective of the population activity.</w:t>
      </w:r>
    </w:p>
    <w:p w14:paraId="6F923642" w14:textId="114E72FC" w:rsidR="00B76B05" w:rsidRPr="005629F8" w:rsidRDefault="00B76B05" w:rsidP="004325C3">
      <w:pPr>
        <w:rPr>
          <w:lang w:val="en-AU"/>
        </w:rPr>
      </w:pPr>
      <w:r w:rsidRPr="005629F8">
        <w:rPr>
          <w:lang w:val="en-AU"/>
        </w:rPr>
        <w:t xml:space="preserve">The national costed dataset was then reviewed to identify </w:t>
      </w:r>
      <w:r w:rsidR="008E00F1">
        <w:rPr>
          <w:lang w:val="en-AU"/>
        </w:rPr>
        <w:t>whether there w</w:t>
      </w:r>
      <w:r w:rsidR="00DD218D">
        <w:rPr>
          <w:lang w:val="en-AU"/>
        </w:rPr>
        <w:t>ere</w:t>
      </w:r>
      <w:r w:rsidR="008E00F1">
        <w:rPr>
          <w:lang w:val="en-AU"/>
        </w:rPr>
        <w:t xml:space="preserve"> an</w:t>
      </w:r>
      <w:r w:rsidR="00DD218D">
        <w:rPr>
          <w:lang w:val="en-AU"/>
        </w:rPr>
        <w:t>y</w:t>
      </w:r>
      <w:r w:rsidR="008E00F1">
        <w:rPr>
          <w:lang w:val="en-AU"/>
        </w:rPr>
        <w:t xml:space="preserve"> instances of </w:t>
      </w:r>
      <w:r w:rsidR="00D97C80">
        <w:rPr>
          <w:lang w:val="en-AU"/>
        </w:rPr>
        <w:br/>
      </w:r>
      <w:r w:rsidRPr="005629F8">
        <w:rPr>
          <w:lang w:val="en-AU"/>
        </w:rPr>
        <w:t>AR-DRG flipping</w:t>
      </w:r>
      <w:r w:rsidR="008E00F1">
        <w:rPr>
          <w:lang w:val="en-AU"/>
        </w:rPr>
        <w:t xml:space="preserve"> (where</w:t>
      </w:r>
      <w:r w:rsidRPr="005629F8">
        <w:rPr>
          <w:lang w:val="en-AU"/>
        </w:rPr>
        <w:t xml:space="preserve"> the cost weight of a lower complexity AR-DRG within the related adjacent AR-DRG is higher than the one with </w:t>
      </w:r>
      <w:r w:rsidR="00A70150">
        <w:rPr>
          <w:lang w:val="en-AU"/>
        </w:rPr>
        <w:t>greater</w:t>
      </w:r>
      <w:r w:rsidR="00A70150" w:rsidRPr="005629F8">
        <w:rPr>
          <w:lang w:val="en-AU"/>
        </w:rPr>
        <w:t xml:space="preserve"> </w:t>
      </w:r>
      <w:r w:rsidRPr="005629F8">
        <w:rPr>
          <w:lang w:val="en-AU"/>
        </w:rPr>
        <w:t>complexity</w:t>
      </w:r>
      <w:r w:rsidR="008E00F1">
        <w:rPr>
          <w:lang w:val="en-AU"/>
        </w:rPr>
        <w:t>)</w:t>
      </w:r>
      <w:r w:rsidRPr="005629F8">
        <w:rPr>
          <w:lang w:val="en-AU"/>
        </w:rPr>
        <w:t xml:space="preserve">. </w:t>
      </w:r>
      <w:r w:rsidR="00C82F8C">
        <w:rPr>
          <w:lang w:val="en-AU"/>
        </w:rPr>
        <w:t>No</w:t>
      </w:r>
      <w:r w:rsidR="00C82F8C" w:rsidRPr="005629F8">
        <w:rPr>
          <w:lang w:val="en-AU"/>
        </w:rPr>
        <w:t xml:space="preserve"> </w:t>
      </w:r>
      <w:r w:rsidRPr="005629F8">
        <w:rPr>
          <w:lang w:val="en-AU"/>
        </w:rPr>
        <w:t xml:space="preserve">adjustment for AR-DRG flipping was made </w:t>
      </w:r>
      <w:r w:rsidR="00A96EDB" w:rsidRPr="005629F8">
        <w:rPr>
          <w:lang w:val="en-AU"/>
        </w:rPr>
        <w:t xml:space="preserve">for </w:t>
      </w:r>
      <w:r w:rsidR="00C82F8C">
        <w:rPr>
          <w:lang w:val="en-AU"/>
        </w:rPr>
        <w:t>20</w:t>
      </w:r>
      <w:r w:rsidR="00A96EDB" w:rsidRPr="005629F8">
        <w:rPr>
          <w:lang w:val="en-AU"/>
        </w:rPr>
        <w:t>20-21</w:t>
      </w:r>
      <w:r w:rsidRPr="005629F8">
        <w:rPr>
          <w:lang w:val="en-AU"/>
        </w:rPr>
        <w:t>.</w:t>
      </w:r>
    </w:p>
    <w:p w14:paraId="57386854" w14:textId="686F7E6B" w:rsidR="00B76B05" w:rsidRPr="005629F8" w:rsidRDefault="00B76B05" w:rsidP="004325C3">
      <w:pPr>
        <w:rPr>
          <w:lang w:val="en-AU"/>
        </w:rPr>
      </w:pPr>
      <w:r w:rsidRPr="005629F8">
        <w:rPr>
          <w:lang w:val="en-AU"/>
        </w:rPr>
        <w:t>Based on the adjustments described above</w:t>
      </w:r>
      <w:r w:rsidR="00DD218D">
        <w:rPr>
          <w:lang w:val="en-AU"/>
        </w:rPr>
        <w:t>,</w:t>
      </w:r>
      <w:r w:rsidRPr="005629F8">
        <w:rPr>
          <w:lang w:val="en-AU"/>
        </w:rPr>
        <w:t xml:space="preserve"> the cost weight tables were produced, </w:t>
      </w:r>
      <w:proofErr w:type="gramStart"/>
      <w:r w:rsidRPr="005629F8">
        <w:rPr>
          <w:lang w:val="en-AU"/>
        </w:rPr>
        <w:t>verified</w:t>
      </w:r>
      <w:proofErr w:type="gramEnd"/>
      <w:r w:rsidRPr="005629F8">
        <w:rPr>
          <w:lang w:val="en-AU"/>
        </w:rPr>
        <w:t xml:space="preserve"> and compared to results</w:t>
      </w:r>
      <w:r w:rsidR="00A96EDB" w:rsidRPr="005629F8">
        <w:rPr>
          <w:lang w:val="en-AU"/>
        </w:rPr>
        <w:t xml:space="preserve"> from the previous financial year</w:t>
      </w:r>
      <w:r w:rsidRPr="005629F8">
        <w:rPr>
          <w:lang w:val="en-AU"/>
        </w:rPr>
        <w:t>.</w:t>
      </w:r>
    </w:p>
    <w:p w14:paraId="2A073D27" w14:textId="3BA5A60A" w:rsidR="00B76B05" w:rsidRPr="005629F8" w:rsidRDefault="00B76B05" w:rsidP="00FC4599">
      <w:pPr>
        <w:pStyle w:val="Heading2"/>
      </w:pPr>
      <w:bookmarkStart w:id="269" w:name="_Toc129700703"/>
      <w:bookmarkStart w:id="270" w:name="_Toc129701396"/>
      <w:r w:rsidRPr="005629F8">
        <w:t>Stage</w:t>
      </w:r>
      <w:r w:rsidRPr="005629F8">
        <w:rPr>
          <w:spacing w:val="-4"/>
        </w:rPr>
        <w:t xml:space="preserve"> </w:t>
      </w:r>
      <w:r w:rsidRPr="005629F8">
        <w:t>8:</w:t>
      </w:r>
      <w:r w:rsidRPr="005629F8">
        <w:rPr>
          <w:spacing w:val="1"/>
        </w:rPr>
        <w:t xml:space="preserve"> </w:t>
      </w:r>
      <w:r w:rsidRPr="005629F8">
        <w:t>Reporting</w:t>
      </w:r>
      <w:bookmarkEnd w:id="269"/>
      <w:bookmarkEnd w:id="270"/>
    </w:p>
    <w:p w14:paraId="72C1C473" w14:textId="1C10B05C" w:rsidR="00B76B05" w:rsidRPr="005629F8" w:rsidRDefault="00B76B05" w:rsidP="004325C3">
      <w:pPr>
        <w:rPr>
          <w:lang w:val="en-AU"/>
        </w:rPr>
      </w:pPr>
      <w:r w:rsidRPr="005629F8">
        <w:rPr>
          <w:lang w:val="en-AU"/>
        </w:rPr>
        <w:t xml:space="preserve">The national costed dataset was then used to produce the </w:t>
      </w:r>
      <w:r w:rsidR="00DD218D">
        <w:rPr>
          <w:lang w:val="en-AU"/>
        </w:rPr>
        <w:t>NHCDC P</w:t>
      </w:r>
      <w:r w:rsidRPr="005629F8">
        <w:rPr>
          <w:lang w:val="en-AU"/>
        </w:rPr>
        <w:t xml:space="preserve">rivate </w:t>
      </w:r>
      <w:r w:rsidR="00DD218D">
        <w:rPr>
          <w:lang w:val="en-AU"/>
        </w:rPr>
        <w:t>H</w:t>
      </w:r>
      <w:r w:rsidRPr="005629F8">
        <w:rPr>
          <w:lang w:val="en-AU"/>
        </w:rPr>
        <w:t xml:space="preserve">ospital </w:t>
      </w:r>
      <w:r w:rsidR="00DD218D">
        <w:rPr>
          <w:lang w:val="en-AU"/>
        </w:rPr>
        <w:t>R</w:t>
      </w:r>
      <w:r w:rsidRPr="005629F8">
        <w:rPr>
          <w:lang w:val="en-AU"/>
        </w:rPr>
        <w:t>eport</w:t>
      </w:r>
      <w:r w:rsidR="00DD0195">
        <w:rPr>
          <w:lang w:val="en-AU"/>
        </w:rPr>
        <w:t xml:space="preserve"> </w:t>
      </w:r>
      <w:r w:rsidR="00DD218D" w:rsidRPr="005629F8">
        <w:rPr>
          <w:lang w:val="en-AU"/>
        </w:rPr>
        <w:t xml:space="preserve">2020-21 </w:t>
      </w:r>
      <w:r w:rsidR="00DD0195">
        <w:rPr>
          <w:lang w:val="en-AU"/>
        </w:rPr>
        <w:t>and the associated cost weight tables</w:t>
      </w:r>
      <w:r w:rsidRPr="005629F8">
        <w:rPr>
          <w:lang w:val="en-AU"/>
        </w:rPr>
        <w:t>.</w:t>
      </w:r>
    </w:p>
    <w:p w14:paraId="4C9282E4" w14:textId="77777777" w:rsidR="007B110D" w:rsidRDefault="007B110D">
      <w:pPr>
        <w:spacing w:line="259" w:lineRule="auto"/>
        <w:rPr>
          <w:rFonts w:eastAsiaTheme="majorEastAsia" w:cstheme="majorBidi"/>
          <w:b/>
          <w:bCs/>
          <w:sz w:val="72"/>
          <w:szCs w:val="32"/>
          <w:lang w:val="en-AU"/>
        </w:rPr>
      </w:pPr>
      <w:bookmarkStart w:id="271" w:name="_bookmark24"/>
      <w:bookmarkStart w:id="272" w:name="_Toc106888111"/>
      <w:bookmarkStart w:id="273" w:name="_Ref103176206"/>
      <w:bookmarkEnd w:id="271"/>
      <w:r>
        <w:br w:type="page"/>
      </w:r>
    </w:p>
    <w:p w14:paraId="566D7A6E" w14:textId="09D1FF50" w:rsidR="00B76B05" w:rsidRPr="00E87B16" w:rsidRDefault="00B76B05" w:rsidP="00E87B16">
      <w:pPr>
        <w:pStyle w:val="Heading1"/>
        <w:numPr>
          <w:ilvl w:val="0"/>
          <w:numId w:val="0"/>
        </w:numPr>
        <w:ind w:right="-177"/>
        <w:rPr>
          <w:sz w:val="48"/>
          <w:szCs w:val="48"/>
        </w:rPr>
      </w:pPr>
      <w:bookmarkStart w:id="274" w:name="_Toc129701397"/>
      <w:r w:rsidRPr="00E87B16">
        <w:rPr>
          <w:sz w:val="48"/>
          <w:szCs w:val="48"/>
        </w:rPr>
        <w:lastRenderedPageBreak/>
        <w:t>Appendix B: Private sector costing approaches</w:t>
      </w:r>
      <w:bookmarkEnd w:id="272"/>
      <w:bookmarkEnd w:id="273"/>
      <w:bookmarkEnd w:id="274"/>
    </w:p>
    <w:p w14:paraId="40FEA57A" w14:textId="6F3EB7B9" w:rsidR="00B76B05" w:rsidRPr="005629F8" w:rsidRDefault="00B76B05" w:rsidP="00FC4599">
      <w:pPr>
        <w:pStyle w:val="Heading2"/>
      </w:pPr>
      <w:bookmarkStart w:id="275" w:name="_Toc129700705"/>
      <w:bookmarkStart w:id="276" w:name="_Toc129701398"/>
      <w:r w:rsidRPr="005629F8">
        <w:t>Costing</w:t>
      </w:r>
      <w:r w:rsidRPr="005629F8">
        <w:rPr>
          <w:spacing w:val="-2"/>
        </w:rPr>
        <w:t xml:space="preserve"> </w:t>
      </w:r>
      <w:r w:rsidRPr="005629F8">
        <w:t>methodologies</w:t>
      </w:r>
      <w:bookmarkEnd w:id="275"/>
      <w:bookmarkEnd w:id="276"/>
    </w:p>
    <w:p w14:paraId="041F1928" w14:textId="77777777" w:rsidR="00B76B05" w:rsidRPr="005629F8" w:rsidRDefault="00B76B05" w:rsidP="00B76B05">
      <w:pPr>
        <w:rPr>
          <w:lang w:val="en-AU"/>
        </w:rPr>
      </w:pPr>
      <w:r w:rsidRPr="005629F8">
        <w:rPr>
          <w:lang w:val="en-AU"/>
        </w:rPr>
        <w:t>Hospital costing is the process of identifying the resources and inputs used during an episode and applying the costs of those inputs to the different types of clinical procedures and treatments provided to each patient in a hospital.</w:t>
      </w:r>
    </w:p>
    <w:p w14:paraId="3814D339" w14:textId="0A48FDA6" w:rsidR="00B76B05" w:rsidRPr="005629F8" w:rsidRDefault="00B76B05" w:rsidP="00B76B05">
      <w:pPr>
        <w:rPr>
          <w:lang w:val="en-AU"/>
        </w:rPr>
      </w:pPr>
      <w:r w:rsidRPr="005629F8">
        <w:rPr>
          <w:lang w:val="en-AU"/>
        </w:rPr>
        <w:t>From</w:t>
      </w:r>
      <w:r w:rsidR="00A96EDB" w:rsidRPr="005629F8">
        <w:rPr>
          <w:lang w:val="en-AU"/>
        </w:rPr>
        <w:t xml:space="preserve"> </w:t>
      </w:r>
      <w:r w:rsidR="00C82F8C">
        <w:rPr>
          <w:lang w:val="en-AU"/>
        </w:rPr>
        <w:t>2015</w:t>
      </w:r>
      <w:r w:rsidR="00A96EDB" w:rsidRPr="005629F8">
        <w:rPr>
          <w:lang w:val="en-AU"/>
        </w:rPr>
        <w:t>-16</w:t>
      </w:r>
      <w:r w:rsidRPr="005629F8">
        <w:rPr>
          <w:lang w:val="en-AU"/>
        </w:rPr>
        <w:t xml:space="preserve">, the participating hospitals have been required to undertake their own costing and during </w:t>
      </w:r>
      <w:r w:rsidR="00C82F8C">
        <w:rPr>
          <w:lang w:val="en-AU"/>
        </w:rPr>
        <w:t>20</w:t>
      </w:r>
      <w:r w:rsidR="00A96EDB" w:rsidRPr="005629F8">
        <w:rPr>
          <w:lang w:val="en-AU"/>
        </w:rPr>
        <w:t xml:space="preserve">15-16 and </w:t>
      </w:r>
      <w:r w:rsidR="00C82F8C">
        <w:rPr>
          <w:lang w:val="en-AU"/>
        </w:rPr>
        <w:t>20</w:t>
      </w:r>
      <w:r w:rsidR="00A96EDB" w:rsidRPr="005629F8">
        <w:rPr>
          <w:lang w:val="en-AU"/>
        </w:rPr>
        <w:t>16-17</w:t>
      </w:r>
      <w:r w:rsidRPr="005629F8">
        <w:rPr>
          <w:lang w:val="en-AU"/>
        </w:rPr>
        <w:t xml:space="preserve"> they were asked to provide a summary of their costing methodology process as well as the process they used to submit the costing data. During </w:t>
      </w:r>
      <w:r w:rsidR="00C82F8C">
        <w:rPr>
          <w:lang w:val="en-AU"/>
        </w:rPr>
        <w:t>20</w:t>
      </w:r>
      <w:r w:rsidR="00A96EDB" w:rsidRPr="005629F8">
        <w:rPr>
          <w:lang w:val="en-AU"/>
        </w:rPr>
        <w:t>20-21</w:t>
      </w:r>
      <w:r w:rsidRPr="005629F8">
        <w:rPr>
          <w:lang w:val="en-AU"/>
        </w:rPr>
        <w:t>, participating hospitals were asked to indicate which of the costing methodologies (outlined below) they used.</w:t>
      </w:r>
    </w:p>
    <w:p w14:paraId="11F7F452" w14:textId="57BEF722" w:rsidR="00B76B05" w:rsidRPr="005629F8" w:rsidRDefault="00BE3E10" w:rsidP="00B76B05">
      <w:pPr>
        <w:rPr>
          <w:lang w:val="en-AU"/>
        </w:rPr>
      </w:pPr>
      <w:r w:rsidRPr="005629F8">
        <w:rPr>
          <w:lang w:val="en-AU"/>
        </w:rPr>
        <w:t>IHACPA</w:t>
      </w:r>
      <w:r w:rsidR="00B76B05" w:rsidRPr="005629F8">
        <w:rPr>
          <w:lang w:val="en-AU"/>
        </w:rPr>
        <w:t xml:space="preserve"> also released the </w:t>
      </w:r>
      <w:r w:rsidR="00B76B05" w:rsidRPr="005629F8">
        <w:rPr>
          <w:i/>
          <w:lang w:val="en-AU"/>
        </w:rPr>
        <w:t>COVID-19 Response - Costing and pricing guidelines</w:t>
      </w:r>
      <w:r w:rsidR="00B76B05" w:rsidRPr="005629F8">
        <w:rPr>
          <w:lang w:val="en-AU"/>
        </w:rPr>
        <w:t xml:space="preserve"> to guide costing practitioners on the steps to capturing end-to-end COVID-19 activity and expenses.</w:t>
      </w:r>
    </w:p>
    <w:p w14:paraId="7064B39F" w14:textId="2D378673" w:rsidR="00B76B05" w:rsidRPr="005629F8" w:rsidRDefault="00B76B05" w:rsidP="00B76B05">
      <w:pPr>
        <w:rPr>
          <w:lang w:val="en-AU"/>
        </w:rPr>
      </w:pPr>
      <w:r w:rsidRPr="005629F8">
        <w:rPr>
          <w:lang w:val="en-AU"/>
        </w:rPr>
        <w:t xml:space="preserve">There are two main methods adopted by participants for hospital cost allocations: cost modelling or patient costing. In recent </w:t>
      </w:r>
      <w:r w:rsidR="00A96EDB" w:rsidRPr="005629F8">
        <w:rPr>
          <w:lang w:val="en-AU"/>
        </w:rPr>
        <w:t xml:space="preserve">years </w:t>
      </w:r>
      <w:r w:rsidRPr="005629F8">
        <w:rPr>
          <w:lang w:val="en-AU"/>
        </w:rPr>
        <w:t>of the NHCDC, hospital groups have moved away from cost modelling to patient costing approaches, although some hospital groups continue to use cost modelling for specific cost buckets.</w:t>
      </w:r>
    </w:p>
    <w:p w14:paraId="0F05B68E" w14:textId="08333BD7" w:rsidR="00B76B05" w:rsidRPr="005629F8" w:rsidRDefault="00B76B05" w:rsidP="00B76B05">
      <w:pPr>
        <w:rPr>
          <w:lang w:val="en-AU"/>
        </w:rPr>
      </w:pPr>
      <w:r w:rsidRPr="005629F8">
        <w:rPr>
          <w:lang w:val="en-AU"/>
        </w:rPr>
        <w:t>Patient costing (also known as bottom-up costing) uses activity feeder systems to provide actual resource consumption. For example, a prostheses system within a hospital will record what type of prostheses has been implanted into a patient and the cost of the implant</w:t>
      </w:r>
      <w:r w:rsidR="003B5A51">
        <w:rPr>
          <w:lang w:val="en-AU"/>
        </w:rPr>
        <w:t xml:space="preserve">. </w:t>
      </w:r>
      <w:r w:rsidRPr="005629F8">
        <w:rPr>
          <w:lang w:val="en-AU"/>
        </w:rPr>
        <w:t xml:space="preserve">This data is used to allocate costs to patients from the </w:t>
      </w:r>
      <w:proofErr w:type="gramStart"/>
      <w:r w:rsidR="00D97C80">
        <w:rPr>
          <w:lang w:val="en-AU"/>
        </w:rPr>
        <w:t>p</w:t>
      </w:r>
      <w:r w:rsidRPr="005629F8">
        <w:rPr>
          <w:lang w:val="en-AU"/>
        </w:rPr>
        <w:t>rostheses</w:t>
      </w:r>
      <w:proofErr w:type="gramEnd"/>
      <w:r w:rsidRPr="005629F8">
        <w:rPr>
          <w:lang w:val="en-AU"/>
        </w:rPr>
        <w:t xml:space="preserve"> patient care area.</w:t>
      </w:r>
    </w:p>
    <w:p w14:paraId="69392379" w14:textId="77777777" w:rsidR="00B76B05" w:rsidRPr="005629F8" w:rsidRDefault="00B76B05" w:rsidP="00B76B05">
      <w:pPr>
        <w:rPr>
          <w:lang w:val="en-AU"/>
        </w:rPr>
      </w:pPr>
      <w:r w:rsidRPr="005629F8">
        <w:rPr>
          <w:lang w:val="en-AU"/>
        </w:rPr>
        <w:t>Patient level costing yields results that are closer to the true cost of an encounter within a hospital, however due to the dependency on feeder systems, perfect patient level costing can be difficult to achieve.</w:t>
      </w:r>
    </w:p>
    <w:p w14:paraId="5012DA82" w14:textId="6BE865C4" w:rsidR="00B76B05" w:rsidRPr="005629F8" w:rsidRDefault="00B76B05" w:rsidP="00B76B05">
      <w:pPr>
        <w:rPr>
          <w:lang w:val="en-AU"/>
        </w:rPr>
      </w:pPr>
      <w:r w:rsidRPr="005629F8">
        <w:rPr>
          <w:lang w:val="en-AU"/>
        </w:rPr>
        <w:t>Cost modelling (also known as top</w:t>
      </w:r>
      <w:r w:rsidR="007B110D">
        <w:rPr>
          <w:lang w:val="en-AU"/>
        </w:rPr>
        <w:t>-</w:t>
      </w:r>
      <w:r w:rsidRPr="005629F8">
        <w:rPr>
          <w:lang w:val="en-AU"/>
        </w:rPr>
        <w:t xml:space="preserve">down costing) takes the total admitted acute costs for patient areas (such as </w:t>
      </w:r>
      <w:r w:rsidR="00D97C80">
        <w:rPr>
          <w:lang w:val="en-AU"/>
        </w:rPr>
        <w:t>w</w:t>
      </w:r>
      <w:r w:rsidRPr="005629F8">
        <w:rPr>
          <w:lang w:val="en-AU"/>
        </w:rPr>
        <w:t>ards) and allocates costs to encounters based on an assumed level of consumption using service weights. Service weights are the relative costs of a service for each type of patient care product. Service weights are applied to apportion costs to patient groups defined by their AR-DRG (in the case of admitted acute care).</w:t>
      </w:r>
    </w:p>
    <w:p w14:paraId="7E55893C" w14:textId="68CDC0F4" w:rsidR="00B76B05" w:rsidRPr="005629F8" w:rsidRDefault="00B76B05" w:rsidP="00FC4599">
      <w:pPr>
        <w:pStyle w:val="Heading2"/>
      </w:pPr>
      <w:bookmarkStart w:id="277" w:name="_Toc129700706"/>
      <w:bookmarkStart w:id="278" w:name="_Toc129701399"/>
      <w:r w:rsidRPr="005629F8">
        <w:t>Data sources</w:t>
      </w:r>
      <w:bookmarkEnd w:id="277"/>
      <w:bookmarkEnd w:id="278"/>
    </w:p>
    <w:p w14:paraId="327EC519" w14:textId="77777777" w:rsidR="00B76B05" w:rsidRPr="005629F8" w:rsidRDefault="00B76B05" w:rsidP="00E13965">
      <w:pPr>
        <w:rPr>
          <w:lang w:val="en-AU"/>
        </w:rPr>
      </w:pPr>
      <w:r w:rsidRPr="005629F8">
        <w:rPr>
          <w:lang w:val="en-AU"/>
        </w:rPr>
        <w:t>The</w:t>
      </w:r>
      <w:r w:rsidRPr="005629F8">
        <w:rPr>
          <w:spacing w:val="-7"/>
          <w:lang w:val="en-AU"/>
        </w:rPr>
        <w:t xml:space="preserve"> </w:t>
      </w:r>
      <w:r w:rsidRPr="005629F8">
        <w:rPr>
          <w:lang w:val="en-AU"/>
        </w:rPr>
        <w:t>following categories</w:t>
      </w:r>
      <w:r w:rsidRPr="005629F8">
        <w:rPr>
          <w:spacing w:val="-4"/>
          <w:lang w:val="en-AU"/>
        </w:rPr>
        <w:t xml:space="preserve"> </w:t>
      </w:r>
      <w:r w:rsidRPr="005629F8">
        <w:rPr>
          <w:lang w:val="en-AU"/>
        </w:rPr>
        <w:t>of</w:t>
      </w:r>
      <w:r w:rsidRPr="005629F8">
        <w:rPr>
          <w:spacing w:val="2"/>
          <w:lang w:val="en-AU"/>
        </w:rPr>
        <w:t xml:space="preserve"> </w:t>
      </w:r>
      <w:r w:rsidRPr="005629F8">
        <w:rPr>
          <w:lang w:val="en-AU"/>
        </w:rPr>
        <w:t>patient level</w:t>
      </w:r>
      <w:r w:rsidRPr="005629F8">
        <w:rPr>
          <w:spacing w:val="-2"/>
          <w:lang w:val="en-AU"/>
        </w:rPr>
        <w:t xml:space="preserve"> </w:t>
      </w:r>
      <w:r w:rsidRPr="005629F8">
        <w:rPr>
          <w:lang w:val="en-AU"/>
        </w:rPr>
        <w:t>data</w:t>
      </w:r>
      <w:r w:rsidRPr="005629F8">
        <w:rPr>
          <w:spacing w:val="-4"/>
          <w:lang w:val="en-AU"/>
        </w:rPr>
        <w:t xml:space="preserve"> </w:t>
      </w:r>
      <w:r w:rsidRPr="005629F8">
        <w:rPr>
          <w:lang w:val="en-AU"/>
        </w:rPr>
        <w:t>components</w:t>
      </w:r>
      <w:r w:rsidRPr="005629F8">
        <w:rPr>
          <w:spacing w:val="3"/>
          <w:lang w:val="en-AU"/>
        </w:rPr>
        <w:t xml:space="preserve"> </w:t>
      </w:r>
      <w:r w:rsidRPr="005629F8">
        <w:rPr>
          <w:lang w:val="en-AU"/>
        </w:rPr>
        <w:t>are</w:t>
      </w:r>
      <w:r w:rsidRPr="005629F8">
        <w:rPr>
          <w:spacing w:val="-1"/>
          <w:lang w:val="en-AU"/>
        </w:rPr>
        <w:t xml:space="preserve"> </w:t>
      </w:r>
      <w:r w:rsidRPr="005629F8">
        <w:rPr>
          <w:lang w:val="en-AU"/>
        </w:rPr>
        <w:t>utilised</w:t>
      </w:r>
      <w:r w:rsidRPr="005629F8">
        <w:rPr>
          <w:spacing w:val="-2"/>
          <w:lang w:val="en-AU"/>
        </w:rPr>
        <w:t xml:space="preserve"> </w:t>
      </w:r>
      <w:r w:rsidRPr="005629F8">
        <w:rPr>
          <w:lang w:val="en-AU"/>
        </w:rPr>
        <w:t>during</w:t>
      </w:r>
      <w:r w:rsidRPr="005629F8">
        <w:rPr>
          <w:spacing w:val="-1"/>
          <w:lang w:val="en-AU"/>
        </w:rPr>
        <w:t xml:space="preserve"> </w:t>
      </w:r>
      <w:r w:rsidRPr="005629F8">
        <w:rPr>
          <w:lang w:val="en-AU"/>
        </w:rPr>
        <w:t>the</w:t>
      </w:r>
      <w:r w:rsidRPr="005629F8">
        <w:rPr>
          <w:spacing w:val="-4"/>
          <w:lang w:val="en-AU"/>
        </w:rPr>
        <w:t xml:space="preserve"> </w:t>
      </w:r>
      <w:r w:rsidRPr="005629F8">
        <w:rPr>
          <w:lang w:val="en-AU"/>
        </w:rPr>
        <w:t>costing</w:t>
      </w:r>
      <w:r w:rsidRPr="005629F8">
        <w:rPr>
          <w:spacing w:val="-2"/>
          <w:lang w:val="en-AU"/>
        </w:rPr>
        <w:t xml:space="preserve"> </w:t>
      </w:r>
      <w:r w:rsidRPr="005629F8">
        <w:rPr>
          <w:lang w:val="en-AU"/>
        </w:rPr>
        <w:t>process:</w:t>
      </w:r>
    </w:p>
    <w:p w14:paraId="445C2520" w14:textId="77777777" w:rsidR="00B76B05" w:rsidRPr="005629F8" w:rsidRDefault="00B76B05" w:rsidP="00E13965">
      <w:pPr>
        <w:rPr>
          <w:lang w:val="en-AU"/>
        </w:rPr>
      </w:pPr>
      <w:r w:rsidRPr="005629F8">
        <w:rPr>
          <w:b/>
          <w:lang w:val="en-AU"/>
        </w:rPr>
        <w:t xml:space="preserve">Financial data: </w:t>
      </w:r>
      <w:r w:rsidRPr="005629F8">
        <w:rPr>
          <w:lang w:val="en-AU"/>
        </w:rPr>
        <w:t>This includes the general ledger cost centres and account codes, along with</w:t>
      </w:r>
      <w:r w:rsidRPr="005629F8">
        <w:rPr>
          <w:spacing w:val="1"/>
          <w:lang w:val="en-AU"/>
        </w:rPr>
        <w:t xml:space="preserve"> the </w:t>
      </w:r>
      <w:r w:rsidRPr="005629F8">
        <w:rPr>
          <w:lang w:val="en-AU"/>
        </w:rPr>
        <w:t>mapping of those cost centres to patient care areas and standardised line items. This dataset excludes revenue cost centres and/or account codes.</w:t>
      </w:r>
    </w:p>
    <w:p w14:paraId="1E091CAF" w14:textId="43F35BF0" w:rsidR="00B76B05" w:rsidRPr="005629F8" w:rsidRDefault="00B76B05" w:rsidP="00E13965">
      <w:pPr>
        <w:rPr>
          <w:lang w:val="en-AU"/>
        </w:rPr>
      </w:pPr>
      <w:r w:rsidRPr="005629F8">
        <w:rPr>
          <w:b/>
          <w:lang w:val="en-AU"/>
        </w:rPr>
        <w:t xml:space="preserve">Activity data: </w:t>
      </w:r>
      <w:r w:rsidRPr="005629F8">
        <w:rPr>
          <w:lang w:val="en-AU"/>
        </w:rPr>
        <w:t xml:space="preserve">This includes the encounter level data (such as patient ID, encounter ID, date </w:t>
      </w:r>
      <w:r w:rsidR="008E00F1">
        <w:rPr>
          <w:lang w:val="en-AU"/>
        </w:rPr>
        <w:t>of birth</w:t>
      </w:r>
      <w:r w:rsidRPr="005629F8">
        <w:rPr>
          <w:lang w:val="en-AU"/>
        </w:rPr>
        <w:t xml:space="preserve"> etc.) and transfer information identifying the patient’s pathway through the hospital via</w:t>
      </w:r>
      <w:r w:rsidRPr="005629F8">
        <w:rPr>
          <w:spacing w:val="1"/>
          <w:lang w:val="en-AU"/>
        </w:rPr>
        <w:t xml:space="preserve"> </w:t>
      </w:r>
      <w:r w:rsidRPr="005629F8">
        <w:rPr>
          <w:lang w:val="en-AU"/>
        </w:rPr>
        <w:t>transfers</w:t>
      </w:r>
      <w:r w:rsidRPr="005629F8">
        <w:rPr>
          <w:spacing w:val="-2"/>
          <w:lang w:val="en-AU"/>
        </w:rPr>
        <w:t xml:space="preserve"> </w:t>
      </w:r>
      <w:r w:rsidRPr="005629F8">
        <w:rPr>
          <w:lang w:val="en-AU"/>
        </w:rPr>
        <w:t>between areas</w:t>
      </w:r>
      <w:r w:rsidRPr="005629F8">
        <w:rPr>
          <w:spacing w:val="-2"/>
          <w:lang w:val="en-AU"/>
        </w:rPr>
        <w:t xml:space="preserve"> </w:t>
      </w:r>
      <w:r w:rsidRPr="005629F8">
        <w:rPr>
          <w:lang w:val="en-AU"/>
        </w:rPr>
        <w:t>such as</w:t>
      </w:r>
      <w:r w:rsidRPr="005629F8">
        <w:rPr>
          <w:spacing w:val="-2"/>
          <w:lang w:val="en-AU"/>
        </w:rPr>
        <w:t xml:space="preserve"> </w:t>
      </w:r>
      <w:r w:rsidRPr="005629F8">
        <w:rPr>
          <w:lang w:val="en-AU"/>
        </w:rPr>
        <w:t>operating rooms</w:t>
      </w:r>
      <w:r w:rsidRPr="005629F8">
        <w:rPr>
          <w:spacing w:val="-2"/>
          <w:lang w:val="en-AU"/>
        </w:rPr>
        <w:t xml:space="preserve"> </w:t>
      </w:r>
      <w:r w:rsidRPr="005629F8">
        <w:rPr>
          <w:lang w:val="en-AU"/>
        </w:rPr>
        <w:t>and</w:t>
      </w:r>
      <w:r w:rsidRPr="005629F8">
        <w:rPr>
          <w:spacing w:val="-1"/>
          <w:lang w:val="en-AU"/>
        </w:rPr>
        <w:t xml:space="preserve"> </w:t>
      </w:r>
      <w:r w:rsidRPr="005629F8">
        <w:rPr>
          <w:lang w:val="en-AU"/>
        </w:rPr>
        <w:t>wards.</w:t>
      </w:r>
    </w:p>
    <w:p w14:paraId="5E9E3A2B" w14:textId="4345AD3A" w:rsidR="00B76B05" w:rsidRPr="005629F8" w:rsidRDefault="00B76B05" w:rsidP="00E13965">
      <w:pPr>
        <w:rPr>
          <w:lang w:val="en-AU"/>
        </w:rPr>
      </w:pPr>
      <w:r w:rsidRPr="005629F8">
        <w:rPr>
          <w:b/>
          <w:lang w:val="en-AU"/>
        </w:rPr>
        <w:lastRenderedPageBreak/>
        <w:t xml:space="preserve">Feeder data: </w:t>
      </w:r>
      <w:r w:rsidRPr="005629F8">
        <w:rPr>
          <w:lang w:val="en-AU"/>
        </w:rPr>
        <w:t>This includes data that identifies patient consumption of hospital products or</w:t>
      </w:r>
      <w:r w:rsidRPr="005629F8">
        <w:rPr>
          <w:spacing w:val="1"/>
          <w:lang w:val="en-AU"/>
        </w:rPr>
        <w:t xml:space="preserve"> </w:t>
      </w:r>
      <w:r w:rsidRPr="005629F8">
        <w:rPr>
          <w:lang w:val="en-AU"/>
        </w:rPr>
        <w:t xml:space="preserve">services within a patient care area. For example, a </w:t>
      </w:r>
      <w:r w:rsidR="00044D4D" w:rsidRPr="0088109E">
        <w:rPr>
          <w:lang w:val="en-AU"/>
        </w:rPr>
        <w:t>prostheses</w:t>
      </w:r>
      <w:r w:rsidRPr="005629F8">
        <w:rPr>
          <w:lang w:val="en-AU"/>
        </w:rPr>
        <w:t xml:space="preserve"> feeder might list the prosthetic</w:t>
      </w:r>
      <w:r w:rsidRPr="005629F8">
        <w:rPr>
          <w:spacing w:val="1"/>
          <w:lang w:val="en-AU"/>
        </w:rPr>
        <w:t xml:space="preserve"> </w:t>
      </w:r>
      <w:r w:rsidRPr="005629F8">
        <w:rPr>
          <w:lang w:val="en-AU"/>
        </w:rPr>
        <w:t xml:space="preserve">items received by a patient and the cost of each. This feeder data is used to allocate costs in </w:t>
      </w:r>
      <w:proofErr w:type="gramStart"/>
      <w:r w:rsidRPr="005629F8">
        <w:rPr>
          <w:lang w:val="en-AU"/>
        </w:rPr>
        <w:t>the</w:t>
      </w:r>
      <w:r w:rsidR="00435930">
        <w:rPr>
          <w:lang w:val="en-AU"/>
        </w:rPr>
        <w:t xml:space="preserve"> </w:t>
      </w:r>
      <w:r w:rsidRPr="005629F8">
        <w:rPr>
          <w:spacing w:val="-59"/>
          <w:lang w:val="en-AU"/>
        </w:rPr>
        <w:t xml:space="preserve"> </w:t>
      </w:r>
      <w:r w:rsidRPr="005629F8">
        <w:rPr>
          <w:lang w:val="en-AU"/>
        </w:rPr>
        <w:t>general</w:t>
      </w:r>
      <w:proofErr w:type="gramEnd"/>
      <w:r w:rsidRPr="005629F8">
        <w:rPr>
          <w:spacing w:val="-2"/>
          <w:lang w:val="en-AU"/>
        </w:rPr>
        <w:t xml:space="preserve"> </w:t>
      </w:r>
      <w:r w:rsidRPr="005629F8">
        <w:rPr>
          <w:lang w:val="en-AU"/>
        </w:rPr>
        <w:t>ledger as it</w:t>
      </w:r>
      <w:r w:rsidRPr="005629F8">
        <w:rPr>
          <w:spacing w:val="-1"/>
          <w:lang w:val="en-AU"/>
        </w:rPr>
        <w:t xml:space="preserve"> </w:t>
      </w:r>
      <w:r w:rsidRPr="005629F8">
        <w:rPr>
          <w:lang w:val="en-AU"/>
        </w:rPr>
        <w:t>identifies</w:t>
      </w:r>
      <w:r w:rsidRPr="005629F8">
        <w:rPr>
          <w:spacing w:val="-3"/>
          <w:lang w:val="en-AU"/>
        </w:rPr>
        <w:t xml:space="preserve"> </w:t>
      </w:r>
      <w:r w:rsidRPr="005629F8">
        <w:rPr>
          <w:lang w:val="en-AU"/>
        </w:rPr>
        <w:t>how</w:t>
      </w:r>
      <w:r w:rsidRPr="005629F8">
        <w:rPr>
          <w:spacing w:val="-4"/>
          <w:lang w:val="en-AU"/>
        </w:rPr>
        <w:t xml:space="preserve"> </w:t>
      </w:r>
      <w:r w:rsidRPr="005629F8">
        <w:rPr>
          <w:lang w:val="en-AU"/>
        </w:rPr>
        <w:t>much of</w:t>
      </w:r>
      <w:r w:rsidRPr="005629F8">
        <w:rPr>
          <w:spacing w:val="-2"/>
          <w:lang w:val="en-AU"/>
        </w:rPr>
        <w:t xml:space="preserve"> </w:t>
      </w:r>
      <w:r w:rsidRPr="005629F8">
        <w:rPr>
          <w:lang w:val="en-AU"/>
        </w:rPr>
        <w:t>the</w:t>
      </w:r>
      <w:r w:rsidRPr="005629F8">
        <w:rPr>
          <w:spacing w:val="-1"/>
          <w:lang w:val="en-AU"/>
        </w:rPr>
        <w:t xml:space="preserve"> </w:t>
      </w:r>
      <w:r w:rsidRPr="005629F8">
        <w:rPr>
          <w:lang w:val="en-AU"/>
        </w:rPr>
        <w:t>prosthesis</w:t>
      </w:r>
      <w:r w:rsidRPr="005629F8">
        <w:rPr>
          <w:spacing w:val="-1"/>
          <w:lang w:val="en-AU"/>
        </w:rPr>
        <w:t xml:space="preserve"> </w:t>
      </w:r>
      <w:r w:rsidRPr="005629F8">
        <w:rPr>
          <w:lang w:val="en-AU"/>
        </w:rPr>
        <w:t>products</w:t>
      </w:r>
      <w:r w:rsidRPr="005629F8">
        <w:rPr>
          <w:spacing w:val="-3"/>
          <w:lang w:val="en-AU"/>
        </w:rPr>
        <w:t xml:space="preserve"> </w:t>
      </w:r>
      <w:r w:rsidRPr="005629F8">
        <w:rPr>
          <w:lang w:val="en-AU"/>
        </w:rPr>
        <w:t>each</w:t>
      </w:r>
      <w:r w:rsidRPr="005629F8">
        <w:rPr>
          <w:spacing w:val="-1"/>
          <w:lang w:val="en-AU"/>
        </w:rPr>
        <w:t xml:space="preserve"> </w:t>
      </w:r>
      <w:r w:rsidRPr="005629F8">
        <w:rPr>
          <w:lang w:val="en-AU"/>
        </w:rPr>
        <w:t>encounter</w:t>
      </w:r>
      <w:r w:rsidRPr="005629F8">
        <w:rPr>
          <w:spacing w:val="-1"/>
          <w:lang w:val="en-AU"/>
        </w:rPr>
        <w:t xml:space="preserve"> </w:t>
      </w:r>
      <w:r w:rsidRPr="005629F8">
        <w:rPr>
          <w:lang w:val="en-AU"/>
        </w:rPr>
        <w:t>consumes.</w:t>
      </w:r>
    </w:p>
    <w:p w14:paraId="24CF4B2D" w14:textId="77777777" w:rsidR="009337B4" w:rsidRPr="005629F8" w:rsidRDefault="00B76B05" w:rsidP="00E13965">
      <w:pPr>
        <w:rPr>
          <w:lang w:val="en-AU"/>
        </w:rPr>
      </w:pPr>
      <w:r w:rsidRPr="005629F8">
        <w:rPr>
          <w:lang w:val="en-AU"/>
        </w:rPr>
        <w:t>Where</w:t>
      </w:r>
      <w:r w:rsidRPr="005629F8">
        <w:rPr>
          <w:spacing w:val="-4"/>
          <w:lang w:val="en-AU"/>
        </w:rPr>
        <w:t xml:space="preserve"> </w:t>
      </w:r>
      <w:r w:rsidRPr="005629F8">
        <w:rPr>
          <w:lang w:val="en-AU"/>
        </w:rPr>
        <w:t>no</w:t>
      </w:r>
      <w:r w:rsidRPr="005629F8">
        <w:rPr>
          <w:spacing w:val="-3"/>
          <w:lang w:val="en-AU"/>
        </w:rPr>
        <w:t xml:space="preserve"> </w:t>
      </w:r>
      <w:r w:rsidRPr="005629F8">
        <w:rPr>
          <w:lang w:val="en-AU"/>
        </w:rPr>
        <w:t>feeder</w:t>
      </w:r>
      <w:r w:rsidRPr="005629F8">
        <w:rPr>
          <w:spacing w:val="-2"/>
          <w:lang w:val="en-AU"/>
        </w:rPr>
        <w:t xml:space="preserve"> </w:t>
      </w:r>
      <w:r w:rsidRPr="005629F8">
        <w:rPr>
          <w:lang w:val="en-AU"/>
        </w:rPr>
        <w:t>data</w:t>
      </w:r>
      <w:r w:rsidRPr="005629F8">
        <w:rPr>
          <w:spacing w:val="-2"/>
          <w:lang w:val="en-AU"/>
        </w:rPr>
        <w:t xml:space="preserve"> </w:t>
      </w:r>
      <w:r w:rsidRPr="005629F8">
        <w:rPr>
          <w:lang w:val="en-AU"/>
        </w:rPr>
        <w:t>is</w:t>
      </w:r>
      <w:r w:rsidRPr="005629F8">
        <w:rPr>
          <w:spacing w:val="-3"/>
          <w:lang w:val="en-AU"/>
        </w:rPr>
        <w:t xml:space="preserve"> </w:t>
      </w:r>
      <w:r w:rsidRPr="005629F8">
        <w:rPr>
          <w:lang w:val="en-AU"/>
        </w:rPr>
        <w:t>available,</w:t>
      </w:r>
      <w:r w:rsidRPr="005629F8">
        <w:rPr>
          <w:spacing w:val="1"/>
          <w:lang w:val="en-AU"/>
        </w:rPr>
        <w:t xml:space="preserve"> </w:t>
      </w:r>
      <w:r w:rsidRPr="005629F8">
        <w:rPr>
          <w:lang w:val="en-AU"/>
        </w:rPr>
        <w:t>patient</w:t>
      </w:r>
      <w:r w:rsidRPr="005629F8">
        <w:rPr>
          <w:spacing w:val="-2"/>
          <w:lang w:val="en-AU"/>
        </w:rPr>
        <w:t xml:space="preserve"> </w:t>
      </w:r>
      <w:r w:rsidRPr="005629F8">
        <w:rPr>
          <w:lang w:val="en-AU"/>
        </w:rPr>
        <w:t>care</w:t>
      </w:r>
      <w:r w:rsidRPr="005629F8">
        <w:rPr>
          <w:spacing w:val="-3"/>
          <w:lang w:val="en-AU"/>
        </w:rPr>
        <w:t xml:space="preserve"> </w:t>
      </w:r>
      <w:r w:rsidRPr="005629F8">
        <w:rPr>
          <w:lang w:val="en-AU"/>
        </w:rPr>
        <w:t>area costs are allocated</w:t>
      </w:r>
      <w:r w:rsidRPr="005629F8">
        <w:rPr>
          <w:spacing w:val="-4"/>
          <w:lang w:val="en-AU"/>
        </w:rPr>
        <w:t xml:space="preserve"> </w:t>
      </w:r>
      <w:r w:rsidRPr="005629F8">
        <w:rPr>
          <w:lang w:val="en-AU"/>
        </w:rPr>
        <w:t>using</w:t>
      </w:r>
      <w:r w:rsidRPr="005629F8">
        <w:rPr>
          <w:spacing w:val="1"/>
          <w:lang w:val="en-AU"/>
        </w:rPr>
        <w:t xml:space="preserve"> </w:t>
      </w:r>
      <w:r w:rsidRPr="005629F8">
        <w:rPr>
          <w:lang w:val="en-AU"/>
        </w:rPr>
        <w:t>service</w:t>
      </w:r>
      <w:r w:rsidRPr="005629F8">
        <w:rPr>
          <w:spacing w:val="-1"/>
          <w:lang w:val="en-AU"/>
        </w:rPr>
        <w:t xml:space="preserve"> </w:t>
      </w:r>
      <w:r w:rsidRPr="005629F8">
        <w:rPr>
          <w:lang w:val="en-AU"/>
        </w:rPr>
        <w:t>weights.</w:t>
      </w:r>
    </w:p>
    <w:p w14:paraId="264F5A8E" w14:textId="0BEA59AD" w:rsidR="00B76B05" w:rsidRPr="005629F8" w:rsidRDefault="00B76B05" w:rsidP="00FC4599">
      <w:pPr>
        <w:pStyle w:val="Heading2"/>
      </w:pPr>
      <w:bookmarkStart w:id="279" w:name="_Toc129700707"/>
      <w:bookmarkStart w:id="280" w:name="_Toc129701400"/>
      <w:r w:rsidRPr="005629F8">
        <w:t>Cost bucket</w:t>
      </w:r>
      <w:r w:rsidRPr="005629F8">
        <w:rPr>
          <w:spacing w:val="1"/>
        </w:rPr>
        <w:t xml:space="preserve"> </w:t>
      </w:r>
      <w:r w:rsidRPr="005629F8">
        <w:t>or</w:t>
      </w:r>
      <w:r w:rsidRPr="005629F8">
        <w:rPr>
          <w:spacing w:val="-2"/>
        </w:rPr>
        <w:t xml:space="preserve"> </w:t>
      </w:r>
      <w:r w:rsidRPr="005629F8">
        <w:t>cost</w:t>
      </w:r>
      <w:r w:rsidRPr="005629F8">
        <w:rPr>
          <w:spacing w:val="-2"/>
        </w:rPr>
        <w:t xml:space="preserve"> </w:t>
      </w:r>
      <w:r w:rsidRPr="005629F8">
        <w:t>components</w:t>
      </w:r>
      <w:bookmarkEnd w:id="279"/>
      <w:bookmarkEnd w:id="280"/>
    </w:p>
    <w:p w14:paraId="4D51B647" w14:textId="77777777" w:rsidR="00B76B05" w:rsidRPr="005629F8" w:rsidRDefault="00B76B05" w:rsidP="00E13965">
      <w:pPr>
        <w:rPr>
          <w:lang w:val="en-AU"/>
        </w:rPr>
      </w:pPr>
      <w:r w:rsidRPr="005629F8">
        <w:rPr>
          <w:lang w:val="en-AU"/>
        </w:rPr>
        <w:t>The cost of a separation of admitted acute care is reported by allocating patient level costs to a set of pre-defined cost buckets/cost components. The cost buckets are listed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438"/>
        <w:gridCol w:w="3002"/>
      </w:tblGrid>
      <w:tr w:rsidR="009337B4" w:rsidRPr="0088109E" w14:paraId="6EB992DB" w14:textId="77777777" w:rsidTr="00FA0E2B">
        <w:tc>
          <w:tcPr>
            <w:tcW w:w="3220" w:type="dxa"/>
          </w:tcPr>
          <w:p w14:paraId="3A30F4DE" w14:textId="77777777" w:rsidR="009337B4" w:rsidRPr="005629F8" w:rsidRDefault="009337B4" w:rsidP="009337B4">
            <w:pPr>
              <w:pStyle w:val="ListParagraph"/>
              <w:numPr>
                <w:ilvl w:val="0"/>
                <w:numId w:val="39"/>
              </w:numPr>
              <w:ind w:left="567" w:hanging="567"/>
              <w:rPr>
                <w:lang w:val="en-AU"/>
              </w:rPr>
            </w:pPr>
            <w:r w:rsidRPr="005629F8">
              <w:rPr>
                <w:lang w:val="en-AU"/>
              </w:rPr>
              <w:t>Ward</w:t>
            </w:r>
            <w:r w:rsidRPr="005629F8">
              <w:rPr>
                <w:spacing w:val="-6"/>
                <w:lang w:val="en-AU"/>
              </w:rPr>
              <w:t xml:space="preserve"> </w:t>
            </w:r>
            <w:r w:rsidRPr="005629F8">
              <w:rPr>
                <w:lang w:val="en-AU"/>
              </w:rPr>
              <w:t>Medical</w:t>
            </w:r>
          </w:p>
          <w:p w14:paraId="032EB06F" w14:textId="77777777" w:rsidR="009337B4" w:rsidRPr="005629F8" w:rsidRDefault="009337B4" w:rsidP="009337B4">
            <w:pPr>
              <w:pStyle w:val="ListParagraph"/>
              <w:numPr>
                <w:ilvl w:val="0"/>
                <w:numId w:val="39"/>
              </w:numPr>
              <w:ind w:left="567" w:hanging="567"/>
              <w:rPr>
                <w:lang w:val="en-AU"/>
              </w:rPr>
            </w:pPr>
            <w:r w:rsidRPr="005629F8">
              <w:rPr>
                <w:lang w:val="en-AU"/>
              </w:rPr>
              <w:t>Ward</w:t>
            </w:r>
            <w:r w:rsidRPr="005629F8">
              <w:rPr>
                <w:spacing w:val="-5"/>
                <w:lang w:val="en-AU"/>
              </w:rPr>
              <w:t xml:space="preserve"> </w:t>
            </w:r>
            <w:r w:rsidRPr="005629F8">
              <w:rPr>
                <w:lang w:val="en-AU"/>
              </w:rPr>
              <w:t>Nursing</w:t>
            </w:r>
          </w:p>
          <w:p w14:paraId="31334640" w14:textId="77777777" w:rsidR="009337B4" w:rsidRPr="005629F8" w:rsidRDefault="009337B4" w:rsidP="009337B4">
            <w:pPr>
              <w:pStyle w:val="ListParagraph"/>
              <w:numPr>
                <w:ilvl w:val="0"/>
                <w:numId w:val="39"/>
              </w:numPr>
              <w:ind w:left="567" w:hanging="567"/>
              <w:rPr>
                <w:lang w:val="en-AU"/>
              </w:rPr>
            </w:pPr>
            <w:r w:rsidRPr="005629F8">
              <w:rPr>
                <w:lang w:val="en-AU"/>
              </w:rPr>
              <w:t>Non-clinical</w:t>
            </w:r>
            <w:r w:rsidRPr="005629F8">
              <w:rPr>
                <w:spacing w:val="-5"/>
                <w:lang w:val="en-AU"/>
              </w:rPr>
              <w:t xml:space="preserve"> </w:t>
            </w:r>
            <w:r w:rsidRPr="005629F8">
              <w:rPr>
                <w:lang w:val="en-AU"/>
              </w:rPr>
              <w:t>Salaries</w:t>
            </w:r>
          </w:p>
          <w:p w14:paraId="171ADA60" w14:textId="77777777" w:rsidR="009337B4" w:rsidRPr="005629F8" w:rsidRDefault="009337B4" w:rsidP="009337B4">
            <w:pPr>
              <w:pStyle w:val="ListParagraph"/>
              <w:numPr>
                <w:ilvl w:val="0"/>
                <w:numId w:val="39"/>
              </w:numPr>
              <w:ind w:left="567" w:hanging="567"/>
              <w:rPr>
                <w:lang w:val="en-AU"/>
              </w:rPr>
            </w:pPr>
            <w:r w:rsidRPr="005629F8">
              <w:rPr>
                <w:lang w:val="en-AU"/>
              </w:rPr>
              <w:t>Pathology</w:t>
            </w:r>
          </w:p>
          <w:p w14:paraId="7C38462D" w14:textId="77777777" w:rsidR="009337B4" w:rsidRPr="005629F8" w:rsidRDefault="009337B4" w:rsidP="009337B4">
            <w:pPr>
              <w:pStyle w:val="ListParagraph"/>
              <w:numPr>
                <w:ilvl w:val="0"/>
                <w:numId w:val="39"/>
              </w:numPr>
              <w:ind w:left="567" w:hanging="567"/>
              <w:rPr>
                <w:lang w:val="en-AU"/>
              </w:rPr>
            </w:pPr>
            <w:r w:rsidRPr="005629F8">
              <w:rPr>
                <w:lang w:val="en-AU"/>
              </w:rPr>
              <w:t>Imaging</w:t>
            </w:r>
          </w:p>
          <w:p w14:paraId="6C2724E7" w14:textId="76F67543" w:rsidR="009337B4" w:rsidRPr="005629F8" w:rsidRDefault="009337B4" w:rsidP="009337B4">
            <w:pPr>
              <w:pStyle w:val="ListParagraph"/>
              <w:numPr>
                <w:ilvl w:val="0"/>
                <w:numId w:val="39"/>
              </w:numPr>
              <w:ind w:left="567" w:hanging="567"/>
              <w:rPr>
                <w:lang w:val="en-AU"/>
              </w:rPr>
            </w:pPr>
            <w:r w:rsidRPr="005629F8">
              <w:rPr>
                <w:lang w:val="en-AU"/>
              </w:rPr>
              <w:t>Allied</w:t>
            </w:r>
            <w:r w:rsidRPr="005629F8">
              <w:rPr>
                <w:spacing w:val="-2"/>
                <w:lang w:val="en-AU"/>
              </w:rPr>
              <w:t xml:space="preserve"> </w:t>
            </w:r>
            <w:r w:rsidRPr="005629F8">
              <w:rPr>
                <w:lang w:val="en-AU"/>
              </w:rPr>
              <w:t>Health</w:t>
            </w:r>
          </w:p>
        </w:tc>
        <w:tc>
          <w:tcPr>
            <w:tcW w:w="3438" w:type="dxa"/>
          </w:tcPr>
          <w:p w14:paraId="23F1E204" w14:textId="29BE0FD8" w:rsidR="009337B4" w:rsidRPr="005629F8" w:rsidRDefault="009337B4" w:rsidP="009337B4">
            <w:pPr>
              <w:pStyle w:val="ListParagraph"/>
              <w:numPr>
                <w:ilvl w:val="0"/>
                <w:numId w:val="39"/>
              </w:numPr>
              <w:ind w:left="567" w:right="-1361" w:hanging="567"/>
              <w:rPr>
                <w:lang w:val="en-AU"/>
              </w:rPr>
            </w:pPr>
            <w:r w:rsidRPr="005629F8">
              <w:rPr>
                <w:lang w:val="en-AU"/>
              </w:rPr>
              <w:t>Pharmacy</w:t>
            </w:r>
          </w:p>
          <w:p w14:paraId="648E1434" w14:textId="54F707C5" w:rsidR="009337B4" w:rsidRPr="005629F8" w:rsidRDefault="009337B4" w:rsidP="009337B4">
            <w:pPr>
              <w:pStyle w:val="ListParagraph"/>
              <w:numPr>
                <w:ilvl w:val="0"/>
                <w:numId w:val="39"/>
              </w:numPr>
              <w:ind w:left="567" w:right="-1361" w:hanging="567"/>
              <w:rPr>
                <w:lang w:val="en-AU"/>
              </w:rPr>
            </w:pPr>
            <w:r w:rsidRPr="005629F8">
              <w:rPr>
                <w:lang w:val="en-AU"/>
              </w:rPr>
              <w:t>Critical</w:t>
            </w:r>
            <w:r w:rsidRPr="005629F8">
              <w:rPr>
                <w:spacing w:val="-2"/>
                <w:lang w:val="en-AU"/>
              </w:rPr>
              <w:t xml:space="preserve"> </w:t>
            </w:r>
            <w:r w:rsidRPr="005629F8">
              <w:rPr>
                <w:lang w:val="en-AU"/>
              </w:rPr>
              <w:t>Care</w:t>
            </w:r>
          </w:p>
          <w:p w14:paraId="39A9EBE1" w14:textId="77777777" w:rsidR="009337B4" w:rsidRPr="005629F8" w:rsidRDefault="009337B4" w:rsidP="009337B4">
            <w:pPr>
              <w:pStyle w:val="ListParagraph"/>
              <w:numPr>
                <w:ilvl w:val="0"/>
                <w:numId w:val="39"/>
              </w:numPr>
              <w:ind w:left="567" w:right="-1361" w:hanging="567"/>
              <w:rPr>
                <w:lang w:val="en-AU"/>
              </w:rPr>
            </w:pPr>
            <w:r w:rsidRPr="005629F8">
              <w:rPr>
                <w:lang w:val="en-AU"/>
              </w:rPr>
              <w:t>Operating</w:t>
            </w:r>
            <w:r w:rsidRPr="005629F8">
              <w:rPr>
                <w:spacing w:val="-2"/>
                <w:lang w:val="en-AU"/>
              </w:rPr>
              <w:t xml:space="preserve"> </w:t>
            </w:r>
            <w:r w:rsidRPr="005629F8">
              <w:rPr>
                <w:lang w:val="en-AU"/>
              </w:rPr>
              <w:t>Rooms</w:t>
            </w:r>
          </w:p>
          <w:p w14:paraId="46CADA2C" w14:textId="77777777" w:rsidR="009337B4" w:rsidRPr="005629F8" w:rsidRDefault="009337B4" w:rsidP="009337B4">
            <w:pPr>
              <w:pStyle w:val="ListParagraph"/>
              <w:numPr>
                <w:ilvl w:val="0"/>
                <w:numId w:val="39"/>
              </w:numPr>
              <w:ind w:left="567" w:right="-1361" w:hanging="567"/>
              <w:rPr>
                <w:lang w:val="en-AU"/>
              </w:rPr>
            </w:pPr>
            <w:r w:rsidRPr="005629F8">
              <w:rPr>
                <w:lang w:val="en-AU"/>
              </w:rPr>
              <w:t>Supplies</w:t>
            </w:r>
          </w:p>
          <w:p w14:paraId="6F20B61A" w14:textId="5AD1D7C4" w:rsidR="009337B4" w:rsidRPr="005629F8" w:rsidRDefault="009337B4" w:rsidP="009337B4">
            <w:pPr>
              <w:pStyle w:val="ListParagraph"/>
              <w:numPr>
                <w:ilvl w:val="0"/>
                <w:numId w:val="39"/>
              </w:numPr>
              <w:ind w:left="567" w:right="-1361" w:hanging="567"/>
              <w:rPr>
                <w:lang w:val="en-AU"/>
              </w:rPr>
            </w:pPr>
            <w:r w:rsidRPr="005629F8">
              <w:rPr>
                <w:lang w:val="en-AU"/>
              </w:rPr>
              <w:t>Specialist Procedur</w:t>
            </w:r>
            <w:r w:rsidR="00DB117A">
              <w:rPr>
                <w:lang w:val="en-AU"/>
              </w:rPr>
              <w:t>e Suites</w:t>
            </w:r>
          </w:p>
          <w:p w14:paraId="34BFA3E3" w14:textId="77777777" w:rsidR="009337B4" w:rsidRPr="005629F8" w:rsidRDefault="009337B4" w:rsidP="00E13965">
            <w:pPr>
              <w:rPr>
                <w:lang w:val="en-AU"/>
              </w:rPr>
            </w:pPr>
          </w:p>
        </w:tc>
        <w:tc>
          <w:tcPr>
            <w:tcW w:w="3002" w:type="dxa"/>
          </w:tcPr>
          <w:p w14:paraId="522FFB62" w14:textId="77777777" w:rsidR="009337B4" w:rsidRPr="005629F8" w:rsidRDefault="009337B4" w:rsidP="009337B4">
            <w:pPr>
              <w:pStyle w:val="ListParagraph"/>
              <w:numPr>
                <w:ilvl w:val="0"/>
                <w:numId w:val="39"/>
              </w:numPr>
              <w:ind w:left="567" w:hanging="567"/>
              <w:rPr>
                <w:lang w:val="en-AU"/>
              </w:rPr>
            </w:pPr>
            <w:r w:rsidRPr="005629F8">
              <w:rPr>
                <w:lang w:val="en-AU"/>
              </w:rPr>
              <w:t>On-costs</w:t>
            </w:r>
          </w:p>
          <w:p w14:paraId="15CBB479" w14:textId="77777777" w:rsidR="009337B4" w:rsidRPr="005629F8" w:rsidRDefault="009337B4" w:rsidP="009337B4">
            <w:pPr>
              <w:pStyle w:val="ListParagraph"/>
              <w:numPr>
                <w:ilvl w:val="0"/>
                <w:numId w:val="39"/>
              </w:numPr>
              <w:ind w:left="567" w:hanging="567"/>
              <w:rPr>
                <w:lang w:val="en-AU"/>
              </w:rPr>
            </w:pPr>
            <w:r w:rsidRPr="005629F8">
              <w:rPr>
                <w:lang w:val="en-AU"/>
              </w:rPr>
              <w:t>Prostheses</w:t>
            </w:r>
          </w:p>
          <w:p w14:paraId="42D73F94" w14:textId="77777777" w:rsidR="009337B4" w:rsidRPr="005629F8" w:rsidRDefault="009337B4" w:rsidP="009337B4">
            <w:pPr>
              <w:pStyle w:val="ListParagraph"/>
              <w:numPr>
                <w:ilvl w:val="0"/>
                <w:numId w:val="39"/>
              </w:numPr>
              <w:ind w:left="567" w:right="-654" w:hanging="567"/>
              <w:rPr>
                <w:lang w:val="en-AU"/>
              </w:rPr>
            </w:pPr>
            <w:r w:rsidRPr="005629F8">
              <w:rPr>
                <w:lang w:val="en-AU"/>
              </w:rPr>
              <w:t>Hotel</w:t>
            </w:r>
          </w:p>
          <w:p w14:paraId="56AEDE64" w14:textId="77777777" w:rsidR="009337B4" w:rsidRPr="005629F8" w:rsidRDefault="009337B4" w:rsidP="009337B4">
            <w:pPr>
              <w:pStyle w:val="ListParagraph"/>
              <w:numPr>
                <w:ilvl w:val="0"/>
                <w:numId w:val="39"/>
              </w:numPr>
              <w:ind w:left="567" w:hanging="567"/>
              <w:rPr>
                <w:lang w:val="en-AU"/>
              </w:rPr>
            </w:pPr>
            <w:r w:rsidRPr="005629F8">
              <w:rPr>
                <w:lang w:val="en-AU"/>
              </w:rPr>
              <w:t>Depreciation</w:t>
            </w:r>
          </w:p>
          <w:p w14:paraId="0D968310" w14:textId="77777777" w:rsidR="009337B4" w:rsidRPr="005629F8" w:rsidRDefault="009337B4" w:rsidP="009337B4">
            <w:pPr>
              <w:pStyle w:val="ListParagraph"/>
              <w:numPr>
                <w:ilvl w:val="0"/>
                <w:numId w:val="39"/>
              </w:numPr>
              <w:ind w:left="567" w:hanging="567"/>
              <w:rPr>
                <w:lang w:val="en-AU"/>
              </w:rPr>
            </w:pPr>
            <w:r w:rsidRPr="005629F8">
              <w:rPr>
                <w:lang w:val="en-AU"/>
              </w:rPr>
              <w:t>Patient</w:t>
            </w:r>
            <w:r w:rsidRPr="005629F8">
              <w:rPr>
                <w:spacing w:val="-2"/>
                <w:lang w:val="en-AU"/>
              </w:rPr>
              <w:t xml:space="preserve"> </w:t>
            </w:r>
            <w:r w:rsidRPr="005629F8">
              <w:rPr>
                <w:lang w:val="en-AU"/>
              </w:rPr>
              <w:t>Travel</w:t>
            </w:r>
          </w:p>
          <w:p w14:paraId="36FEF995" w14:textId="77777777" w:rsidR="009337B4" w:rsidRPr="005629F8" w:rsidRDefault="009337B4" w:rsidP="00E13965">
            <w:pPr>
              <w:rPr>
                <w:lang w:val="en-AU"/>
              </w:rPr>
            </w:pPr>
          </w:p>
        </w:tc>
      </w:tr>
    </w:tbl>
    <w:p w14:paraId="367616D1" w14:textId="776DF027" w:rsidR="00B76B05" w:rsidRPr="005629F8" w:rsidRDefault="00B76B05" w:rsidP="00FA0E2B">
      <w:pPr>
        <w:spacing w:before="120"/>
        <w:rPr>
          <w:lang w:val="en-AU"/>
        </w:rPr>
      </w:pPr>
      <w:r w:rsidRPr="005629F8">
        <w:rPr>
          <w:lang w:val="en-AU"/>
        </w:rPr>
        <w:t xml:space="preserve">Please note that </w:t>
      </w:r>
      <w:r w:rsidR="007B110D">
        <w:rPr>
          <w:lang w:val="en-AU"/>
        </w:rPr>
        <w:t xml:space="preserve">the </w:t>
      </w:r>
      <w:r w:rsidR="00FC59D5">
        <w:rPr>
          <w:lang w:val="en-AU"/>
        </w:rPr>
        <w:t>e</w:t>
      </w:r>
      <w:r w:rsidRPr="005629F8">
        <w:rPr>
          <w:lang w:val="en-AU"/>
        </w:rPr>
        <w:t xml:space="preserve">mergency </w:t>
      </w:r>
      <w:r w:rsidR="00FC59D5">
        <w:rPr>
          <w:lang w:val="en-AU"/>
        </w:rPr>
        <w:t>d</w:t>
      </w:r>
      <w:r w:rsidRPr="005629F8">
        <w:rPr>
          <w:lang w:val="en-AU"/>
        </w:rPr>
        <w:t>epartment cost bucket is excluded for the private sector NHCDC cost buckets</w:t>
      </w:r>
      <w:r w:rsidR="007B110D">
        <w:rPr>
          <w:lang w:val="en-AU"/>
        </w:rPr>
        <w:t>,</w:t>
      </w:r>
      <w:r w:rsidRPr="005629F8">
        <w:rPr>
          <w:lang w:val="en-AU"/>
        </w:rPr>
        <w:t xml:space="preserve"> as this collection is for admitted acute only.</w:t>
      </w:r>
    </w:p>
    <w:p w14:paraId="6B56154F" w14:textId="77777777" w:rsidR="00B76B05" w:rsidRPr="005629F8" w:rsidRDefault="00B76B05" w:rsidP="00FA0E2B">
      <w:pPr>
        <w:rPr>
          <w:lang w:val="en-AU"/>
        </w:rPr>
      </w:pPr>
      <w:r w:rsidRPr="005629F8">
        <w:rPr>
          <w:lang w:val="en-AU"/>
        </w:rPr>
        <w:t>Once each of the cost buckets is calculated for an individual patient, the patient’s total cost of care is derived as the sum of the above components.</w:t>
      </w:r>
    </w:p>
    <w:p w14:paraId="607C592E" w14:textId="70EC0216" w:rsidR="00B76B05" w:rsidRPr="005629F8" w:rsidRDefault="00B76B05" w:rsidP="00FC4599">
      <w:pPr>
        <w:pStyle w:val="Heading2"/>
      </w:pPr>
      <w:bookmarkStart w:id="281" w:name="_Toc129700708"/>
      <w:bookmarkStart w:id="282" w:name="_Toc129701401"/>
      <w:r w:rsidRPr="005629F8">
        <w:t>AR-DRG</w:t>
      </w:r>
      <w:r w:rsidRPr="005629F8">
        <w:rPr>
          <w:spacing w:val="-3"/>
        </w:rPr>
        <w:t xml:space="preserve"> </w:t>
      </w:r>
      <w:r w:rsidRPr="005629F8">
        <w:t>grouping</w:t>
      </w:r>
      <w:bookmarkEnd w:id="281"/>
      <w:bookmarkEnd w:id="282"/>
    </w:p>
    <w:p w14:paraId="0364E3B0" w14:textId="3F4F54F1" w:rsidR="00E06697" w:rsidRPr="005629F8" w:rsidRDefault="00B76B05" w:rsidP="00FA0E2B">
      <w:pPr>
        <w:rPr>
          <w:spacing w:val="-59"/>
          <w:lang w:val="en-AU"/>
        </w:rPr>
      </w:pPr>
      <w:r w:rsidRPr="005629F8">
        <w:rPr>
          <w:lang w:val="en-AU"/>
        </w:rPr>
        <w:t xml:space="preserve">All </w:t>
      </w:r>
      <w:r w:rsidR="00DD0195" w:rsidRPr="005629F8">
        <w:rPr>
          <w:lang w:val="en-AU"/>
        </w:rPr>
        <w:t>1</w:t>
      </w:r>
      <w:r w:rsidR="00DD0195">
        <w:rPr>
          <w:lang w:val="en-AU"/>
        </w:rPr>
        <w:t>03 participating</w:t>
      </w:r>
      <w:r w:rsidRPr="005629F8">
        <w:rPr>
          <w:lang w:val="en-AU"/>
        </w:rPr>
        <w:t xml:space="preserve"> hospitals </w:t>
      </w:r>
      <w:r w:rsidR="00DD0195">
        <w:rPr>
          <w:lang w:val="en-AU"/>
        </w:rPr>
        <w:t>in 2020</w:t>
      </w:r>
      <w:r w:rsidR="00DD0195">
        <w:rPr>
          <w:lang w:val="en-AU"/>
        </w:rPr>
        <w:noBreakHyphen/>
        <w:t xml:space="preserve">21 </w:t>
      </w:r>
      <w:r w:rsidRPr="005629F8">
        <w:rPr>
          <w:lang w:val="en-AU"/>
        </w:rPr>
        <w:t xml:space="preserve">submitted data costed in AR-DRG </w:t>
      </w:r>
      <w:r w:rsidR="00087B99">
        <w:rPr>
          <w:lang w:val="en-AU"/>
        </w:rPr>
        <w:t>V</w:t>
      </w:r>
      <w:r w:rsidRPr="005629F8">
        <w:rPr>
          <w:lang w:val="en-AU"/>
        </w:rPr>
        <w:t>ersion 10.0.</w:t>
      </w:r>
      <w:r w:rsidRPr="005629F8">
        <w:rPr>
          <w:spacing w:val="-59"/>
          <w:lang w:val="en-AU"/>
        </w:rPr>
        <w:t xml:space="preserve"> </w:t>
      </w:r>
    </w:p>
    <w:p w14:paraId="1D761FB1" w14:textId="63D7A785" w:rsidR="00B76B05" w:rsidRPr="005629F8" w:rsidRDefault="00B76B05" w:rsidP="00FC4599">
      <w:pPr>
        <w:pStyle w:val="Heading2"/>
      </w:pPr>
      <w:bookmarkStart w:id="283" w:name="_Toc129700709"/>
      <w:bookmarkStart w:id="284" w:name="_Toc129701402"/>
      <w:r w:rsidRPr="005629F8">
        <w:t>Cost weights</w:t>
      </w:r>
      <w:bookmarkEnd w:id="283"/>
      <w:bookmarkEnd w:id="284"/>
    </w:p>
    <w:p w14:paraId="57AA84F1" w14:textId="77777777" w:rsidR="00B76B05" w:rsidRPr="005629F8" w:rsidRDefault="00B76B05" w:rsidP="00FA0E2B">
      <w:pPr>
        <w:rPr>
          <w:lang w:val="en-AU"/>
        </w:rPr>
      </w:pPr>
      <w:r w:rsidRPr="005629F8">
        <w:rPr>
          <w:lang w:val="en-AU"/>
        </w:rPr>
        <w:t>A cost weight for a selected AR-DRG is calculated as the average cost for that AR-DRG, expressed as a weight relative to the overall average cost across all AR-DRGs. The national cost weight across all AR-DRGs is equal to 1.00, with higher cost AR-DRGs having a cost weight higher than 1.00. The weight is an indicator of the complexity of the care of the patient and thus the resourcing intensity required. This is often referred to as the casemix of a patient or hospital.</w:t>
      </w:r>
    </w:p>
    <w:p w14:paraId="43BB01DE" w14:textId="5B3A0D60" w:rsidR="00B76B05" w:rsidRPr="005629F8" w:rsidRDefault="00B76B05" w:rsidP="00FC4599">
      <w:pPr>
        <w:pStyle w:val="Heading2"/>
      </w:pPr>
      <w:bookmarkStart w:id="285" w:name="_Toc129700710"/>
      <w:bookmarkStart w:id="286" w:name="_Toc129701403"/>
      <w:r w:rsidRPr="005629F8">
        <w:t>Costing</w:t>
      </w:r>
      <w:r w:rsidRPr="005629F8">
        <w:rPr>
          <w:spacing w:val="-1"/>
        </w:rPr>
        <w:t xml:space="preserve"> </w:t>
      </w:r>
      <w:r w:rsidRPr="005629F8">
        <w:t>standards</w:t>
      </w:r>
      <w:bookmarkEnd w:id="285"/>
      <w:bookmarkEnd w:id="286"/>
    </w:p>
    <w:p w14:paraId="5333D5F7" w14:textId="617A7A1D" w:rsidR="00E06697" w:rsidRPr="005629F8" w:rsidRDefault="00B76B05" w:rsidP="001A7118">
      <w:pPr>
        <w:rPr>
          <w:rFonts w:eastAsiaTheme="majorEastAsia" w:cstheme="majorBidi"/>
          <w:sz w:val="72"/>
          <w:szCs w:val="32"/>
          <w:highlight w:val="yellow"/>
          <w:lang w:val="en-AU"/>
        </w:rPr>
      </w:pPr>
      <w:r w:rsidRPr="005629F8">
        <w:rPr>
          <w:lang w:val="en-AU"/>
        </w:rPr>
        <w:t xml:space="preserve">Costing was performed in compliance with the AHPCS </w:t>
      </w:r>
      <w:r w:rsidR="00087B99">
        <w:rPr>
          <w:lang w:val="en-AU"/>
        </w:rPr>
        <w:t>V</w:t>
      </w:r>
      <w:r w:rsidRPr="005629F8">
        <w:rPr>
          <w:lang w:val="en-AU"/>
        </w:rPr>
        <w:t>ersion 4.</w:t>
      </w:r>
      <w:r w:rsidR="000C115F" w:rsidRPr="005629F8">
        <w:rPr>
          <w:lang w:val="en-AU"/>
        </w:rPr>
        <w:t>1</w:t>
      </w:r>
      <w:r w:rsidRPr="005629F8">
        <w:rPr>
          <w:lang w:val="en-AU"/>
        </w:rPr>
        <w:t>.</w:t>
      </w:r>
      <w:bookmarkStart w:id="287" w:name="_Toc106888112"/>
      <w:r w:rsidR="00E06697" w:rsidRPr="005629F8">
        <w:rPr>
          <w:highlight w:val="yellow"/>
          <w:lang w:val="en-AU"/>
        </w:rPr>
        <w:br w:type="page"/>
      </w:r>
    </w:p>
    <w:p w14:paraId="2D035AB6" w14:textId="3ABF56A6" w:rsidR="00FA0E2B" w:rsidRPr="00E87B16" w:rsidRDefault="00FA0E2B" w:rsidP="00E87B16">
      <w:pPr>
        <w:pStyle w:val="Heading1"/>
        <w:numPr>
          <w:ilvl w:val="0"/>
          <w:numId w:val="0"/>
        </w:numPr>
        <w:rPr>
          <w:sz w:val="48"/>
          <w:szCs w:val="22"/>
        </w:rPr>
      </w:pPr>
      <w:bookmarkStart w:id="288" w:name="_Toc129701404"/>
      <w:r w:rsidRPr="00E87B16">
        <w:rPr>
          <w:sz w:val="48"/>
          <w:szCs w:val="22"/>
        </w:rPr>
        <w:lastRenderedPageBreak/>
        <w:t xml:space="preserve">Appendix C: Standard error range for the </w:t>
      </w:r>
      <w:r w:rsidR="00EC5ACC" w:rsidRPr="00E87B16">
        <w:rPr>
          <w:sz w:val="48"/>
          <w:szCs w:val="22"/>
        </w:rPr>
        <w:t>2020-21</w:t>
      </w:r>
      <w:r w:rsidRPr="00E87B16">
        <w:rPr>
          <w:sz w:val="48"/>
          <w:szCs w:val="22"/>
        </w:rPr>
        <w:t xml:space="preserve"> private sector NHCDC</w:t>
      </w:r>
      <w:bookmarkEnd w:id="287"/>
      <w:bookmarkEnd w:id="288"/>
    </w:p>
    <w:p w14:paraId="74BBB209" w14:textId="29BE71CF" w:rsidR="00FA0E2B" w:rsidRPr="005629F8" w:rsidRDefault="00FA0E2B" w:rsidP="00FA0E2B">
      <w:pPr>
        <w:rPr>
          <w:color w:val="auto"/>
          <w:lang w:val="en-AU"/>
        </w:rPr>
      </w:pPr>
      <w:r w:rsidRPr="005629F8">
        <w:rPr>
          <w:lang w:val="en-AU"/>
        </w:rPr>
        <w:t xml:space="preserve">The variability of the costs by AR-DRG has been measured by analysing the standard error of cost weights in the NHCDC sample. An AR-DRG with a lower standard error has lower variability and thus is more reliable in estimating the AR-DRG’s true costs. These standard errors are included in </w:t>
      </w:r>
      <w:r w:rsidR="007B110D">
        <w:rPr>
          <w:lang w:val="en-AU"/>
        </w:rPr>
        <w:t xml:space="preserve">the </w:t>
      </w:r>
      <w:r w:rsidRPr="005629F8">
        <w:rPr>
          <w:color w:val="auto"/>
          <w:lang w:val="en-AU"/>
        </w:rPr>
        <w:fldChar w:fldCharType="begin"/>
      </w:r>
      <w:r w:rsidRPr="005629F8">
        <w:rPr>
          <w:color w:val="auto"/>
          <w:lang w:val="en-AU"/>
        </w:rPr>
        <w:instrText xml:space="preserve"> REF _Ref103175255 \h  \* MERGEFORMAT </w:instrText>
      </w:r>
      <w:r w:rsidRPr="005629F8">
        <w:rPr>
          <w:color w:val="auto"/>
          <w:lang w:val="en-AU"/>
        </w:rPr>
      </w:r>
      <w:r w:rsidRPr="005629F8">
        <w:rPr>
          <w:color w:val="auto"/>
          <w:lang w:val="en-AU"/>
        </w:rPr>
        <w:fldChar w:fldCharType="separate"/>
      </w:r>
      <w:r w:rsidR="00F2253B" w:rsidRPr="005629F8">
        <w:rPr>
          <w:color w:val="auto"/>
          <w:lang w:val="en-AU"/>
        </w:rPr>
        <w:t>Analysis of Top 10 AR-DRGs</w:t>
      </w:r>
      <w:r w:rsidRPr="005629F8">
        <w:rPr>
          <w:color w:val="auto"/>
          <w:lang w:val="en-AU"/>
        </w:rPr>
        <w:fldChar w:fldCharType="end"/>
      </w:r>
      <w:r w:rsidRPr="005629F8">
        <w:rPr>
          <w:lang w:val="en-AU"/>
        </w:rPr>
        <w:t xml:space="preserve"> </w:t>
      </w:r>
      <w:r w:rsidRPr="005629F8">
        <w:rPr>
          <w:color w:val="auto"/>
          <w:lang w:val="en-AU"/>
        </w:rPr>
        <w:t xml:space="preserve">and </w:t>
      </w:r>
      <w:r w:rsidRPr="005629F8">
        <w:rPr>
          <w:color w:val="auto"/>
          <w:lang w:val="en-AU"/>
        </w:rPr>
        <w:fldChar w:fldCharType="begin"/>
      </w:r>
      <w:r w:rsidRPr="005629F8">
        <w:rPr>
          <w:color w:val="auto"/>
          <w:lang w:val="en-AU"/>
        </w:rPr>
        <w:instrText xml:space="preserve"> REF _Ref103175315 \h  \* MERGEFORMAT </w:instrText>
      </w:r>
      <w:r w:rsidRPr="005629F8">
        <w:rPr>
          <w:color w:val="auto"/>
          <w:lang w:val="en-AU"/>
        </w:rPr>
      </w:r>
      <w:r w:rsidRPr="005629F8">
        <w:rPr>
          <w:color w:val="auto"/>
          <w:lang w:val="en-AU"/>
        </w:rPr>
        <w:fldChar w:fldCharType="separate"/>
      </w:r>
      <w:r w:rsidR="00F2253B" w:rsidRPr="00F2253B">
        <w:rPr>
          <w:color w:val="auto"/>
          <w:lang w:val="en-AU"/>
        </w:rPr>
        <w:t>Appendix D: Cost weight tables by AR-DRG Version 10.0</w:t>
      </w:r>
      <w:r w:rsidRPr="005629F8">
        <w:rPr>
          <w:color w:val="auto"/>
          <w:lang w:val="en-AU"/>
        </w:rPr>
        <w:fldChar w:fldCharType="end"/>
      </w:r>
      <w:r w:rsidRPr="005629F8">
        <w:rPr>
          <w:color w:val="auto"/>
          <w:lang w:val="en-AU"/>
        </w:rPr>
        <w:t xml:space="preserve">. </w:t>
      </w:r>
    </w:p>
    <w:p w14:paraId="5FA9ECC4" w14:textId="7D7EA977" w:rsidR="00FA0E2B" w:rsidRPr="005629F8" w:rsidRDefault="00EC5ACC" w:rsidP="00FA0E2B">
      <w:pPr>
        <w:rPr>
          <w:lang w:val="en-AU"/>
        </w:rPr>
      </w:pPr>
      <w:r w:rsidRPr="005629F8">
        <w:rPr>
          <w:color w:val="auto"/>
          <w:highlight w:val="yellow"/>
          <w:lang w:val="en-AU"/>
        </w:rPr>
        <w:fldChar w:fldCharType="begin"/>
      </w:r>
      <w:r w:rsidRPr="005629F8">
        <w:rPr>
          <w:color w:val="auto"/>
          <w:highlight w:val="yellow"/>
          <w:lang w:val="en-AU"/>
        </w:rPr>
        <w:instrText xml:space="preserve"> REF _Ref128126243 \h </w:instrText>
      </w:r>
      <w:r w:rsidR="00F2253B" w:rsidRPr="005629F8">
        <w:rPr>
          <w:color w:val="auto"/>
          <w:highlight w:val="yellow"/>
          <w:lang w:val="en-AU"/>
        </w:rPr>
        <w:instrText xml:space="preserve"> \* MERGEFORMAT </w:instrText>
      </w:r>
      <w:r w:rsidRPr="005629F8">
        <w:rPr>
          <w:color w:val="auto"/>
          <w:highlight w:val="yellow"/>
          <w:lang w:val="en-AU"/>
        </w:rPr>
      </w:r>
      <w:r w:rsidRPr="005629F8">
        <w:rPr>
          <w:color w:val="auto"/>
          <w:highlight w:val="yellow"/>
          <w:lang w:val="en-AU"/>
        </w:rPr>
        <w:fldChar w:fldCharType="separate"/>
      </w:r>
      <w:r w:rsidR="00F2253B" w:rsidRPr="00F2253B">
        <w:t xml:space="preserve">Table </w:t>
      </w:r>
      <w:r w:rsidR="00F2253B" w:rsidRPr="005629F8">
        <w:rPr>
          <w:iCs/>
          <w:noProof/>
        </w:rPr>
        <w:t>11</w:t>
      </w:r>
      <w:r w:rsidRPr="005629F8">
        <w:rPr>
          <w:color w:val="auto"/>
          <w:highlight w:val="yellow"/>
          <w:lang w:val="en-AU"/>
        </w:rPr>
        <w:fldChar w:fldCharType="end"/>
      </w:r>
      <w:r w:rsidRPr="005629F8">
        <w:rPr>
          <w:color w:val="auto"/>
          <w:lang w:val="en-AU"/>
        </w:rPr>
        <w:t xml:space="preserve"> </w:t>
      </w:r>
      <w:r w:rsidR="00FA0E2B" w:rsidRPr="005629F8">
        <w:rPr>
          <w:color w:val="auto"/>
          <w:lang w:val="en-AU"/>
        </w:rPr>
        <w:t>summarises the reliability of AR-DRG cost weights by grouping the standard errors into several ranges</w:t>
      </w:r>
      <w:r w:rsidR="00FA0E2B" w:rsidRPr="005629F8">
        <w:rPr>
          <w:lang w:val="en-AU"/>
        </w:rPr>
        <w:t xml:space="preserve">. </w:t>
      </w:r>
      <w:r w:rsidR="00646327">
        <w:rPr>
          <w:lang w:val="en-AU"/>
        </w:rPr>
        <w:t>The n</w:t>
      </w:r>
      <w:r w:rsidR="00FA0E2B" w:rsidRPr="005629F8">
        <w:rPr>
          <w:lang w:val="en-AU"/>
        </w:rPr>
        <w:t>umber of AR-DRGs and separations falling into standard error ranges provide</w:t>
      </w:r>
      <w:r w:rsidR="007B110D">
        <w:rPr>
          <w:lang w:val="en-AU"/>
        </w:rPr>
        <w:t>s</w:t>
      </w:r>
      <w:r w:rsidR="00FA0E2B" w:rsidRPr="005629F8">
        <w:rPr>
          <w:lang w:val="en-AU"/>
        </w:rPr>
        <w:t xml:space="preserve"> insight into the estimation error of the cost weights.</w:t>
      </w:r>
    </w:p>
    <w:p w14:paraId="1142B9EA" w14:textId="1C84E61B" w:rsidR="00EC5ACC" w:rsidRPr="005629F8" w:rsidRDefault="00EC5ACC" w:rsidP="00E829BF">
      <w:pPr>
        <w:pStyle w:val="TableFigureheading"/>
      </w:pPr>
      <w:bookmarkStart w:id="289" w:name="_Ref128126243"/>
      <w:bookmarkStart w:id="290" w:name="_Ref128126238"/>
      <w:bookmarkStart w:id="291" w:name="_Toc129179305"/>
      <w:bookmarkStart w:id="292" w:name="_Toc139881784"/>
      <w:r w:rsidRPr="000C38AE">
        <w:t xml:space="preserve">Table </w:t>
      </w:r>
      <w:r w:rsidR="00FF13B6">
        <w:fldChar w:fldCharType="begin"/>
      </w:r>
      <w:r w:rsidR="00FF13B6">
        <w:instrText xml:space="preserve"> SEQ Table \* ARABIC </w:instrText>
      </w:r>
      <w:r w:rsidR="00FF13B6">
        <w:fldChar w:fldCharType="separate"/>
      </w:r>
      <w:r w:rsidRPr="005629F8">
        <w:rPr>
          <w:noProof/>
        </w:rPr>
        <w:t>11</w:t>
      </w:r>
      <w:r w:rsidR="00FF13B6">
        <w:rPr>
          <w:noProof/>
        </w:rPr>
        <w:fldChar w:fldCharType="end"/>
      </w:r>
      <w:bookmarkEnd w:id="289"/>
      <w:r w:rsidRPr="005629F8">
        <w:t>. Number of AR-DRGs by standard error range</w:t>
      </w:r>
      <w:bookmarkEnd w:id="290"/>
      <w:bookmarkEnd w:id="291"/>
      <w:bookmarkEnd w:id="292"/>
    </w:p>
    <w:tbl>
      <w:tblPr>
        <w:tblW w:w="8016" w:type="dxa"/>
        <w:jc w:val="center"/>
        <w:tblLook w:val="04A0" w:firstRow="1" w:lastRow="0" w:firstColumn="1" w:lastColumn="0" w:noHBand="0" w:noVBand="1"/>
      </w:tblPr>
      <w:tblGrid>
        <w:gridCol w:w="2056"/>
        <w:gridCol w:w="1000"/>
        <w:gridCol w:w="1640"/>
        <w:gridCol w:w="1660"/>
        <w:gridCol w:w="1660"/>
      </w:tblGrid>
      <w:tr w:rsidR="00FA0E2B" w:rsidRPr="00EC5ACC" w14:paraId="33CDE1D7" w14:textId="77777777" w:rsidTr="000771FC">
        <w:trPr>
          <w:trHeight w:val="675"/>
          <w:jc w:val="center"/>
        </w:trPr>
        <w:tc>
          <w:tcPr>
            <w:tcW w:w="2056" w:type="dxa"/>
            <w:tcBorders>
              <w:top w:val="single" w:sz="4" w:space="0" w:color="D9D9D9"/>
              <w:left w:val="nil"/>
              <w:bottom w:val="single" w:sz="4" w:space="0" w:color="D9D9D9"/>
              <w:right w:val="single" w:sz="4" w:space="0" w:color="D9D9D9"/>
            </w:tcBorders>
            <w:shd w:val="clear" w:color="auto" w:fill="15272F" w:themeFill="text1"/>
            <w:vAlign w:val="center"/>
            <w:hideMark/>
          </w:tcPr>
          <w:p w14:paraId="2821D785" w14:textId="77777777" w:rsidR="00FA0E2B" w:rsidRPr="005629F8" w:rsidRDefault="00FA0E2B" w:rsidP="00FA0E2B">
            <w:pPr>
              <w:spacing w:after="0" w:line="240" w:lineRule="auto"/>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Standard Error Range</w:t>
            </w:r>
          </w:p>
        </w:tc>
        <w:tc>
          <w:tcPr>
            <w:tcW w:w="1000" w:type="dxa"/>
            <w:tcBorders>
              <w:top w:val="single" w:sz="4" w:space="0" w:color="D9D9D9"/>
              <w:left w:val="single" w:sz="4" w:space="0" w:color="D9D9D9"/>
              <w:bottom w:val="single" w:sz="4" w:space="0" w:color="D9D9D9"/>
              <w:right w:val="nil"/>
            </w:tcBorders>
            <w:shd w:val="clear" w:color="auto" w:fill="15272F" w:themeFill="text1"/>
            <w:vAlign w:val="center"/>
            <w:hideMark/>
          </w:tcPr>
          <w:p w14:paraId="3555D6DE" w14:textId="5B95EBD8" w:rsidR="00FA0E2B" w:rsidRPr="005629F8" w:rsidRDefault="00FA0E2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 xml:space="preserve">Number of </w:t>
            </w:r>
            <w:r w:rsidR="008E00F1" w:rsidRPr="005629F8">
              <w:rPr>
                <w:rFonts w:eastAsia="Times New Roman" w:cs="Arial"/>
                <w:b/>
                <w:bCs/>
                <w:color w:val="FFFFFF" w:themeColor="background2"/>
                <w:sz w:val="16"/>
                <w:szCs w:val="16"/>
                <w:lang w:val="en-AU" w:eastAsia="en-AU"/>
              </w:rPr>
              <w:t>AR</w:t>
            </w:r>
            <w:r w:rsidR="008E00F1" w:rsidRPr="005629F8">
              <w:rPr>
                <w:rFonts w:eastAsia="Times New Roman" w:cs="Arial"/>
                <w:b/>
                <w:bCs/>
                <w:color w:val="FFFFFF" w:themeColor="background2"/>
                <w:sz w:val="16"/>
                <w:szCs w:val="16"/>
                <w:lang w:val="en-AU" w:eastAsia="en-AU"/>
              </w:rPr>
              <w:noBreakHyphen/>
            </w:r>
            <w:r w:rsidRPr="005629F8">
              <w:rPr>
                <w:rFonts w:eastAsia="Times New Roman" w:cs="Arial"/>
                <w:b/>
                <w:bCs/>
                <w:color w:val="FFFFFF" w:themeColor="background2"/>
                <w:sz w:val="16"/>
                <w:szCs w:val="16"/>
                <w:lang w:val="en-AU" w:eastAsia="en-AU"/>
              </w:rPr>
              <w:t>DRGs</w:t>
            </w:r>
          </w:p>
        </w:tc>
        <w:tc>
          <w:tcPr>
            <w:tcW w:w="1640" w:type="dxa"/>
            <w:tcBorders>
              <w:top w:val="single" w:sz="4" w:space="0" w:color="D9D9D9"/>
              <w:left w:val="nil"/>
              <w:bottom w:val="single" w:sz="4" w:space="0" w:color="D9D9D9"/>
              <w:right w:val="single" w:sz="4" w:space="0" w:color="D9D9D9"/>
            </w:tcBorders>
            <w:shd w:val="clear" w:color="auto" w:fill="15272F" w:themeFill="text1"/>
            <w:vAlign w:val="center"/>
            <w:hideMark/>
          </w:tcPr>
          <w:p w14:paraId="3920DC6A" w14:textId="77777777" w:rsidR="00FA0E2B" w:rsidRPr="005629F8" w:rsidRDefault="00FA0E2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Separations</w:t>
            </w:r>
          </w:p>
        </w:tc>
        <w:tc>
          <w:tcPr>
            <w:tcW w:w="1660" w:type="dxa"/>
            <w:tcBorders>
              <w:top w:val="single" w:sz="4" w:space="0" w:color="D9D9D9"/>
              <w:left w:val="single" w:sz="4" w:space="0" w:color="D9D9D9"/>
              <w:bottom w:val="single" w:sz="4" w:space="0" w:color="D9D9D9"/>
              <w:right w:val="nil"/>
            </w:tcBorders>
            <w:shd w:val="clear" w:color="auto" w:fill="15272F" w:themeFill="text1"/>
            <w:vAlign w:val="center"/>
            <w:hideMark/>
          </w:tcPr>
          <w:p w14:paraId="5AD953B7" w14:textId="77777777" w:rsidR="00490E5B" w:rsidRPr="005629F8" w:rsidRDefault="00FA0E2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 xml:space="preserve">Percentage of </w:t>
            </w:r>
          </w:p>
          <w:p w14:paraId="2AD9087E" w14:textId="77777777" w:rsidR="00490E5B" w:rsidRPr="005629F8" w:rsidRDefault="00490E5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AR-</w:t>
            </w:r>
            <w:r w:rsidR="00FA0E2B" w:rsidRPr="005629F8">
              <w:rPr>
                <w:rFonts w:eastAsia="Times New Roman" w:cs="Arial"/>
                <w:b/>
                <w:bCs/>
                <w:color w:val="FFFFFF" w:themeColor="background2"/>
                <w:sz w:val="16"/>
                <w:szCs w:val="16"/>
                <w:lang w:val="en-AU" w:eastAsia="en-AU"/>
              </w:rPr>
              <w:t xml:space="preserve">DRGs </w:t>
            </w:r>
          </w:p>
          <w:p w14:paraId="3CB49936" w14:textId="5E6D86CB" w:rsidR="00FA0E2B" w:rsidRPr="005629F8" w:rsidRDefault="00FA0E2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w:t>
            </w:r>
          </w:p>
        </w:tc>
        <w:tc>
          <w:tcPr>
            <w:tcW w:w="1660" w:type="dxa"/>
            <w:tcBorders>
              <w:top w:val="single" w:sz="4" w:space="0" w:color="D9D9D9"/>
              <w:left w:val="nil"/>
              <w:bottom w:val="single" w:sz="4" w:space="0" w:color="D9D9D9"/>
              <w:right w:val="nil"/>
            </w:tcBorders>
            <w:shd w:val="clear" w:color="auto" w:fill="15272F" w:themeFill="text1"/>
            <w:vAlign w:val="center"/>
            <w:hideMark/>
          </w:tcPr>
          <w:p w14:paraId="12A79833" w14:textId="77777777" w:rsidR="00490E5B" w:rsidRPr="005629F8" w:rsidRDefault="00FA0E2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 xml:space="preserve">Percentage of </w:t>
            </w:r>
          </w:p>
          <w:p w14:paraId="77668A20" w14:textId="7CBDA674" w:rsidR="00FA0E2B" w:rsidRPr="005629F8" w:rsidRDefault="00FA0E2B" w:rsidP="00FA0E2B">
            <w:pPr>
              <w:spacing w:after="0" w:line="240" w:lineRule="auto"/>
              <w:jc w:val="center"/>
              <w:rPr>
                <w:rFonts w:eastAsia="Times New Roman" w:cs="Arial"/>
                <w:b/>
                <w:bCs/>
                <w:color w:val="FFFFFF" w:themeColor="background2"/>
                <w:sz w:val="16"/>
                <w:szCs w:val="16"/>
                <w:lang w:val="en-AU" w:eastAsia="en-AU"/>
              </w:rPr>
            </w:pPr>
            <w:r w:rsidRPr="005629F8">
              <w:rPr>
                <w:rFonts w:eastAsia="Times New Roman" w:cs="Arial"/>
                <w:b/>
                <w:bCs/>
                <w:color w:val="FFFFFF" w:themeColor="background2"/>
                <w:sz w:val="16"/>
                <w:szCs w:val="16"/>
                <w:lang w:val="en-AU" w:eastAsia="en-AU"/>
              </w:rPr>
              <w:t>total separations (%)</w:t>
            </w:r>
          </w:p>
        </w:tc>
      </w:tr>
      <w:tr w:rsidR="00EC5ACC" w:rsidRPr="00EC5ACC" w14:paraId="6D564C8C"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7C5DC474" w14:textId="77777777"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0.000 - 0.039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vAlign w:val="center"/>
            <w:hideMark/>
          </w:tcPr>
          <w:p w14:paraId="34467DB1" w14:textId="4477EAFD"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270</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vAlign w:val="center"/>
            <w:hideMark/>
          </w:tcPr>
          <w:p w14:paraId="0F50CA58" w14:textId="477ECD77"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3,150,671</w:t>
            </w:r>
          </w:p>
        </w:tc>
        <w:tc>
          <w:tcPr>
            <w:tcW w:w="1660" w:type="dxa"/>
            <w:tcBorders>
              <w:top w:val="single" w:sz="4" w:space="0" w:color="D9D9D9"/>
              <w:left w:val="single" w:sz="4" w:space="0" w:color="D9D9D9"/>
              <w:bottom w:val="single" w:sz="4" w:space="0" w:color="D9D9D9"/>
              <w:right w:val="nil"/>
            </w:tcBorders>
            <w:shd w:val="clear" w:color="auto" w:fill="auto"/>
            <w:noWrap/>
            <w:vAlign w:val="center"/>
            <w:hideMark/>
          </w:tcPr>
          <w:p w14:paraId="296F39AF" w14:textId="669D3B19"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35.6%</w:t>
            </w:r>
          </w:p>
        </w:tc>
        <w:tc>
          <w:tcPr>
            <w:tcW w:w="1660" w:type="dxa"/>
            <w:tcBorders>
              <w:top w:val="single" w:sz="4" w:space="0" w:color="D9D9D9"/>
              <w:left w:val="nil"/>
              <w:bottom w:val="single" w:sz="4" w:space="0" w:color="D9D9D9"/>
              <w:right w:val="nil"/>
            </w:tcBorders>
            <w:shd w:val="clear" w:color="auto" w:fill="auto"/>
            <w:noWrap/>
            <w:vAlign w:val="center"/>
            <w:hideMark/>
          </w:tcPr>
          <w:p w14:paraId="2B04AC64" w14:textId="38F12B5D"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90.4%</w:t>
            </w:r>
          </w:p>
        </w:tc>
      </w:tr>
      <w:tr w:rsidR="00EC5ACC" w:rsidRPr="00EC5ACC" w14:paraId="67E78A3A"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22C376FF" w14:textId="77777777"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0.040 - 0.099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vAlign w:val="center"/>
            <w:hideMark/>
          </w:tcPr>
          <w:p w14:paraId="3FB8C9E9" w14:textId="17195D3D"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171</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vAlign w:val="center"/>
            <w:hideMark/>
          </w:tcPr>
          <w:p w14:paraId="2F26CF1B" w14:textId="431AA774"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236,633</w:t>
            </w:r>
          </w:p>
        </w:tc>
        <w:tc>
          <w:tcPr>
            <w:tcW w:w="1660" w:type="dxa"/>
            <w:tcBorders>
              <w:top w:val="single" w:sz="4" w:space="0" w:color="D9D9D9"/>
              <w:left w:val="single" w:sz="4" w:space="0" w:color="D9D9D9"/>
              <w:bottom w:val="single" w:sz="4" w:space="0" w:color="D9D9D9"/>
              <w:right w:val="nil"/>
            </w:tcBorders>
            <w:shd w:val="clear" w:color="auto" w:fill="auto"/>
            <w:noWrap/>
            <w:vAlign w:val="center"/>
            <w:hideMark/>
          </w:tcPr>
          <w:p w14:paraId="7EE40204" w14:textId="7096F31E"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22.6%</w:t>
            </w:r>
          </w:p>
        </w:tc>
        <w:tc>
          <w:tcPr>
            <w:tcW w:w="1660" w:type="dxa"/>
            <w:tcBorders>
              <w:top w:val="single" w:sz="4" w:space="0" w:color="D9D9D9"/>
              <w:left w:val="nil"/>
              <w:bottom w:val="single" w:sz="4" w:space="0" w:color="D9D9D9"/>
              <w:right w:val="nil"/>
            </w:tcBorders>
            <w:shd w:val="clear" w:color="auto" w:fill="auto"/>
            <w:noWrap/>
            <w:vAlign w:val="center"/>
            <w:hideMark/>
          </w:tcPr>
          <w:p w14:paraId="0C2E5109" w14:textId="69F9A7E7"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6.8%</w:t>
            </w:r>
          </w:p>
        </w:tc>
      </w:tr>
      <w:tr w:rsidR="00EC5ACC" w:rsidRPr="00EC5ACC" w14:paraId="1E693DE1"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38AEC99C" w14:textId="77777777"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0.100 - 0.149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vAlign w:val="center"/>
            <w:hideMark/>
          </w:tcPr>
          <w:p w14:paraId="247926C9" w14:textId="29AB393D"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82</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vAlign w:val="center"/>
            <w:hideMark/>
          </w:tcPr>
          <w:p w14:paraId="56D1C0F0" w14:textId="28BF975A"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47,408</w:t>
            </w:r>
          </w:p>
        </w:tc>
        <w:tc>
          <w:tcPr>
            <w:tcW w:w="1660" w:type="dxa"/>
            <w:tcBorders>
              <w:top w:val="single" w:sz="4" w:space="0" w:color="D9D9D9"/>
              <w:left w:val="single" w:sz="4" w:space="0" w:color="D9D9D9"/>
              <w:bottom w:val="single" w:sz="4" w:space="0" w:color="D9D9D9"/>
              <w:right w:val="nil"/>
            </w:tcBorders>
            <w:shd w:val="clear" w:color="auto" w:fill="auto"/>
            <w:noWrap/>
            <w:vAlign w:val="center"/>
            <w:hideMark/>
          </w:tcPr>
          <w:p w14:paraId="47E3A1CF" w14:textId="591E2864"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10.8%</w:t>
            </w:r>
          </w:p>
        </w:tc>
        <w:tc>
          <w:tcPr>
            <w:tcW w:w="1660" w:type="dxa"/>
            <w:tcBorders>
              <w:top w:val="single" w:sz="4" w:space="0" w:color="D9D9D9"/>
              <w:left w:val="nil"/>
              <w:bottom w:val="single" w:sz="4" w:space="0" w:color="D9D9D9"/>
              <w:right w:val="nil"/>
            </w:tcBorders>
            <w:shd w:val="clear" w:color="auto" w:fill="auto"/>
            <w:noWrap/>
            <w:vAlign w:val="center"/>
            <w:hideMark/>
          </w:tcPr>
          <w:p w14:paraId="02C36E40" w14:textId="75007637"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1.4%</w:t>
            </w:r>
          </w:p>
        </w:tc>
      </w:tr>
      <w:tr w:rsidR="00EC5ACC" w:rsidRPr="00EC5ACC" w14:paraId="1D67A4B7"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4677B629" w14:textId="77777777"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0.150 - 0.199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vAlign w:val="center"/>
            <w:hideMark/>
          </w:tcPr>
          <w:p w14:paraId="79941011" w14:textId="2DC41FC8"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47</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vAlign w:val="center"/>
            <w:hideMark/>
          </w:tcPr>
          <w:p w14:paraId="40395FD3" w14:textId="5804029D"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17,014</w:t>
            </w:r>
          </w:p>
        </w:tc>
        <w:tc>
          <w:tcPr>
            <w:tcW w:w="1660" w:type="dxa"/>
            <w:tcBorders>
              <w:top w:val="single" w:sz="4" w:space="0" w:color="D9D9D9"/>
              <w:left w:val="single" w:sz="4" w:space="0" w:color="D9D9D9"/>
              <w:bottom w:val="single" w:sz="4" w:space="0" w:color="D9D9D9"/>
              <w:right w:val="nil"/>
            </w:tcBorders>
            <w:shd w:val="clear" w:color="auto" w:fill="auto"/>
            <w:noWrap/>
            <w:vAlign w:val="center"/>
            <w:hideMark/>
          </w:tcPr>
          <w:p w14:paraId="741E0109" w14:textId="2CE51B66"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6.2%</w:t>
            </w:r>
          </w:p>
        </w:tc>
        <w:tc>
          <w:tcPr>
            <w:tcW w:w="1660" w:type="dxa"/>
            <w:tcBorders>
              <w:top w:val="single" w:sz="4" w:space="0" w:color="D9D9D9"/>
              <w:left w:val="nil"/>
              <w:bottom w:val="single" w:sz="4" w:space="0" w:color="D9D9D9"/>
              <w:right w:val="nil"/>
            </w:tcBorders>
            <w:shd w:val="clear" w:color="auto" w:fill="auto"/>
            <w:noWrap/>
            <w:vAlign w:val="center"/>
            <w:hideMark/>
          </w:tcPr>
          <w:p w14:paraId="3E1A98E0" w14:textId="6C58F424"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0.5%</w:t>
            </w:r>
          </w:p>
        </w:tc>
      </w:tr>
      <w:tr w:rsidR="00EC5ACC" w:rsidRPr="00EC5ACC" w14:paraId="7CC0ABB4"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2C26C411" w14:textId="77777777"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0.200 - 0.399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vAlign w:val="center"/>
            <w:hideMark/>
          </w:tcPr>
          <w:p w14:paraId="663C93DE" w14:textId="2B9AEBFC"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89</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vAlign w:val="center"/>
            <w:hideMark/>
          </w:tcPr>
          <w:p w14:paraId="3D01A7BB" w14:textId="715BF364"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24,061</w:t>
            </w:r>
          </w:p>
        </w:tc>
        <w:tc>
          <w:tcPr>
            <w:tcW w:w="1660" w:type="dxa"/>
            <w:tcBorders>
              <w:top w:val="single" w:sz="4" w:space="0" w:color="D9D9D9"/>
              <w:left w:val="single" w:sz="4" w:space="0" w:color="D9D9D9"/>
              <w:bottom w:val="single" w:sz="4" w:space="0" w:color="D9D9D9"/>
              <w:right w:val="nil"/>
            </w:tcBorders>
            <w:shd w:val="clear" w:color="auto" w:fill="auto"/>
            <w:noWrap/>
            <w:vAlign w:val="center"/>
            <w:hideMark/>
          </w:tcPr>
          <w:p w14:paraId="038C82FC" w14:textId="6F954327"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11.7%</w:t>
            </w:r>
          </w:p>
        </w:tc>
        <w:tc>
          <w:tcPr>
            <w:tcW w:w="1660" w:type="dxa"/>
            <w:tcBorders>
              <w:top w:val="single" w:sz="4" w:space="0" w:color="D9D9D9"/>
              <w:left w:val="nil"/>
              <w:bottom w:val="single" w:sz="4" w:space="0" w:color="D9D9D9"/>
              <w:right w:val="nil"/>
            </w:tcBorders>
            <w:shd w:val="clear" w:color="auto" w:fill="auto"/>
            <w:noWrap/>
            <w:vAlign w:val="center"/>
            <w:hideMark/>
          </w:tcPr>
          <w:p w14:paraId="4089AD0D" w14:textId="4C3E2AE0"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0.7%</w:t>
            </w:r>
          </w:p>
        </w:tc>
      </w:tr>
      <w:tr w:rsidR="00EC5ACC" w:rsidRPr="00EC5ACC" w14:paraId="119DBFFA"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06880C62" w14:textId="77777777"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0.400 +</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vAlign w:val="center"/>
            <w:hideMark/>
          </w:tcPr>
          <w:p w14:paraId="2C4FC5F9" w14:textId="07FFA906"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99</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vAlign w:val="center"/>
            <w:hideMark/>
          </w:tcPr>
          <w:p w14:paraId="0B6AA80B" w14:textId="7603EFE4"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11,201</w:t>
            </w:r>
          </w:p>
        </w:tc>
        <w:tc>
          <w:tcPr>
            <w:tcW w:w="1660" w:type="dxa"/>
            <w:tcBorders>
              <w:top w:val="single" w:sz="4" w:space="0" w:color="D9D9D9"/>
              <w:left w:val="single" w:sz="4" w:space="0" w:color="D9D9D9"/>
              <w:bottom w:val="single" w:sz="4" w:space="0" w:color="D9D9D9"/>
              <w:right w:val="nil"/>
            </w:tcBorders>
            <w:shd w:val="clear" w:color="auto" w:fill="auto"/>
            <w:noWrap/>
            <w:vAlign w:val="center"/>
            <w:hideMark/>
          </w:tcPr>
          <w:p w14:paraId="15BD6585" w14:textId="1016FE2F"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13.1%</w:t>
            </w:r>
          </w:p>
        </w:tc>
        <w:tc>
          <w:tcPr>
            <w:tcW w:w="1660" w:type="dxa"/>
            <w:tcBorders>
              <w:top w:val="single" w:sz="4" w:space="0" w:color="D9D9D9"/>
              <w:left w:val="nil"/>
              <w:bottom w:val="single" w:sz="4" w:space="0" w:color="D9D9D9"/>
              <w:right w:val="nil"/>
            </w:tcBorders>
            <w:shd w:val="clear" w:color="auto" w:fill="auto"/>
            <w:noWrap/>
            <w:vAlign w:val="center"/>
            <w:hideMark/>
          </w:tcPr>
          <w:p w14:paraId="1DEC69A6" w14:textId="5D220A65"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0.3%</w:t>
            </w:r>
          </w:p>
        </w:tc>
      </w:tr>
      <w:tr w:rsidR="00EC5ACC" w:rsidRPr="00EC5ACC" w14:paraId="1558F2CF" w14:textId="77777777" w:rsidTr="000771FC">
        <w:trPr>
          <w:trHeight w:val="225"/>
          <w:jc w:val="center"/>
        </w:trPr>
        <w:tc>
          <w:tcPr>
            <w:tcW w:w="2056" w:type="dxa"/>
            <w:tcBorders>
              <w:top w:val="single" w:sz="4" w:space="0" w:color="D9D9D9"/>
              <w:left w:val="nil"/>
              <w:bottom w:val="single" w:sz="4" w:space="0" w:color="D9D9D9"/>
              <w:right w:val="single" w:sz="4" w:space="0" w:color="D9D9D9"/>
            </w:tcBorders>
            <w:shd w:val="clear" w:color="auto" w:fill="DFEBF1" w:themeFill="text2" w:themeFillTint="1A"/>
            <w:noWrap/>
            <w:vAlign w:val="center"/>
            <w:hideMark/>
          </w:tcPr>
          <w:p w14:paraId="6BDA95E9" w14:textId="63278F15" w:rsidR="00EC5ACC" w:rsidRPr="005629F8" w:rsidRDefault="00EC5ACC" w:rsidP="00EC5ACC">
            <w:pPr>
              <w:spacing w:after="0" w:line="240" w:lineRule="auto"/>
              <w:rPr>
                <w:rFonts w:eastAsia="Times New Roman" w:cs="Arial"/>
                <w:b/>
                <w:bCs/>
                <w:color w:val="000000"/>
                <w:sz w:val="16"/>
                <w:szCs w:val="16"/>
                <w:lang w:val="en-AU" w:eastAsia="en-AU"/>
              </w:rPr>
            </w:pPr>
            <w:r w:rsidRPr="005629F8">
              <w:rPr>
                <w:rFonts w:eastAsia="Times New Roman" w:cs="Arial"/>
                <w:b/>
                <w:bCs/>
                <w:color w:val="000000"/>
                <w:sz w:val="16"/>
                <w:szCs w:val="16"/>
                <w:lang w:val="en-AU" w:eastAsia="en-AU"/>
              </w:rPr>
              <w:t>Total</w:t>
            </w:r>
            <w:r w:rsidRPr="005629F8">
              <w:rPr>
                <w:rFonts w:eastAsia="Times New Roman" w:cs="Arial"/>
                <w:color w:val="000000"/>
                <w:sz w:val="16"/>
                <w:szCs w:val="16"/>
                <w:lang w:val="en-AU" w:eastAsia="en-AU"/>
              </w:rPr>
              <w:t>*</w:t>
            </w:r>
          </w:p>
        </w:tc>
        <w:tc>
          <w:tcPr>
            <w:tcW w:w="1000" w:type="dxa"/>
            <w:tcBorders>
              <w:top w:val="single" w:sz="4" w:space="0" w:color="D9D9D9"/>
              <w:left w:val="single" w:sz="4" w:space="0" w:color="D9D9D9"/>
              <w:bottom w:val="single" w:sz="4" w:space="0" w:color="D9D9D9"/>
              <w:right w:val="nil"/>
            </w:tcBorders>
            <w:shd w:val="clear" w:color="auto" w:fill="DFEBF1" w:themeFill="text2" w:themeFillTint="1A"/>
            <w:noWrap/>
            <w:vAlign w:val="center"/>
            <w:hideMark/>
          </w:tcPr>
          <w:p w14:paraId="3BB5FF69" w14:textId="7DF59CCE"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758</w:t>
            </w:r>
          </w:p>
        </w:tc>
        <w:tc>
          <w:tcPr>
            <w:tcW w:w="1640" w:type="dxa"/>
            <w:tcBorders>
              <w:top w:val="single" w:sz="4" w:space="0" w:color="D9D9D9"/>
              <w:left w:val="nil"/>
              <w:bottom w:val="single" w:sz="4" w:space="0" w:color="D9D9D9"/>
              <w:right w:val="single" w:sz="4" w:space="0" w:color="D9D9D9"/>
            </w:tcBorders>
            <w:shd w:val="clear" w:color="auto" w:fill="DFEBF1" w:themeFill="text2" w:themeFillTint="1A"/>
            <w:noWrap/>
            <w:vAlign w:val="center"/>
            <w:hideMark/>
          </w:tcPr>
          <w:p w14:paraId="50142B0C" w14:textId="528D7C0D"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3,486,988</w:t>
            </w:r>
          </w:p>
        </w:tc>
        <w:tc>
          <w:tcPr>
            <w:tcW w:w="1660" w:type="dxa"/>
            <w:tcBorders>
              <w:top w:val="single" w:sz="4" w:space="0" w:color="D9D9D9"/>
              <w:left w:val="single" w:sz="4" w:space="0" w:color="D9D9D9"/>
              <w:bottom w:val="single" w:sz="4" w:space="0" w:color="D9D9D9"/>
              <w:right w:val="nil"/>
            </w:tcBorders>
            <w:shd w:val="clear" w:color="auto" w:fill="DFEBF1" w:themeFill="text2" w:themeFillTint="1A"/>
            <w:noWrap/>
            <w:vAlign w:val="center"/>
            <w:hideMark/>
          </w:tcPr>
          <w:p w14:paraId="30C44546" w14:textId="18DCEA3F"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100.0%</w:t>
            </w:r>
          </w:p>
        </w:tc>
        <w:tc>
          <w:tcPr>
            <w:tcW w:w="1660" w:type="dxa"/>
            <w:tcBorders>
              <w:top w:val="single" w:sz="4" w:space="0" w:color="D9D9D9"/>
              <w:left w:val="nil"/>
              <w:bottom w:val="single" w:sz="4" w:space="0" w:color="D9D9D9"/>
              <w:right w:val="nil"/>
            </w:tcBorders>
            <w:shd w:val="clear" w:color="auto" w:fill="DFEBF1" w:themeFill="text2" w:themeFillTint="1A"/>
            <w:noWrap/>
            <w:vAlign w:val="center"/>
            <w:hideMark/>
          </w:tcPr>
          <w:p w14:paraId="74A26711" w14:textId="6E133F76" w:rsidR="00EC5ACC" w:rsidRPr="005629F8" w:rsidRDefault="00EC5ACC" w:rsidP="00EC5ACC">
            <w:pPr>
              <w:spacing w:after="0" w:line="240" w:lineRule="auto"/>
              <w:jc w:val="center"/>
              <w:rPr>
                <w:rFonts w:eastAsia="Times New Roman" w:cs="Arial"/>
                <w:color w:val="000000"/>
                <w:sz w:val="16"/>
                <w:szCs w:val="16"/>
                <w:lang w:val="en-AU" w:eastAsia="en-AU"/>
              </w:rPr>
            </w:pPr>
            <w:r w:rsidRPr="00EC5ACC">
              <w:rPr>
                <w:rFonts w:cs="Arial"/>
                <w:color w:val="000000"/>
                <w:sz w:val="16"/>
                <w:szCs w:val="16"/>
              </w:rPr>
              <w:t>100.0%</w:t>
            </w:r>
          </w:p>
        </w:tc>
      </w:tr>
    </w:tbl>
    <w:p w14:paraId="6615A709" w14:textId="77777777" w:rsidR="00490E5B" w:rsidRPr="005629F8" w:rsidRDefault="00490E5B" w:rsidP="001A7118">
      <w:pPr>
        <w:pStyle w:val="TableParagraph"/>
        <w:ind w:left="993"/>
        <w:rPr>
          <w:spacing w:val="-2"/>
        </w:rPr>
      </w:pPr>
      <w:r w:rsidRPr="005629F8">
        <w:t>*</w:t>
      </w:r>
      <w:r w:rsidRPr="005629F8">
        <w:rPr>
          <w:spacing w:val="-2"/>
        </w:rPr>
        <w:t xml:space="preserve"> </w:t>
      </w:r>
      <w:r w:rsidRPr="005629F8">
        <w:t>The</w:t>
      </w:r>
      <w:r w:rsidRPr="005629F8">
        <w:rPr>
          <w:spacing w:val="-1"/>
        </w:rPr>
        <w:t xml:space="preserve"> </w:t>
      </w:r>
      <w:r w:rsidRPr="005629F8">
        <w:t>standard</w:t>
      </w:r>
      <w:r w:rsidRPr="005629F8">
        <w:rPr>
          <w:spacing w:val="-2"/>
        </w:rPr>
        <w:t xml:space="preserve"> </w:t>
      </w:r>
      <w:r w:rsidRPr="005629F8">
        <w:t>error</w:t>
      </w:r>
      <w:r w:rsidRPr="005629F8">
        <w:rPr>
          <w:spacing w:val="-1"/>
        </w:rPr>
        <w:t xml:space="preserve"> </w:t>
      </w:r>
      <w:r w:rsidRPr="005629F8">
        <w:t>for</w:t>
      </w:r>
      <w:r w:rsidRPr="005629F8">
        <w:rPr>
          <w:spacing w:val="-5"/>
        </w:rPr>
        <w:t xml:space="preserve"> </w:t>
      </w:r>
      <w:r w:rsidRPr="005629F8">
        <w:t>some</w:t>
      </w:r>
      <w:r w:rsidRPr="005629F8">
        <w:rPr>
          <w:spacing w:val="-3"/>
        </w:rPr>
        <w:t xml:space="preserve"> AR-</w:t>
      </w:r>
      <w:r w:rsidRPr="005629F8">
        <w:t>DRGs</w:t>
      </w:r>
      <w:r w:rsidRPr="005629F8">
        <w:rPr>
          <w:spacing w:val="-1"/>
        </w:rPr>
        <w:t xml:space="preserve"> </w:t>
      </w:r>
      <w:r w:rsidRPr="005629F8">
        <w:t>cannot</w:t>
      </w:r>
      <w:r w:rsidRPr="005629F8">
        <w:rPr>
          <w:spacing w:val="-1"/>
        </w:rPr>
        <w:t xml:space="preserve"> </w:t>
      </w:r>
      <w:r w:rsidRPr="005629F8">
        <w:t>be</w:t>
      </w:r>
      <w:r w:rsidRPr="005629F8">
        <w:rPr>
          <w:spacing w:val="-2"/>
        </w:rPr>
        <w:t xml:space="preserve"> </w:t>
      </w:r>
      <w:r w:rsidRPr="005629F8">
        <w:t>estimated</w:t>
      </w:r>
      <w:r w:rsidRPr="005629F8">
        <w:rPr>
          <w:spacing w:val="-3"/>
        </w:rPr>
        <w:t xml:space="preserve"> </w:t>
      </w:r>
      <w:r w:rsidRPr="005629F8">
        <w:t>due</w:t>
      </w:r>
      <w:r w:rsidRPr="005629F8">
        <w:rPr>
          <w:spacing w:val="-2"/>
        </w:rPr>
        <w:t xml:space="preserve"> </w:t>
      </w:r>
      <w:r w:rsidRPr="005629F8">
        <w:t>to</w:t>
      </w:r>
      <w:r w:rsidRPr="005629F8">
        <w:rPr>
          <w:spacing w:val="-1"/>
        </w:rPr>
        <w:t xml:space="preserve"> </w:t>
      </w:r>
      <w:r w:rsidRPr="005629F8">
        <w:t>low</w:t>
      </w:r>
      <w:r w:rsidRPr="005629F8">
        <w:rPr>
          <w:spacing w:val="-5"/>
        </w:rPr>
        <w:t xml:space="preserve"> </w:t>
      </w:r>
      <w:r w:rsidRPr="005629F8">
        <w:t>separation</w:t>
      </w:r>
      <w:r w:rsidRPr="005629F8">
        <w:rPr>
          <w:spacing w:val="-3"/>
        </w:rPr>
        <w:t xml:space="preserve"> </w:t>
      </w:r>
      <w:r w:rsidRPr="005629F8">
        <w:t>counts in</w:t>
      </w:r>
      <w:r w:rsidRPr="005629F8">
        <w:rPr>
          <w:spacing w:val="-4"/>
        </w:rPr>
        <w:t xml:space="preserve"> </w:t>
      </w:r>
      <w:r w:rsidRPr="005629F8">
        <w:t>the</w:t>
      </w:r>
      <w:r w:rsidRPr="005629F8">
        <w:rPr>
          <w:spacing w:val="-1"/>
        </w:rPr>
        <w:t xml:space="preserve"> </w:t>
      </w:r>
      <w:r w:rsidRPr="005629F8">
        <w:t>sample.</w:t>
      </w:r>
      <w:r w:rsidRPr="005629F8">
        <w:rPr>
          <w:spacing w:val="-47"/>
        </w:rPr>
        <w:t xml:space="preserve"> </w:t>
      </w:r>
      <w:r w:rsidRPr="005629F8">
        <w:t>Total</w:t>
      </w:r>
      <w:r w:rsidRPr="005629F8">
        <w:rPr>
          <w:spacing w:val="-1"/>
        </w:rPr>
        <w:t xml:space="preserve"> </w:t>
      </w:r>
      <w:r w:rsidRPr="005629F8">
        <w:t>may</w:t>
      </w:r>
      <w:r w:rsidRPr="005629F8">
        <w:rPr>
          <w:spacing w:val="-2"/>
        </w:rPr>
        <w:t xml:space="preserve"> </w:t>
      </w:r>
      <w:r w:rsidRPr="005629F8">
        <w:t>not add to</w:t>
      </w:r>
      <w:r w:rsidRPr="005629F8">
        <w:rPr>
          <w:spacing w:val="-2"/>
        </w:rPr>
        <w:t xml:space="preserve"> </w:t>
      </w:r>
    </w:p>
    <w:p w14:paraId="734EF833" w14:textId="13595B71" w:rsidR="00490E5B" w:rsidRPr="005629F8" w:rsidRDefault="00490E5B" w:rsidP="001A7118">
      <w:pPr>
        <w:pStyle w:val="TableParagraph"/>
        <w:ind w:left="993"/>
      </w:pPr>
      <w:r w:rsidRPr="005629F8">
        <w:t>the</w:t>
      </w:r>
      <w:r w:rsidRPr="005629F8">
        <w:rPr>
          <w:spacing w:val="-3"/>
        </w:rPr>
        <w:t xml:space="preserve"> </w:t>
      </w:r>
      <w:r w:rsidRPr="005629F8">
        <w:t>sum</w:t>
      </w:r>
      <w:r w:rsidRPr="005629F8">
        <w:rPr>
          <w:spacing w:val="-1"/>
        </w:rPr>
        <w:t xml:space="preserve"> </w:t>
      </w:r>
      <w:r w:rsidRPr="005629F8">
        <w:t>of the</w:t>
      </w:r>
      <w:r w:rsidRPr="005629F8">
        <w:rPr>
          <w:spacing w:val="-2"/>
        </w:rPr>
        <w:t xml:space="preserve"> </w:t>
      </w:r>
      <w:r w:rsidRPr="005629F8">
        <w:t>rows</w:t>
      </w:r>
      <w:r w:rsidRPr="005629F8">
        <w:rPr>
          <w:spacing w:val="1"/>
        </w:rPr>
        <w:t xml:space="preserve"> </w:t>
      </w:r>
      <w:r w:rsidRPr="005629F8">
        <w:t>due</w:t>
      </w:r>
      <w:r w:rsidRPr="005629F8">
        <w:rPr>
          <w:spacing w:val="-1"/>
        </w:rPr>
        <w:t xml:space="preserve"> </w:t>
      </w:r>
      <w:r w:rsidRPr="005629F8">
        <w:t>to rounding.</w:t>
      </w:r>
    </w:p>
    <w:p w14:paraId="4C388FCE" w14:textId="77777777" w:rsidR="00241D78" w:rsidRPr="005629F8" w:rsidRDefault="00241D78" w:rsidP="00490E5B">
      <w:pPr>
        <w:spacing w:before="120"/>
        <w:rPr>
          <w:sz w:val="2"/>
          <w:szCs w:val="2"/>
          <w:lang w:val="en-AU"/>
        </w:rPr>
      </w:pPr>
    </w:p>
    <w:p w14:paraId="1A91F0E4" w14:textId="7F382A8C" w:rsidR="00490E5B" w:rsidRPr="005629F8" w:rsidRDefault="00490E5B" w:rsidP="00490E5B">
      <w:pPr>
        <w:spacing w:before="120"/>
        <w:rPr>
          <w:lang w:val="en-AU"/>
        </w:rPr>
      </w:pPr>
      <w:r w:rsidRPr="005629F8">
        <w:rPr>
          <w:lang w:val="en-AU"/>
        </w:rPr>
        <w:t>The results above show that 5</w:t>
      </w:r>
      <w:r w:rsidR="00EC5ACC" w:rsidRPr="005629F8">
        <w:rPr>
          <w:lang w:val="en-AU"/>
        </w:rPr>
        <w:t>8</w:t>
      </w:r>
      <w:r w:rsidRPr="005629F8">
        <w:rPr>
          <w:lang w:val="en-AU"/>
        </w:rPr>
        <w:t>.2 per cent (3</w:t>
      </w:r>
      <w:r w:rsidR="00EC5ACC" w:rsidRPr="005629F8">
        <w:rPr>
          <w:lang w:val="en-AU"/>
        </w:rPr>
        <w:t>5</w:t>
      </w:r>
      <w:r w:rsidRPr="005629F8">
        <w:rPr>
          <w:lang w:val="en-AU"/>
        </w:rPr>
        <w:t>.</w:t>
      </w:r>
      <w:r w:rsidR="00EC5ACC" w:rsidRPr="005629F8">
        <w:rPr>
          <w:lang w:val="en-AU"/>
        </w:rPr>
        <w:t>6</w:t>
      </w:r>
      <w:r w:rsidRPr="005629F8">
        <w:rPr>
          <w:lang w:val="en-AU"/>
        </w:rPr>
        <w:t xml:space="preserve"> per cent + 2</w:t>
      </w:r>
      <w:r w:rsidR="00EC5ACC" w:rsidRPr="005629F8">
        <w:rPr>
          <w:lang w:val="en-AU"/>
        </w:rPr>
        <w:t>2</w:t>
      </w:r>
      <w:r w:rsidRPr="005629F8">
        <w:rPr>
          <w:lang w:val="en-AU"/>
        </w:rPr>
        <w:t>.</w:t>
      </w:r>
      <w:r w:rsidR="00EC5ACC" w:rsidRPr="005629F8">
        <w:rPr>
          <w:lang w:val="en-AU"/>
        </w:rPr>
        <w:t>6</w:t>
      </w:r>
      <w:r w:rsidRPr="005629F8">
        <w:rPr>
          <w:lang w:val="en-AU"/>
        </w:rPr>
        <w:t xml:space="preserve"> per cent) of AR-DRGs have cost weight estimates with a standard error of less than 0.1. Approximately 9</w:t>
      </w:r>
      <w:r w:rsidR="00EC5ACC" w:rsidRPr="005629F8">
        <w:rPr>
          <w:lang w:val="en-AU"/>
        </w:rPr>
        <w:t>7</w:t>
      </w:r>
      <w:r w:rsidRPr="005629F8">
        <w:rPr>
          <w:lang w:val="en-AU"/>
        </w:rPr>
        <w:t>.</w:t>
      </w:r>
      <w:r w:rsidR="00EC5ACC" w:rsidRPr="005629F8">
        <w:rPr>
          <w:lang w:val="en-AU"/>
        </w:rPr>
        <w:t>1</w:t>
      </w:r>
      <w:r w:rsidRPr="005629F8">
        <w:rPr>
          <w:lang w:val="en-AU"/>
        </w:rPr>
        <w:t xml:space="preserve"> per cent (</w:t>
      </w:r>
      <w:r w:rsidR="00EC5ACC" w:rsidRPr="005629F8">
        <w:rPr>
          <w:lang w:val="en-AU"/>
        </w:rPr>
        <w:t>90.4</w:t>
      </w:r>
      <w:r w:rsidRPr="005629F8">
        <w:rPr>
          <w:lang w:val="en-AU"/>
        </w:rPr>
        <w:t xml:space="preserve"> per cent + </w:t>
      </w:r>
      <w:r w:rsidR="00EC5ACC" w:rsidRPr="005629F8">
        <w:rPr>
          <w:lang w:val="en-AU"/>
        </w:rPr>
        <w:t>6.8</w:t>
      </w:r>
      <w:r w:rsidRPr="005629F8">
        <w:rPr>
          <w:lang w:val="en-AU"/>
        </w:rPr>
        <w:t xml:space="preserve"> per cent) of separations are within the subset of AR-DRGs that have a standard error of less than 0.1.</w:t>
      </w:r>
    </w:p>
    <w:p w14:paraId="2070FAF9" w14:textId="1FD44EDA" w:rsidR="00FA0E2B" w:rsidRPr="005629F8" w:rsidRDefault="00FA0E2B" w:rsidP="00E829BF">
      <w:pPr>
        <w:pStyle w:val="Heading3"/>
        <w:rPr>
          <w:highlight w:val="yellow"/>
        </w:rPr>
      </w:pPr>
    </w:p>
    <w:p w14:paraId="2EE1C741" w14:textId="26A5DC16" w:rsidR="00490E5B" w:rsidRPr="005629F8" w:rsidRDefault="00490E5B">
      <w:pPr>
        <w:spacing w:line="259" w:lineRule="auto"/>
        <w:rPr>
          <w:highlight w:val="yellow"/>
          <w:lang w:val="en-AU"/>
        </w:rPr>
      </w:pPr>
      <w:r w:rsidRPr="005629F8">
        <w:rPr>
          <w:highlight w:val="yellow"/>
          <w:lang w:val="en-AU"/>
        </w:rPr>
        <w:br w:type="page"/>
      </w:r>
    </w:p>
    <w:p w14:paraId="18392276" w14:textId="28C52D07" w:rsidR="00490E5B" w:rsidRPr="00E87B16" w:rsidRDefault="00490E5B" w:rsidP="00E87B16">
      <w:pPr>
        <w:pStyle w:val="Heading1"/>
        <w:numPr>
          <w:ilvl w:val="0"/>
          <w:numId w:val="0"/>
        </w:numPr>
        <w:rPr>
          <w:color w:val="auto"/>
          <w:sz w:val="48"/>
          <w:szCs w:val="48"/>
        </w:rPr>
      </w:pPr>
      <w:bookmarkStart w:id="293" w:name="_Ref103175238"/>
      <w:bookmarkStart w:id="294" w:name="_Ref103175315"/>
      <w:bookmarkStart w:id="295" w:name="_Toc106888113"/>
      <w:bookmarkStart w:id="296" w:name="_Toc129701405"/>
      <w:r w:rsidRPr="00E87B16">
        <w:rPr>
          <w:sz w:val="48"/>
          <w:szCs w:val="48"/>
        </w:rPr>
        <w:lastRenderedPageBreak/>
        <w:t>Appendix</w:t>
      </w:r>
      <w:r w:rsidRPr="00E87B16">
        <w:rPr>
          <w:spacing w:val="-2"/>
          <w:sz w:val="48"/>
          <w:szCs w:val="48"/>
        </w:rPr>
        <w:t xml:space="preserve"> </w:t>
      </w:r>
      <w:r w:rsidRPr="00E87B16">
        <w:rPr>
          <w:sz w:val="48"/>
          <w:szCs w:val="48"/>
        </w:rPr>
        <w:t>D:</w:t>
      </w:r>
      <w:r w:rsidRPr="00E87B16">
        <w:rPr>
          <w:spacing w:val="1"/>
          <w:sz w:val="48"/>
          <w:szCs w:val="48"/>
        </w:rPr>
        <w:t xml:space="preserve"> </w:t>
      </w:r>
      <w:r w:rsidRPr="00E87B16">
        <w:rPr>
          <w:sz w:val="48"/>
          <w:szCs w:val="48"/>
        </w:rPr>
        <w:t>Cost</w:t>
      </w:r>
      <w:r w:rsidRPr="00E87B16">
        <w:rPr>
          <w:spacing w:val="1"/>
          <w:sz w:val="48"/>
          <w:szCs w:val="48"/>
        </w:rPr>
        <w:t xml:space="preserve"> </w:t>
      </w:r>
      <w:r w:rsidRPr="00E87B16">
        <w:rPr>
          <w:sz w:val="48"/>
          <w:szCs w:val="48"/>
        </w:rPr>
        <w:t>weight</w:t>
      </w:r>
      <w:r w:rsidRPr="00E87B16">
        <w:rPr>
          <w:spacing w:val="1"/>
          <w:sz w:val="48"/>
          <w:szCs w:val="48"/>
        </w:rPr>
        <w:t xml:space="preserve"> </w:t>
      </w:r>
      <w:r w:rsidRPr="00E87B16">
        <w:rPr>
          <w:sz w:val="48"/>
          <w:szCs w:val="48"/>
        </w:rPr>
        <w:t>tables by AR</w:t>
      </w:r>
      <w:r w:rsidR="00605F54">
        <w:rPr>
          <w:sz w:val="48"/>
          <w:szCs w:val="48"/>
        </w:rPr>
        <w:noBreakHyphen/>
      </w:r>
      <w:r w:rsidRPr="00E87B16">
        <w:rPr>
          <w:sz w:val="48"/>
          <w:szCs w:val="48"/>
        </w:rPr>
        <w:t xml:space="preserve">DRG </w:t>
      </w:r>
      <w:bookmarkEnd w:id="293"/>
      <w:r w:rsidRPr="00E87B16">
        <w:rPr>
          <w:sz w:val="48"/>
          <w:szCs w:val="48"/>
        </w:rPr>
        <w:t>Version 10.0</w:t>
      </w:r>
      <w:bookmarkEnd w:id="294"/>
      <w:bookmarkEnd w:id="295"/>
      <w:bookmarkEnd w:id="296"/>
    </w:p>
    <w:p w14:paraId="1BFA3842" w14:textId="55EC1AD0" w:rsidR="00B97016" w:rsidRPr="005629F8" w:rsidRDefault="00B97016" w:rsidP="00E829BF">
      <w:pPr>
        <w:pStyle w:val="TableFigureheading"/>
      </w:pPr>
      <w:bookmarkStart w:id="297" w:name="_Toc129179306"/>
      <w:bookmarkStart w:id="298" w:name="_Toc139881785"/>
      <w:r w:rsidRPr="000C38AE">
        <w:t xml:space="preserve">Table </w:t>
      </w:r>
      <w:r w:rsidR="00FF13B6">
        <w:fldChar w:fldCharType="begin"/>
      </w:r>
      <w:r w:rsidR="00FF13B6">
        <w:instrText xml:space="preserve"> SEQ Table \* ARABIC </w:instrText>
      </w:r>
      <w:r w:rsidR="00FF13B6">
        <w:fldChar w:fldCharType="separate"/>
      </w:r>
      <w:r w:rsidRPr="005629F8">
        <w:rPr>
          <w:noProof/>
        </w:rPr>
        <w:t>12</w:t>
      </w:r>
      <w:r w:rsidR="00FF13B6">
        <w:rPr>
          <w:noProof/>
        </w:rPr>
        <w:fldChar w:fldCharType="end"/>
      </w:r>
      <w:r w:rsidRPr="005629F8">
        <w:t>. 2020-21 national consolidation cost weight tables - version 10.0</w:t>
      </w:r>
      <w:bookmarkEnd w:id="297"/>
      <w:bookmarkEnd w:id="298"/>
    </w:p>
    <w:p w14:paraId="43F8F8CE" w14:textId="405276E4" w:rsidR="00490E5B" w:rsidRPr="005629F8" w:rsidRDefault="00490E5B" w:rsidP="00490E5B">
      <w:pPr>
        <w:rPr>
          <w:lang w:val="en-AU"/>
        </w:rPr>
      </w:pPr>
      <w:r w:rsidRPr="005629F8">
        <w:rPr>
          <w:lang w:val="en-AU"/>
        </w:rPr>
        <w:t>Please refer to Excel file for details.</w:t>
      </w:r>
    </w:p>
    <w:p w14:paraId="36A7EF55" w14:textId="639555EF" w:rsidR="00490E5B" w:rsidRPr="005629F8" w:rsidRDefault="00490E5B" w:rsidP="00490E5B">
      <w:pPr>
        <w:rPr>
          <w:highlight w:val="yellow"/>
          <w:lang w:val="en-AU"/>
        </w:rPr>
      </w:pPr>
    </w:p>
    <w:p w14:paraId="730EABA8" w14:textId="14DC3336" w:rsidR="00490E5B" w:rsidRPr="005629F8" w:rsidRDefault="00490E5B" w:rsidP="00490E5B">
      <w:pPr>
        <w:rPr>
          <w:highlight w:val="yellow"/>
          <w:lang w:val="en-AU"/>
        </w:rPr>
      </w:pPr>
    </w:p>
    <w:p w14:paraId="59283970" w14:textId="77777777" w:rsidR="00490E5B" w:rsidRPr="005629F8" w:rsidRDefault="00490E5B" w:rsidP="00490E5B">
      <w:pPr>
        <w:rPr>
          <w:highlight w:val="yellow"/>
          <w:lang w:val="en-AU"/>
        </w:rPr>
      </w:pPr>
    </w:p>
    <w:p w14:paraId="1857DCA7" w14:textId="77777777" w:rsidR="00490E5B" w:rsidRPr="005629F8" w:rsidRDefault="00490E5B" w:rsidP="00490E5B">
      <w:pPr>
        <w:rPr>
          <w:highlight w:val="yellow"/>
          <w:lang w:val="en-AU"/>
        </w:rPr>
      </w:pPr>
    </w:p>
    <w:p w14:paraId="310C9CA1" w14:textId="77777777" w:rsidR="00490E5B" w:rsidRPr="005629F8" w:rsidRDefault="00490E5B" w:rsidP="00490E5B">
      <w:pPr>
        <w:rPr>
          <w:highlight w:val="yellow"/>
          <w:lang w:val="en-AU"/>
        </w:rPr>
      </w:pPr>
    </w:p>
    <w:p w14:paraId="2A7D38C7" w14:textId="77777777" w:rsidR="00490E5B" w:rsidRPr="005629F8" w:rsidRDefault="00490E5B" w:rsidP="00490E5B">
      <w:pPr>
        <w:rPr>
          <w:highlight w:val="yellow"/>
          <w:lang w:val="en-AU"/>
        </w:rPr>
      </w:pPr>
    </w:p>
    <w:p w14:paraId="60CCD72F" w14:textId="77777777" w:rsidR="00490E5B" w:rsidRPr="005629F8" w:rsidRDefault="00490E5B" w:rsidP="00490E5B">
      <w:pPr>
        <w:rPr>
          <w:highlight w:val="yellow"/>
          <w:lang w:val="en-AU"/>
        </w:rPr>
      </w:pPr>
    </w:p>
    <w:p w14:paraId="0C8366A5" w14:textId="77777777" w:rsidR="00490E5B" w:rsidRPr="005629F8" w:rsidRDefault="00490E5B" w:rsidP="00490E5B">
      <w:pPr>
        <w:rPr>
          <w:highlight w:val="yellow"/>
          <w:lang w:val="en-AU"/>
        </w:rPr>
      </w:pPr>
    </w:p>
    <w:p w14:paraId="5EA556BD" w14:textId="2805835D" w:rsidR="00490E5B" w:rsidRPr="005629F8" w:rsidRDefault="00490E5B" w:rsidP="00490E5B">
      <w:pPr>
        <w:rPr>
          <w:lang w:val="en-AU"/>
        </w:rPr>
      </w:pPr>
      <w:r w:rsidRPr="005629F8">
        <w:rPr>
          <w:lang w:val="en-AU"/>
        </w:rPr>
        <w:t>Intentionally left blank.</w:t>
      </w:r>
    </w:p>
    <w:p w14:paraId="768D3BD5" w14:textId="233D4B4C" w:rsidR="00490E5B" w:rsidRPr="005629F8" w:rsidRDefault="00490E5B">
      <w:pPr>
        <w:spacing w:line="259" w:lineRule="auto"/>
        <w:rPr>
          <w:highlight w:val="yellow"/>
          <w:lang w:val="en-AU"/>
        </w:rPr>
      </w:pPr>
      <w:r w:rsidRPr="005629F8">
        <w:rPr>
          <w:highlight w:val="yellow"/>
          <w:lang w:val="en-AU"/>
        </w:rPr>
        <w:br w:type="page"/>
      </w:r>
    </w:p>
    <w:p w14:paraId="4CB40A7F" w14:textId="7ECF671F" w:rsidR="00490E5B" w:rsidRPr="00E87B16" w:rsidRDefault="00490E5B" w:rsidP="00E87B16">
      <w:pPr>
        <w:pStyle w:val="Heading1"/>
        <w:numPr>
          <w:ilvl w:val="0"/>
          <w:numId w:val="0"/>
        </w:numPr>
        <w:rPr>
          <w:color w:val="auto"/>
          <w:sz w:val="48"/>
          <w:szCs w:val="48"/>
        </w:rPr>
      </w:pPr>
      <w:bookmarkStart w:id="299" w:name="_Toc106888114"/>
      <w:bookmarkStart w:id="300" w:name="_Toc129701406"/>
      <w:r w:rsidRPr="00E87B16">
        <w:rPr>
          <w:sz w:val="48"/>
          <w:szCs w:val="48"/>
        </w:rPr>
        <w:lastRenderedPageBreak/>
        <w:t>Appendix E: Cost weight</w:t>
      </w:r>
      <w:r w:rsidRPr="00E87B16">
        <w:rPr>
          <w:spacing w:val="1"/>
          <w:sz w:val="48"/>
          <w:szCs w:val="48"/>
        </w:rPr>
        <w:t xml:space="preserve"> </w:t>
      </w:r>
      <w:r w:rsidRPr="00E87B16">
        <w:rPr>
          <w:sz w:val="48"/>
          <w:szCs w:val="48"/>
        </w:rPr>
        <w:t>tables</w:t>
      </w:r>
      <w:r w:rsidRPr="00E87B16">
        <w:rPr>
          <w:spacing w:val="-4"/>
          <w:sz w:val="48"/>
          <w:szCs w:val="48"/>
        </w:rPr>
        <w:t xml:space="preserve"> </w:t>
      </w:r>
      <w:r w:rsidRPr="00E87B16">
        <w:rPr>
          <w:sz w:val="48"/>
          <w:szCs w:val="48"/>
        </w:rPr>
        <w:t>by</w:t>
      </w:r>
      <w:r w:rsidRPr="00E87B16">
        <w:rPr>
          <w:spacing w:val="-4"/>
          <w:sz w:val="48"/>
          <w:szCs w:val="48"/>
        </w:rPr>
        <w:t xml:space="preserve"> </w:t>
      </w:r>
      <w:r w:rsidRPr="00E87B16">
        <w:rPr>
          <w:sz w:val="48"/>
          <w:szCs w:val="48"/>
        </w:rPr>
        <w:t>AR</w:t>
      </w:r>
      <w:r w:rsidR="00605F54">
        <w:rPr>
          <w:sz w:val="48"/>
          <w:szCs w:val="48"/>
        </w:rPr>
        <w:noBreakHyphen/>
      </w:r>
      <w:r w:rsidRPr="00E87B16">
        <w:rPr>
          <w:sz w:val="48"/>
          <w:szCs w:val="48"/>
        </w:rPr>
        <w:t>DRG</w:t>
      </w:r>
      <w:r w:rsidRPr="00E87B16">
        <w:rPr>
          <w:spacing w:val="-4"/>
          <w:sz w:val="48"/>
          <w:szCs w:val="48"/>
        </w:rPr>
        <w:t xml:space="preserve"> </w:t>
      </w:r>
      <w:r w:rsidRPr="00E87B16">
        <w:rPr>
          <w:sz w:val="48"/>
          <w:szCs w:val="48"/>
        </w:rPr>
        <w:t>Version</w:t>
      </w:r>
      <w:r w:rsidRPr="00E87B16">
        <w:rPr>
          <w:spacing w:val="-4"/>
          <w:sz w:val="48"/>
          <w:szCs w:val="48"/>
        </w:rPr>
        <w:t xml:space="preserve"> </w:t>
      </w:r>
      <w:r w:rsidRPr="00E87B16">
        <w:rPr>
          <w:sz w:val="48"/>
          <w:szCs w:val="48"/>
        </w:rPr>
        <w:t>9.0</w:t>
      </w:r>
      <w:bookmarkEnd w:id="299"/>
      <w:bookmarkEnd w:id="300"/>
    </w:p>
    <w:p w14:paraId="0DE7BCCC" w14:textId="32952328" w:rsidR="00B97016" w:rsidRPr="000C38AE" w:rsidRDefault="00B97016" w:rsidP="00E829BF">
      <w:pPr>
        <w:pStyle w:val="TableFigureheading"/>
      </w:pPr>
      <w:bookmarkStart w:id="301" w:name="_Toc129179307"/>
      <w:bookmarkStart w:id="302" w:name="_Toc139881786"/>
      <w:r w:rsidRPr="000C38AE">
        <w:t xml:space="preserve">Table </w:t>
      </w:r>
      <w:r w:rsidR="00FF13B6">
        <w:fldChar w:fldCharType="begin"/>
      </w:r>
      <w:r w:rsidR="00FF13B6">
        <w:instrText xml:space="preserve"> SEQ Table \* ARABIC </w:instrText>
      </w:r>
      <w:r w:rsidR="00FF13B6">
        <w:fldChar w:fldCharType="separate"/>
      </w:r>
      <w:r w:rsidRPr="005629F8">
        <w:rPr>
          <w:noProof/>
        </w:rPr>
        <w:t>13</w:t>
      </w:r>
      <w:r w:rsidR="00FF13B6">
        <w:rPr>
          <w:noProof/>
        </w:rPr>
        <w:fldChar w:fldCharType="end"/>
      </w:r>
      <w:r w:rsidRPr="005629F8">
        <w:t xml:space="preserve">. 2020-21 national consolidation cost weight tables - version </w:t>
      </w:r>
      <w:r>
        <w:t>9</w:t>
      </w:r>
      <w:r w:rsidRPr="000C38AE">
        <w:t>.0</w:t>
      </w:r>
      <w:bookmarkEnd w:id="301"/>
      <w:bookmarkEnd w:id="302"/>
    </w:p>
    <w:p w14:paraId="650F6BCB" w14:textId="552B76C7" w:rsidR="00490E5B" w:rsidRPr="005629F8" w:rsidRDefault="00490E5B" w:rsidP="00490E5B">
      <w:pPr>
        <w:rPr>
          <w:lang w:val="en-AU"/>
        </w:rPr>
      </w:pPr>
      <w:r w:rsidRPr="005629F8">
        <w:rPr>
          <w:lang w:val="en-AU"/>
        </w:rPr>
        <w:t>Please refer to Excel file for details.</w:t>
      </w:r>
    </w:p>
    <w:p w14:paraId="651DF1E2" w14:textId="48D54F5B" w:rsidR="00490E5B" w:rsidRPr="005629F8" w:rsidRDefault="00490E5B" w:rsidP="00490E5B">
      <w:pPr>
        <w:rPr>
          <w:highlight w:val="yellow"/>
          <w:lang w:val="en-AU"/>
        </w:rPr>
      </w:pPr>
    </w:p>
    <w:p w14:paraId="3A52313F" w14:textId="7E3819E5" w:rsidR="00490E5B" w:rsidRPr="005629F8" w:rsidRDefault="00490E5B" w:rsidP="00490E5B">
      <w:pPr>
        <w:rPr>
          <w:highlight w:val="yellow"/>
          <w:lang w:val="en-AU"/>
        </w:rPr>
      </w:pPr>
    </w:p>
    <w:p w14:paraId="4946687E" w14:textId="2D237ED2" w:rsidR="00490E5B" w:rsidRPr="005629F8" w:rsidRDefault="00490E5B" w:rsidP="00490E5B">
      <w:pPr>
        <w:rPr>
          <w:highlight w:val="yellow"/>
          <w:lang w:val="en-AU"/>
        </w:rPr>
      </w:pPr>
    </w:p>
    <w:p w14:paraId="45C4F7FC" w14:textId="306A5324" w:rsidR="00490E5B" w:rsidRPr="005629F8" w:rsidRDefault="00490E5B" w:rsidP="00490E5B">
      <w:pPr>
        <w:rPr>
          <w:highlight w:val="yellow"/>
          <w:lang w:val="en-AU"/>
        </w:rPr>
      </w:pPr>
    </w:p>
    <w:p w14:paraId="7A0468B0" w14:textId="16311543" w:rsidR="00490E5B" w:rsidRPr="005629F8" w:rsidRDefault="00490E5B" w:rsidP="00490E5B">
      <w:pPr>
        <w:rPr>
          <w:highlight w:val="yellow"/>
          <w:lang w:val="en-AU"/>
        </w:rPr>
      </w:pPr>
    </w:p>
    <w:p w14:paraId="74095F6A" w14:textId="269E4891" w:rsidR="00490E5B" w:rsidRPr="005629F8" w:rsidRDefault="00490E5B" w:rsidP="00490E5B">
      <w:pPr>
        <w:rPr>
          <w:highlight w:val="yellow"/>
          <w:lang w:val="en-AU"/>
        </w:rPr>
      </w:pPr>
    </w:p>
    <w:p w14:paraId="21529B40" w14:textId="791A9F0B" w:rsidR="00490E5B" w:rsidRPr="005629F8" w:rsidRDefault="00490E5B" w:rsidP="00490E5B">
      <w:pPr>
        <w:rPr>
          <w:highlight w:val="yellow"/>
          <w:lang w:val="en-AU"/>
        </w:rPr>
      </w:pPr>
    </w:p>
    <w:p w14:paraId="0D545D10" w14:textId="7882F039" w:rsidR="00490E5B" w:rsidRPr="005629F8" w:rsidRDefault="00490E5B" w:rsidP="00490E5B">
      <w:pPr>
        <w:rPr>
          <w:highlight w:val="yellow"/>
          <w:lang w:val="en-AU"/>
        </w:rPr>
      </w:pPr>
    </w:p>
    <w:p w14:paraId="5246AA80" w14:textId="35A19230" w:rsidR="00490E5B" w:rsidRPr="005629F8" w:rsidRDefault="00490E5B" w:rsidP="000C38AE">
      <w:pPr>
        <w:rPr>
          <w:lang w:val="en-AU"/>
        </w:rPr>
      </w:pPr>
      <w:r w:rsidRPr="005629F8">
        <w:rPr>
          <w:lang w:val="en-AU"/>
        </w:rPr>
        <w:t>Intentionally left blank.</w:t>
      </w:r>
    </w:p>
    <w:p w14:paraId="73051423" w14:textId="7403E929" w:rsidR="00490E5B" w:rsidRDefault="00490E5B">
      <w:pPr>
        <w:spacing w:line="259" w:lineRule="auto"/>
        <w:rPr>
          <w:highlight w:val="yellow"/>
          <w:lang w:val="en-AU"/>
        </w:rPr>
      </w:pPr>
    </w:p>
    <w:p w14:paraId="5514D1AA" w14:textId="531A07B6" w:rsidR="00B16337" w:rsidRDefault="00B16337">
      <w:pPr>
        <w:spacing w:line="259" w:lineRule="auto"/>
        <w:rPr>
          <w:highlight w:val="yellow"/>
          <w:lang w:val="en-AU"/>
        </w:rPr>
      </w:pPr>
    </w:p>
    <w:p w14:paraId="28A6A903" w14:textId="7B100613" w:rsidR="00B16337" w:rsidRDefault="00B16337">
      <w:pPr>
        <w:spacing w:line="259" w:lineRule="auto"/>
        <w:rPr>
          <w:highlight w:val="yellow"/>
          <w:lang w:val="en-AU"/>
        </w:rPr>
      </w:pPr>
    </w:p>
    <w:p w14:paraId="30C5FF2A" w14:textId="77777777" w:rsidR="00B16337" w:rsidRDefault="00B16337">
      <w:pPr>
        <w:spacing w:line="259" w:lineRule="auto"/>
        <w:rPr>
          <w:highlight w:val="yellow"/>
          <w:lang w:val="en-AU"/>
        </w:rPr>
      </w:pPr>
      <w:r>
        <w:rPr>
          <w:highlight w:val="yellow"/>
          <w:lang w:val="en-AU"/>
        </w:rPr>
        <w:br w:type="page"/>
      </w:r>
    </w:p>
    <w:p w14:paraId="53EBE398" w14:textId="1C73DD7D" w:rsidR="00B16337" w:rsidRPr="00E87B16" w:rsidRDefault="00B16337" w:rsidP="00E87B16">
      <w:pPr>
        <w:pStyle w:val="Heading1"/>
        <w:numPr>
          <w:ilvl w:val="0"/>
          <w:numId w:val="0"/>
        </w:numPr>
        <w:rPr>
          <w:color w:val="auto"/>
          <w:sz w:val="48"/>
          <w:szCs w:val="48"/>
        </w:rPr>
      </w:pPr>
      <w:bookmarkStart w:id="303" w:name="_Toc129701407"/>
      <w:r w:rsidRPr="00E87B16">
        <w:rPr>
          <w:sz w:val="48"/>
          <w:szCs w:val="48"/>
        </w:rPr>
        <w:lastRenderedPageBreak/>
        <w:t>Appendix F: Cost weight</w:t>
      </w:r>
      <w:r w:rsidRPr="00E87B16">
        <w:rPr>
          <w:spacing w:val="1"/>
          <w:sz w:val="48"/>
          <w:szCs w:val="48"/>
        </w:rPr>
        <w:t xml:space="preserve"> </w:t>
      </w:r>
      <w:r w:rsidRPr="00E87B16">
        <w:rPr>
          <w:sz w:val="48"/>
          <w:szCs w:val="48"/>
        </w:rPr>
        <w:t>tables</w:t>
      </w:r>
      <w:r w:rsidRPr="00E87B16">
        <w:rPr>
          <w:spacing w:val="-4"/>
          <w:sz w:val="48"/>
          <w:szCs w:val="48"/>
        </w:rPr>
        <w:t xml:space="preserve"> </w:t>
      </w:r>
      <w:r w:rsidRPr="00E87B16">
        <w:rPr>
          <w:sz w:val="48"/>
          <w:szCs w:val="48"/>
        </w:rPr>
        <w:t>by</w:t>
      </w:r>
      <w:r w:rsidRPr="00E87B16">
        <w:rPr>
          <w:spacing w:val="-4"/>
          <w:sz w:val="48"/>
          <w:szCs w:val="48"/>
        </w:rPr>
        <w:t xml:space="preserve"> </w:t>
      </w:r>
      <w:r w:rsidRPr="00E87B16">
        <w:rPr>
          <w:sz w:val="48"/>
          <w:szCs w:val="48"/>
        </w:rPr>
        <w:t>AR</w:t>
      </w:r>
      <w:r w:rsidR="00605F54">
        <w:rPr>
          <w:sz w:val="48"/>
          <w:szCs w:val="48"/>
        </w:rPr>
        <w:noBreakHyphen/>
      </w:r>
      <w:r w:rsidRPr="00E87B16">
        <w:rPr>
          <w:sz w:val="48"/>
          <w:szCs w:val="48"/>
        </w:rPr>
        <w:t>DRG</w:t>
      </w:r>
      <w:r w:rsidRPr="00E87B16">
        <w:rPr>
          <w:spacing w:val="-4"/>
          <w:sz w:val="48"/>
          <w:szCs w:val="48"/>
        </w:rPr>
        <w:t xml:space="preserve"> </w:t>
      </w:r>
      <w:r w:rsidRPr="00E87B16">
        <w:rPr>
          <w:sz w:val="48"/>
          <w:szCs w:val="48"/>
        </w:rPr>
        <w:t>Version</w:t>
      </w:r>
      <w:r w:rsidRPr="00E87B16">
        <w:rPr>
          <w:spacing w:val="-4"/>
          <w:sz w:val="48"/>
          <w:szCs w:val="48"/>
        </w:rPr>
        <w:t xml:space="preserve"> </w:t>
      </w:r>
      <w:r w:rsidRPr="00E87B16">
        <w:rPr>
          <w:sz w:val="48"/>
          <w:szCs w:val="48"/>
        </w:rPr>
        <w:t>8.0</w:t>
      </w:r>
      <w:bookmarkEnd w:id="303"/>
    </w:p>
    <w:p w14:paraId="1B8717C3" w14:textId="3285C65A" w:rsidR="00B16337" w:rsidRPr="005629F8" w:rsidRDefault="00B16337" w:rsidP="00E87B16">
      <w:pPr>
        <w:pStyle w:val="TableFigureheading"/>
        <w:rPr>
          <w:sz w:val="28"/>
        </w:rPr>
      </w:pPr>
      <w:bookmarkStart w:id="304" w:name="_Toc129179308"/>
      <w:bookmarkStart w:id="305" w:name="_Toc139881787"/>
      <w:r w:rsidRPr="00B84E73">
        <w:t xml:space="preserve">Table </w:t>
      </w:r>
      <w:r w:rsidR="00E829BF">
        <w:t>14</w:t>
      </w:r>
      <w:r w:rsidRPr="005629F8">
        <w:fldChar w:fldCharType="begin"/>
      </w:r>
      <w:r w:rsidRPr="005629F8">
        <w:instrText xml:space="preserve"> SEQ Table \* ARABIC </w:instrText>
      </w:r>
      <w:r w:rsidRPr="005629F8">
        <w:fldChar w:fldCharType="end"/>
      </w:r>
      <w:r w:rsidRPr="005629F8">
        <w:t>. 2020-21 national consolidation cost weight tables - version 8.0</w:t>
      </w:r>
      <w:bookmarkEnd w:id="304"/>
      <w:bookmarkEnd w:id="305"/>
    </w:p>
    <w:p w14:paraId="28A749A4" w14:textId="2F6BC9DA" w:rsidR="00B16337" w:rsidRPr="00337805" w:rsidRDefault="00B16337" w:rsidP="00B16337">
      <w:pPr>
        <w:rPr>
          <w:lang w:val="en-AU"/>
        </w:rPr>
      </w:pPr>
      <w:r w:rsidRPr="00337805">
        <w:rPr>
          <w:lang w:val="en-AU"/>
        </w:rPr>
        <w:t>Please refer to Excel file for details.</w:t>
      </w:r>
    </w:p>
    <w:p w14:paraId="34C0DC17" w14:textId="77777777" w:rsidR="00B16337" w:rsidRPr="00337805" w:rsidRDefault="00B16337" w:rsidP="00B16337">
      <w:pPr>
        <w:rPr>
          <w:highlight w:val="yellow"/>
          <w:lang w:val="en-AU"/>
        </w:rPr>
      </w:pPr>
    </w:p>
    <w:p w14:paraId="65C82B14" w14:textId="77777777" w:rsidR="00B16337" w:rsidRPr="00337805" w:rsidRDefault="00B16337" w:rsidP="00B16337">
      <w:pPr>
        <w:rPr>
          <w:highlight w:val="yellow"/>
          <w:lang w:val="en-AU"/>
        </w:rPr>
      </w:pPr>
    </w:p>
    <w:p w14:paraId="4B299E78" w14:textId="77777777" w:rsidR="00B16337" w:rsidRPr="00337805" w:rsidRDefault="00B16337" w:rsidP="00B16337">
      <w:pPr>
        <w:rPr>
          <w:highlight w:val="yellow"/>
          <w:lang w:val="en-AU"/>
        </w:rPr>
      </w:pPr>
    </w:p>
    <w:p w14:paraId="16B13345" w14:textId="77777777" w:rsidR="00B16337" w:rsidRPr="00337805" w:rsidRDefault="00B16337" w:rsidP="00B16337">
      <w:pPr>
        <w:rPr>
          <w:highlight w:val="yellow"/>
          <w:lang w:val="en-AU"/>
        </w:rPr>
      </w:pPr>
    </w:p>
    <w:p w14:paraId="27089118" w14:textId="77777777" w:rsidR="00B16337" w:rsidRPr="00337805" w:rsidRDefault="00B16337" w:rsidP="00B16337">
      <w:pPr>
        <w:rPr>
          <w:highlight w:val="yellow"/>
          <w:lang w:val="en-AU"/>
        </w:rPr>
      </w:pPr>
    </w:p>
    <w:p w14:paraId="0EB313F2" w14:textId="77777777" w:rsidR="00B16337" w:rsidRPr="00337805" w:rsidRDefault="00B16337" w:rsidP="00B16337">
      <w:pPr>
        <w:rPr>
          <w:highlight w:val="yellow"/>
          <w:lang w:val="en-AU"/>
        </w:rPr>
      </w:pPr>
    </w:p>
    <w:p w14:paraId="0710F6AC" w14:textId="77777777" w:rsidR="00B16337" w:rsidRPr="00337805" w:rsidRDefault="00B16337" w:rsidP="00B16337">
      <w:pPr>
        <w:rPr>
          <w:highlight w:val="yellow"/>
          <w:lang w:val="en-AU"/>
        </w:rPr>
      </w:pPr>
    </w:p>
    <w:p w14:paraId="30D3CA1A" w14:textId="77777777" w:rsidR="00B16337" w:rsidRPr="00337805" w:rsidRDefault="00B16337" w:rsidP="00B16337">
      <w:pPr>
        <w:rPr>
          <w:highlight w:val="yellow"/>
          <w:lang w:val="en-AU"/>
        </w:rPr>
      </w:pPr>
    </w:p>
    <w:p w14:paraId="47FD01F7" w14:textId="77777777" w:rsidR="00B16337" w:rsidRPr="00337805" w:rsidRDefault="00B16337" w:rsidP="00B16337">
      <w:pPr>
        <w:rPr>
          <w:lang w:val="en-AU"/>
        </w:rPr>
      </w:pPr>
      <w:r w:rsidRPr="00337805">
        <w:rPr>
          <w:lang w:val="en-AU"/>
        </w:rPr>
        <w:t>Intentionally left blank.</w:t>
      </w:r>
    </w:p>
    <w:p w14:paraId="3254D22E" w14:textId="29306221" w:rsidR="00B16337" w:rsidRDefault="00B16337">
      <w:pPr>
        <w:spacing w:line="259" w:lineRule="auto"/>
        <w:rPr>
          <w:highlight w:val="yellow"/>
          <w:lang w:val="en-AU"/>
        </w:rPr>
      </w:pPr>
    </w:p>
    <w:p w14:paraId="0F89E113" w14:textId="77777777" w:rsidR="00605F54" w:rsidRDefault="00605F54">
      <w:pPr>
        <w:spacing w:line="259" w:lineRule="auto"/>
        <w:rPr>
          <w:highlight w:val="yellow"/>
          <w:lang w:val="en-AU"/>
        </w:rPr>
        <w:sectPr w:rsidR="00605F54" w:rsidSect="00522146">
          <w:footerReference w:type="default" r:id="rId42"/>
          <w:pgSz w:w="11906" w:h="16838" w:code="9"/>
          <w:pgMar w:top="567" w:right="1077" w:bottom="567" w:left="1077" w:header="708" w:footer="708" w:gutter="0"/>
          <w:cols w:space="720"/>
          <w:docGrid w:linePitch="360"/>
        </w:sectPr>
      </w:pPr>
    </w:p>
    <w:p w14:paraId="58DF4099" w14:textId="437F8E7B" w:rsidR="00D3454D" w:rsidRDefault="00D3454D">
      <w:pPr>
        <w:spacing w:line="259" w:lineRule="auto"/>
        <w:rPr>
          <w:highlight w:val="yellow"/>
          <w:lang w:val="en-AU"/>
        </w:rPr>
      </w:pPr>
    </w:p>
    <w:p w14:paraId="3A3842C9" w14:textId="42E45DB7" w:rsidR="00490E5B" w:rsidRPr="00E87B16" w:rsidRDefault="00490E5B" w:rsidP="00E87B16">
      <w:pPr>
        <w:pStyle w:val="Heading1"/>
        <w:numPr>
          <w:ilvl w:val="0"/>
          <w:numId w:val="0"/>
        </w:numPr>
        <w:rPr>
          <w:sz w:val="48"/>
          <w:szCs w:val="48"/>
        </w:rPr>
      </w:pPr>
      <w:bookmarkStart w:id="306" w:name="_Toc129700064"/>
      <w:bookmarkStart w:id="307" w:name="_Toc129700494"/>
      <w:bookmarkStart w:id="308" w:name="_Toc129700720"/>
      <w:bookmarkStart w:id="309" w:name="_Toc129701335"/>
      <w:bookmarkStart w:id="310" w:name="_Toc129700065"/>
      <w:bookmarkStart w:id="311" w:name="_Toc129700495"/>
      <w:bookmarkStart w:id="312" w:name="_Toc129700721"/>
      <w:bookmarkStart w:id="313" w:name="_Toc129701336"/>
      <w:bookmarkStart w:id="314" w:name="_Toc129700066"/>
      <w:bookmarkStart w:id="315" w:name="_Toc129700496"/>
      <w:bookmarkStart w:id="316" w:name="_Toc129700722"/>
      <w:bookmarkStart w:id="317" w:name="_Toc129701337"/>
      <w:bookmarkStart w:id="318" w:name="_Toc129700067"/>
      <w:bookmarkStart w:id="319" w:name="_Toc129700497"/>
      <w:bookmarkStart w:id="320" w:name="_Toc129700723"/>
      <w:bookmarkStart w:id="321" w:name="_Toc129701338"/>
      <w:bookmarkStart w:id="322" w:name="_Toc129700068"/>
      <w:bookmarkStart w:id="323" w:name="_Toc129700498"/>
      <w:bookmarkStart w:id="324" w:name="_Toc129700724"/>
      <w:bookmarkStart w:id="325" w:name="_Toc129701339"/>
      <w:bookmarkStart w:id="326" w:name="_Toc129700069"/>
      <w:bookmarkStart w:id="327" w:name="_Toc129700499"/>
      <w:bookmarkStart w:id="328" w:name="_Toc129700725"/>
      <w:bookmarkStart w:id="329" w:name="_Toc129701340"/>
      <w:bookmarkStart w:id="330" w:name="_Toc129700070"/>
      <w:bookmarkStart w:id="331" w:name="_Toc129700500"/>
      <w:bookmarkStart w:id="332" w:name="_Toc129700726"/>
      <w:bookmarkStart w:id="333" w:name="_Toc129701341"/>
      <w:bookmarkStart w:id="334" w:name="_Toc129700071"/>
      <w:bookmarkStart w:id="335" w:name="_Toc129700501"/>
      <w:bookmarkStart w:id="336" w:name="_Toc129700727"/>
      <w:bookmarkStart w:id="337" w:name="_Toc129701342"/>
      <w:bookmarkStart w:id="338" w:name="_Toc129700072"/>
      <w:bookmarkStart w:id="339" w:name="_Toc129700502"/>
      <w:bookmarkStart w:id="340" w:name="_Toc129700728"/>
      <w:bookmarkStart w:id="341" w:name="_Toc129701343"/>
      <w:bookmarkStart w:id="342" w:name="_Ref103176152"/>
      <w:bookmarkStart w:id="343" w:name="_Toc106888115"/>
      <w:bookmarkStart w:id="344" w:name="_Toc12970141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E87B16">
        <w:rPr>
          <w:sz w:val="48"/>
          <w:szCs w:val="48"/>
        </w:rPr>
        <w:t>Appendix</w:t>
      </w:r>
      <w:r w:rsidRPr="00E87B16">
        <w:rPr>
          <w:spacing w:val="-1"/>
          <w:sz w:val="48"/>
          <w:szCs w:val="48"/>
        </w:rPr>
        <w:t xml:space="preserve"> </w:t>
      </w:r>
      <w:r w:rsidR="00EF152A">
        <w:rPr>
          <w:sz w:val="48"/>
          <w:szCs w:val="48"/>
        </w:rPr>
        <w:t>G</w:t>
      </w:r>
      <w:r w:rsidRPr="00E87B16">
        <w:rPr>
          <w:sz w:val="48"/>
          <w:szCs w:val="48"/>
        </w:rPr>
        <w:t>: Cost bucket matrix</w:t>
      </w:r>
      <w:bookmarkEnd w:id="342"/>
      <w:bookmarkEnd w:id="343"/>
      <w:bookmarkEnd w:id="344"/>
    </w:p>
    <w:p w14:paraId="69E32B56" w14:textId="5113C8FD" w:rsidR="00D02724" w:rsidRDefault="00D02724" w:rsidP="00E87B16">
      <w:pPr>
        <w:pStyle w:val="TableFigureheading"/>
      </w:pPr>
      <w:bookmarkStart w:id="345" w:name="_Toc129263258"/>
      <w:r>
        <w:t xml:space="preserve">Figure </w:t>
      </w:r>
      <w:r>
        <w:fldChar w:fldCharType="begin"/>
      </w:r>
      <w:r>
        <w:instrText xml:space="preserve"> SEQ Figure \* ARABIC </w:instrText>
      </w:r>
      <w:r>
        <w:fldChar w:fldCharType="separate"/>
      </w:r>
      <w:r w:rsidR="00EF152A">
        <w:rPr>
          <w:noProof/>
        </w:rPr>
        <w:t>19</w:t>
      </w:r>
      <w:r>
        <w:fldChar w:fldCharType="end"/>
      </w:r>
      <w:r>
        <w:t>. Cost bucket matrix</w:t>
      </w:r>
      <w:bookmarkEnd w:id="345"/>
    </w:p>
    <w:p w14:paraId="207CA7F1" w14:textId="07EA2279" w:rsidR="00490E5B" w:rsidRPr="005629F8" w:rsidRDefault="009E6836">
      <w:pPr>
        <w:spacing w:line="259" w:lineRule="auto"/>
        <w:rPr>
          <w:highlight w:val="yellow"/>
          <w:lang w:val="en-AU"/>
        </w:rPr>
      </w:pPr>
      <w:r w:rsidRPr="009E6836">
        <w:rPr>
          <w:noProof/>
          <w:lang w:val="en-US"/>
        </w:rPr>
        <w:drawing>
          <wp:inline distT="0" distB="0" distL="0" distR="0" wp14:anchorId="03072532" wp14:editId="779010A5">
            <wp:extent cx="9970422" cy="2420470"/>
            <wp:effectExtent l="0" t="0" r="0" b="0"/>
            <wp:docPr id="28" name="Picture 28" descr="Cost bucke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st bucket matri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49075" cy="2463841"/>
                    </a:xfrm>
                    <a:prstGeom prst="rect">
                      <a:avLst/>
                    </a:prstGeom>
                    <a:noFill/>
                    <a:ln>
                      <a:noFill/>
                    </a:ln>
                  </pic:spPr>
                </pic:pic>
              </a:graphicData>
            </a:graphic>
          </wp:inline>
        </w:drawing>
      </w:r>
    </w:p>
    <w:p w14:paraId="5CC90C69" w14:textId="77777777" w:rsidR="00490E5B" w:rsidRPr="005629F8" w:rsidRDefault="00490E5B" w:rsidP="00490E5B">
      <w:pPr>
        <w:rPr>
          <w:highlight w:val="yellow"/>
          <w:lang w:val="en-AU"/>
        </w:rPr>
      </w:pPr>
    </w:p>
    <w:p w14:paraId="501CA31C" w14:textId="2C6265D8" w:rsidR="00FA0E2B" w:rsidRPr="005629F8" w:rsidRDefault="00FA0E2B">
      <w:pPr>
        <w:spacing w:line="259" w:lineRule="auto"/>
        <w:rPr>
          <w:rFonts w:eastAsiaTheme="majorEastAsia" w:cstheme="majorBidi"/>
          <w:color w:val="008F55" w:themeColor="accent4"/>
          <w:sz w:val="26"/>
          <w:szCs w:val="24"/>
          <w:highlight w:val="yellow"/>
          <w:lang w:val="en-AU"/>
        </w:rPr>
      </w:pPr>
    </w:p>
    <w:p w14:paraId="4147ADA1" w14:textId="77777777" w:rsidR="006058CF" w:rsidRPr="005629F8" w:rsidRDefault="006058CF" w:rsidP="001035A0">
      <w:pPr>
        <w:rPr>
          <w:highlight w:val="yellow"/>
          <w:lang w:val="en-AU"/>
        </w:rPr>
        <w:sectPr w:rsidR="006058CF" w:rsidRPr="005629F8" w:rsidSect="00E87B16">
          <w:footerReference w:type="default" r:id="rId44"/>
          <w:pgSz w:w="16838" w:h="11906" w:orient="landscape" w:code="9"/>
          <w:pgMar w:top="1077" w:right="567" w:bottom="1077" w:left="567" w:header="709" w:footer="709" w:gutter="0"/>
          <w:cols w:space="720"/>
          <w:docGrid w:linePitch="360"/>
        </w:sectPr>
      </w:pPr>
    </w:p>
    <w:p w14:paraId="70D1B456" w14:textId="77777777" w:rsidR="00502A09" w:rsidRPr="005629F8" w:rsidRDefault="00502A09" w:rsidP="00502A09">
      <w:pPr>
        <w:spacing w:after="360"/>
        <w:rPr>
          <w:color w:val="FFFFFF" w:themeColor="background2"/>
          <w:lang w:val="en-AU"/>
        </w:rPr>
      </w:pPr>
      <w:r w:rsidRPr="005629F8">
        <w:rPr>
          <w:noProof/>
          <w:color w:val="FFFFFF" w:themeColor="background2"/>
          <w:lang w:val="en-US"/>
        </w:rPr>
        <w:lastRenderedPageBreak/>
        <w:drawing>
          <wp:inline distT="0" distB="0" distL="0" distR="0" wp14:anchorId="1B889885" wp14:editId="7D0E809C">
            <wp:extent cx="1764880" cy="396484"/>
            <wp:effectExtent l="0" t="0" r="698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5629F8" w:rsidRDefault="00502A09" w:rsidP="00502A09">
      <w:pPr>
        <w:spacing w:after="360"/>
        <w:rPr>
          <w:lang w:val="en-AU"/>
        </w:rPr>
      </w:pPr>
      <w:r w:rsidRPr="005629F8">
        <w:rPr>
          <w:lang w:val="en-AU"/>
        </w:rPr>
        <w:t>Independent Health and Aged Care Pricing Authority</w:t>
      </w:r>
    </w:p>
    <w:p w14:paraId="79C53FFE" w14:textId="7ACD2C45" w:rsidR="00502A09" w:rsidRPr="005629F8" w:rsidRDefault="00502A09" w:rsidP="00502A09">
      <w:pPr>
        <w:spacing w:after="360"/>
        <w:rPr>
          <w:color w:val="104F99" w:themeColor="accent2"/>
          <w:lang w:val="en-AU"/>
        </w:rPr>
      </w:pPr>
      <w:r w:rsidRPr="005629F8">
        <w:rPr>
          <w:color w:val="104F99" w:themeColor="accent2"/>
          <w:lang w:val="en-AU"/>
        </w:rPr>
        <w:t xml:space="preserve">Level </w:t>
      </w:r>
      <w:r w:rsidR="00B64398" w:rsidRPr="005629F8">
        <w:rPr>
          <w:color w:val="104F99" w:themeColor="accent2"/>
          <w:lang w:val="en-AU"/>
        </w:rPr>
        <w:t>12</w:t>
      </w:r>
      <w:r w:rsidRPr="005629F8">
        <w:rPr>
          <w:color w:val="104F99" w:themeColor="accent2"/>
          <w:lang w:val="en-AU"/>
        </w:rPr>
        <w:t>, 1 Oxford Street</w:t>
      </w:r>
      <w:r w:rsidRPr="005629F8">
        <w:rPr>
          <w:color w:val="104F99" w:themeColor="accent2"/>
          <w:lang w:val="en-AU"/>
        </w:rPr>
        <w:br/>
        <w:t>Sydney NSW 2000</w:t>
      </w:r>
    </w:p>
    <w:p w14:paraId="1F34F833" w14:textId="37920DF9" w:rsidR="00502A09" w:rsidRPr="005629F8" w:rsidRDefault="00502A09" w:rsidP="00502A09">
      <w:pPr>
        <w:spacing w:after="360"/>
        <w:rPr>
          <w:lang w:val="en-AU"/>
        </w:rPr>
      </w:pPr>
      <w:r w:rsidRPr="005629F8">
        <w:rPr>
          <w:lang w:val="en-AU"/>
        </w:rPr>
        <w:t xml:space="preserve">Phone </w:t>
      </w:r>
      <w:r w:rsidRPr="005629F8">
        <w:rPr>
          <w:color w:val="104F99" w:themeColor="accent2"/>
          <w:lang w:val="en-AU"/>
        </w:rPr>
        <w:t>02 8215 1100</w:t>
      </w:r>
      <w:r w:rsidRPr="005629F8">
        <w:rPr>
          <w:lang w:val="en-AU"/>
        </w:rPr>
        <w:br/>
        <w:t xml:space="preserve">Email </w:t>
      </w:r>
      <w:hyperlink r:id="rId47" w:history="1">
        <w:r w:rsidRPr="005629F8">
          <w:rPr>
            <w:rStyle w:val="Hyperlink"/>
            <w:color w:val="104F99" w:themeColor="accent2"/>
            <w:u w:val="none"/>
            <w:lang w:val="en-AU"/>
          </w:rPr>
          <w:t>enquiries@ih</w:t>
        </w:r>
        <w:r w:rsidR="00B64398" w:rsidRPr="005629F8">
          <w:rPr>
            <w:rStyle w:val="Hyperlink"/>
            <w:color w:val="104F99" w:themeColor="accent2"/>
            <w:u w:val="none"/>
            <w:lang w:val="en-AU"/>
          </w:rPr>
          <w:t>ac</w:t>
        </w:r>
        <w:r w:rsidRPr="005629F8">
          <w:rPr>
            <w:rStyle w:val="Hyperlink"/>
            <w:color w:val="104F99" w:themeColor="accent2"/>
            <w:u w:val="none"/>
            <w:lang w:val="en-AU"/>
          </w:rPr>
          <w:t>pa.gov.au</w:t>
        </w:r>
      </w:hyperlink>
      <w:r w:rsidRPr="005629F8">
        <w:rPr>
          <w:lang w:val="en-AU"/>
        </w:rPr>
        <w:br/>
        <w:t xml:space="preserve">Twitter </w:t>
      </w:r>
      <w:r w:rsidRPr="005629F8">
        <w:rPr>
          <w:color w:val="104F99" w:themeColor="accent2"/>
          <w:lang w:val="en-AU"/>
        </w:rPr>
        <w:t>@IH</w:t>
      </w:r>
      <w:r w:rsidR="00B64398" w:rsidRPr="005629F8">
        <w:rPr>
          <w:color w:val="104F99" w:themeColor="accent2"/>
          <w:lang w:val="en-AU"/>
        </w:rPr>
        <w:t>AC</w:t>
      </w:r>
      <w:r w:rsidRPr="005629F8">
        <w:rPr>
          <w:color w:val="104F99" w:themeColor="accent2"/>
          <w:lang w:val="en-AU"/>
        </w:rPr>
        <w:t>PAnews</w:t>
      </w:r>
    </w:p>
    <w:p w14:paraId="4E2278FE" w14:textId="13C7AF55" w:rsidR="00502A09" w:rsidRPr="005629F8" w:rsidRDefault="00502A09" w:rsidP="00502A09">
      <w:pPr>
        <w:spacing w:after="360"/>
        <w:rPr>
          <w:color w:val="104F99" w:themeColor="accent2"/>
          <w:lang w:val="en-AU"/>
        </w:rPr>
      </w:pPr>
      <w:r w:rsidRPr="005629F8">
        <w:rPr>
          <w:color w:val="104F99" w:themeColor="accent2"/>
          <w:lang w:val="en-AU"/>
        </w:rPr>
        <w:t>www.ih</w:t>
      </w:r>
      <w:r w:rsidR="00B64398" w:rsidRPr="005629F8">
        <w:rPr>
          <w:color w:val="104F99" w:themeColor="accent2"/>
          <w:lang w:val="en-AU"/>
        </w:rPr>
        <w:t>ac</w:t>
      </w:r>
      <w:r w:rsidRPr="005629F8">
        <w:rPr>
          <w:color w:val="104F99" w:themeColor="accent2"/>
          <w:lang w:val="en-AU"/>
        </w:rPr>
        <w:t>pa.gov.au</w:t>
      </w:r>
    </w:p>
    <w:p w14:paraId="55FBC7ED" w14:textId="7CA0ED77" w:rsidR="00605F54" w:rsidRDefault="00605F54" w:rsidP="00F95700">
      <w:pPr>
        <w:spacing w:after="360"/>
        <w:rPr>
          <w:color w:val="104F99" w:themeColor="accent2"/>
          <w:lang w:val="en-AU"/>
        </w:rPr>
      </w:pPr>
    </w:p>
    <w:p w14:paraId="2335854C" w14:textId="77777777" w:rsidR="00605F54" w:rsidRPr="00E87B16" w:rsidRDefault="00605F54" w:rsidP="00E87B16">
      <w:pPr>
        <w:rPr>
          <w:lang w:val="en-AU"/>
        </w:rPr>
      </w:pPr>
    </w:p>
    <w:p w14:paraId="6CB28028" w14:textId="77777777" w:rsidR="00605F54" w:rsidRPr="00E87B16" w:rsidRDefault="00605F54" w:rsidP="00E87B16">
      <w:pPr>
        <w:rPr>
          <w:lang w:val="en-AU"/>
        </w:rPr>
      </w:pPr>
    </w:p>
    <w:p w14:paraId="62784EE8" w14:textId="77777777" w:rsidR="00605F54" w:rsidRPr="00E87B16" w:rsidRDefault="00605F54" w:rsidP="00E87B16">
      <w:pPr>
        <w:rPr>
          <w:lang w:val="en-AU"/>
        </w:rPr>
      </w:pPr>
    </w:p>
    <w:p w14:paraId="61F9AE21" w14:textId="77777777" w:rsidR="00605F54" w:rsidRPr="00E87B16" w:rsidRDefault="00605F54" w:rsidP="00E87B16">
      <w:pPr>
        <w:rPr>
          <w:lang w:val="en-AU"/>
        </w:rPr>
      </w:pPr>
    </w:p>
    <w:p w14:paraId="2B4D3C48" w14:textId="77777777" w:rsidR="00605F54" w:rsidRPr="00E87B16" w:rsidRDefault="00605F54" w:rsidP="00E87B16">
      <w:pPr>
        <w:rPr>
          <w:lang w:val="en-AU"/>
        </w:rPr>
      </w:pPr>
    </w:p>
    <w:p w14:paraId="3B4D9971" w14:textId="77777777" w:rsidR="00605F54" w:rsidRPr="00E87B16" w:rsidRDefault="00605F54" w:rsidP="00E87B16">
      <w:pPr>
        <w:rPr>
          <w:lang w:val="en-AU"/>
        </w:rPr>
      </w:pPr>
    </w:p>
    <w:p w14:paraId="61ACA456" w14:textId="77777777" w:rsidR="00605F54" w:rsidRPr="00E87B16" w:rsidRDefault="00605F54" w:rsidP="00E87B16">
      <w:pPr>
        <w:rPr>
          <w:lang w:val="en-AU"/>
        </w:rPr>
      </w:pPr>
    </w:p>
    <w:p w14:paraId="473802E1" w14:textId="77777777" w:rsidR="00605F54" w:rsidRPr="00E87B16" w:rsidRDefault="00605F54" w:rsidP="00E87B16">
      <w:pPr>
        <w:rPr>
          <w:lang w:val="en-AU"/>
        </w:rPr>
      </w:pPr>
    </w:p>
    <w:p w14:paraId="25EAAB3E" w14:textId="77777777" w:rsidR="00605F54" w:rsidRPr="00E87B16" w:rsidRDefault="00605F54" w:rsidP="00E87B16">
      <w:pPr>
        <w:rPr>
          <w:lang w:val="en-AU"/>
        </w:rPr>
      </w:pPr>
    </w:p>
    <w:p w14:paraId="53D2516A" w14:textId="77777777" w:rsidR="00605F54" w:rsidRPr="00E87B16" w:rsidRDefault="00605F54" w:rsidP="00E87B16">
      <w:pPr>
        <w:rPr>
          <w:lang w:val="en-AU"/>
        </w:rPr>
      </w:pPr>
    </w:p>
    <w:p w14:paraId="4185BD48" w14:textId="77777777" w:rsidR="00605F54" w:rsidRPr="00E87B16" w:rsidRDefault="00605F54" w:rsidP="00E87B16">
      <w:pPr>
        <w:rPr>
          <w:lang w:val="en-AU"/>
        </w:rPr>
      </w:pPr>
    </w:p>
    <w:p w14:paraId="28882D29" w14:textId="77777777" w:rsidR="00605F54" w:rsidRPr="00E87B16" w:rsidRDefault="00605F54" w:rsidP="00E87B16">
      <w:pPr>
        <w:rPr>
          <w:lang w:val="en-AU"/>
        </w:rPr>
      </w:pPr>
    </w:p>
    <w:p w14:paraId="308608E1" w14:textId="77777777" w:rsidR="00605F54" w:rsidRPr="00E87B16" w:rsidRDefault="00605F54" w:rsidP="00E87B16">
      <w:pPr>
        <w:rPr>
          <w:lang w:val="en-AU"/>
        </w:rPr>
      </w:pPr>
    </w:p>
    <w:p w14:paraId="65204954" w14:textId="77777777" w:rsidR="00605F54" w:rsidRPr="00E87B16" w:rsidRDefault="00605F54" w:rsidP="00E87B16">
      <w:pPr>
        <w:rPr>
          <w:lang w:val="en-AU"/>
        </w:rPr>
      </w:pPr>
    </w:p>
    <w:p w14:paraId="7286188E" w14:textId="77777777" w:rsidR="00605F54" w:rsidRPr="00E87B16" w:rsidRDefault="00605F54" w:rsidP="00E87B16">
      <w:pPr>
        <w:rPr>
          <w:lang w:val="en-AU"/>
        </w:rPr>
      </w:pPr>
    </w:p>
    <w:p w14:paraId="612F4E6F" w14:textId="77777777" w:rsidR="00605F54" w:rsidRPr="00E87B16" w:rsidRDefault="00605F54" w:rsidP="00E87B16">
      <w:pPr>
        <w:rPr>
          <w:lang w:val="en-AU"/>
        </w:rPr>
      </w:pPr>
    </w:p>
    <w:p w14:paraId="453B60C7" w14:textId="77777777" w:rsidR="00605F54" w:rsidRPr="00E87B16" w:rsidRDefault="00605F54" w:rsidP="00E87B16">
      <w:pPr>
        <w:rPr>
          <w:lang w:val="en-AU"/>
        </w:rPr>
      </w:pPr>
    </w:p>
    <w:p w14:paraId="2253721C" w14:textId="77777777" w:rsidR="00605F54" w:rsidRPr="00E87B16" w:rsidRDefault="00605F54" w:rsidP="00E87B16">
      <w:pPr>
        <w:rPr>
          <w:lang w:val="en-AU"/>
        </w:rPr>
      </w:pPr>
    </w:p>
    <w:p w14:paraId="1184C77E" w14:textId="77777777" w:rsidR="00605F54" w:rsidRPr="00E87B16" w:rsidRDefault="00605F54" w:rsidP="00E87B16">
      <w:pPr>
        <w:rPr>
          <w:lang w:val="en-AU"/>
        </w:rPr>
      </w:pPr>
    </w:p>
    <w:p w14:paraId="44C2F51A" w14:textId="5F118169" w:rsidR="00605F54" w:rsidRDefault="00605F54" w:rsidP="00605F54">
      <w:pPr>
        <w:rPr>
          <w:lang w:val="en-AU"/>
        </w:rPr>
      </w:pPr>
    </w:p>
    <w:p w14:paraId="3D9E7861" w14:textId="45884991" w:rsidR="00502A09" w:rsidRPr="00E87B16" w:rsidRDefault="00605F54" w:rsidP="00E87B16">
      <w:pPr>
        <w:tabs>
          <w:tab w:val="left" w:pos="2758"/>
        </w:tabs>
        <w:rPr>
          <w:lang w:val="en-AU"/>
        </w:rPr>
      </w:pPr>
      <w:r>
        <w:rPr>
          <w:lang w:val="en-AU"/>
        </w:rPr>
        <w:tab/>
      </w:r>
    </w:p>
    <w:sectPr w:rsidR="00502A09" w:rsidRPr="00E87B16" w:rsidSect="00E87B16">
      <w:headerReference w:type="default" r:id="rId48"/>
      <w:footerReference w:type="default" r:id="rId49"/>
      <w:pgSz w:w="11906" w:h="16838" w:code="9"/>
      <w:pgMar w:top="567" w:right="1077"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F57E1" w14:textId="77777777" w:rsidR="00523C3C" w:rsidRDefault="00523C3C" w:rsidP="00DC0458">
      <w:pPr>
        <w:spacing w:after="0" w:line="240" w:lineRule="auto"/>
      </w:pPr>
      <w:r>
        <w:separator/>
      </w:r>
    </w:p>
  </w:endnote>
  <w:endnote w:type="continuationSeparator" w:id="0">
    <w:p w14:paraId="0CB3FB62" w14:textId="77777777" w:rsidR="00523C3C" w:rsidRDefault="00523C3C" w:rsidP="00DC0458">
      <w:pPr>
        <w:spacing w:after="0" w:line="240" w:lineRule="auto"/>
      </w:pPr>
      <w:r>
        <w:continuationSeparator/>
      </w:r>
    </w:p>
  </w:endnote>
  <w:endnote w:type="continuationNotice" w:id="1">
    <w:p w14:paraId="26563848" w14:textId="77777777" w:rsidR="00523C3C" w:rsidRDefault="00523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regular">
    <w:altName w:val="Times New Roman"/>
    <w:panose1 w:val="020B05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Josefin Sans Bold">
    <w:panose1 w:val="00000000000000000000"/>
    <w:charset w:val="00"/>
    <w:family w:val="auto"/>
    <w:pitch w:val="variable"/>
    <w:sig w:usb0="A00000FF" w:usb1="4000204B" w:usb2="00000000" w:usb3="00000000" w:csb0="00000193" w:csb1="00000000"/>
    <w:embedRegular r:id="rId1" w:fontKey="{DA0585AD-536F-47E8-AE39-A408967D39B1}"/>
    <w:embedBold r:id="rId2" w:fontKey="{BA7188C8-3364-420A-8362-0B5726EEA9A5}"/>
  </w:font>
  <w:font w:name="Segoe UI">
    <w:panose1 w:val="020B0502040204020203"/>
    <w:charset w:val="00"/>
    <w:family w:val="swiss"/>
    <w:pitch w:val="variable"/>
    <w:sig w:usb0="E4002EFF" w:usb1="C000E47F" w:usb2="00000009" w:usb3="00000000" w:csb0="000001FF" w:csb1="00000000"/>
    <w:embedRegular r:id="rId3" w:fontKey="{A2D52588-83AA-429B-97BA-4AE0D0D5F11B}"/>
  </w:font>
  <w:font w:name="Fira Sans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2E09928F-9A34-4545-B92E-E8011A041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846B" w14:textId="3135EA0B" w:rsidR="00D3454D" w:rsidRDefault="00D3454D">
    <w:pPr>
      <w:pStyle w:val="Footer"/>
    </w:pPr>
    <w:r>
      <w:rPr>
        <w:noProof/>
        <w:lang w:val="en-US"/>
      </w:rPr>
      <w:drawing>
        <wp:anchor distT="0" distB="0" distL="114300" distR="114300" simplePos="0" relativeHeight="251658242" behindDoc="0" locked="0" layoutInCell="1" allowOverlap="1" wp14:anchorId="2A1ED3F1" wp14:editId="4CEF5A2A">
          <wp:simplePos x="0" y="0"/>
          <wp:positionH relativeFrom="column">
            <wp:posOffset>5192123</wp:posOffset>
          </wp:positionH>
          <wp:positionV relativeFrom="paragraph">
            <wp:posOffset>-464185</wp:posOffset>
          </wp:positionV>
          <wp:extent cx="1166300" cy="73044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r w:rsidR="00F04BCD">
      <w:t>July</w:t>
    </w:r>
    <w:r>
      <w:t xml:space="preserve"> 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78F2" w14:textId="77777777" w:rsidR="003E33FA" w:rsidRDefault="003E33FA" w:rsidP="00FE60CD">
    <w:pPr>
      <w:pStyle w:val="Footer"/>
      <w:tabs>
        <w:tab w:val="clear" w:pos="4680"/>
        <w:tab w:val="clear" w:pos="9360"/>
        <w:tab w:val="center" w:pos="9498"/>
      </w:tabs>
      <w:rPr>
        <w:b/>
        <w:bCs/>
        <w:sz w:val="20"/>
        <w:szCs w:val="20"/>
      </w:rPr>
    </w:pPr>
  </w:p>
  <w:p w14:paraId="6E1CB636" w14:textId="0F2279CA" w:rsidR="00D3454D" w:rsidRPr="00FE60CD" w:rsidRDefault="00173142" w:rsidP="00FE60CD">
    <w:pPr>
      <w:pStyle w:val="Footer"/>
      <w:tabs>
        <w:tab w:val="clear" w:pos="4680"/>
        <w:tab w:val="clear" w:pos="9360"/>
        <w:tab w:val="center" w:pos="9498"/>
      </w:tabs>
      <w:rPr>
        <w:b/>
        <w:bCs/>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2020-21</w:t>
    </w:r>
    <w:r w:rsidR="00D3454D" w:rsidRPr="00FE60CD">
      <w:rPr>
        <w:b/>
        <w:bCs/>
        <w:sz w:val="20"/>
        <w:szCs w:val="20"/>
      </w:rPr>
      <w:tab/>
    </w:r>
    <w:r w:rsidR="00D3454D" w:rsidRPr="00FE60CD">
      <w:rPr>
        <w:b/>
        <w:bCs/>
        <w:sz w:val="20"/>
        <w:szCs w:val="20"/>
      </w:rPr>
      <w:fldChar w:fldCharType="begin"/>
    </w:r>
    <w:r w:rsidR="00D3454D" w:rsidRPr="00FE60CD">
      <w:rPr>
        <w:b/>
        <w:bCs/>
        <w:sz w:val="20"/>
        <w:szCs w:val="20"/>
      </w:rPr>
      <w:instrText xml:space="preserve"> PAGE   \* MERGEFORMAT </w:instrText>
    </w:r>
    <w:r w:rsidR="00D3454D" w:rsidRPr="00FE60CD">
      <w:rPr>
        <w:b/>
        <w:bCs/>
        <w:sz w:val="20"/>
        <w:szCs w:val="20"/>
      </w:rPr>
      <w:fldChar w:fldCharType="separate"/>
    </w:r>
    <w:r w:rsidR="00771036">
      <w:rPr>
        <w:b/>
        <w:bCs/>
        <w:noProof/>
        <w:sz w:val="20"/>
        <w:szCs w:val="20"/>
      </w:rPr>
      <w:t>45</w:t>
    </w:r>
    <w:r w:rsidR="00D3454D" w:rsidRPr="00FE60CD">
      <w:rPr>
        <w:b/>
        <w:bCs/>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B65B" w14:textId="0CE38074" w:rsidR="00D3454D" w:rsidRPr="00FE60CD" w:rsidRDefault="005F3DC5" w:rsidP="0048537E">
    <w:pPr>
      <w:pStyle w:val="Footer"/>
      <w:tabs>
        <w:tab w:val="clear" w:pos="4680"/>
        <w:tab w:val="clear" w:pos="9360"/>
        <w:tab w:val="right" w:pos="15309"/>
      </w:tabs>
      <w:rPr>
        <w:b/>
        <w:bCs/>
        <w:sz w:val="20"/>
        <w:szCs w:val="20"/>
      </w:rPr>
    </w:pPr>
    <w:r w:rsidRPr="001F3339">
      <w:rPr>
        <w:b/>
        <w:bCs/>
        <w:sz w:val="20"/>
        <w:szCs w:val="20"/>
      </w:rPr>
      <w:t>IHACPA</w:t>
    </w:r>
    <w:r w:rsidRPr="00FE60CD">
      <w:rPr>
        <w:b/>
        <w:bCs/>
        <w:sz w:val="20"/>
        <w:szCs w:val="20"/>
      </w:rPr>
      <w:t xml:space="preserve"> </w:t>
    </w:r>
    <w:r w:rsidRPr="005F3DC5">
      <w:rPr>
        <w:sz w:val="20"/>
        <w:szCs w:val="20"/>
      </w:rPr>
      <w:t>National Hospital Cost Data Collection Private Hospital Report 2020-21</w:t>
    </w:r>
    <w:r w:rsidR="00D3454D" w:rsidRPr="00FE60CD">
      <w:rPr>
        <w:b/>
        <w:bCs/>
        <w:sz w:val="20"/>
        <w:szCs w:val="20"/>
      </w:rPr>
      <w:tab/>
    </w:r>
    <w:r w:rsidR="00D3454D" w:rsidRPr="00FE60CD">
      <w:rPr>
        <w:b/>
        <w:bCs/>
        <w:sz w:val="20"/>
        <w:szCs w:val="20"/>
      </w:rPr>
      <w:fldChar w:fldCharType="begin"/>
    </w:r>
    <w:r w:rsidR="00D3454D" w:rsidRPr="00FE60CD">
      <w:rPr>
        <w:b/>
        <w:bCs/>
        <w:sz w:val="20"/>
        <w:szCs w:val="20"/>
      </w:rPr>
      <w:instrText xml:space="preserve"> PAGE   \* MERGEFORMAT </w:instrText>
    </w:r>
    <w:r w:rsidR="00D3454D" w:rsidRPr="00FE60CD">
      <w:rPr>
        <w:b/>
        <w:bCs/>
        <w:sz w:val="20"/>
        <w:szCs w:val="20"/>
      </w:rPr>
      <w:fldChar w:fldCharType="separate"/>
    </w:r>
    <w:r w:rsidR="00771036">
      <w:rPr>
        <w:b/>
        <w:bCs/>
        <w:noProof/>
        <w:sz w:val="20"/>
        <w:szCs w:val="20"/>
      </w:rPr>
      <w:t>50</w:t>
    </w:r>
    <w:r w:rsidR="00D3454D" w:rsidRPr="00FE60CD">
      <w:rPr>
        <w:b/>
        <w:bCs/>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2E52" w14:textId="0D51F059" w:rsidR="00605F54" w:rsidRPr="00FE60CD" w:rsidRDefault="00605F54" w:rsidP="0048537E">
    <w:pPr>
      <w:pStyle w:val="Footer"/>
      <w:tabs>
        <w:tab w:val="clear" w:pos="4680"/>
        <w:tab w:val="clear" w:pos="9360"/>
        <w:tab w:val="right" w:pos="15309"/>
      </w:tabs>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B721" w14:textId="51EF8EB2" w:rsidR="00990DC9" w:rsidRDefault="00990DC9" w:rsidP="00E24D0E">
    <w:pPr>
      <w:pStyle w:val="Footer"/>
      <w:tabs>
        <w:tab w:val="clear" w:pos="4680"/>
        <w:tab w:val="clear" w:pos="9360"/>
        <w:tab w:val="center" w:pos="9498"/>
        <w:tab w:val="right" w:pos="9746"/>
      </w:tabs>
    </w:pPr>
    <w:r w:rsidRPr="001F3339">
      <w:rPr>
        <w:b/>
        <w:bCs/>
        <w:sz w:val="20"/>
        <w:szCs w:val="20"/>
      </w:rPr>
      <w:t>IHACPA</w:t>
    </w:r>
    <w:r w:rsidRPr="001F3339">
      <w:rPr>
        <w:sz w:val="20"/>
        <w:szCs w:val="20"/>
      </w:rPr>
      <w:t xml:space="preserve"> National Hospital Cost Data Collection Private Hospital Report</w:t>
    </w:r>
    <w:r w:rsidR="00F04BCD">
      <w:rPr>
        <w:sz w:val="20"/>
        <w:szCs w:val="20"/>
      </w:rPr>
      <w:t xml:space="preserve"> </w:t>
    </w:r>
    <w:r>
      <w:rPr>
        <w:sz w:val="20"/>
        <w:szCs w:val="20"/>
      </w:rPr>
      <w:t>2020-21</w:t>
    </w:r>
    <w:r>
      <w:tab/>
    </w:r>
    <w:r>
      <w:fldChar w:fldCharType="begin"/>
    </w:r>
    <w:r>
      <w:instrText xml:space="preserve"> PAGE   \* MERGEFORMAT </w:instrText>
    </w:r>
    <w:r>
      <w:fldChar w:fldCharType="separate"/>
    </w:r>
    <w:r w:rsidR="00771036">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D920" w14:textId="5C180FD0" w:rsidR="00D3454D" w:rsidRPr="001F3339" w:rsidRDefault="00173142" w:rsidP="002810BD">
    <w:pPr>
      <w:pStyle w:val="Footer"/>
      <w:tabs>
        <w:tab w:val="clear" w:pos="4680"/>
        <w:tab w:val="clear" w:pos="9360"/>
        <w:tab w:val="center" w:pos="13892"/>
      </w:tabs>
      <w:rPr>
        <w:noProof/>
        <w:sz w:val="20"/>
        <w:szCs w:val="20"/>
      </w:rPr>
    </w:pPr>
    <w:r w:rsidRPr="001F3339">
      <w:rPr>
        <w:b/>
        <w:bCs/>
        <w:sz w:val="20"/>
        <w:szCs w:val="20"/>
      </w:rPr>
      <w:t>IHACPA</w:t>
    </w:r>
    <w:r w:rsidRPr="001F3339">
      <w:rPr>
        <w:sz w:val="20"/>
        <w:szCs w:val="20"/>
      </w:rPr>
      <w:t xml:space="preserve"> National Hospital Cost Data Collection Private Hospital Report</w:t>
    </w:r>
    <w:r w:rsidR="00F04BCD">
      <w:rPr>
        <w:sz w:val="20"/>
        <w:szCs w:val="20"/>
      </w:rPr>
      <w:t xml:space="preserve"> </w:t>
    </w:r>
    <w:r>
      <w:rPr>
        <w:sz w:val="20"/>
        <w:szCs w:val="20"/>
      </w:rPr>
      <w:t>2020-21</w:t>
    </w:r>
    <w:r w:rsidR="00D3454D" w:rsidRPr="001F3339">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24</w:t>
    </w:r>
    <w:r w:rsidR="00D3454D" w:rsidRPr="001F3339">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F0EB" w14:textId="70EACFC4" w:rsidR="00D3454D" w:rsidRPr="001F3339" w:rsidRDefault="00173142" w:rsidP="00550AEB">
    <w:pPr>
      <w:pStyle w:val="Footer"/>
      <w:tabs>
        <w:tab w:val="clear" w:pos="4680"/>
        <w:tab w:val="clear" w:pos="9360"/>
        <w:tab w:val="right" w:pos="15309"/>
      </w:tabs>
      <w:rPr>
        <w:noProof/>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2020-21</w:t>
    </w:r>
    <w:r w:rsidR="00D3454D" w:rsidRPr="001F3339">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25</w:t>
    </w:r>
    <w:r w:rsidR="00D3454D" w:rsidRPr="001F3339">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5A07" w14:textId="45EC7CFA" w:rsidR="00D3454D" w:rsidRPr="001F3339" w:rsidRDefault="00173142" w:rsidP="00550AEB">
    <w:pPr>
      <w:pStyle w:val="Footer"/>
      <w:tabs>
        <w:tab w:val="clear" w:pos="4680"/>
        <w:tab w:val="clear" w:pos="9360"/>
        <w:tab w:val="right" w:pos="9639"/>
        <w:tab w:val="left" w:pos="15026"/>
      </w:tabs>
      <w:rPr>
        <w:noProof/>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2020-21</w:t>
    </w:r>
    <w:r w:rsidR="00D3454D">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26</w:t>
    </w:r>
    <w:r w:rsidR="00D3454D" w:rsidRPr="001F3339">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68C8" w14:textId="487EDCE1" w:rsidR="00D3454D" w:rsidRPr="001F3339" w:rsidRDefault="00173142" w:rsidP="00550AEB">
    <w:pPr>
      <w:pStyle w:val="Footer"/>
      <w:tabs>
        <w:tab w:val="clear" w:pos="4680"/>
        <w:tab w:val="clear" w:pos="9360"/>
        <w:tab w:val="right" w:pos="15309"/>
      </w:tabs>
      <w:rPr>
        <w:noProof/>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2020-21</w:t>
    </w:r>
    <w:r w:rsidR="00D3454D">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28</w:t>
    </w:r>
    <w:r w:rsidR="00D3454D" w:rsidRPr="001F3339">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D390" w14:textId="14EE6BE7" w:rsidR="00D3454D" w:rsidRPr="001F3339" w:rsidRDefault="00173142" w:rsidP="00550AEB">
    <w:pPr>
      <w:pStyle w:val="Footer"/>
      <w:tabs>
        <w:tab w:val="clear" w:pos="4680"/>
        <w:tab w:val="clear" w:pos="9360"/>
        <w:tab w:val="right" w:pos="9639"/>
        <w:tab w:val="left" w:pos="15026"/>
        <w:tab w:val="right" w:pos="15309"/>
      </w:tabs>
      <w:rPr>
        <w:noProof/>
        <w:sz w:val="20"/>
        <w:szCs w:val="20"/>
      </w:rPr>
    </w:pPr>
    <w:r w:rsidRPr="001F3339">
      <w:rPr>
        <w:b/>
        <w:bCs/>
        <w:sz w:val="20"/>
        <w:szCs w:val="20"/>
      </w:rPr>
      <w:t>IHACPA</w:t>
    </w:r>
    <w:r w:rsidRPr="001F3339">
      <w:rPr>
        <w:sz w:val="20"/>
        <w:szCs w:val="20"/>
      </w:rPr>
      <w:t xml:space="preserve"> National Hospital Cost Data Collection Private Hospital Report</w:t>
    </w:r>
    <w:r w:rsidR="00F04BCD">
      <w:rPr>
        <w:sz w:val="20"/>
        <w:szCs w:val="20"/>
      </w:rPr>
      <w:t xml:space="preserve"> </w:t>
    </w:r>
    <w:r>
      <w:rPr>
        <w:sz w:val="20"/>
        <w:szCs w:val="20"/>
      </w:rPr>
      <w:t>2020-21</w:t>
    </w:r>
    <w:r w:rsidR="00D3454D">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29</w:t>
    </w:r>
    <w:r w:rsidR="00D3454D" w:rsidRPr="001F3339">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849B" w14:textId="3DA01BA7" w:rsidR="00D3454D" w:rsidRPr="00FE60CD" w:rsidRDefault="00173142" w:rsidP="00F04BCD">
    <w:pPr>
      <w:pStyle w:val="Footer"/>
      <w:tabs>
        <w:tab w:val="clear" w:pos="4680"/>
        <w:tab w:val="clear" w:pos="9360"/>
        <w:tab w:val="right" w:pos="15309"/>
      </w:tabs>
      <w:rPr>
        <w:b/>
        <w:bCs/>
        <w:sz w:val="20"/>
        <w:szCs w:val="20"/>
      </w:rPr>
    </w:pPr>
    <w:r w:rsidRPr="001F3339">
      <w:rPr>
        <w:b/>
        <w:bCs/>
        <w:sz w:val="20"/>
        <w:szCs w:val="20"/>
      </w:rPr>
      <w:t>IHACPA</w:t>
    </w:r>
    <w:r w:rsidRPr="00173142">
      <w:rPr>
        <w:b/>
        <w:bCs/>
        <w:sz w:val="20"/>
        <w:szCs w:val="20"/>
      </w:rPr>
      <w:t xml:space="preserve"> </w:t>
    </w:r>
    <w:r w:rsidRPr="00173142">
      <w:rPr>
        <w:sz w:val="20"/>
        <w:szCs w:val="20"/>
      </w:rPr>
      <w:t>National Hospital Cost Data Collection Private Hospital Report 2020-21</w:t>
    </w:r>
    <w:r w:rsidR="00D3454D" w:rsidRPr="00173142">
      <w:rPr>
        <w:b/>
        <w:bCs/>
        <w:sz w:val="20"/>
        <w:szCs w:val="20"/>
      </w:rPr>
      <w:tab/>
    </w:r>
    <w:r w:rsidR="00D3454D" w:rsidRPr="00173142">
      <w:rPr>
        <w:sz w:val="20"/>
        <w:szCs w:val="20"/>
      </w:rPr>
      <w:fldChar w:fldCharType="begin"/>
    </w:r>
    <w:r w:rsidR="00D3454D" w:rsidRPr="00173142">
      <w:rPr>
        <w:sz w:val="20"/>
        <w:szCs w:val="20"/>
      </w:rPr>
      <w:instrText xml:space="preserve"> PAGE   \* MERGEFORMAT </w:instrText>
    </w:r>
    <w:r w:rsidR="00D3454D" w:rsidRPr="00173142">
      <w:rPr>
        <w:sz w:val="20"/>
        <w:szCs w:val="20"/>
      </w:rPr>
      <w:fldChar w:fldCharType="separate"/>
    </w:r>
    <w:r w:rsidR="00771036">
      <w:rPr>
        <w:noProof/>
        <w:sz w:val="20"/>
        <w:szCs w:val="20"/>
      </w:rPr>
      <w:t>36</w:t>
    </w:r>
    <w:r w:rsidR="00D3454D" w:rsidRPr="00173142">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38B0" w14:textId="6994DE56" w:rsidR="00D3454D" w:rsidRPr="00FE60CD" w:rsidRDefault="00173142" w:rsidP="00E06697">
    <w:pPr>
      <w:pStyle w:val="Footer"/>
      <w:tabs>
        <w:tab w:val="clear" w:pos="4680"/>
        <w:tab w:val="clear" w:pos="9360"/>
        <w:tab w:val="right" w:pos="15309"/>
      </w:tabs>
      <w:rPr>
        <w:b/>
        <w:bCs/>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2020-21</w:t>
    </w:r>
    <w:r w:rsidR="00D3454D" w:rsidRPr="00E87B16">
      <w:rPr>
        <w:sz w:val="20"/>
        <w:szCs w:val="20"/>
      </w:rPr>
      <w:tab/>
    </w:r>
    <w:r w:rsidR="00D3454D" w:rsidRPr="00E87B16">
      <w:rPr>
        <w:sz w:val="20"/>
        <w:szCs w:val="20"/>
      </w:rPr>
      <w:fldChar w:fldCharType="begin"/>
    </w:r>
    <w:r w:rsidR="00D3454D" w:rsidRPr="00E87B16">
      <w:rPr>
        <w:sz w:val="20"/>
        <w:szCs w:val="20"/>
      </w:rPr>
      <w:instrText xml:space="preserve"> PAGE   \* MERGEFORMAT </w:instrText>
    </w:r>
    <w:r w:rsidR="00D3454D" w:rsidRPr="00E87B16">
      <w:rPr>
        <w:sz w:val="20"/>
        <w:szCs w:val="20"/>
      </w:rPr>
      <w:fldChar w:fldCharType="separate"/>
    </w:r>
    <w:r w:rsidR="00771036">
      <w:rPr>
        <w:noProof/>
        <w:sz w:val="20"/>
        <w:szCs w:val="20"/>
      </w:rPr>
      <w:t>38</w:t>
    </w:r>
    <w:r w:rsidR="00D3454D" w:rsidRPr="00E87B1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D7D4" w14:textId="77777777" w:rsidR="00523C3C" w:rsidRDefault="00523C3C" w:rsidP="00DC0458">
      <w:pPr>
        <w:spacing w:after="0" w:line="240" w:lineRule="auto"/>
      </w:pPr>
      <w:r>
        <w:separator/>
      </w:r>
    </w:p>
  </w:footnote>
  <w:footnote w:type="continuationSeparator" w:id="0">
    <w:p w14:paraId="4EBEE8F9" w14:textId="77777777" w:rsidR="00523C3C" w:rsidRDefault="00523C3C" w:rsidP="00DC0458">
      <w:pPr>
        <w:spacing w:after="0" w:line="240" w:lineRule="auto"/>
      </w:pPr>
      <w:r>
        <w:continuationSeparator/>
      </w:r>
    </w:p>
  </w:footnote>
  <w:footnote w:type="continuationNotice" w:id="1">
    <w:p w14:paraId="4AE208FB" w14:textId="77777777" w:rsidR="00523C3C" w:rsidRDefault="00523C3C">
      <w:pPr>
        <w:spacing w:after="0" w:line="240" w:lineRule="auto"/>
      </w:pPr>
    </w:p>
  </w:footnote>
  <w:footnote w:id="2">
    <w:p w14:paraId="7D52335C" w14:textId="26CDD337" w:rsidR="00D3454D" w:rsidRPr="001551ED" w:rsidRDefault="00D3454D" w:rsidP="001551ED">
      <w:pPr>
        <w:pStyle w:val="Footnote"/>
        <w:rPr>
          <w:lang w:val="en-AU"/>
        </w:rPr>
      </w:pPr>
      <w:r>
        <w:rPr>
          <w:rStyle w:val="FootnoteReference"/>
        </w:rPr>
        <w:footnoteRef/>
      </w:r>
      <w:r>
        <w:t xml:space="preserve"> Independent Health and Aged Care Pricing Authority</w:t>
      </w:r>
      <w:r w:rsidRPr="005924BA">
        <w:t>,</w:t>
      </w:r>
      <w:r w:rsidRPr="005924BA">
        <w:rPr>
          <w:spacing w:val="-2"/>
        </w:rPr>
        <w:t xml:space="preserve"> </w:t>
      </w:r>
      <w:hyperlink r:id="rId1">
        <w:r>
          <w:rPr>
            <w:color w:val="0000FF"/>
            <w:u w:val="single"/>
          </w:rPr>
          <w:t>Australian Refined Diagnosis Related Groups</w:t>
        </w:r>
      </w:hyperlink>
      <w:r w:rsidRPr="00BE2B24">
        <w:t>,</w:t>
      </w:r>
      <w:r w:rsidRPr="00227209">
        <w:t xml:space="preserve"> </w:t>
      </w:r>
      <w:r w:rsidRPr="003D4A6C">
        <w:t>date</w:t>
      </w:r>
      <w:r w:rsidRPr="003D4A6C">
        <w:rPr>
          <w:spacing w:val="-1"/>
        </w:rPr>
        <w:t xml:space="preserve"> </w:t>
      </w:r>
      <w:r w:rsidRPr="003D4A6C">
        <w:t>viewed</w:t>
      </w:r>
      <w:r>
        <w:t xml:space="preserve"> 8 February 2023</w:t>
      </w:r>
    </w:p>
  </w:footnote>
  <w:footnote w:id="3">
    <w:p w14:paraId="69FCAC3A" w14:textId="73EAAD79" w:rsidR="00D3454D" w:rsidRPr="001551ED" w:rsidRDefault="00D3454D" w:rsidP="001551ED">
      <w:pPr>
        <w:pStyle w:val="Footnote"/>
        <w:rPr>
          <w:lang w:val="en-AU"/>
        </w:rPr>
      </w:pPr>
      <w:r>
        <w:rPr>
          <w:rStyle w:val="FootnoteReference"/>
        </w:rPr>
        <w:footnoteRef/>
      </w:r>
      <w:r>
        <w:t xml:space="preserve"> </w:t>
      </w:r>
      <w:r w:rsidRPr="00BE2B24">
        <w:t>Australian Institute of Health and Welfare,</w:t>
      </w:r>
      <w:r w:rsidRPr="00BE2B24">
        <w:rPr>
          <w:spacing w:val="-2"/>
        </w:rPr>
        <w:t xml:space="preserve"> </w:t>
      </w:r>
      <w:hyperlink r:id="rId2">
        <w:r>
          <w:rPr>
            <w:color w:val="0000FF"/>
            <w:u w:val="single"/>
          </w:rPr>
          <w:t>Data Dictionary, METeOR ID: 729904</w:t>
        </w:r>
      </w:hyperlink>
      <w:r w:rsidRPr="00BE2B24">
        <w:t xml:space="preserve">, </w:t>
      </w:r>
      <w:r w:rsidRPr="003D4A6C">
        <w:t>date</w:t>
      </w:r>
      <w:r w:rsidRPr="003D4A6C">
        <w:rPr>
          <w:spacing w:val="-1"/>
        </w:rPr>
        <w:t xml:space="preserve"> </w:t>
      </w:r>
      <w:r w:rsidRPr="003D4A6C">
        <w:t>viewed</w:t>
      </w:r>
      <w:r w:rsidRPr="00BE2B24">
        <w:rPr>
          <w:spacing w:val="-3"/>
        </w:rPr>
        <w:t xml:space="preserve"> </w:t>
      </w:r>
      <w:r>
        <w:t>8 February 2023</w:t>
      </w:r>
    </w:p>
  </w:footnote>
  <w:footnote w:id="4">
    <w:p w14:paraId="337DB16A" w14:textId="35207F65" w:rsidR="00D3454D" w:rsidRPr="002A31F6" w:rsidRDefault="00D3454D" w:rsidP="002A31F6">
      <w:pPr>
        <w:pStyle w:val="Footnote"/>
        <w:rPr>
          <w:rFonts w:ascii="Times New Roman" w:hAnsi="Times New Roman"/>
          <w:lang w:val="en-AU"/>
        </w:rPr>
      </w:pPr>
      <w:r>
        <w:rPr>
          <w:rStyle w:val="FootnoteReference"/>
        </w:rPr>
        <w:footnoteRef/>
      </w:r>
      <w:r>
        <w:t xml:space="preserve"> </w:t>
      </w:r>
      <w:r w:rsidRPr="003D4A6C">
        <w:rPr>
          <w:spacing w:val="-1"/>
        </w:rPr>
        <w:t>Australian</w:t>
      </w:r>
      <w:r w:rsidRPr="003D4A6C">
        <w:rPr>
          <w:spacing w:val="1"/>
        </w:rPr>
        <w:t xml:space="preserve"> </w:t>
      </w:r>
      <w:r w:rsidRPr="003D4A6C">
        <w:rPr>
          <w:spacing w:val="-1"/>
        </w:rPr>
        <w:t>Institute</w:t>
      </w:r>
      <w:r w:rsidRPr="003D4A6C">
        <w:rPr>
          <w:spacing w:val="1"/>
        </w:rPr>
        <w:t xml:space="preserve"> </w:t>
      </w:r>
      <w:r w:rsidRPr="003D4A6C">
        <w:rPr>
          <w:spacing w:val="-1"/>
        </w:rPr>
        <w:t>of</w:t>
      </w:r>
      <w:r w:rsidRPr="003D4A6C">
        <w:rPr>
          <w:spacing w:val="1"/>
        </w:rPr>
        <w:t xml:space="preserve"> </w:t>
      </w:r>
      <w:r w:rsidRPr="003D4A6C">
        <w:rPr>
          <w:spacing w:val="-1"/>
        </w:rPr>
        <w:t>Health</w:t>
      </w:r>
      <w:r w:rsidRPr="003D4A6C">
        <w:t xml:space="preserve"> </w:t>
      </w:r>
      <w:r w:rsidRPr="003D4A6C">
        <w:rPr>
          <w:spacing w:val="-1"/>
        </w:rPr>
        <w:t>and</w:t>
      </w:r>
      <w:r w:rsidRPr="003D4A6C">
        <w:rPr>
          <w:spacing w:val="-3"/>
        </w:rPr>
        <w:t xml:space="preserve"> </w:t>
      </w:r>
      <w:r w:rsidRPr="003B188F">
        <w:rPr>
          <w:spacing w:val="-1"/>
          <w:szCs w:val="16"/>
        </w:rPr>
        <w:t>Welfare,</w:t>
      </w:r>
      <w:r w:rsidRPr="003B188F">
        <w:rPr>
          <w:szCs w:val="16"/>
        </w:rPr>
        <w:t xml:space="preserve"> </w:t>
      </w:r>
      <w:hyperlink r:id="rId3" w:history="1">
        <w:r w:rsidR="00502F2E" w:rsidRPr="003B188F">
          <w:rPr>
            <w:rStyle w:val="Hyperlink"/>
            <w:color w:val="0000FF"/>
            <w:szCs w:val="16"/>
            <w:u w:color="0000FF"/>
          </w:rPr>
          <w:t>Data Dictionary, METeOR ID: 327254</w:t>
        </w:r>
      </w:hyperlink>
      <w:r w:rsidRPr="003B188F">
        <w:rPr>
          <w:color w:val="0000FF"/>
          <w:szCs w:val="16"/>
        </w:rPr>
        <w:t>,</w:t>
      </w:r>
      <w:r w:rsidRPr="003B188F">
        <w:rPr>
          <w:color w:val="0000FF"/>
          <w:spacing w:val="2"/>
          <w:szCs w:val="16"/>
        </w:rPr>
        <w:t xml:space="preserve"> </w:t>
      </w:r>
      <w:r w:rsidRPr="003B188F">
        <w:rPr>
          <w:szCs w:val="16"/>
        </w:rPr>
        <w:t>date</w:t>
      </w:r>
      <w:r w:rsidRPr="003D4A6C">
        <w:rPr>
          <w:spacing w:val="-1"/>
        </w:rPr>
        <w:t xml:space="preserve"> </w:t>
      </w:r>
      <w:r w:rsidRPr="003D4A6C">
        <w:t>viewed</w:t>
      </w:r>
      <w:r w:rsidRPr="003D4A6C">
        <w:rPr>
          <w:spacing w:val="-1"/>
        </w:rPr>
        <w:t xml:space="preserve"> </w:t>
      </w:r>
      <w:r>
        <w:t>8 February 2023</w:t>
      </w:r>
    </w:p>
  </w:footnote>
  <w:footnote w:id="5">
    <w:p w14:paraId="7168E53D" w14:textId="46857365" w:rsidR="001F188B" w:rsidRPr="005629F8" w:rsidRDefault="001F188B">
      <w:pPr>
        <w:pStyle w:val="FootnoteText"/>
        <w:rPr>
          <w:lang w:val="en-US"/>
        </w:rPr>
      </w:pPr>
      <w:r w:rsidRPr="005629F8">
        <w:rPr>
          <w:rStyle w:val="FootnoteReference"/>
          <w:sz w:val="16"/>
          <w:szCs w:val="16"/>
        </w:rPr>
        <w:footnoteRef/>
      </w:r>
      <w:r>
        <w:t xml:space="preserve"> </w:t>
      </w:r>
      <w:r w:rsidRPr="005629F8">
        <w:rPr>
          <w:sz w:val="16"/>
          <w:szCs w:val="16"/>
        </w:rPr>
        <w:t>These are separations with care type 7.0 (newborn care), with zero qualified days in the neonate AR-DRGs (Major Diagnostic Category 15 newborns and other neonates)</w:t>
      </w:r>
    </w:p>
  </w:footnote>
  <w:footnote w:id="6">
    <w:p w14:paraId="1F48F519" w14:textId="227718ED" w:rsidR="00F005E1" w:rsidRDefault="00F005E1" w:rsidP="00D55E31">
      <w:pPr>
        <w:pStyle w:val="Footnote"/>
        <w:rPr>
          <w:rFonts w:ascii="Times New Roman" w:hAnsi="Times New Roman"/>
          <w:lang w:val="en-AU"/>
        </w:rPr>
      </w:pPr>
    </w:p>
    <w:p w14:paraId="1FA7D53E" w14:textId="1AB13BB9" w:rsidR="00023F91" w:rsidRPr="003B188F" w:rsidRDefault="00023F91">
      <w:pPr>
        <w:pStyle w:val="FootnoteText"/>
        <w:rPr>
          <w:sz w:val="16"/>
          <w:szCs w:val="16"/>
          <w:lang w:val="en-US"/>
        </w:rPr>
      </w:pPr>
      <w:r w:rsidRPr="005629F8">
        <w:rPr>
          <w:rStyle w:val="FootnoteReference"/>
          <w:sz w:val="16"/>
          <w:szCs w:val="16"/>
        </w:rPr>
        <w:footnoteRef/>
      </w:r>
      <w:r w:rsidRPr="005629F8">
        <w:rPr>
          <w:sz w:val="16"/>
          <w:szCs w:val="16"/>
        </w:rPr>
        <w:t xml:space="preserve"> </w:t>
      </w:r>
      <w:r w:rsidRPr="005629F8">
        <w:rPr>
          <w:spacing w:val="-1"/>
          <w:sz w:val="16"/>
          <w:szCs w:val="16"/>
        </w:rPr>
        <w:t>Australian</w:t>
      </w:r>
      <w:r w:rsidRPr="005629F8">
        <w:rPr>
          <w:spacing w:val="1"/>
          <w:sz w:val="16"/>
          <w:szCs w:val="16"/>
        </w:rPr>
        <w:t xml:space="preserve"> </w:t>
      </w:r>
      <w:r w:rsidRPr="005629F8">
        <w:rPr>
          <w:spacing w:val="-1"/>
          <w:sz w:val="16"/>
          <w:szCs w:val="16"/>
        </w:rPr>
        <w:t>Institute</w:t>
      </w:r>
      <w:r w:rsidRPr="005629F8">
        <w:rPr>
          <w:spacing w:val="1"/>
          <w:sz w:val="16"/>
          <w:szCs w:val="16"/>
        </w:rPr>
        <w:t xml:space="preserve"> </w:t>
      </w:r>
      <w:r w:rsidRPr="005629F8">
        <w:rPr>
          <w:spacing w:val="-1"/>
          <w:sz w:val="16"/>
          <w:szCs w:val="16"/>
        </w:rPr>
        <w:t>of</w:t>
      </w:r>
      <w:r w:rsidRPr="005629F8">
        <w:rPr>
          <w:spacing w:val="1"/>
          <w:sz w:val="16"/>
          <w:szCs w:val="16"/>
        </w:rPr>
        <w:t xml:space="preserve"> </w:t>
      </w:r>
      <w:r w:rsidRPr="005629F8">
        <w:rPr>
          <w:spacing w:val="-1"/>
          <w:sz w:val="16"/>
          <w:szCs w:val="16"/>
        </w:rPr>
        <w:t>Health</w:t>
      </w:r>
      <w:r w:rsidRPr="005629F8">
        <w:rPr>
          <w:sz w:val="16"/>
          <w:szCs w:val="16"/>
        </w:rPr>
        <w:t xml:space="preserve"> </w:t>
      </w:r>
      <w:r w:rsidRPr="003B188F">
        <w:rPr>
          <w:spacing w:val="-1"/>
          <w:sz w:val="16"/>
          <w:szCs w:val="16"/>
        </w:rPr>
        <w:t>and</w:t>
      </w:r>
      <w:r w:rsidRPr="003B188F">
        <w:rPr>
          <w:spacing w:val="-3"/>
          <w:sz w:val="16"/>
          <w:szCs w:val="16"/>
        </w:rPr>
        <w:t xml:space="preserve"> </w:t>
      </w:r>
      <w:r w:rsidRPr="003B188F">
        <w:rPr>
          <w:spacing w:val="-1"/>
          <w:sz w:val="16"/>
          <w:szCs w:val="16"/>
        </w:rPr>
        <w:t>Welfare,</w:t>
      </w:r>
      <w:r w:rsidRPr="003B188F">
        <w:rPr>
          <w:sz w:val="16"/>
          <w:szCs w:val="16"/>
        </w:rPr>
        <w:t xml:space="preserve"> </w:t>
      </w:r>
      <w:hyperlink r:id="rId4" w:history="1">
        <w:r w:rsidR="003B188F" w:rsidRPr="003B188F">
          <w:rPr>
            <w:rStyle w:val="Hyperlink"/>
            <w:color w:val="0000FF"/>
            <w:sz w:val="16"/>
            <w:szCs w:val="16"/>
            <w:u w:color="0000FF"/>
          </w:rPr>
          <w:t>Data Dictionary, METeOR ID: 711010</w:t>
        </w:r>
      </w:hyperlink>
      <w:r w:rsidRPr="003B188F">
        <w:rPr>
          <w:color w:val="0000FF"/>
          <w:sz w:val="16"/>
          <w:szCs w:val="16"/>
        </w:rPr>
        <w:t>,</w:t>
      </w:r>
      <w:r w:rsidRPr="003B188F">
        <w:rPr>
          <w:color w:val="0000FF"/>
          <w:spacing w:val="2"/>
          <w:sz w:val="16"/>
          <w:szCs w:val="16"/>
        </w:rPr>
        <w:t xml:space="preserve"> </w:t>
      </w:r>
      <w:r w:rsidRPr="003B188F">
        <w:rPr>
          <w:sz w:val="16"/>
          <w:szCs w:val="16"/>
        </w:rPr>
        <w:t>date</w:t>
      </w:r>
      <w:r w:rsidRPr="003B188F">
        <w:rPr>
          <w:spacing w:val="-1"/>
          <w:sz w:val="16"/>
          <w:szCs w:val="16"/>
        </w:rPr>
        <w:t xml:space="preserve"> </w:t>
      </w:r>
      <w:r w:rsidRPr="003B188F">
        <w:rPr>
          <w:sz w:val="16"/>
          <w:szCs w:val="16"/>
        </w:rPr>
        <w:t>viewed</w:t>
      </w:r>
      <w:r w:rsidRPr="003B188F">
        <w:rPr>
          <w:spacing w:val="-1"/>
          <w:sz w:val="16"/>
          <w:szCs w:val="16"/>
        </w:rPr>
        <w:t xml:space="preserve"> </w:t>
      </w:r>
      <w:r w:rsidRPr="003B188F">
        <w:rPr>
          <w:sz w:val="16"/>
          <w:szCs w:val="16"/>
        </w:rPr>
        <w:t>8 February 2023</w:t>
      </w:r>
    </w:p>
  </w:footnote>
  <w:footnote w:id="7">
    <w:p w14:paraId="201BC778" w14:textId="00FE6D19" w:rsidR="00D3454D" w:rsidRPr="003B188F" w:rsidRDefault="00D3454D" w:rsidP="00D61BE1">
      <w:pPr>
        <w:pStyle w:val="Footnote"/>
        <w:rPr>
          <w:rFonts w:ascii="Times New Roman" w:hAnsi="Times New Roman"/>
          <w:szCs w:val="16"/>
          <w:lang w:val="en-AU"/>
        </w:rPr>
      </w:pPr>
      <w:r w:rsidRPr="003B188F">
        <w:rPr>
          <w:rStyle w:val="FootnoteReference"/>
          <w:szCs w:val="16"/>
        </w:rPr>
        <w:footnoteRef/>
      </w:r>
      <w:r w:rsidRPr="003B188F">
        <w:rPr>
          <w:szCs w:val="16"/>
        </w:rPr>
        <w:t xml:space="preserve"> </w:t>
      </w:r>
      <w:r w:rsidRPr="003B188F">
        <w:rPr>
          <w:spacing w:val="-1"/>
          <w:szCs w:val="16"/>
        </w:rPr>
        <w:t>Australian</w:t>
      </w:r>
      <w:r w:rsidRPr="003B188F">
        <w:rPr>
          <w:spacing w:val="1"/>
          <w:szCs w:val="16"/>
        </w:rPr>
        <w:t xml:space="preserve"> </w:t>
      </w:r>
      <w:r w:rsidRPr="003B188F">
        <w:rPr>
          <w:spacing w:val="-1"/>
          <w:szCs w:val="16"/>
        </w:rPr>
        <w:t>Institute</w:t>
      </w:r>
      <w:r w:rsidRPr="003B188F">
        <w:rPr>
          <w:spacing w:val="1"/>
          <w:szCs w:val="16"/>
        </w:rPr>
        <w:t xml:space="preserve"> </w:t>
      </w:r>
      <w:r w:rsidRPr="003B188F">
        <w:rPr>
          <w:spacing w:val="-1"/>
          <w:szCs w:val="16"/>
        </w:rPr>
        <w:t>of</w:t>
      </w:r>
      <w:r w:rsidRPr="003B188F">
        <w:rPr>
          <w:spacing w:val="1"/>
          <w:szCs w:val="16"/>
        </w:rPr>
        <w:t xml:space="preserve"> </w:t>
      </w:r>
      <w:r w:rsidRPr="003B188F">
        <w:rPr>
          <w:spacing w:val="-1"/>
          <w:szCs w:val="16"/>
        </w:rPr>
        <w:t>Health</w:t>
      </w:r>
      <w:r w:rsidRPr="003B188F">
        <w:rPr>
          <w:szCs w:val="16"/>
        </w:rPr>
        <w:t xml:space="preserve"> </w:t>
      </w:r>
      <w:r w:rsidRPr="003B188F">
        <w:rPr>
          <w:spacing w:val="-1"/>
          <w:szCs w:val="16"/>
        </w:rPr>
        <w:t>and</w:t>
      </w:r>
      <w:r w:rsidRPr="003B188F">
        <w:rPr>
          <w:spacing w:val="-3"/>
          <w:szCs w:val="16"/>
        </w:rPr>
        <w:t xml:space="preserve"> </w:t>
      </w:r>
      <w:r w:rsidRPr="003B188F">
        <w:rPr>
          <w:spacing w:val="-1"/>
          <w:szCs w:val="16"/>
        </w:rPr>
        <w:t>Welfare,</w:t>
      </w:r>
      <w:r w:rsidRPr="003B188F">
        <w:rPr>
          <w:szCs w:val="16"/>
        </w:rPr>
        <w:t xml:space="preserve"> </w:t>
      </w:r>
      <w:hyperlink r:id="rId5" w:history="1">
        <w:r w:rsidRPr="003B188F">
          <w:rPr>
            <w:rStyle w:val="Hyperlink"/>
            <w:color w:val="0000FF"/>
            <w:szCs w:val="16"/>
            <w:u w:color="0000FF"/>
          </w:rPr>
          <w:t>Data Dictionary, METeOR ID: 711010</w:t>
        </w:r>
      </w:hyperlink>
      <w:r w:rsidRPr="003B188F">
        <w:rPr>
          <w:szCs w:val="16"/>
        </w:rPr>
        <w:t>,</w:t>
      </w:r>
      <w:r w:rsidRPr="003B188F">
        <w:rPr>
          <w:spacing w:val="2"/>
          <w:szCs w:val="16"/>
        </w:rPr>
        <w:t xml:space="preserve"> </w:t>
      </w:r>
      <w:r w:rsidRPr="003B188F">
        <w:rPr>
          <w:szCs w:val="16"/>
        </w:rPr>
        <w:t>date</w:t>
      </w:r>
      <w:r w:rsidRPr="003B188F">
        <w:rPr>
          <w:spacing w:val="-1"/>
          <w:szCs w:val="16"/>
        </w:rPr>
        <w:t xml:space="preserve"> </w:t>
      </w:r>
      <w:r w:rsidRPr="003B188F">
        <w:rPr>
          <w:szCs w:val="16"/>
        </w:rPr>
        <w:t>viewed</w:t>
      </w:r>
      <w:r w:rsidRPr="003B188F">
        <w:rPr>
          <w:spacing w:val="-1"/>
          <w:szCs w:val="16"/>
        </w:rPr>
        <w:t xml:space="preserve"> </w:t>
      </w:r>
      <w:r w:rsidRPr="003B188F">
        <w:rPr>
          <w:szCs w:val="16"/>
        </w:rPr>
        <w:t>8 February 2023</w:t>
      </w:r>
    </w:p>
  </w:footnote>
  <w:footnote w:id="8">
    <w:p w14:paraId="2D53F9F4" w14:textId="482A9A9E" w:rsidR="00D3454D" w:rsidRPr="003B188F" w:rsidRDefault="00D3454D" w:rsidP="00D61BE1">
      <w:pPr>
        <w:pStyle w:val="Footnote"/>
        <w:rPr>
          <w:rFonts w:ascii="Times New Roman" w:hAnsi="Times New Roman"/>
          <w:szCs w:val="16"/>
          <w:lang w:val="en-AU"/>
        </w:rPr>
      </w:pPr>
      <w:r w:rsidRPr="003B188F">
        <w:rPr>
          <w:rStyle w:val="FootnoteReference"/>
          <w:szCs w:val="16"/>
        </w:rPr>
        <w:footnoteRef/>
      </w:r>
      <w:r w:rsidRPr="003B188F">
        <w:rPr>
          <w:szCs w:val="16"/>
        </w:rPr>
        <w:t xml:space="preserve"> </w:t>
      </w:r>
      <w:bookmarkStart w:id="55" w:name="_Hlk112060255"/>
      <w:r w:rsidRPr="003B188F">
        <w:rPr>
          <w:szCs w:val="16"/>
        </w:rPr>
        <w:t>Australian</w:t>
      </w:r>
      <w:r w:rsidRPr="003B188F">
        <w:rPr>
          <w:spacing w:val="-1"/>
          <w:szCs w:val="16"/>
        </w:rPr>
        <w:t xml:space="preserve"> </w:t>
      </w:r>
      <w:r w:rsidRPr="003B188F">
        <w:rPr>
          <w:szCs w:val="16"/>
        </w:rPr>
        <w:t>Institute</w:t>
      </w:r>
      <w:r w:rsidRPr="003B188F">
        <w:rPr>
          <w:spacing w:val="-1"/>
          <w:szCs w:val="16"/>
        </w:rPr>
        <w:t xml:space="preserve"> </w:t>
      </w:r>
      <w:r w:rsidRPr="003B188F">
        <w:rPr>
          <w:szCs w:val="16"/>
        </w:rPr>
        <w:t>of Health</w:t>
      </w:r>
      <w:r w:rsidRPr="003B188F">
        <w:rPr>
          <w:spacing w:val="-2"/>
          <w:szCs w:val="16"/>
        </w:rPr>
        <w:t xml:space="preserve"> </w:t>
      </w:r>
      <w:r w:rsidRPr="003B188F">
        <w:rPr>
          <w:szCs w:val="16"/>
        </w:rPr>
        <w:t>and</w:t>
      </w:r>
      <w:r w:rsidRPr="003B188F">
        <w:rPr>
          <w:spacing w:val="-6"/>
          <w:szCs w:val="16"/>
        </w:rPr>
        <w:t xml:space="preserve"> </w:t>
      </w:r>
      <w:r w:rsidRPr="003B188F">
        <w:rPr>
          <w:szCs w:val="16"/>
        </w:rPr>
        <w:t>Welfare,</w:t>
      </w:r>
      <w:r w:rsidRPr="003B188F">
        <w:rPr>
          <w:spacing w:val="-2"/>
          <w:szCs w:val="16"/>
        </w:rPr>
        <w:t xml:space="preserve"> </w:t>
      </w:r>
      <w:hyperlink r:id="rId6" w:history="1">
        <w:r w:rsidR="00416893" w:rsidRPr="003B188F">
          <w:rPr>
            <w:rStyle w:val="Hyperlink"/>
            <w:color w:val="0000FF"/>
            <w:szCs w:val="16"/>
            <w:u w:color="0000FF"/>
          </w:rPr>
          <w:t>Data Dictionary, METeOR ID: 711010</w:t>
        </w:r>
      </w:hyperlink>
      <w:r w:rsidRPr="003B188F">
        <w:rPr>
          <w:color w:val="0000FF"/>
          <w:szCs w:val="16"/>
        </w:rPr>
        <w:t>,</w:t>
      </w:r>
      <w:r w:rsidRPr="003B188F">
        <w:rPr>
          <w:color w:val="0000FF"/>
          <w:spacing w:val="-2"/>
          <w:szCs w:val="16"/>
        </w:rPr>
        <w:t xml:space="preserve"> </w:t>
      </w:r>
      <w:r w:rsidRPr="003B188F">
        <w:rPr>
          <w:szCs w:val="16"/>
        </w:rPr>
        <w:t>date</w:t>
      </w:r>
      <w:r w:rsidRPr="003B188F">
        <w:rPr>
          <w:spacing w:val="-1"/>
          <w:szCs w:val="16"/>
        </w:rPr>
        <w:t xml:space="preserve"> </w:t>
      </w:r>
      <w:r w:rsidRPr="003B188F">
        <w:rPr>
          <w:szCs w:val="16"/>
        </w:rPr>
        <w:t>viewed</w:t>
      </w:r>
      <w:r w:rsidRPr="003B188F">
        <w:rPr>
          <w:spacing w:val="-2"/>
          <w:szCs w:val="16"/>
        </w:rPr>
        <w:t xml:space="preserve"> </w:t>
      </w:r>
      <w:r w:rsidRPr="003B188F">
        <w:rPr>
          <w:szCs w:val="16"/>
        </w:rPr>
        <w:t>8 February 2023</w:t>
      </w:r>
      <w:bookmarkEnd w:id="55"/>
    </w:p>
  </w:footnote>
  <w:footnote w:id="9">
    <w:p w14:paraId="36AAF1B3" w14:textId="257A7A4A" w:rsidR="00D3454D" w:rsidRPr="003B188F" w:rsidRDefault="00D3454D" w:rsidP="00D61BE1">
      <w:pPr>
        <w:pStyle w:val="Footnote"/>
        <w:rPr>
          <w:rFonts w:ascii="Times New Roman" w:hAnsi="Times New Roman"/>
          <w:szCs w:val="16"/>
          <w:lang w:val="en-AU"/>
        </w:rPr>
      </w:pPr>
      <w:r w:rsidRPr="003B188F">
        <w:rPr>
          <w:rStyle w:val="FootnoteReference"/>
          <w:szCs w:val="16"/>
        </w:rPr>
        <w:footnoteRef/>
      </w:r>
      <w:r w:rsidRPr="003B188F">
        <w:rPr>
          <w:szCs w:val="16"/>
        </w:rPr>
        <w:t xml:space="preserve"> Australian Institute</w:t>
      </w:r>
      <w:r w:rsidRPr="003B188F">
        <w:rPr>
          <w:spacing w:val="-1"/>
          <w:szCs w:val="16"/>
        </w:rPr>
        <w:t xml:space="preserve"> </w:t>
      </w:r>
      <w:r w:rsidRPr="003B188F">
        <w:rPr>
          <w:szCs w:val="16"/>
        </w:rPr>
        <w:t>of</w:t>
      </w:r>
      <w:r w:rsidRPr="003B188F">
        <w:rPr>
          <w:spacing w:val="-1"/>
          <w:szCs w:val="16"/>
        </w:rPr>
        <w:t xml:space="preserve"> </w:t>
      </w:r>
      <w:r w:rsidRPr="003B188F">
        <w:rPr>
          <w:szCs w:val="16"/>
        </w:rPr>
        <w:t>Health</w:t>
      </w:r>
      <w:r w:rsidRPr="003B188F">
        <w:rPr>
          <w:spacing w:val="-2"/>
          <w:szCs w:val="16"/>
        </w:rPr>
        <w:t xml:space="preserve"> </w:t>
      </w:r>
      <w:r w:rsidRPr="003B188F">
        <w:rPr>
          <w:szCs w:val="16"/>
        </w:rPr>
        <w:t>and</w:t>
      </w:r>
      <w:r w:rsidRPr="003B188F">
        <w:rPr>
          <w:spacing w:val="-6"/>
          <w:szCs w:val="16"/>
        </w:rPr>
        <w:t xml:space="preserve"> </w:t>
      </w:r>
      <w:r w:rsidRPr="003B188F">
        <w:rPr>
          <w:szCs w:val="16"/>
        </w:rPr>
        <w:t>Welfare</w:t>
      </w:r>
      <w:r w:rsidRPr="003B188F">
        <w:rPr>
          <w:spacing w:val="-1"/>
          <w:szCs w:val="16"/>
        </w:rPr>
        <w:t>,</w:t>
      </w:r>
      <w:r w:rsidRPr="003B188F">
        <w:rPr>
          <w:szCs w:val="16"/>
        </w:rPr>
        <w:t xml:space="preserve"> </w:t>
      </w:r>
      <w:hyperlink r:id="rId7" w:history="1">
        <w:r w:rsidRPr="003B188F">
          <w:rPr>
            <w:rStyle w:val="Hyperlink"/>
            <w:color w:val="0000FF"/>
            <w:szCs w:val="16"/>
            <w:u w:color="0000FF"/>
          </w:rPr>
          <w:t>Data Dictionary, METeOR ID: 711010</w:t>
        </w:r>
      </w:hyperlink>
      <w:r w:rsidRPr="003B188F">
        <w:rPr>
          <w:szCs w:val="16"/>
        </w:rPr>
        <w:t>,</w:t>
      </w:r>
      <w:r w:rsidRPr="003B188F">
        <w:rPr>
          <w:spacing w:val="-3"/>
          <w:szCs w:val="16"/>
        </w:rPr>
        <w:t xml:space="preserve"> </w:t>
      </w:r>
      <w:r w:rsidRPr="003B188F">
        <w:rPr>
          <w:szCs w:val="16"/>
        </w:rPr>
        <w:t>date</w:t>
      </w:r>
      <w:r w:rsidRPr="003B188F">
        <w:rPr>
          <w:spacing w:val="-1"/>
          <w:szCs w:val="16"/>
        </w:rPr>
        <w:t xml:space="preserve"> </w:t>
      </w:r>
      <w:r w:rsidRPr="003B188F">
        <w:rPr>
          <w:szCs w:val="16"/>
        </w:rPr>
        <w:t>viewed</w:t>
      </w:r>
      <w:r w:rsidRPr="003B188F">
        <w:rPr>
          <w:spacing w:val="-1"/>
          <w:szCs w:val="16"/>
        </w:rPr>
        <w:t xml:space="preserve"> </w:t>
      </w:r>
      <w:r w:rsidRPr="003B188F">
        <w:rPr>
          <w:szCs w:val="16"/>
        </w:rPr>
        <w:t>8 February 2023</w:t>
      </w:r>
    </w:p>
  </w:footnote>
  <w:footnote w:id="10">
    <w:p w14:paraId="7B0652E3" w14:textId="66B22905" w:rsidR="00D3454D" w:rsidRPr="00D61BE1" w:rsidRDefault="00D3454D" w:rsidP="00D61BE1">
      <w:pPr>
        <w:pStyle w:val="Footnote"/>
        <w:rPr>
          <w:rFonts w:ascii="Times New Roman" w:hAnsi="Times New Roman"/>
          <w:lang w:val="en-AU"/>
        </w:rPr>
      </w:pPr>
      <w:r w:rsidRPr="003B188F">
        <w:rPr>
          <w:rStyle w:val="FootnoteReference"/>
          <w:szCs w:val="16"/>
        </w:rPr>
        <w:footnoteRef/>
      </w:r>
      <w:r w:rsidRPr="003B188F">
        <w:rPr>
          <w:szCs w:val="16"/>
        </w:rPr>
        <w:t xml:space="preserve"> Independent</w:t>
      </w:r>
      <w:r w:rsidRPr="003B188F">
        <w:rPr>
          <w:spacing w:val="-3"/>
          <w:szCs w:val="16"/>
        </w:rPr>
        <w:t xml:space="preserve"> </w:t>
      </w:r>
      <w:r w:rsidRPr="003B188F">
        <w:rPr>
          <w:szCs w:val="16"/>
        </w:rPr>
        <w:t>Health and Aged Care Pricing</w:t>
      </w:r>
      <w:r w:rsidRPr="003B188F">
        <w:rPr>
          <w:spacing w:val="-3"/>
          <w:szCs w:val="16"/>
        </w:rPr>
        <w:t xml:space="preserve"> </w:t>
      </w:r>
      <w:r w:rsidRPr="003B188F">
        <w:rPr>
          <w:szCs w:val="16"/>
        </w:rPr>
        <w:t>Authority,</w:t>
      </w:r>
      <w:r w:rsidRPr="003B188F">
        <w:rPr>
          <w:spacing w:val="-2"/>
          <w:szCs w:val="16"/>
        </w:rPr>
        <w:t xml:space="preserve"> </w:t>
      </w:r>
      <w:hyperlink r:id="rId8">
        <w:r w:rsidRPr="003B188F">
          <w:rPr>
            <w:color w:val="0000FF"/>
            <w:szCs w:val="16"/>
            <w:u w:val="single" w:color="0000FF"/>
          </w:rPr>
          <w:t>Australian</w:t>
        </w:r>
        <w:r w:rsidRPr="003B188F">
          <w:rPr>
            <w:color w:val="0000FF"/>
            <w:spacing w:val="-2"/>
            <w:szCs w:val="16"/>
            <w:u w:val="single" w:color="0000FF"/>
          </w:rPr>
          <w:t xml:space="preserve"> </w:t>
        </w:r>
        <w:r w:rsidRPr="003B188F">
          <w:rPr>
            <w:color w:val="0000FF"/>
            <w:szCs w:val="16"/>
            <w:u w:val="single" w:color="0000FF"/>
          </w:rPr>
          <w:t>Hospital</w:t>
        </w:r>
        <w:r w:rsidRPr="003B188F">
          <w:rPr>
            <w:color w:val="0000FF"/>
            <w:spacing w:val="-3"/>
            <w:szCs w:val="16"/>
            <w:u w:val="single" w:color="0000FF"/>
          </w:rPr>
          <w:t xml:space="preserve"> </w:t>
        </w:r>
        <w:r w:rsidRPr="003B188F">
          <w:rPr>
            <w:color w:val="0000FF"/>
            <w:szCs w:val="16"/>
            <w:u w:val="single" w:color="0000FF"/>
          </w:rPr>
          <w:t>Patient</w:t>
        </w:r>
        <w:r w:rsidRPr="003B188F">
          <w:rPr>
            <w:color w:val="0000FF"/>
            <w:spacing w:val="-2"/>
            <w:szCs w:val="16"/>
            <w:u w:val="single" w:color="0000FF"/>
          </w:rPr>
          <w:t xml:space="preserve"> </w:t>
        </w:r>
        <w:r w:rsidRPr="003B188F">
          <w:rPr>
            <w:color w:val="0000FF"/>
            <w:szCs w:val="16"/>
            <w:u w:val="single" w:color="0000FF"/>
          </w:rPr>
          <w:t>Costing</w:t>
        </w:r>
        <w:r w:rsidRPr="003B188F">
          <w:rPr>
            <w:color w:val="0000FF"/>
            <w:spacing w:val="-3"/>
            <w:szCs w:val="16"/>
            <w:u w:val="single" w:color="0000FF"/>
          </w:rPr>
          <w:t xml:space="preserve"> </w:t>
        </w:r>
        <w:r w:rsidRPr="003B188F">
          <w:rPr>
            <w:color w:val="0000FF"/>
            <w:szCs w:val="16"/>
            <w:u w:val="single" w:color="0000FF"/>
          </w:rPr>
          <w:t>Standards</w:t>
        </w:r>
        <w:r w:rsidRPr="003B188F">
          <w:rPr>
            <w:color w:val="0000FF"/>
            <w:spacing w:val="-2"/>
            <w:szCs w:val="16"/>
            <w:u w:val="single" w:color="0000FF"/>
          </w:rPr>
          <w:t xml:space="preserve"> </w:t>
        </w:r>
        <w:r w:rsidRPr="003B188F">
          <w:rPr>
            <w:color w:val="0000FF"/>
            <w:szCs w:val="16"/>
            <w:u w:val="single" w:color="0000FF"/>
          </w:rPr>
          <w:t>Version</w:t>
        </w:r>
        <w:r w:rsidRPr="003B188F">
          <w:rPr>
            <w:color w:val="0000FF"/>
            <w:spacing w:val="-3"/>
            <w:szCs w:val="16"/>
            <w:u w:val="single" w:color="0000FF"/>
          </w:rPr>
          <w:t xml:space="preserve"> </w:t>
        </w:r>
        <w:r w:rsidRPr="003B188F">
          <w:rPr>
            <w:color w:val="0000FF"/>
            <w:szCs w:val="16"/>
            <w:u w:val="single" w:color="0000FF"/>
          </w:rPr>
          <w:t>4.</w:t>
        </w:r>
        <w:r w:rsidR="009E6836" w:rsidRPr="003B188F">
          <w:rPr>
            <w:color w:val="0000FF"/>
            <w:szCs w:val="16"/>
            <w:u w:val="single" w:color="0000FF"/>
          </w:rPr>
          <w:t>1</w:t>
        </w:r>
        <w:r w:rsidRPr="003B188F">
          <w:rPr>
            <w:szCs w:val="16"/>
          </w:rPr>
          <w:t>,</w:t>
        </w:r>
        <w:r w:rsidRPr="003B188F">
          <w:rPr>
            <w:spacing w:val="-1"/>
            <w:szCs w:val="16"/>
          </w:rPr>
          <w:t xml:space="preserve"> </w:t>
        </w:r>
      </w:hyperlink>
      <w:r w:rsidRPr="003B188F">
        <w:rPr>
          <w:szCs w:val="16"/>
        </w:rPr>
        <w:t>viewed</w:t>
      </w:r>
      <w:r w:rsidRPr="002F3010">
        <w:rPr>
          <w:spacing w:val="-1"/>
        </w:rPr>
        <w:t xml:space="preserve"> </w:t>
      </w:r>
      <w:r w:rsidRPr="002F3010">
        <w:t>8 February 2023</w:t>
      </w:r>
    </w:p>
  </w:footnote>
  <w:footnote w:id="11">
    <w:p w14:paraId="7F4E6883" w14:textId="5BDC913C" w:rsidR="00D3454D" w:rsidRPr="00D61BE1" w:rsidRDefault="00D3454D" w:rsidP="00D61BE1">
      <w:pPr>
        <w:pStyle w:val="Footnote"/>
        <w:rPr>
          <w:rFonts w:ascii="Times New Roman" w:hAnsi="Times New Roman"/>
          <w:lang w:val="en-AU"/>
        </w:rPr>
      </w:pPr>
      <w:r>
        <w:rPr>
          <w:rStyle w:val="FootnoteReference"/>
        </w:rPr>
        <w:footnoteRef/>
      </w:r>
      <w:r>
        <w:t xml:space="preserve"> </w:t>
      </w:r>
      <w:r w:rsidRPr="003D4A6C">
        <w:t>Australian Institute</w:t>
      </w:r>
      <w:r w:rsidRPr="003D4A6C">
        <w:rPr>
          <w:spacing w:val="-2"/>
        </w:rPr>
        <w:t xml:space="preserve"> </w:t>
      </w:r>
      <w:r w:rsidRPr="003D4A6C">
        <w:t>of</w:t>
      </w:r>
      <w:r w:rsidRPr="003D4A6C">
        <w:rPr>
          <w:spacing w:val="-2"/>
        </w:rPr>
        <w:t xml:space="preserve"> </w:t>
      </w:r>
      <w:r w:rsidRPr="003D4A6C">
        <w:t>Health</w:t>
      </w:r>
      <w:r w:rsidRPr="003D4A6C">
        <w:rPr>
          <w:spacing w:val="-3"/>
        </w:rPr>
        <w:t xml:space="preserve"> </w:t>
      </w:r>
      <w:r w:rsidRPr="003D4A6C">
        <w:t>and</w:t>
      </w:r>
      <w:r w:rsidRPr="003D4A6C">
        <w:rPr>
          <w:spacing w:val="-3"/>
        </w:rPr>
        <w:t xml:space="preserve"> </w:t>
      </w:r>
      <w:r w:rsidRPr="003D4A6C">
        <w:t>Welfare</w:t>
      </w:r>
      <w:r w:rsidRPr="003B188F">
        <w:rPr>
          <w:szCs w:val="16"/>
        </w:rPr>
        <w:t>,</w:t>
      </w:r>
      <w:r w:rsidRPr="003B188F">
        <w:rPr>
          <w:spacing w:val="-3"/>
          <w:szCs w:val="16"/>
        </w:rPr>
        <w:t xml:space="preserve"> </w:t>
      </w:r>
      <w:hyperlink r:id="rId9">
        <w:r w:rsidRPr="003B188F">
          <w:rPr>
            <w:color w:val="0000FF"/>
            <w:szCs w:val="16"/>
            <w:u w:val="single" w:color="0000FF"/>
          </w:rPr>
          <w:t>Data</w:t>
        </w:r>
        <w:r w:rsidRPr="003B188F">
          <w:rPr>
            <w:color w:val="0000FF"/>
            <w:spacing w:val="-3"/>
            <w:szCs w:val="16"/>
            <w:u w:val="single" w:color="0000FF"/>
          </w:rPr>
          <w:t xml:space="preserve"> </w:t>
        </w:r>
        <w:r w:rsidRPr="003B188F">
          <w:rPr>
            <w:color w:val="0000FF"/>
            <w:szCs w:val="16"/>
            <w:u w:val="single" w:color="0000FF"/>
          </w:rPr>
          <w:t>Dictionary,</w:t>
        </w:r>
        <w:r w:rsidRPr="003B188F">
          <w:rPr>
            <w:color w:val="0000FF"/>
            <w:spacing w:val="-1"/>
            <w:szCs w:val="16"/>
            <w:u w:val="single" w:color="0000FF"/>
          </w:rPr>
          <w:t xml:space="preserve"> </w:t>
        </w:r>
        <w:r w:rsidRPr="003B188F">
          <w:rPr>
            <w:color w:val="0000FF"/>
            <w:szCs w:val="16"/>
            <w:u w:val="single" w:color="0000FF"/>
          </w:rPr>
          <w:t>METeOR ID:</w:t>
        </w:r>
        <w:r w:rsidRPr="003B188F">
          <w:rPr>
            <w:color w:val="0000FF"/>
            <w:spacing w:val="-3"/>
            <w:szCs w:val="16"/>
            <w:u w:val="single" w:color="0000FF"/>
          </w:rPr>
          <w:t xml:space="preserve"> </w:t>
        </w:r>
        <w:r w:rsidRPr="003B188F">
          <w:rPr>
            <w:color w:val="0000FF"/>
            <w:szCs w:val="16"/>
            <w:u w:val="single" w:color="0000FF"/>
          </w:rPr>
          <w:t>327254</w:t>
        </w:r>
        <w:r w:rsidRPr="003B188F">
          <w:rPr>
            <w:szCs w:val="16"/>
          </w:rPr>
          <w:t>,</w:t>
        </w:r>
        <w:r w:rsidRPr="003B188F">
          <w:rPr>
            <w:spacing w:val="-2"/>
            <w:szCs w:val="16"/>
          </w:rPr>
          <w:t xml:space="preserve"> </w:t>
        </w:r>
      </w:hyperlink>
      <w:r w:rsidRPr="003B188F">
        <w:rPr>
          <w:szCs w:val="16"/>
        </w:rPr>
        <w:t>viewed</w:t>
      </w:r>
      <w:r w:rsidRPr="003B188F">
        <w:rPr>
          <w:spacing w:val="-1"/>
          <w:szCs w:val="16"/>
        </w:rPr>
        <w:t xml:space="preserve"> </w:t>
      </w:r>
      <w:r w:rsidRPr="003B188F">
        <w:rPr>
          <w:szCs w:val="16"/>
        </w:rPr>
        <w:t>8 February</w:t>
      </w:r>
      <w:r>
        <w:t xml:space="preserve"> 2023</w:t>
      </w:r>
    </w:p>
  </w:footnote>
  <w:footnote w:id="12">
    <w:p w14:paraId="22976C21" w14:textId="77777777" w:rsidR="00D3454D" w:rsidRPr="001B64CA" w:rsidRDefault="00D3454D" w:rsidP="00AA3CAC">
      <w:pPr>
        <w:pStyle w:val="Footnote"/>
        <w:rPr>
          <w:rFonts w:ascii="Times New Roman" w:hAnsi="Times New Roman"/>
          <w:lang w:val="en-AU"/>
        </w:rPr>
      </w:pPr>
      <w:r>
        <w:rPr>
          <w:rStyle w:val="FootnoteReference"/>
        </w:rPr>
        <w:footnoteRef/>
      </w:r>
      <w:r>
        <w:t xml:space="preserve"> Independent Health and Aged Care Pricing Authority</w:t>
      </w:r>
      <w:r w:rsidRPr="008F21C4">
        <w:t>,</w:t>
      </w:r>
      <w:r w:rsidRPr="008F21C4">
        <w:rPr>
          <w:spacing w:val="-1"/>
        </w:rPr>
        <w:t xml:space="preserve"> </w:t>
      </w:r>
      <w:hyperlink r:id="rId10">
        <w:r w:rsidRPr="003D4A6C">
          <w:rPr>
            <w:color w:val="0000FF"/>
            <w:spacing w:val="-2"/>
            <w:u w:val="single"/>
          </w:rPr>
          <w:t>COVID-19 Response - Costing and pricing guidelines</w:t>
        </w:r>
      </w:hyperlink>
      <w:r>
        <w:rPr>
          <w:spacing w:val="-2"/>
        </w:rPr>
        <w:t xml:space="preserve">, </w:t>
      </w:r>
      <w:r w:rsidRPr="008F21C4">
        <w:t>viewed</w:t>
      </w:r>
      <w:r w:rsidRPr="008F21C4">
        <w:rPr>
          <w:spacing w:val="-1"/>
        </w:rPr>
        <w:t xml:space="preserve"> </w:t>
      </w:r>
      <w:r>
        <w:t>8 February 2023</w:t>
      </w:r>
    </w:p>
  </w:footnote>
  <w:footnote w:id="13">
    <w:p w14:paraId="0E133F4D" w14:textId="5B049BAA" w:rsidR="00D3454D" w:rsidRPr="00E13965" w:rsidRDefault="00D3454D" w:rsidP="00E13965">
      <w:pPr>
        <w:pStyle w:val="Footnote"/>
        <w:rPr>
          <w:color w:val="auto"/>
        </w:rPr>
      </w:pPr>
      <w:r>
        <w:rPr>
          <w:rStyle w:val="FootnoteReference"/>
        </w:rPr>
        <w:footnoteRef/>
      </w:r>
      <w:r>
        <w:t xml:space="preserve"> AR-DRG</w:t>
      </w:r>
      <w:r>
        <w:rPr>
          <w:spacing w:val="-3"/>
        </w:rPr>
        <w:t xml:space="preserve"> </w:t>
      </w:r>
      <w:r>
        <w:t>flipping</w:t>
      </w:r>
      <w:r>
        <w:rPr>
          <w:spacing w:val="-1"/>
        </w:rPr>
        <w:t xml:space="preserve"> </w:t>
      </w:r>
      <w:r>
        <w:t>occurs</w:t>
      </w:r>
      <w:r>
        <w:rPr>
          <w:spacing w:val="-1"/>
        </w:rPr>
        <w:t xml:space="preserve"> </w:t>
      </w:r>
      <w:r>
        <w:t>when</w:t>
      </w:r>
      <w:r>
        <w:rPr>
          <w:spacing w:val="-2"/>
        </w:rPr>
        <w:t xml:space="preserve"> </w:t>
      </w:r>
      <w:r>
        <w:t>the</w:t>
      </w:r>
      <w:r>
        <w:rPr>
          <w:spacing w:val="-1"/>
        </w:rPr>
        <w:t xml:space="preserve"> </w:t>
      </w:r>
      <w:r>
        <w:t>cost</w:t>
      </w:r>
      <w:r>
        <w:rPr>
          <w:spacing w:val="1"/>
        </w:rPr>
        <w:t xml:space="preserve"> </w:t>
      </w:r>
      <w:r>
        <w:t>weight</w:t>
      </w:r>
      <w:r>
        <w:rPr>
          <w:spacing w:val="-1"/>
        </w:rPr>
        <w:t xml:space="preserve"> </w:t>
      </w:r>
      <w:r>
        <w:t>of</w:t>
      </w:r>
      <w:r>
        <w:rPr>
          <w:spacing w:val="-1"/>
        </w:rPr>
        <w:t xml:space="preserve"> </w:t>
      </w:r>
      <w:r>
        <w:t>a</w:t>
      </w:r>
      <w:r>
        <w:rPr>
          <w:spacing w:val="-2"/>
        </w:rPr>
        <w:t xml:space="preserve"> </w:t>
      </w:r>
      <w:r>
        <w:t>lower</w:t>
      </w:r>
      <w:r>
        <w:rPr>
          <w:spacing w:val="-2"/>
        </w:rPr>
        <w:t xml:space="preserve"> </w:t>
      </w:r>
      <w:r>
        <w:t>complexity</w:t>
      </w:r>
      <w:r>
        <w:rPr>
          <w:spacing w:val="-5"/>
        </w:rPr>
        <w:t xml:space="preserve"> AR-</w:t>
      </w:r>
      <w:r>
        <w:t>DRG</w:t>
      </w:r>
      <w:r>
        <w:rPr>
          <w:spacing w:val="-1"/>
        </w:rPr>
        <w:t xml:space="preserve"> </w:t>
      </w:r>
      <w:r>
        <w:t>within the</w:t>
      </w:r>
      <w:r>
        <w:rPr>
          <w:spacing w:val="-1"/>
        </w:rPr>
        <w:t xml:space="preserve"> </w:t>
      </w:r>
      <w:r>
        <w:t>related</w:t>
      </w:r>
      <w:r>
        <w:rPr>
          <w:spacing w:val="-1"/>
        </w:rPr>
        <w:t xml:space="preserve"> </w:t>
      </w:r>
      <w:r>
        <w:t>adjacent</w:t>
      </w:r>
      <w:r>
        <w:rPr>
          <w:spacing w:val="-1"/>
        </w:rPr>
        <w:t xml:space="preserve"> AR-</w:t>
      </w:r>
      <w:r>
        <w:t>DRG</w:t>
      </w:r>
      <w:r>
        <w:rPr>
          <w:spacing w:val="-3"/>
        </w:rPr>
        <w:t xml:space="preserve"> </w:t>
      </w:r>
      <w:r>
        <w:t>is</w:t>
      </w:r>
      <w:r>
        <w:rPr>
          <w:spacing w:val="1"/>
        </w:rPr>
        <w:t xml:space="preserve"> </w:t>
      </w:r>
      <w:r>
        <w:t>higher</w:t>
      </w:r>
      <w:r>
        <w:rPr>
          <w:spacing w:val="-3"/>
        </w:rPr>
        <w:t xml:space="preserve"> </w:t>
      </w:r>
      <w:r>
        <w:t>than</w:t>
      </w:r>
      <w:r>
        <w:rPr>
          <w:spacing w:val="-1"/>
        </w:rPr>
        <w:t xml:space="preserve"> </w:t>
      </w:r>
      <w:r>
        <w:t>the</w:t>
      </w:r>
      <w:r>
        <w:rPr>
          <w:spacing w:val="-1"/>
        </w:rPr>
        <w:t xml:space="preserve"> </w:t>
      </w:r>
      <w:r>
        <w:t>one</w:t>
      </w:r>
      <w:r>
        <w:rPr>
          <w:spacing w:val="-1"/>
        </w:rPr>
        <w:t xml:space="preserve"> </w:t>
      </w:r>
      <w:r>
        <w:t>with</w:t>
      </w:r>
      <w:r>
        <w:rPr>
          <w:spacing w:val="-2"/>
        </w:rPr>
        <w:t xml:space="preserve"> </w:t>
      </w:r>
      <w:r>
        <w:t>greater</w:t>
      </w:r>
      <w:r>
        <w:rPr>
          <w:spacing w:val="-3"/>
        </w:rPr>
        <w:t xml:space="preserve"> </w:t>
      </w:r>
      <w:r>
        <w:t>complexity.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0E66" w14:textId="45D12F3C" w:rsidR="00D3454D" w:rsidRDefault="00D3454D">
    <w:pPr>
      <w:pStyle w:val="Header"/>
    </w:pPr>
    <w:r>
      <w:rPr>
        <w:noProof/>
        <w:lang w:val="en-US"/>
      </w:rPr>
      <w:drawing>
        <wp:anchor distT="0" distB="0" distL="114300" distR="114300" simplePos="0" relativeHeight="251658241" behindDoc="1" locked="0" layoutInCell="1" allowOverlap="1" wp14:anchorId="050DE373" wp14:editId="75F73B37">
          <wp:simplePos x="0" y="0"/>
          <wp:positionH relativeFrom="margin">
            <wp:posOffset>-685800</wp:posOffset>
          </wp:positionH>
          <wp:positionV relativeFrom="paragraph">
            <wp:posOffset>-451738</wp:posOffset>
          </wp:positionV>
          <wp:extent cx="7573925" cy="10712174"/>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EEB6" w14:textId="77777777" w:rsidR="00990DC9" w:rsidRDefault="00990D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26CD" w14:textId="77777777" w:rsidR="00D3454D" w:rsidRPr="00DF244A" w:rsidRDefault="00D3454D" w:rsidP="00DF24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77777777" w:rsidR="00D3454D" w:rsidRDefault="00D3454D">
    <w:pPr>
      <w:pStyle w:val="Header"/>
    </w:pPr>
    <w:r>
      <w:rPr>
        <w:noProof/>
        <w:lang w:val="en-US"/>
      </w:rPr>
      <w:drawing>
        <wp:anchor distT="0" distB="0" distL="114300" distR="114300" simplePos="0" relativeHeight="251658240" behindDoc="1" locked="0" layoutInCell="1" allowOverlap="1" wp14:anchorId="1C3073B7" wp14:editId="4B49B012">
          <wp:simplePos x="0" y="0"/>
          <wp:positionH relativeFrom="column">
            <wp:posOffset>-684722</wp:posOffset>
          </wp:positionH>
          <wp:positionV relativeFrom="paragraph">
            <wp:posOffset>-449580</wp:posOffset>
          </wp:positionV>
          <wp:extent cx="7565082" cy="10699668"/>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A15"/>
    <w:multiLevelType w:val="hybridMultilevel"/>
    <w:tmpl w:val="FD66C630"/>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69" w:hanging="360"/>
      </w:pPr>
      <w:rPr>
        <w:rFonts w:ascii="Fira Sans regular" w:eastAsiaTheme="minorHAnsi" w:hAnsi="Fira Sans regular" w:cstheme="minorBidi" w:hint="default"/>
      </w:rPr>
    </w:lvl>
    <w:lvl w:ilvl="2" w:tplc="0EFC5EFA">
      <w:numFmt w:val="bullet"/>
      <w:lvlText w:val="•"/>
      <w:lvlJc w:val="left"/>
      <w:pPr>
        <w:ind w:left="1800" w:hanging="360"/>
      </w:pPr>
      <w:rPr>
        <w:rFonts w:hint="default"/>
        <w:lang w:val="en-AU" w:eastAsia="en-US" w:bidi="ar-SA"/>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5C3A77"/>
    <w:multiLevelType w:val="hybridMultilevel"/>
    <w:tmpl w:val="5B3A5A58"/>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0040B"/>
    <w:multiLevelType w:val="hybridMultilevel"/>
    <w:tmpl w:val="A6C2DC8A"/>
    <w:lvl w:ilvl="0" w:tplc="5B1EE68E">
      <w:start w:val="1"/>
      <w:numFmt w:val="decimal"/>
      <w:lvlText w:val="%1."/>
      <w:lvlJc w:val="left"/>
      <w:pPr>
        <w:ind w:left="545" w:hanging="426"/>
      </w:pPr>
      <w:rPr>
        <w:rFonts w:ascii="Arial" w:eastAsia="Arial" w:hAnsi="Arial" w:cs="Arial" w:hint="default"/>
        <w:spacing w:val="-1"/>
        <w:w w:val="100"/>
        <w:sz w:val="22"/>
        <w:szCs w:val="22"/>
        <w:lang w:val="en-AU" w:eastAsia="en-US" w:bidi="ar-SA"/>
      </w:rPr>
    </w:lvl>
    <w:lvl w:ilvl="1" w:tplc="8D7899F4">
      <w:numFmt w:val="bullet"/>
      <w:lvlText w:val="•"/>
      <w:lvlJc w:val="left"/>
      <w:pPr>
        <w:ind w:left="743" w:hanging="426"/>
      </w:pPr>
      <w:rPr>
        <w:lang w:val="en-AU" w:eastAsia="en-US" w:bidi="ar-SA"/>
      </w:rPr>
    </w:lvl>
    <w:lvl w:ilvl="2" w:tplc="A3F0ACA2">
      <w:numFmt w:val="bullet"/>
      <w:lvlText w:val="•"/>
      <w:lvlJc w:val="left"/>
      <w:pPr>
        <w:ind w:left="947" w:hanging="426"/>
      </w:pPr>
      <w:rPr>
        <w:lang w:val="en-AU" w:eastAsia="en-US" w:bidi="ar-SA"/>
      </w:rPr>
    </w:lvl>
    <w:lvl w:ilvl="3" w:tplc="5410740A">
      <w:numFmt w:val="bullet"/>
      <w:lvlText w:val="•"/>
      <w:lvlJc w:val="left"/>
      <w:pPr>
        <w:ind w:left="1151" w:hanging="426"/>
      </w:pPr>
      <w:rPr>
        <w:lang w:val="en-AU" w:eastAsia="en-US" w:bidi="ar-SA"/>
      </w:rPr>
    </w:lvl>
    <w:lvl w:ilvl="4" w:tplc="295E4890">
      <w:numFmt w:val="bullet"/>
      <w:lvlText w:val="•"/>
      <w:lvlJc w:val="left"/>
      <w:pPr>
        <w:ind w:left="1355" w:hanging="426"/>
      </w:pPr>
      <w:rPr>
        <w:lang w:val="en-AU" w:eastAsia="en-US" w:bidi="ar-SA"/>
      </w:rPr>
    </w:lvl>
    <w:lvl w:ilvl="5" w:tplc="23C0F694">
      <w:numFmt w:val="bullet"/>
      <w:lvlText w:val="•"/>
      <w:lvlJc w:val="left"/>
      <w:pPr>
        <w:ind w:left="1559" w:hanging="426"/>
      </w:pPr>
      <w:rPr>
        <w:lang w:val="en-AU" w:eastAsia="en-US" w:bidi="ar-SA"/>
      </w:rPr>
    </w:lvl>
    <w:lvl w:ilvl="6" w:tplc="4C4083EE">
      <w:numFmt w:val="bullet"/>
      <w:lvlText w:val="•"/>
      <w:lvlJc w:val="left"/>
      <w:pPr>
        <w:ind w:left="1763" w:hanging="426"/>
      </w:pPr>
      <w:rPr>
        <w:lang w:val="en-AU" w:eastAsia="en-US" w:bidi="ar-SA"/>
      </w:rPr>
    </w:lvl>
    <w:lvl w:ilvl="7" w:tplc="A47A4D36">
      <w:numFmt w:val="bullet"/>
      <w:lvlText w:val="•"/>
      <w:lvlJc w:val="left"/>
      <w:pPr>
        <w:ind w:left="1967" w:hanging="426"/>
      </w:pPr>
      <w:rPr>
        <w:lang w:val="en-AU" w:eastAsia="en-US" w:bidi="ar-SA"/>
      </w:rPr>
    </w:lvl>
    <w:lvl w:ilvl="8" w:tplc="A05697DC">
      <w:numFmt w:val="bullet"/>
      <w:lvlText w:val="•"/>
      <w:lvlJc w:val="left"/>
      <w:pPr>
        <w:ind w:left="2171" w:hanging="426"/>
      </w:pPr>
      <w:rPr>
        <w:lang w:val="en-AU" w:eastAsia="en-US" w:bidi="ar-SA"/>
      </w:rPr>
    </w:lvl>
  </w:abstractNum>
  <w:abstractNum w:abstractNumId="3" w15:restartNumberingAfterBreak="0">
    <w:nsid w:val="076F4DFD"/>
    <w:multiLevelType w:val="hybridMultilevel"/>
    <w:tmpl w:val="2BA85170"/>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577F29"/>
    <w:multiLevelType w:val="hybridMultilevel"/>
    <w:tmpl w:val="B3762790"/>
    <w:lvl w:ilvl="0" w:tplc="93AA8C6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505D1E"/>
    <w:multiLevelType w:val="hybridMultilevel"/>
    <w:tmpl w:val="ABA8EF96"/>
    <w:lvl w:ilvl="0" w:tplc="0409001B">
      <w:start w:val="1"/>
      <w:numFmt w:val="lowerRoman"/>
      <w:lvlText w:val="%1."/>
      <w:lvlJc w:val="right"/>
      <w:pPr>
        <w:ind w:left="360" w:hanging="360"/>
      </w:pPr>
      <w:rPr>
        <w:rFonts w:hint="default"/>
        <w:spacing w:val="-1"/>
        <w:w w:val="99"/>
        <w:sz w:val="14"/>
        <w:szCs w:val="14"/>
        <w:lang w:val="en-AU" w:eastAsia="en-US" w:bidi="ar-SA"/>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A5937F3"/>
    <w:multiLevelType w:val="hybridMultilevel"/>
    <w:tmpl w:val="370C56CE"/>
    <w:lvl w:ilvl="0" w:tplc="F1E6AF9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E6721"/>
    <w:multiLevelType w:val="hybridMultilevel"/>
    <w:tmpl w:val="3AA663D6"/>
    <w:lvl w:ilvl="0" w:tplc="A57CF82C">
      <w:numFmt w:val="bullet"/>
      <w:lvlText w:val=""/>
      <w:lvlJc w:val="left"/>
      <w:pPr>
        <w:ind w:left="476" w:hanging="356"/>
      </w:pPr>
      <w:rPr>
        <w:rFonts w:ascii="Symbol" w:eastAsia="Symbol" w:hAnsi="Symbol" w:cs="Symbol" w:hint="default"/>
        <w:w w:val="100"/>
        <w:sz w:val="22"/>
        <w:szCs w:val="22"/>
        <w:lang w:val="en-AU" w:eastAsia="en-US" w:bidi="ar-SA"/>
      </w:rPr>
    </w:lvl>
    <w:lvl w:ilvl="1" w:tplc="506A8A56">
      <w:numFmt w:val="bullet"/>
      <w:lvlText w:val="•"/>
      <w:lvlJc w:val="left"/>
      <w:pPr>
        <w:ind w:left="1367" w:hanging="356"/>
      </w:pPr>
      <w:rPr>
        <w:rFonts w:hint="default"/>
        <w:lang w:val="en-AU" w:eastAsia="en-US" w:bidi="ar-SA"/>
      </w:rPr>
    </w:lvl>
    <w:lvl w:ilvl="2" w:tplc="6ACA2938">
      <w:numFmt w:val="bullet"/>
      <w:lvlText w:val="•"/>
      <w:lvlJc w:val="left"/>
      <w:pPr>
        <w:ind w:left="2252" w:hanging="356"/>
      </w:pPr>
      <w:rPr>
        <w:rFonts w:hint="default"/>
        <w:lang w:val="en-AU" w:eastAsia="en-US" w:bidi="ar-SA"/>
      </w:rPr>
    </w:lvl>
    <w:lvl w:ilvl="3" w:tplc="BB9E3CF0">
      <w:numFmt w:val="bullet"/>
      <w:lvlText w:val="•"/>
      <w:lvlJc w:val="left"/>
      <w:pPr>
        <w:ind w:left="3136" w:hanging="356"/>
      </w:pPr>
      <w:rPr>
        <w:rFonts w:hint="default"/>
        <w:lang w:val="en-AU" w:eastAsia="en-US" w:bidi="ar-SA"/>
      </w:rPr>
    </w:lvl>
    <w:lvl w:ilvl="4" w:tplc="1DEC5C66">
      <w:numFmt w:val="bullet"/>
      <w:lvlText w:val="•"/>
      <w:lvlJc w:val="left"/>
      <w:pPr>
        <w:ind w:left="4021" w:hanging="356"/>
      </w:pPr>
      <w:rPr>
        <w:rFonts w:hint="default"/>
        <w:lang w:val="en-AU" w:eastAsia="en-US" w:bidi="ar-SA"/>
      </w:rPr>
    </w:lvl>
    <w:lvl w:ilvl="5" w:tplc="1A686C10">
      <w:numFmt w:val="bullet"/>
      <w:lvlText w:val="•"/>
      <w:lvlJc w:val="left"/>
      <w:pPr>
        <w:ind w:left="4906" w:hanging="356"/>
      </w:pPr>
      <w:rPr>
        <w:rFonts w:hint="default"/>
        <w:lang w:val="en-AU" w:eastAsia="en-US" w:bidi="ar-SA"/>
      </w:rPr>
    </w:lvl>
    <w:lvl w:ilvl="6" w:tplc="2E8C24C4">
      <w:numFmt w:val="bullet"/>
      <w:lvlText w:val="•"/>
      <w:lvlJc w:val="left"/>
      <w:pPr>
        <w:ind w:left="5790" w:hanging="356"/>
      </w:pPr>
      <w:rPr>
        <w:rFonts w:hint="default"/>
        <w:lang w:val="en-AU" w:eastAsia="en-US" w:bidi="ar-SA"/>
      </w:rPr>
    </w:lvl>
    <w:lvl w:ilvl="7" w:tplc="E58E0790">
      <w:numFmt w:val="bullet"/>
      <w:lvlText w:val="•"/>
      <w:lvlJc w:val="left"/>
      <w:pPr>
        <w:ind w:left="6675" w:hanging="356"/>
      </w:pPr>
      <w:rPr>
        <w:rFonts w:hint="default"/>
        <w:lang w:val="en-AU" w:eastAsia="en-US" w:bidi="ar-SA"/>
      </w:rPr>
    </w:lvl>
    <w:lvl w:ilvl="8" w:tplc="846A3D2E">
      <w:numFmt w:val="bullet"/>
      <w:lvlText w:val="•"/>
      <w:lvlJc w:val="left"/>
      <w:pPr>
        <w:ind w:left="7560" w:hanging="356"/>
      </w:pPr>
      <w:rPr>
        <w:rFonts w:hint="default"/>
        <w:lang w:val="en-AU" w:eastAsia="en-US" w:bidi="ar-SA"/>
      </w:rPr>
    </w:lvl>
  </w:abstractNum>
  <w:abstractNum w:abstractNumId="8" w15:restartNumberingAfterBreak="0">
    <w:nsid w:val="17636783"/>
    <w:multiLevelType w:val="hybridMultilevel"/>
    <w:tmpl w:val="D84A4FB0"/>
    <w:lvl w:ilvl="0" w:tplc="DB12FFCC">
      <w:start w:val="20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F667D"/>
    <w:multiLevelType w:val="hybridMultilevel"/>
    <w:tmpl w:val="1F90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044A3"/>
    <w:multiLevelType w:val="multilevel"/>
    <w:tmpl w:val="A0D23E74"/>
    <w:lvl w:ilvl="0">
      <w:start w:val="70"/>
      <w:numFmt w:val="decimal"/>
      <w:lvlText w:val="%1"/>
      <w:lvlJc w:val="left"/>
      <w:pPr>
        <w:ind w:left="120" w:hanging="493"/>
      </w:pPr>
      <w:rPr>
        <w:rFonts w:hint="default"/>
        <w:lang w:val="en-AU" w:eastAsia="en-US" w:bidi="ar-SA"/>
      </w:rPr>
    </w:lvl>
    <w:lvl w:ilvl="1">
      <w:numFmt w:val="decimal"/>
      <w:lvlText w:val="%1.%2"/>
      <w:lvlJc w:val="left"/>
      <w:pPr>
        <w:ind w:left="120" w:hanging="493"/>
      </w:pPr>
      <w:rPr>
        <w:rFonts w:ascii="Arial" w:eastAsia="Arial" w:hAnsi="Arial" w:cs="Arial" w:hint="default"/>
        <w:spacing w:val="-1"/>
        <w:w w:val="100"/>
        <w:sz w:val="22"/>
        <w:szCs w:val="22"/>
        <w:lang w:val="en-AU" w:eastAsia="en-US" w:bidi="ar-SA"/>
      </w:rPr>
    </w:lvl>
    <w:lvl w:ilvl="2">
      <w:start w:val="1"/>
      <w:numFmt w:val="lowerRoman"/>
      <w:lvlText w:val="%3."/>
      <w:lvlJc w:val="right"/>
      <w:pPr>
        <w:ind w:left="1229" w:hanging="210"/>
      </w:pPr>
      <w:rPr>
        <w:rFonts w:hint="default"/>
        <w:spacing w:val="-1"/>
        <w:w w:val="99"/>
        <w:sz w:val="14"/>
        <w:szCs w:val="14"/>
        <w:lang w:val="en-AU" w:eastAsia="en-US" w:bidi="ar-SA"/>
      </w:rPr>
    </w:lvl>
    <w:lvl w:ilvl="3">
      <w:numFmt w:val="bullet"/>
      <w:lvlText w:val="•"/>
      <w:lvlJc w:val="left"/>
      <w:pPr>
        <w:ind w:left="3101" w:hanging="210"/>
      </w:pPr>
      <w:rPr>
        <w:rFonts w:hint="default"/>
        <w:lang w:val="en-AU" w:eastAsia="en-US" w:bidi="ar-SA"/>
      </w:rPr>
    </w:lvl>
    <w:lvl w:ilvl="4">
      <w:numFmt w:val="bullet"/>
      <w:lvlText w:val="•"/>
      <w:lvlJc w:val="left"/>
      <w:pPr>
        <w:ind w:left="4042" w:hanging="210"/>
      </w:pPr>
      <w:rPr>
        <w:rFonts w:hint="default"/>
        <w:lang w:val="en-AU" w:eastAsia="en-US" w:bidi="ar-SA"/>
      </w:rPr>
    </w:lvl>
    <w:lvl w:ilvl="5">
      <w:numFmt w:val="bullet"/>
      <w:lvlText w:val="•"/>
      <w:lvlJc w:val="left"/>
      <w:pPr>
        <w:ind w:left="4982" w:hanging="210"/>
      </w:pPr>
      <w:rPr>
        <w:rFonts w:hint="default"/>
        <w:lang w:val="en-AU" w:eastAsia="en-US" w:bidi="ar-SA"/>
      </w:rPr>
    </w:lvl>
    <w:lvl w:ilvl="6">
      <w:numFmt w:val="bullet"/>
      <w:lvlText w:val="•"/>
      <w:lvlJc w:val="left"/>
      <w:pPr>
        <w:ind w:left="5923" w:hanging="210"/>
      </w:pPr>
      <w:rPr>
        <w:rFonts w:hint="default"/>
        <w:lang w:val="en-AU" w:eastAsia="en-US" w:bidi="ar-SA"/>
      </w:rPr>
    </w:lvl>
    <w:lvl w:ilvl="7">
      <w:numFmt w:val="bullet"/>
      <w:lvlText w:val="•"/>
      <w:lvlJc w:val="left"/>
      <w:pPr>
        <w:ind w:left="6864" w:hanging="210"/>
      </w:pPr>
      <w:rPr>
        <w:rFonts w:hint="default"/>
        <w:lang w:val="en-AU" w:eastAsia="en-US" w:bidi="ar-SA"/>
      </w:rPr>
    </w:lvl>
    <w:lvl w:ilvl="8">
      <w:numFmt w:val="bullet"/>
      <w:lvlText w:val="•"/>
      <w:lvlJc w:val="left"/>
      <w:pPr>
        <w:ind w:left="7804" w:hanging="210"/>
      </w:pPr>
      <w:rPr>
        <w:rFonts w:hint="default"/>
        <w:lang w:val="en-AU" w:eastAsia="en-US" w:bidi="ar-SA"/>
      </w:rPr>
    </w:lvl>
  </w:abstractNum>
  <w:abstractNum w:abstractNumId="11" w15:restartNumberingAfterBreak="0">
    <w:nsid w:val="29B23A15"/>
    <w:multiLevelType w:val="hybridMultilevel"/>
    <w:tmpl w:val="0FC410FE"/>
    <w:lvl w:ilvl="0" w:tplc="287EE4CC">
      <w:start w:val="1"/>
      <w:numFmt w:val="lowerLetter"/>
      <w:lvlText w:val="(%1)"/>
      <w:lvlJc w:val="left"/>
      <w:pPr>
        <w:ind w:left="1229" w:hanging="210"/>
      </w:pPr>
      <w:rPr>
        <w:rFonts w:ascii="Arial" w:eastAsia="Arial" w:hAnsi="Arial" w:cs="Arial" w:hint="default"/>
        <w:spacing w:val="-1"/>
        <w:w w:val="99"/>
        <w:sz w:val="14"/>
        <w:szCs w:val="14"/>
        <w:lang w:val="en-AU" w:eastAsia="en-US" w:bidi="ar-SA"/>
      </w:rPr>
    </w:lvl>
    <w:lvl w:ilvl="1" w:tplc="F0EAFB90">
      <w:numFmt w:val="bullet"/>
      <w:lvlText w:val="•"/>
      <w:lvlJc w:val="left"/>
      <w:pPr>
        <w:ind w:left="2724" w:hanging="210"/>
      </w:pPr>
      <w:rPr>
        <w:lang w:val="en-AU" w:eastAsia="en-US" w:bidi="ar-SA"/>
      </w:rPr>
    </w:lvl>
    <w:lvl w:ilvl="2" w:tplc="80F8098E">
      <w:numFmt w:val="bullet"/>
      <w:lvlText w:val="•"/>
      <w:lvlJc w:val="left"/>
      <w:pPr>
        <w:ind w:left="4228" w:hanging="210"/>
      </w:pPr>
      <w:rPr>
        <w:lang w:val="en-AU" w:eastAsia="en-US" w:bidi="ar-SA"/>
      </w:rPr>
    </w:lvl>
    <w:lvl w:ilvl="3" w:tplc="0AA6BE24">
      <w:numFmt w:val="bullet"/>
      <w:lvlText w:val="•"/>
      <w:lvlJc w:val="left"/>
      <w:pPr>
        <w:ind w:left="5732" w:hanging="210"/>
      </w:pPr>
      <w:rPr>
        <w:lang w:val="en-AU" w:eastAsia="en-US" w:bidi="ar-SA"/>
      </w:rPr>
    </w:lvl>
    <w:lvl w:ilvl="4" w:tplc="11A41962">
      <w:numFmt w:val="bullet"/>
      <w:lvlText w:val="•"/>
      <w:lvlJc w:val="left"/>
      <w:pPr>
        <w:ind w:left="7236" w:hanging="210"/>
      </w:pPr>
      <w:rPr>
        <w:lang w:val="en-AU" w:eastAsia="en-US" w:bidi="ar-SA"/>
      </w:rPr>
    </w:lvl>
    <w:lvl w:ilvl="5" w:tplc="47C4ADA2">
      <w:numFmt w:val="bullet"/>
      <w:lvlText w:val="•"/>
      <w:lvlJc w:val="left"/>
      <w:pPr>
        <w:ind w:left="8740" w:hanging="210"/>
      </w:pPr>
      <w:rPr>
        <w:lang w:val="en-AU" w:eastAsia="en-US" w:bidi="ar-SA"/>
      </w:rPr>
    </w:lvl>
    <w:lvl w:ilvl="6" w:tplc="B82E52D2">
      <w:numFmt w:val="bullet"/>
      <w:lvlText w:val="•"/>
      <w:lvlJc w:val="left"/>
      <w:pPr>
        <w:ind w:left="10244" w:hanging="210"/>
      </w:pPr>
      <w:rPr>
        <w:lang w:val="en-AU" w:eastAsia="en-US" w:bidi="ar-SA"/>
      </w:rPr>
    </w:lvl>
    <w:lvl w:ilvl="7" w:tplc="BC963BAC">
      <w:numFmt w:val="bullet"/>
      <w:lvlText w:val="•"/>
      <w:lvlJc w:val="left"/>
      <w:pPr>
        <w:ind w:left="11748" w:hanging="210"/>
      </w:pPr>
      <w:rPr>
        <w:lang w:val="en-AU" w:eastAsia="en-US" w:bidi="ar-SA"/>
      </w:rPr>
    </w:lvl>
    <w:lvl w:ilvl="8" w:tplc="C068ED32">
      <w:numFmt w:val="bullet"/>
      <w:lvlText w:val="•"/>
      <w:lvlJc w:val="left"/>
      <w:pPr>
        <w:ind w:left="13252" w:hanging="210"/>
      </w:pPr>
      <w:rPr>
        <w:lang w:val="en-AU" w:eastAsia="en-US" w:bidi="ar-SA"/>
      </w:rPr>
    </w:lvl>
  </w:abstractNum>
  <w:abstractNum w:abstractNumId="12" w15:restartNumberingAfterBreak="0">
    <w:nsid w:val="2DF9744A"/>
    <w:multiLevelType w:val="hybridMultilevel"/>
    <w:tmpl w:val="203E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C4016"/>
    <w:multiLevelType w:val="hybridMultilevel"/>
    <w:tmpl w:val="F9222B2A"/>
    <w:lvl w:ilvl="0" w:tplc="8C7E468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34D9C"/>
    <w:multiLevelType w:val="hybridMultilevel"/>
    <w:tmpl w:val="BA5600EC"/>
    <w:lvl w:ilvl="0" w:tplc="2222D53A">
      <w:start w:val="7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AC4535"/>
    <w:multiLevelType w:val="hybridMultilevel"/>
    <w:tmpl w:val="80B2AE48"/>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7E3930"/>
    <w:multiLevelType w:val="hybridMultilevel"/>
    <w:tmpl w:val="264EF0F8"/>
    <w:lvl w:ilvl="0" w:tplc="F3F20C5E">
      <w:numFmt w:val="bullet"/>
      <w:lvlText w:val=""/>
      <w:lvlJc w:val="left"/>
      <w:pPr>
        <w:ind w:left="480" w:hanging="361"/>
      </w:pPr>
      <w:rPr>
        <w:rFonts w:ascii="Symbol" w:eastAsia="Symbol" w:hAnsi="Symbol" w:cs="Symbol" w:hint="default"/>
        <w:w w:val="100"/>
        <w:sz w:val="22"/>
        <w:szCs w:val="22"/>
        <w:lang w:val="en-AU" w:eastAsia="en-US" w:bidi="ar-SA"/>
      </w:rPr>
    </w:lvl>
    <w:lvl w:ilvl="1" w:tplc="B4827DDA">
      <w:numFmt w:val="bullet"/>
      <w:lvlText w:val=""/>
      <w:lvlJc w:val="left"/>
      <w:pPr>
        <w:ind w:left="840" w:hanging="360"/>
      </w:pPr>
      <w:rPr>
        <w:rFonts w:ascii="Symbol" w:eastAsia="Symbol" w:hAnsi="Symbol" w:cs="Symbol" w:hint="default"/>
        <w:w w:val="100"/>
        <w:sz w:val="22"/>
        <w:szCs w:val="22"/>
        <w:lang w:val="en-AU" w:eastAsia="en-US" w:bidi="ar-SA"/>
      </w:rPr>
    </w:lvl>
    <w:lvl w:ilvl="2" w:tplc="913E9164">
      <w:numFmt w:val="bullet"/>
      <w:lvlText w:val="•"/>
      <w:lvlJc w:val="left"/>
      <w:pPr>
        <w:ind w:left="1822" w:hanging="360"/>
      </w:pPr>
      <w:rPr>
        <w:rFonts w:hint="default"/>
        <w:lang w:val="en-AU" w:eastAsia="en-US" w:bidi="ar-SA"/>
      </w:rPr>
    </w:lvl>
    <w:lvl w:ilvl="3" w:tplc="343427C8">
      <w:numFmt w:val="bullet"/>
      <w:lvlText w:val="•"/>
      <w:lvlJc w:val="left"/>
      <w:pPr>
        <w:ind w:left="2805" w:hanging="360"/>
      </w:pPr>
      <w:rPr>
        <w:rFonts w:hint="default"/>
        <w:lang w:val="en-AU" w:eastAsia="en-US" w:bidi="ar-SA"/>
      </w:rPr>
    </w:lvl>
    <w:lvl w:ilvl="4" w:tplc="86A60CD4">
      <w:numFmt w:val="bullet"/>
      <w:lvlText w:val="•"/>
      <w:lvlJc w:val="left"/>
      <w:pPr>
        <w:ind w:left="3788" w:hanging="360"/>
      </w:pPr>
      <w:rPr>
        <w:rFonts w:hint="default"/>
        <w:lang w:val="en-AU" w:eastAsia="en-US" w:bidi="ar-SA"/>
      </w:rPr>
    </w:lvl>
    <w:lvl w:ilvl="5" w:tplc="76EC9BB4">
      <w:numFmt w:val="bullet"/>
      <w:lvlText w:val="•"/>
      <w:lvlJc w:val="left"/>
      <w:pPr>
        <w:ind w:left="4771" w:hanging="360"/>
      </w:pPr>
      <w:rPr>
        <w:rFonts w:hint="default"/>
        <w:lang w:val="en-AU" w:eastAsia="en-US" w:bidi="ar-SA"/>
      </w:rPr>
    </w:lvl>
    <w:lvl w:ilvl="6" w:tplc="C3144C80">
      <w:numFmt w:val="bullet"/>
      <w:lvlText w:val="•"/>
      <w:lvlJc w:val="left"/>
      <w:pPr>
        <w:ind w:left="5754" w:hanging="360"/>
      </w:pPr>
      <w:rPr>
        <w:rFonts w:hint="default"/>
        <w:lang w:val="en-AU" w:eastAsia="en-US" w:bidi="ar-SA"/>
      </w:rPr>
    </w:lvl>
    <w:lvl w:ilvl="7" w:tplc="59603E2A">
      <w:numFmt w:val="bullet"/>
      <w:lvlText w:val="•"/>
      <w:lvlJc w:val="left"/>
      <w:pPr>
        <w:ind w:left="6737" w:hanging="360"/>
      </w:pPr>
      <w:rPr>
        <w:rFonts w:hint="default"/>
        <w:lang w:val="en-AU" w:eastAsia="en-US" w:bidi="ar-SA"/>
      </w:rPr>
    </w:lvl>
    <w:lvl w:ilvl="8" w:tplc="33689678">
      <w:numFmt w:val="bullet"/>
      <w:lvlText w:val="•"/>
      <w:lvlJc w:val="left"/>
      <w:pPr>
        <w:ind w:left="7720" w:hanging="360"/>
      </w:pPr>
      <w:rPr>
        <w:rFonts w:hint="default"/>
        <w:lang w:val="en-AU" w:eastAsia="en-US" w:bidi="ar-SA"/>
      </w:rPr>
    </w:lvl>
  </w:abstractNum>
  <w:abstractNum w:abstractNumId="17" w15:restartNumberingAfterBreak="0">
    <w:nsid w:val="34F67C1F"/>
    <w:multiLevelType w:val="hybridMultilevel"/>
    <w:tmpl w:val="E9B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FC591F"/>
    <w:multiLevelType w:val="hybridMultilevel"/>
    <w:tmpl w:val="8C48420E"/>
    <w:lvl w:ilvl="0" w:tplc="4912B832">
      <w:start w:val="1"/>
      <w:numFmt w:val="bullet"/>
      <w:lvlText w:val=""/>
      <w:lvlJc w:val="left"/>
      <w:pPr>
        <w:ind w:left="720" w:hanging="72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CC91A40"/>
    <w:multiLevelType w:val="multilevel"/>
    <w:tmpl w:val="11EC1154"/>
    <w:lvl w:ilvl="0">
      <w:start w:val="85"/>
      <w:numFmt w:val="decimal"/>
      <w:lvlText w:val="%1"/>
      <w:lvlJc w:val="left"/>
      <w:pPr>
        <w:ind w:left="120" w:hanging="493"/>
      </w:pPr>
      <w:rPr>
        <w:lang w:val="en-AU" w:eastAsia="en-US" w:bidi="ar-SA"/>
      </w:rPr>
    </w:lvl>
    <w:lvl w:ilvl="1">
      <w:numFmt w:val="decimal"/>
      <w:lvlText w:val="%1.%2"/>
      <w:lvlJc w:val="left"/>
      <w:pPr>
        <w:ind w:left="120" w:hanging="493"/>
      </w:pPr>
      <w:rPr>
        <w:rFonts w:ascii="Arial" w:eastAsia="Arial" w:hAnsi="Arial" w:cs="Arial" w:hint="default"/>
        <w:spacing w:val="-1"/>
        <w:w w:val="100"/>
        <w:sz w:val="22"/>
        <w:szCs w:val="22"/>
        <w:lang w:val="en-AU" w:eastAsia="en-US" w:bidi="ar-SA"/>
      </w:rPr>
    </w:lvl>
    <w:lvl w:ilvl="2">
      <w:start w:val="1"/>
      <w:numFmt w:val="lowerLetter"/>
      <w:lvlText w:val="(%3)"/>
      <w:lvlJc w:val="left"/>
      <w:pPr>
        <w:ind w:left="1229" w:hanging="210"/>
      </w:pPr>
      <w:rPr>
        <w:rFonts w:ascii="Arial" w:eastAsia="Arial" w:hAnsi="Arial" w:cs="Arial" w:hint="default"/>
        <w:spacing w:val="-1"/>
        <w:w w:val="99"/>
        <w:sz w:val="14"/>
        <w:szCs w:val="14"/>
        <w:lang w:val="en-AU" w:eastAsia="en-US" w:bidi="ar-SA"/>
      </w:rPr>
    </w:lvl>
    <w:lvl w:ilvl="3">
      <w:numFmt w:val="bullet"/>
      <w:lvlText w:val="•"/>
      <w:lvlJc w:val="left"/>
      <w:pPr>
        <w:ind w:left="3101" w:hanging="210"/>
      </w:pPr>
      <w:rPr>
        <w:lang w:val="en-AU" w:eastAsia="en-US" w:bidi="ar-SA"/>
      </w:rPr>
    </w:lvl>
    <w:lvl w:ilvl="4">
      <w:numFmt w:val="bullet"/>
      <w:lvlText w:val="•"/>
      <w:lvlJc w:val="left"/>
      <w:pPr>
        <w:ind w:left="4042" w:hanging="210"/>
      </w:pPr>
      <w:rPr>
        <w:lang w:val="en-AU" w:eastAsia="en-US" w:bidi="ar-SA"/>
      </w:rPr>
    </w:lvl>
    <w:lvl w:ilvl="5">
      <w:numFmt w:val="bullet"/>
      <w:lvlText w:val="•"/>
      <w:lvlJc w:val="left"/>
      <w:pPr>
        <w:ind w:left="4982" w:hanging="210"/>
      </w:pPr>
      <w:rPr>
        <w:lang w:val="en-AU" w:eastAsia="en-US" w:bidi="ar-SA"/>
      </w:rPr>
    </w:lvl>
    <w:lvl w:ilvl="6">
      <w:numFmt w:val="bullet"/>
      <w:lvlText w:val="•"/>
      <w:lvlJc w:val="left"/>
      <w:pPr>
        <w:ind w:left="5923" w:hanging="210"/>
      </w:pPr>
      <w:rPr>
        <w:lang w:val="en-AU" w:eastAsia="en-US" w:bidi="ar-SA"/>
      </w:rPr>
    </w:lvl>
    <w:lvl w:ilvl="7">
      <w:numFmt w:val="bullet"/>
      <w:lvlText w:val="•"/>
      <w:lvlJc w:val="left"/>
      <w:pPr>
        <w:ind w:left="6864" w:hanging="210"/>
      </w:pPr>
      <w:rPr>
        <w:lang w:val="en-AU" w:eastAsia="en-US" w:bidi="ar-SA"/>
      </w:rPr>
    </w:lvl>
    <w:lvl w:ilvl="8">
      <w:numFmt w:val="bullet"/>
      <w:lvlText w:val="•"/>
      <w:lvlJc w:val="left"/>
      <w:pPr>
        <w:ind w:left="7804" w:hanging="210"/>
      </w:pPr>
      <w:rPr>
        <w:lang w:val="en-AU" w:eastAsia="en-US" w:bidi="ar-SA"/>
      </w:rPr>
    </w:lvl>
  </w:abstractNum>
  <w:abstractNum w:abstractNumId="20" w15:restartNumberingAfterBreak="0">
    <w:nsid w:val="3D9670F5"/>
    <w:multiLevelType w:val="hybridMultilevel"/>
    <w:tmpl w:val="65B68AF0"/>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3570BB"/>
    <w:multiLevelType w:val="hybridMultilevel"/>
    <w:tmpl w:val="DD4C3794"/>
    <w:lvl w:ilvl="0" w:tplc="E2208F10">
      <w:start w:val="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4D1979"/>
    <w:multiLevelType w:val="hybridMultilevel"/>
    <w:tmpl w:val="FCE220AC"/>
    <w:lvl w:ilvl="0" w:tplc="A82E62E4">
      <w:start w:val="1"/>
      <w:numFmt w:val="lowerLetter"/>
      <w:lvlText w:val="(%1)"/>
      <w:lvlJc w:val="left"/>
      <w:pPr>
        <w:ind w:left="1229" w:hanging="210"/>
      </w:pPr>
      <w:rPr>
        <w:rFonts w:ascii="Arial" w:eastAsia="Arial" w:hAnsi="Arial" w:cs="Arial" w:hint="default"/>
        <w:spacing w:val="-1"/>
        <w:w w:val="99"/>
        <w:sz w:val="14"/>
        <w:szCs w:val="14"/>
        <w:lang w:val="en-AU" w:eastAsia="en-US" w:bidi="ar-SA"/>
      </w:rPr>
    </w:lvl>
    <w:lvl w:ilvl="1" w:tplc="4B0A46FC">
      <w:numFmt w:val="bullet"/>
      <w:lvlText w:val="•"/>
      <w:lvlJc w:val="left"/>
      <w:pPr>
        <w:ind w:left="2666" w:hanging="210"/>
      </w:pPr>
      <w:rPr>
        <w:lang w:val="en-AU" w:eastAsia="en-US" w:bidi="ar-SA"/>
      </w:rPr>
    </w:lvl>
    <w:lvl w:ilvl="2" w:tplc="86D65650">
      <w:numFmt w:val="bullet"/>
      <w:lvlText w:val="•"/>
      <w:lvlJc w:val="left"/>
      <w:pPr>
        <w:ind w:left="4112" w:hanging="210"/>
      </w:pPr>
      <w:rPr>
        <w:lang w:val="en-AU" w:eastAsia="en-US" w:bidi="ar-SA"/>
      </w:rPr>
    </w:lvl>
    <w:lvl w:ilvl="3" w:tplc="BF5CE038">
      <w:numFmt w:val="bullet"/>
      <w:lvlText w:val="•"/>
      <w:lvlJc w:val="left"/>
      <w:pPr>
        <w:ind w:left="5558" w:hanging="210"/>
      </w:pPr>
      <w:rPr>
        <w:lang w:val="en-AU" w:eastAsia="en-US" w:bidi="ar-SA"/>
      </w:rPr>
    </w:lvl>
    <w:lvl w:ilvl="4" w:tplc="84622DCC">
      <w:numFmt w:val="bullet"/>
      <w:lvlText w:val="•"/>
      <w:lvlJc w:val="left"/>
      <w:pPr>
        <w:ind w:left="7004" w:hanging="210"/>
      </w:pPr>
      <w:rPr>
        <w:lang w:val="en-AU" w:eastAsia="en-US" w:bidi="ar-SA"/>
      </w:rPr>
    </w:lvl>
    <w:lvl w:ilvl="5" w:tplc="5E704152">
      <w:numFmt w:val="bullet"/>
      <w:lvlText w:val="•"/>
      <w:lvlJc w:val="left"/>
      <w:pPr>
        <w:ind w:left="8450" w:hanging="210"/>
      </w:pPr>
      <w:rPr>
        <w:lang w:val="en-AU" w:eastAsia="en-US" w:bidi="ar-SA"/>
      </w:rPr>
    </w:lvl>
    <w:lvl w:ilvl="6" w:tplc="542EC7CA">
      <w:numFmt w:val="bullet"/>
      <w:lvlText w:val="•"/>
      <w:lvlJc w:val="left"/>
      <w:pPr>
        <w:ind w:left="9896" w:hanging="210"/>
      </w:pPr>
      <w:rPr>
        <w:lang w:val="en-AU" w:eastAsia="en-US" w:bidi="ar-SA"/>
      </w:rPr>
    </w:lvl>
    <w:lvl w:ilvl="7" w:tplc="0F267844">
      <w:numFmt w:val="bullet"/>
      <w:lvlText w:val="•"/>
      <w:lvlJc w:val="left"/>
      <w:pPr>
        <w:ind w:left="11342" w:hanging="210"/>
      </w:pPr>
      <w:rPr>
        <w:lang w:val="en-AU" w:eastAsia="en-US" w:bidi="ar-SA"/>
      </w:rPr>
    </w:lvl>
    <w:lvl w:ilvl="8" w:tplc="65FAAAC0">
      <w:numFmt w:val="bullet"/>
      <w:lvlText w:val="•"/>
      <w:lvlJc w:val="left"/>
      <w:pPr>
        <w:ind w:left="12788" w:hanging="210"/>
      </w:pPr>
      <w:rPr>
        <w:lang w:val="en-AU" w:eastAsia="en-US" w:bidi="ar-SA"/>
      </w:rPr>
    </w:lvl>
  </w:abstractNum>
  <w:abstractNum w:abstractNumId="23" w15:restartNumberingAfterBreak="0">
    <w:nsid w:val="42643E96"/>
    <w:multiLevelType w:val="hybridMultilevel"/>
    <w:tmpl w:val="0F6E4984"/>
    <w:lvl w:ilvl="0" w:tplc="0409001B">
      <w:start w:val="1"/>
      <w:numFmt w:val="lowerRoman"/>
      <w:lvlText w:val="%1."/>
      <w:lvlJc w:val="right"/>
      <w:pPr>
        <w:ind w:left="720" w:hanging="360"/>
      </w:pPr>
      <w:rPr>
        <w:rFonts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B05A4F"/>
    <w:multiLevelType w:val="hybridMultilevel"/>
    <w:tmpl w:val="85FCA456"/>
    <w:lvl w:ilvl="0" w:tplc="F6F6E6E0">
      <w:numFmt w:val="bullet"/>
      <w:lvlText w:val=""/>
      <w:lvlJc w:val="left"/>
      <w:pPr>
        <w:ind w:left="840" w:hanging="360"/>
      </w:pPr>
      <w:rPr>
        <w:rFonts w:ascii="Symbol" w:eastAsia="Symbol" w:hAnsi="Symbol" w:cs="Symbol" w:hint="default"/>
        <w:w w:val="100"/>
        <w:sz w:val="22"/>
        <w:szCs w:val="22"/>
        <w:lang w:val="en-AU" w:eastAsia="en-US" w:bidi="ar-SA"/>
      </w:rPr>
    </w:lvl>
    <w:lvl w:ilvl="1" w:tplc="CBD428D4">
      <w:numFmt w:val="bullet"/>
      <w:lvlText w:val="•"/>
      <w:lvlJc w:val="left"/>
      <w:pPr>
        <w:ind w:left="1724" w:hanging="360"/>
      </w:pPr>
      <w:rPr>
        <w:lang w:val="en-AU" w:eastAsia="en-US" w:bidi="ar-SA"/>
      </w:rPr>
    </w:lvl>
    <w:lvl w:ilvl="2" w:tplc="97CCE1F4">
      <w:numFmt w:val="bullet"/>
      <w:lvlText w:val="•"/>
      <w:lvlJc w:val="left"/>
      <w:pPr>
        <w:ind w:left="2609" w:hanging="360"/>
      </w:pPr>
      <w:rPr>
        <w:lang w:val="en-AU" w:eastAsia="en-US" w:bidi="ar-SA"/>
      </w:rPr>
    </w:lvl>
    <w:lvl w:ilvl="3" w:tplc="12F4712E">
      <w:numFmt w:val="bullet"/>
      <w:lvlText w:val="•"/>
      <w:lvlJc w:val="left"/>
      <w:pPr>
        <w:ind w:left="3493" w:hanging="360"/>
      </w:pPr>
      <w:rPr>
        <w:lang w:val="en-AU" w:eastAsia="en-US" w:bidi="ar-SA"/>
      </w:rPr>
    </w:lvl>
    <w:lvl w:ilvl="4" w:tplc="644E80F8">
      <w:numFmt w:val="bullet"/>
      <w:lvlText w:val="•"/>
      <w:lvlJc w:val="left"/>
      <w:pPr>
        <w:ind w:left="4378" w:hanging="360"/>
      </w:pPr>
      <w:rPr>
        <w:lang w:val="en-AU" w:eastAsia="en-US" w:bidi="ar-SA"/>
      </w:rPr>
    </w:lvl>
    <w:lvl w:ilvl="5" w:tplc="419444DE">
      <w:numFmt w:val="bullet"/>
      <w:lvlText w:val="•"/>
      <w:lvlJc w:val="left"/>
      <w:pPr>
        <w:ind w:left="5263" w:hanging="360"/>
      </w:pPr>
      <w:rPr>
        <w:lang w:val="en-AU" w:eastAsia="en-US" w:bidi="ar-SA"/>
      </w:rPr>
    </w:lvl>
    <w:lvl w:ilvl="6" w:tplc="75D29EB0">
      <w:numFmt w:val="bullet"/>
      <w:lvlText w:val="•"/>
      <w:lvlJc w:val="left"/>
      <w:pPr>
        <w:ind w:left="6147" w:hanging="360"/>
      </w:pPr>
      <w:rPr>
        <w:lang w:val="en-AU" w:eastAsia="en-US" w:bidi="ar-SA"/>
      </w:rPr>
    </w:lvl>
    <w:lvl w:ilvl="7" w:tplc="3D9C01A2">
      <w:numFmt w:val="bullet"/>
      <w:lvlText w:val="•"/>
      <w:lvlJc w:val="left"/>
      <w:pPr>
        <w:ind w:left="7032" w:hanging="360"/>
      </w:pPr>
      <w:rPr>
        <w:lang w:val="en-AU" w:eastAsia="en-US" w:bidi="ar-SA"/>
      </w:rPr>
    </w:lvl>
    <w:lvl w:ilvl="8" w:tplc="11C61FA6">
      <w:numFmt w:val="bullet"/>
      <w:lvlText w:val="•"/>
      <w:lvlJc w:val="left"/>
      <w:pPr>
        <w:ind w:left="7917" w:hanging="360"/>
      </w:pPr>
      <w:rPr>
        <w:lang w:val="en-AU" w:eastAsia="en-US" w:bidi="ar-SA"/>
      </w:rPr>
    </w:lvl>
  </w:abstractNum>
  <w:abstractNum w:abstractNumId="25" w15:restartNumberingAfterBreak="0">
    <w:nsid w:val="481B0A8C"/>
    <w:multiLevelType w:val="hybridMultilevel"/>
    <w:tmpl w:val="0B2871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1590C1B"/>
    <w:multiLevelType w:val="multilevel"/>
    <w:tmpl w:val="11EC1154"/>
    <w:lvl w:ilvl="0">
      <w:start w:val="85"/>
      <w:numFmt w:val="decimal"/>
      <w:lvlText w:val="%1"/>
      <w:lvlJc w:val="left"/>
      <w:pPr>
        <w:ind w:left="120" w:hanging="493"/>
      </w:pPr>
      <w:rPr>
        <w:lang w:val="en-AU" w:eastAsia="en-US" w:bidi="ar-SA"/>
      </w:rPr>
    </w:lvl>
    <w:lvl w:ilvl="1">
      <w:numFmt w:val="decimal"/>
      <w:lvlText w:val="%1.%2"/>
      <w:lvlJc w:val="left"/>
      <w:pPr>
        <w:ind w:left="120" w:hanging="493"/>
      </w:pPr>
      <w:rPr>
        <w:rFonts w:ascii="Arial" w:eastAsia="Arial" w:hAnsi="Arial" w:cs="Arial" w:hint="default"/>
        <w:spacing w:val="-1"/>
        <w:w w:val="100"/>
        <w:sz w:val="22"/>
        <w:szCs w:val="22"/>
        <w:lang w:val="en-AU" w:eastAsia="en-US" w:bidi="ar-SA"/>
      </w:rPr>
    </w:lvl>
    <w:lvl w:ilvl="2">
      <w:start w:val="1"/>
      <w:numFmt w:val="lowerLetter"/>
      <w:lvlText w:val="(%3)"/>
      <w:lvlJc w:val="left"/>
      <w:pPr>
        <w:ind w:left="1229" w:hanging="210"/>
      </w:pPr>
      <w:rPr>
        <w:rFonts w:ascii="Arial" w:eastAsia="Arial" w:hAnsi="Arial" w:cs="Arial" w:hint="default"/>
        <w:spacing w:val="-1"/>
        <w:w w:val="99"/>
        <w:sz w:val="14"/>
        <w:szCs w:val="14"/>
        <w:lang w:val="en-AU" w:eastAsia="en-US" w:bidi="ar-SA"/>
      </w:rPr>
    </w:lvl>
    <w:lvl w:ilvl="3">
      <w:numFmt w:val="bullet"/>
      <w:lvlText w:val="•"/>
      <w:lvlJc w:val="left"/>
      <w:pPr>
        <w:ind w:left="3101" w:hanging="210"/>
      </w:pPr>
      <w:rPr>
        <w:lang w:val="en-AU" w:eastAsia="en-US" w:bidi="ar-SA"/>
      </w:rPr>
    </w:lvl>
    <w:lvl w:ilvl="4">
      <w:numFmt w:val="bullet"/>
      <w:lvlText w:val="•"/>
      <w:lvlJc w:val="left"/>
      <w:pPr>
        <w:ind w:left="4042" w:hanging="210"/>
      </w:pPr>
      <w:rPr>
        <w:lang w:val="en-AU" w:eastAsia="en-US" w:bidi="ar-SA"/>
      </w:rPr>
    </w:lvl>
    <w:lvl w:ilvl="5">
      <w:numFmt w:val="bullet"/>
      <w:lvlText w:val="•"/>
      <w:lvlJc w:val="left"/>
      <w:pPr>
        <w:ind w:left="4982" w:hanging="210"/>
      </w:pPr>
      <w:rPr>
        <w:lang w:val="en-AU" w:eastAsia="en-US" w:bidi="ar-SA"/>
      </w:rPr>
    </w:lvl>
    <w:lvl w:ilvl="6">
      <w:numFmt w:val="bullet"/>
      <w:lvlText w:val="•"/>
      <w:lvlJc w:val="left"/>
      <w:pPr>
        <w:ind w:left="5923" w:hanging="210"/>
      </w:pPr>
      <w:rPr>
        <w:lang w:val="en-AU" w:eastAsia="en-US" w:bidi="ar-SA"/>
      </w:rPr>
    </w:lvl>
    <w:lvl w:ilvl="7">
      <w:numFmt w:val="bullet"/>
      <w:lvlText w:val="•"/>
      <w:lvlJc w:val="left"/>
      <w:pPr>
        <w:ind w:left="6864" w:hanging="210"/>
      </w:pPr>
      <w:rPr>
        <w:lang w:val="en-AU" w:eastAsia="en-US" w:bidi="ar-SA"/>
      </w:rPr>
    </w:lvl>
    <w:lvl w:ilvl="8">
      <w:numFmt w:val="bullet"/>
      <w:lvlText w:val="•"/>
      <w:lvlJc w:val="left"/>
      <w:pPr>
        <w:ind w:left="7804" w:hanging="210"/>
      </w:pPr>
      <w:rPr>
        <w:lang w:val="en-AU" w:eastAsia="en-US" w:bidi="ar-SA"/>
      </w:rPr>
    </w:lvl>
  </w:abstractNum>
  <w:abstractNum w:abstractNumId="28" w15:restartNumberingAfterBreak="0">
    <w:nsid w:val="52E566BA"/>
    <w:multiLevelType w:val="hybridMultilevel"/>
    <w:tmpl w:val="B3E4C730"/>
    <w:lvl w:ilvl="0" w:tplc="AAA053C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A5030"/>
    <w:multiLevelType w:val="hybridMultilevel"/>
    <w:tmpl w:val="D66C717C"/>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0" w15:restartNumberingAfterBreak="0">
    <w:nsid w:val="546C6C33"/>
    <w:multiLevelType w:val="hybridMultilevel"/>
    <w:tmpl w:val="6A1085EC"/>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402326"/>
    <w:multiLevelType w:val="hybridMultilevel"/>
    <w:tmpl w:val="491ABC38"/>
    <w:lvl w:ilvl="0" w:tplc="71A074F2">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E7CA7"/>
    <w:multiLevelType w:val="hybridMultilevel"/>
    <w:tmpl w:val="D1F89A1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3" w15:restartNumberingAfterBreak="0">
    <w:nsid w:val="593C08DB"/>
    <w:multiLevelType w:val="hybridMultilevel"/>
    <w:tmpl w:val="C4D48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053D6A"/>
    <w:multiLevelType w:val="hybridMultilevel"/>
    <w:tmpl w:val="B06CCEDA"/>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F200B3A"/>
    <w:multiLevelType w:val="hybridMultilevel"/>
    <w:tmpl w:val="498E3C62"/>
    <w:lvl w:ilvl="0" w:tplc="1CF2AFF8">
      <w:start w:val="1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22D370A"/>
    <w:multiLevelType w:val="hybridMultilevel"/>
    <w:tmpl w:val="8ABA87CE"/>
    <w:lvl w:ilvl="0" w:tplc="D5D0222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3C2248"/>
    <w:multiLevelType w:val="multilevel"/>
    <w:tmpl w:val="3AB493D0"/>
    <w:lvl w:ilvl="0">
      <w:start w:val="80"/>
      <w:numFmt w:val="decimal"/>
      <w:lvlText w:val="%1"/>
      <w:lvlJc w:val="left"/>
      <w:pPr>
        <w:ind w:left="100" w:hanging="493"/>
      </w:pPr>
      <w:rPr>
        <w:lang w:val="en-AU" w:eastAsia="en-US" w:bidi="ar-SA"/>
      </w:rPr>
    </w:lvl>
    <w:lvl w:ilvl="1">
      <w:numFmt w:val="decimal"/>
      <w:lvlText w:val="%1.%2"/>
      <w:lvlJc w:val="left"/>
      <w:pPr>
        <w:ind w:left="100" w:hanging="493"/>
      </w:pPr>
      <w:rPr>
        <w:rFonts w:ascii="Arial" w:eastAsia="Arial" w:hAnsi="Arial" w:cs="Arial" w:hint="default"/>
        <w:spacing w:val="-1"/>
        <w:w w:val="100"/>
        <w:sz w:val="22"/>
        <w:szCs w:val="22"/>
        <w:lang w:val="en-AU" w:eastAsia="en-US" w:bidi="ar-SA"/>
      </w:rPr>
    </w:lvl>
    <w:lvl w:ilvl="2">
      <w:start w:val="1"/>
      <w:numFmt w:val="lowerLetter"/>
      <w:lvlText w:val="(%3)"/>
      <w:lvlJc w:val="left"/>
      <w:pPr>
        <w:ind w:left="1229" w:hanging="210"/>
      </w:pPr>
      <w:rPr>
        <w:rFonts w:ascii="Arial" w:eastAsia="Arial" w:hAnsi="Arial" w:cs="Arial" w:hint="default"/>
        <w:spacing w:val="-1"/>
        <w:w w:val="99"/>
        <w:sz w:val="14"/>
        <w:szCs w:val="14"/>
        <w:lang w:val="en-AU" w:eastAsia="en-US" w:bidi="ar-SA"/>
      </w:rPr>
    </w:lvl>
    <w:lvl w:ilvl="3">
      <w:numFmt w:val="bullet"/>
      <w:lvlText w:val="•"/>
      <w:lvlJc w:val="left"/>
      <w:pPr>
        <w:ind w:left="3092" w:hanging="210"/>
      </w:pPr>
      <w:rPr>
        <w:lang w:val="en-AU" w:eastAsia="en-US" w:bidi="ar-SA"/>
      </w:rPr>
    </w:lvl>
    <w:lvl w:ilvl="4">
      <w:numFmt w:val="bullet"/>
      <w:lvlText w:val="•"/>
      <w:lvlJc w:val="left"/>
      <w:pPr>
        <w:ind w:left="4028" w:hanging="210"/>
      </w:pPr>
      <w:rPr>
        <w:lang w:val="en-AU" w:eastAsia="en-US" w:bidi="ar-SA"/>
      </w:rPr>
    </w:lvl>
    <w:lvl w:ilvl="5">
      <w:numFmt w:val="bullet"/>
      <w:lvlText w:val="•"/>
      <w:lvlJc w:val="left"/>
      <w:pPr>
        <w:ind w:left="4965" w:hanging="210"/>
      </w:pPr>
      <w:rPr>
        <w:lang w:val="en-AU" w:eastAsia="en-US" w:bidi="ar-SA"/>
      </w:rPr>
    </w:lvl>
    <w:lvl w:ilvl="6">
      <w:numFmt w:val="bullet"/>
      <w:lvlText w:val="•"/>
      <w:lvlJc w:val="left"/>
      <w:pPr>
        <w:ind w:left="5901" w:hanging="210"/>
      </w:pPr>
      <w:rPr>
        <w:lang w:val="en-AU" w:eastAsia="en-US" w:bidi="ar-SA"/>
      </w:rPr>
    </w:lvl>
    <w:lvl w:ilvl="7">
      <w:numFmt w:val="bullet"/>
      <w:lvlText w:val="•"/>
      <w:lvlJc w:val="left"/>
      <w:pPr>
        <w:ind w:left="6837" w:hanging="210"/>
      </w:pPr>
      <w:rPr>
        <w:lang w:val="en-AU" w:eastAsia="en-US" w:bidi="ar-SA"/>
      </w:rPr>
    </w:lvl>
    <w:lvl w:ilvl="8">
      <w:numFmt w:val="bullet"/>
      <w:lvlText w:val="•"/>
      <w:lvlJc w:val="left"/>
      <w:pPr>
        <w:ind w:left="7773" w:hanging="210"/>
      </w:pPr>
      <w:rPr>
        <w:lang w:val="en-AU" w:eastAsia="en-US" w:bidi="ar-SA"/>
      </w:rPr>
    </w:lvl>
  </w:abstractNum>
  <w:abstractNum w:abstractNumId="38" w15:restartNumberingAfterBreak="0">
    <w:nsid w:val="65290F62"/>
    <w:multiLevelType w:val="hybridMultilevel"/>
    <w:tmpl w:val="CAE67882"/>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E5796F"/>
    <w:multiLevelType w:val="hybridMultilevel"/>
    <w:tmpl w:val="FD3477BE"/>
    <w:lvl w:ilvl="0" w:tplc="0409001B">
      <w:start w:val="1"/>
      <w:numFmt w:val="lowerRoman"/>
      <w:lvlText w:val="%1."/>
      <w:lvlJc w:val="right"/>
      <w:pPr>
        <w:ind w:left="720" w:hanging="360"/>
      </w:pPr>
      <w:rPr>
        <w:rFonts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595945"/>
    <w:multiLevelType w:val="hybridMultilevel"/>
    <w:tmpl w:val="E79A95AE"/>
    <w:lvl w:ilvl="0" w:tplc="6F8A80E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C960499"/>
    <w:multiLevelType w:val="hybridMultilevel"/>
    <w:tmpl w:val="49B635E6"/>
    <w:lvl w:ilvl="0" w:tplc="0409001B">
      <w:start w:val="1"/>
      <w:numFmt w:val="lowerRoman"/>
      <w:lvlText w:val="%1."/>
      <w:lvlJc w:val="right"/>
      <w:pPr>
        <w:ind w:left="1229" w:hanging="210"/>
      </w:pPr>
      <w:rPr>
        <w:rFonts w:hint="default"/>
        <w:spacing w:val="-1"/>
        <w:w w:val="99"/>
        <w:sz w:val="14"/>
        <w:szCs w:val="14"/>
        <w:lang w:val="en-AU" w:eastAsia="en-US" w:bidi="ar-SA"/>
      </w:rPr>
    </w:lvl>
    <w:lvl w:ilvl="1" w:tplc="0EFC5EFA">
      <w:numFmt w:val="bullet"/>
      <w:lvlText w:val="•"/>
      <w:lvlJc w:val="left"/>
      <w:pPr>
        <w:ind w:left="2742" w:hanging="210"/>
      </w:pPr>
      <w:rPr>
        <w:lang w:val="en-AU" w:eastAsia="en-US" w:bidi="ar-SA"/>
      </w:rPr>
    </w:lvl>
    <w:lvl w:ilvl="2" w:tplc="0958F854">
      <w:numFmt w:val="bullet"/>
      <w:lvlText w:val="•"/>
      <w:lvlJc w:val="left"/>
      <w:pPr>
        <w:ind w:left="4264" w:hanging="210"/>
      </w:pPr>
      <w:rPr>
        <w:lang w:val="en-AU" w:eastAsia="en-US" w:bidi="ar-SA"/>
      </w:rPr>
    </w:lvl>
    <w:lvl w:ilvl="3" w:tplc="385A301E">
      <w:numFmt w:val="bullet"/>
      <w:lvlText w:val="•"/>
      <w:lvlJc w:val="left"/>
      <w:pPr>
        <w:ind w:left="5786" w:hanging="210"/>
      </w:pPr>
      <w:rPr>
        <w:lang w:val="en-AU" w:eastAsia="en-US" w:bidi="ar-SA"/>
      </w:rPr>
    </w:lvl>
    <w:lvl w:ilvl="4" w:tplc="62D04026">
      <w:numFmt w:val="bullet"/>
      <w:lvlText w:val="•"/>
      <w:lvlJc w:val="left"/>
      <w:pPr>
        <w:ind w:left="7308" w:hanging="210"/>
      </w:pPr>
      <w:rPr>
        <w:lang w:val="en-AU" w:eastAsia="en-US" w:bidi="ar-SA"/>
      </w:rPr>
    </w:lvl>
    <w:lvl w:ilvl="5" w:tplc="44780406">
      <w:numFmt w:val="bullet"/>
      <w:lvlText w:val="•"/>
      <w:lvlJc w:val="left"/>
      <w:pPr>
        <w:ind w:left="8830" w:hanging="210"/>
      </w:pPr>
      <w:rPr>
        <w:lang w:val="en-AU" w:eastAsia="en-US" w:bidi="ar-SA"/>
      </w:rPr>
    </w:lvl>
    <w:lvl w:ilvl="6" w:tplc="CEEE0DFE">
      <w:numFmt w:val="bullet"/>
      <w:lvlText w:val="•"/>
      <w:lvlJc w:val="left"/>
      <w:pPr>
        <w:ind w:left="10352" w:hanging="210"/>
      </w:pPr>
      <w:rPr>
        <w:lang w:val="en-AU" w:eastAsia="en-US" w:bidi="ar-SA"/>
      </w:rPr>
    </w:lvl>
    <w:lvl w:ilvl="7" w:tplc="3A08B60C">
      <w:numFmt w:val="bullet"/>
      <w:lvlText w:val="•"/>
      <w:lvlJc w:val="left"/>
      <w:pPr>
        <w:ind w:left="11874" w:hanging="210"/>
      </w:pPr>
      <w:rPr>
        <w:lang w:val="en-AU" w:eastAsia="en-US" w:bidi="ar-SA"/>
      </w:rPr>
    </w:lvl>
    <w:lvl w:ilvl="8" w:tplc="5AE8EBC8">
      <w:numFmt w:val="bullet"/>
      <w:lvlText w:val="•"/>
      <w:lvlJc w:val="left"/>
      <w:pPr>
        <w:ind w:left="13396" w:hanging="210"/>
      </w:pPr>
      <w:rPr>
        <w:lang w:val="en-AU" w:eastAsia="en-US" w:bidi="ar-SA"/>
      </w:rPr>
    </w:lvl>
  </w:abstractNum>
  <w:abstractNum w:abstractNumId="42" w15:restartNumberingAfterBreak="0">
    <w:nsid w:val="6DB92ED5"/>
    <w:multiLevelType w:val="hybridMultilevel"/>
    <w:tmpl w:val="FD3477BE"/>
    <w:lvl w:ilvl="0" w:tplc="0409001B">
      <w:start w:val="1"/>
      <w:numFmt w:val="lowerRoman"/>
      <w:lvlText w:val="%1."/>
      <w:lvlJc w:val="right"/>
      <w:pPr>
        <w:ind w:left="720" w:hanging="360"/>
      </w:pPr>
      <w:rPr>
        <w:rFonts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D66D6B"/>
    <w:multiLevelType w:val="hybridMultilevel"/>
    <w:tmpl w:val="D820D94A"/>
    <w:lvl w:ilvl="0" w:tplc="672C8094">
      <w:start w:val="23"/>
      <w:numFmt w:val="decimal"/>
      <w:lvlText w:val="%1."/>
      <w:lvlJc w:val="left"/>
      <w:pPr>
        <w:ind w:left="100" w:hanging="368"/>
      </w:pPr>
      <w:rPr>
        <w:rFonts w:ascii="Arial" w:eastAsia="Arial" w:hAnsi="Arial" w:cs="Arial" w:hint="default"/>
        <w:spacing w:val="-1"/>
        <w:w w:val="100"/>
        <w:sz w:val="22"/>
        <w:szCs w:val="22"/>
        <w:lang w:val="en-AU" w:eastAsia="en-US" w:bidi="ar-SA"/>
      </w:rPr>
    </w:lvl>
    <w:lvl w:ilvl="1" w:tplc="4AB0C232">
      <w:start w:val="1"/>
      <w:numFmt w:val="lowerLetter"/>
      <w:lvlText w:val="(%2)"/>
      <w:lvlJc w:val="left"/>
      <w:pPr>
        <w:ind w:left="1229" w:hanging="210"/>
      </w:pPr>
      <w:rPr>
        <w:rFonts w:ascii="Arial" w:eastAsia="Arial" w:hAnsi="Arial" w:cs="Arial" w:hint="default"/>
        <w:spacing w:val="-1"/>
        <w:w w:val="99"/>
        <w:sz w:val="14"/>
        <w:szCs w:val="14"/>
        <w:lang w:val="en-AU" w:eastAsia="en-US" w:bidi="ar-SA"/>
      </w:rPr>
    </w:lvl>
    <w:lvl w:ilvl="2" w:tplc="7A9E6EDC">
      <w:numFmt w:val="bullet"/>
      <w:lvlText w:val="•"/>
      <w:lvlJc w:val="left"/>
      <w:pPr>
        <w:ind w:left="2156" w:hanging="210"/>
      </w:pPr>
      <w:rPr>
        <w:lang w:val="en-AU" w:eastAsia="en-US" w:bidi="ar-SA"/>
      </w:rPr>
    </w:lvl>
    <w:lvl w:ilvl="3" w:tplc="6108DE38">
      <w:numFmt w:val="bullet"/>
      <w:lvlText w:val="•"/>
      <w:lvlJc w:val="left"/>
      <w:pPr>
        <w:ind w:left="3092" w:hanging="210"/>
      </w:pPr>
      <w:rPr>
        <w:lang w:val="en-AU" w:eastAsia="en-US" w:bidi="ar-SA"/>
      </w:rPr>
    </w:lvl>
    <w:lvl w:ilvl="4" w:tplc="ADD429B8">
      <w:numFmt w:val="bullet"/>
      <w:lvlText w:val="•"/>
      <w:lvlJc w:val="left"/>
      <w:pPr>
        <w:ind w:left="4028" w:hanging="210"/>
      </w:pPr>
      <w:rPr>
        <w:lang w:val="en-AU" w:eastAsia="en-US" w:bidi="ar-SA"/>
      </w:rPr>
    </w:lvl>
    <w:lvl w:ilvl="5" w:tplc="0658D89E">
      <w:numFmt w:val="bullet"/>
      <w:lvlText w:val="•"/>
      <w:lvlJc w:val="left"/>
      <w:pPr>
        <w:ind w:left="4965" w:hanging="210"/>
      </w:pPr>
      <w:rPr>
        <w:lang w:val="en-AU" w:eastAsia="en-US" w:bidi="ar-SA"/>
      </w:rPr>
    </w:lvl>
    <w:lvl w:ilvl="6" w:tplc="ACB8C3BE">
      <w:numFmt w:val="bullet"/>
      <w:lvlText w:val="•"/>
      <w:lvlJc w:val="left"/>
      <w:pPr>
        <w:ind w:left="5901" w:hanging="210"/>
      </w:pPr>
      <w:rPr>
        <w:lang w:val="en-AU" w:eastAsia="en-US" w:bidi="ar-SA"/>
      </w:rPr>
    </w:lvl>
    <w:lvl w:ilvl="7" w:tplc="C1D480E4">
      <w:numFmt w:val="bullet"/>
      <w:lvlText w:val="•"/>
      <w:lvlJc w:val="left"/>
      <w:pPr>
        <w:ind w:left="6837" w:hanging="210"/>
      </w:pPr>
      <w:rPr>
        <w:lang w:val="en-AU" w:eastAsia="en-US" w:bidi="ar-SA"/>
      </w:rPr>
    </w:lvl>
    <w:lvl w:ilvl="8" w:tplc="2032838E">
      <w:numFmt w:val="bullet"/>
      <w:lvlText w:val="•"/>
      <w:lvlJc w:val="left"/>
      <w:pPr>
        <w:ind w:left="7773" w:hanging="210"/>
      </w:pPr>
      <w:rPr>
        <w:lang w:val="en-AU" w:eastAsia="en-US" w:bidi="ar-SA"/>
      </w:rPr>
    </w:lvl>
  </w:abstractNum>
  <w:abstractNum w:abstractNumId="44" w15:restartNumberingAfterBreak="0">
    <w:nsid w:val="72C83DEF"/>
    <w:multiLevelType w:val="hybridMultilevel"/>
    <w:tmpl w:val="93A49D4E"/>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B21124"/>
    <w:multiLevelType w:val="hybridMultilevel"/>
    <w:tmpl w:val="CCC2E236"/>
    <w:lvl w:ilvl="0" w:tplc="71A074F2">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624154"/>
    <w:multiLevelType w:val="hybridMultilevel"/>
    <w:tmpl w:val="D174D454"/>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9700DCF"/>
    <w:multiLevelType w:val="hybridMultilevel"/>
    <w:tmpl w:val="8F0C6422"/>
    <w:lvl w:ilvl="0" w:tplc="CC42BA3C">
      <w:start w:val="1"/>
      <w:numFmt w:val="decimal"/>
      <w:pStyle w:val="Heading1"/>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9F1A30"/>
    <w:multiLevelType w:val="hybridMultilevel"/>
    <w:tmpl w:val="6868C34E"/>
    <w:lvl w:ilvl="0" w:tplc="6F8A80E0">
      <w:start w:val="5"/>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26"/>
  </w:num>
  <w:num w:numId="2">
    <w:abstractNumId w:val="29"/>
  </w:num>
  <w:num w:numId="3">
    <w:abstractNumId w:val="0"/>
  </w:num>
  <w:num w:numId="4">
    <w:abstractNumId w:val="47"/>
  </w:num>
  <w:num w:numId="5">
    <w:abstractNumId w:val="16"/>
  </w:num>
  <w:num w:numId="6">
    <w:abstractNumId w:val="0"/>
  </w:num>
  <w:num w:numId="7">
    <w:abstractNumId w:val="0"/>
  </w:num>
  <w:num w:numId="8">
    <w:abstractNumId w:val="32"/>
  </w:num>
  <w:num w:numId="9">
    <w:abstractNumId w:val="38"/>
  </w:num>
  <w:num w:numId="10">
    <w:abstractNumId w:val="7"/>
  </w:num>
  <w:num w:numId="11">
    <w:abstractNumId w:val="34"/>
  </w:num>
  <w:num w:numId="12">
    <w:abstractNumId w:val="44"/>
  </w:num>
  <w:num w:numId="13">
    <w:abstractNumId w:val="18"/>
  </w:num>
  <w:num w:numId="14">
    <w:abstractNumId w:val="46"/>
  </w:num>
  <w:num w:numId="15">
    <w:abstractNumId w:val="3"/>
  </w:num>
  <w:num w:numId="16">
    <w:abstractNumId w:val="10"/>
  </w:num>
  <w:num w:numId="17">
    <w:abstractNumId w:val="43"/>
    <w:lvlOverride w:ilvl="0">
      <w:startOverride w:val="23"/>
    </w:lvlOverride>
    <w:lvlOverride w:ilvl="1">
      <w:startOverride w:val="1"/>
    </w:lvlOverride>
    <w:lvlOverride w:ilvl="2"/>
    <w:lvlOverride w:ilvl="3"/>
    <w:lvlOverride w:ilvl="4"/>
    <w:lvlOverride w:ilvl="5"/>
    <w:lvlOverride w:ilvl="6"/>
    <w:lvlOverride w:ilvl="7"/>
    <w:lvlOverride w:ilvl="8"/>
  </w:num>
  <w:num w:numId="18">
    <w:abstractNumId w:val="43"/>
  </w:num>
  <w:num w:numId="19">
    <w:abstractNumId w:val="5"/>
  </w:num>
  <w:num w:numId="20">
    <w:abstractNumId w:val="41"/>
  </w:num>
  <w:num w:numId="21">
    <w:abstractNumId w:val="22"/>
    <w:lvlOverride w:ilvl="0">
      <w:startOverride w:val="1"/>
    </w:lvlOverride>
    <w:lvlOverride w:ilvl="1"/>
    <w:lvlOverride w:ilvl="2"/>
    <w:lvlOverride w:ilvl="3"/>
    <w:lvlOverride w:ilvl="4"/>
    <w:lvlOverride w:ilvl="5"/>
    <w:lvlOverride w:ilvl="6"/>
    <w:lvlOverride w:ilvl="7"/>
    <w:lvlOverride w:ilvl="8"/>
  </w:num>
  <w:num w:numId="22">
    <w:abstractNumId w:val="1"/>
  </w:num>
  <w:num w:numId="23">
    <w:abstractNumId w:val="16"/>
  </w:num>
  <w:num w:numId="24">
    <w:abstractNumId w:val="24"/>
  </w:num>
  <w:num w:numId="25">
    <w:abstractNumId w:val="19"/>
    <w:lvlOverride w:ilvl="0">
      <w:startOverride w:val="85"/>
    </w:lvlOverride>
    <w:lvlOverride w:ilvl="1"/>
    <w:lvlOverride w:ilvl="2">
      <w:startOverride w:val="1"/>
    </w:lvlOverride>
    <w:lvlOverride w:ilvl="3"/>
    <w:lvlOverride w:ilvl="4"/>
    <w:lvlOverride w:ilvl="5"/>
    <w:lvlOverride w:ilvl="6"/>
    <w:lvlOverride w:ilvl="7"/>
    <w:lvlOverride w:ilvl="8"/>
  </w:num>
  <w:num w:numId="26">
    <w:abstractNumId w:val="15"/>
  </w:num>
  <w:num w:numId="27">
    <w:abstractNumId w:val="30"/>
  </w:num>
  <w:num w:numId="28">
    <w:abstractNumId w:val="16"/>
  </w:num>
  <w:num w:numId="29">
    <w:abstractNumId w:val="27"/>
    <w:lvlOverride w:ilvl="0">
      <w:startOverride w:val="85"/>
    </w:lvlOverride>
    <w:lvlOverride w:ilvl="1"/>
    <w:lvlOverride w:ilvl="2">
      <w:startOverride w:val="1"/>
    </w:lvlOverride>
    <w:lvlOverride w:ilvl="3"/>
    <w:lvlOverride w:ilvl="4"/>
    <w:lvlOverride w:ilvl="5"/>
    <w:lvlOverride w:ilvl="6"/>
    <w:lvlOverride w:ilvl="7"/>
    <w:lvlOverride w:ilvl="8"/>
  </w:num>
  <w:num w:numId="30">
    <w:abstractNumId w:val="39"/>
  </w:num>
  <w:num w:numId="31">
    <w:abstractNumId w:val="37"/>
    <w:lvlOverride w:ilvl="0">
      <w:startOverride w:val="80"/>
    </w:lvlOverride>
    <w:lvlOverride w:ilvl="1"/>
    <w:lvlOverride w:ilvl="2">
      <w:startOverride w:val="1"/>
    </w:lvlOverride>
    <w:lvlOverride w:ilvl="3"/>
    <w:lvlOverride w:ilvl="4"/>
    <w:lvlOverride w:ilvl="5"/>
    <w:lvlOverride w:ilvl="6"/>
    <w:lvlOverride w:ilvl="7"/>
    <w:lvlOverride w:ilvl="8"/>
  </w:num>
  <w:num w:numId="32">
    <w:abstractNumId w:val="23"/>
  </w:num>
  <w:num w:numId="33">
    <w:abstractNumId w:val="11"/>
    <w:lvlOverride w:ilvl="0">
      <w:startOverride w:val="1"/>
    </w:lvlOverride>
    <w:lvlOverride w:ilvl="1"/>
    <w:lvlOverride w:ilvl="2"/>
    <w:lvlOverride w:ilvl="3"/>
    <w:lvlOverride w:ilvl="4"/>
    <w:lvlOverride w:ilvl="5"/>
    <w:lvlOverride w:ilvl="6"/>
    <w:lvlOverride w:ilvl="7"/>
    <w:lvlOverride w:ilvl="8"/>
  </w:num>
  <w:num w:numId="34">
    <w:abstractNumId w:val="20"/>
  </w:num>
  <w:num w:numId="35">
    <w:abstractNumId w:val="48"/>
  </w:num>
  <w:num w:numId="36">
    <w:abstractNumId w:val="32"/>
  </w:num>
  <w:num w:numId="37">
    <w:abstractNumId w:val="2"/>
    <w:lvlOverride w:ilvl="0">
      <w:startOverride w:val="1"/>
    </w:lvlOverride>
    <w:lvlOverride w:ilvl="1"/>
    <w:lvlOverride w:ilvl="2"/>
    <w:lvlOverride w:ilvl="3"/>
    <w:lvlOverride w:ilvl="4"/>
    <w:lvlOverride w:ilvl="5"/>
    <w:lvlOverride w:ilvl="6"/>
    <w:lvlOverride w:ilvl="7"/>
    <w:lvlOverride w:ilvl="8"/>
  </w:num>
  <w:num w:numId="38">
    <w:abstractNumId w:val="40"/>
  </w:num>
  <w:num w:numId="39">
    <w:abstractNumId w:val="4"/>
  </w:num>
  <w:num w:numId="40">
    <w:abstractNumId w:val="36"/>
  </w:num>
  <w:num w:numId="41">
    <w:abstractNumId w:val="33"/>
  </w:num>
  <w:num w:numId="42">
    <w:abstractNumId w:val="25"/>
  </w:num>
  <w:num w:numId="43">
    <w:abstractNumId w:val="14"/>
  </w:num>
  <w:num w:numId="44">
    <w:abstractNumId w:val="21"/>
  </w:num>
  <w:num w:numId="45">
    <w:abstractNumId w:val="41"/>
  </w:num>
  <w:num w:numId="46">
    <w:abstractNumId w:val="13"/>
  </w:num>
  <w:num w:numId="47">
    <w:abstractNumId w:val="35"/>
  </w:num>
  <w:num w:numId="48">
    <w:abstractNumId w:val="28"/>
  </w:num>
  <w:num w:numId="49">
    <w:abstractNumId w:val="9"/>
  </w:num>
  <w:num w:numId="50">
    <w:abstractNumId w:val="12"/>
  </w:num>
  <w:num w:numId="51">
    <w:abstractNumId w:val="42"/>
  </w:num>
  <w:num w:numId="52">
    <w:abstractNumId w:val="0"/>
  </w:num>
  <w:num w:numId="53">
    <w:abstractNumId w:val="0"/>
  </w:num>
  <w:num w:numId="54">
    <w:abstractNumId w:val="6"/>
  </w:num>
  <w:num w:numId="55">
    <w:abstractNumId w:val="8"/>
  </w:num>
  <w:num w:numId="56">
    <w:abstractNumId w:val="45"/>
  </w:num>
  <w:num w:numId="57">
    <w:abstractNumId w:val="17"/>
  </w:num>
  <w:num w:numId="58">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E50"/>
    <w:rsid w:val="00000C47"/>
    <w:rsid w:val="000024F5"/>
    <w:rsid w:val="00002F99"/>
    <w:rsid w:val="00006557"/>
    <w:rsid w:val="00010DBE"/>
    <w:rsid w:val="00012A42"/>
    <w:rsid w:val="00015C1F"/>
    <w:rsid w:val="00020664"/>
    <w:rsid w:val="000231FC"/>
    <w:rsid w:val="000235D0"/>
    <w:rsid w:val="00023F91"/>
    <w:rsid w:val="00026E0A"/>
    <w:rsid w:val="00027E03"/>
    <w:rsid w:val="0003483D"/>
    <w:rsid w:val="00036171"/>
    <w:rsid w:val="00040667"/>
    <w:rsid w:val="000427AA"/>
    <w:rsid w:val="000431FE"/>
    <w:rsid w:val="00044A3F"/>
    <w:rsid w:val="00044D4D"/>
    <w:rsid w:val="00045857"/>
    <w:rsid w:val="000512E3"/>
    <w:rsid w:val="00052754"/>
    <w:rsid w:val="000531FD"/>
    <w:rsid w:val="0006725F"/>
    <w:rsid w:val="00067891"/>
    <w:rsid w:val="000702E0"/>
    <w:rsid w:val="000741AE"/>
    <w:rsid w:val="000746F1"/>
    <w:rsid w:val="00074728"/>
    <w:rsid w:val="000771FC"/>
    <w:rsid w:val="00077931"/>
    <w:rsid w:val="00077CF5"/>
    <w:rsid w:val="00080925"/>
    <w:rsid w:val="00082AD1"/>
    <w:rsid w:val="000834A8"/>
    <w:rsid w:val="00087B99"/>
    <w:rsid w:val="00093269"/>
    <w:rsid w:val="000A1964"/>
    <w:rsid w:val="000A22E9"/>
    <w:rsid w:val="000A2BFE"/>
    <w:rsid w:val="000A34D0"/>
    <w:rsid w:val="000A36D4"/>
    <w:rsid w:val="000A56B6"/>
    <w:rsid w:val="000A7955"/>
    <w:rsid w:val="000B047B"/>
    <w:rsid w:val="000B569F"/>
    <w:rsid w:val="000B5951"/>
    <w:rsid w:val="000C082D"/>
    <w:rsid w:val="000C115F"/>
    <w:rsid w:val="000C2690"/>
    <w:rsid w:val="000C2921"/>
    <w:rsid w:val="000C38AE"/>
    <w:rsid w:val="000C39D8"/>
    <w:rsid w:val="000C464C"/>
    <w:rsid w:val="000C687C"/>
    <w:rsid w:val="000E141A"/>
    <w:rsid w:val="000E33FF"/>
    <w:rsid w:val="000E6E32"/>
    <w:rsid w:val="000E7A69"/>
    <w:rsid w:val="000F0556"/>
    <w:rsid w:val="000F109C"/>
    <w:rsid w:val="000F3472"/>
    <w:rsid w:val="000F4D6C"/>
    <w:rsid w:val="001022AF"/>
    <w:rsid w:val="001035A0"/>
    <w:rsid w:val="001053D4"/>
    <w:rsid w:val="00115614"/>
    <w:rsid w:val="001167F4"/>
    <w:rsid w:val="001234D1"/>
    <w:rsid w:val="0012555A"/>
    <w:rsid w:val="001260CF"/>
    <w:rsid w:val="00130E47"/>
    <w:rsid w:val="0014205B"/>
    <w:rsid w:val="00143863"/>
    <w:rsid w:val="00144D5F"/>
    <w:rsid w:val="00147E2F"/>
    <w:rsid w:val="0015038E"/>
    <w:rsid w:val="0015284D"/>
    <w:rsid w:val="00152E61"/>
    <w:rsid w:val="00154F08"/>
    <w:rsid w:val="001551ED"/>
    <w:rsid w:val="00156832"/>
    <w:rsid w:val="00156866"/>
    <w:rsid w:val="00157180"/>
    <w:rsid w:val="001575DA"/>
    <w:rsid w:val="00157631"/>
    <w:rsid w:val="0016139F"/>
    <w:rsid w:val="001625C5"/>
    <w:rsid w:val="00162972"/>
    <w:rsid w:val="00163C8C"/>
    <w:rsid w:val="00164763"/>
    <w:rsid w:val="00164DF2"/>
    <w:rsid w:val="001650A8"/>
    <w:rsid w:val="00165D3D"/>
    <w:rsid w:val="00167F76"/>
    <w:rsid w:val="00167F8B"/>
    <w:rsid w:val="00171F36"/>
    <w:rsid w:val="00172E15"/>
    <w:rsid w:val="00173142"/>
    <w:rsid w:val="00173320"/>
    <w:rsid w:val="001829AA"/>
    <w:rsid w:val="00185098"/>
    <w:rsid w:val="00194F12"/>
    <w:rsid w:val="001958E2"/>
    <w:rsid w:val="00195933"/>
    <w:rsid w:val="001A0A74"/>
    <w:rsid w:val="001A7118"/>
    <w:rsid w:val="001B1A76"/>
    <w:rsid w:val="001B29EE"/>
    <w:rsid w:val="001B336C"/>
    <w:rsid w:val="001B63DC"/>
    <w:rsid w:val="001B64CA"/>
    <w:rsid w:val="001C45A9"/>
    <w:rsid w:val="001C5A81"/>
    <w:rsid w:val="001D067F"/>
    <w:rsid w:val="001D17A7"/>
    <w:rsid w:val="001D1D30"/>
    <w:rsid w:val="001D1D5A"/>
    <w:rsid w:val="001D410C"/>
    <w:rsid w:val="001D592B"/>
    <w:rsid w:val="001D5BBA"/>
    <w:rsid w:val="001D7EE8"/>
    <w:rsid w:val="001E0E68"/>
    <w:rsid w:val="001E209A"/>
    <w:rsid w:val="001E476E"/>
    <w:rsid w:val="001F188B"/>
    <w:rsid w:val="001F2735"/>
    <w:rsid w:val="001F2913"/>
    <w:rsid w:val="001F3339"/>
    <w:rsid w:val="001F34B0"/>
    <w:rsid w:val="001F4298"/>
    <w:rsid w:val="001F4974"/>
    <w:rsid w:val="001F67FA"/>
    <w:rsid w:val="00204852"/>
    <w:rsid w:val="00207AB0"/>
    <w:rsid w:val="00213118"/>
    <w:rsid w:val="00216FDD"/>
    <w:rsid w:val="00221EBF"/>
    <w:rsid w:val="00225C6A"/>
    <w:rsid w:val="00226422"/>
    <w:rsid w:val="0023226B"/>
    <w:rsid w:val="00233D00"/>
    <w:rsid w:val="0023447C"/>
    <w:rsid w:val="002358F4"/>
    <w:rsid w:val="00236244"/>
    <w:rsid w:val="00241D78"/>
    <w:rsid w:val="00241F7D"/>
    <w:rsid w:val="00242ADA"/>
    <w:rsid w:val="00244FA6"/>
    <w:rsid w:val="0024696A"/>
    <w:rsid w:val="00247633"/>
    <w:rsid w:val="002531D9"/>
    <w:rsid w:val="00253343"/>
    <w:rsid w:val="00255CF2"/>
    <w:rsid w:val="0025616E"/>
    <w:rsid w:val="00257DF2"/>
    <w:rsid w:val="002608BD"/>
    <w:rsid w:val="00263B4F"/>
    <w:rsid w:val="00264D19"/>
    <w:rsid w:val="0026702E"/>
    <w:rsid w:val="00272F0F"/>
    <w:rsid w:val="00273027"/>
    <w:rsid w:val="002759D9"/>
    <w:rsid w:val="00275A8B"/>
    <w:rsid w:val="002810BD"/>
    <w:rsid w:val="00284BDA"/>
    <w:rsid w:val="00291ACE"/>
    <w:rsid w:val="00294995"/>
    <w:rsid w:val="002A0EF4"/>
    <w:rsid w:val="002A31F6"/>
    <w:rsid w:val="002A330A"/>
    <w:rsid w:val="002A4839"/>
    <w:rsid w:val="002A48D7"/>
    <w:rsid w:val="002A6ADF"/>
    <w:rsid w:val="002B4425"/>
    <w:rsid w:val="002C301E"/>
    <w:rsid w:val="002C543D"/>
    <w:rsid w:val="002C5C56"/>
    <w:rsid w:val="002C7331"/>
    <w:rsid w:val="002D7E0A"/>
    <w:rsid w:val="002E15B0"/>
    <w:rsid w:val="002E73D8"/>
    <w:rsid w:val="002F174B"/>
    <w:rsid w:val="002F2268"/>
    <w:rsid w:val="002F3010"/>
    <w:rsid w:val="002F3E4C"/>
    <w:rsid w:val="002F3EA1"/>
    <w:rsid w:val="002F6119"/>
    <w:rsid w:val="002F71FD"/>
    <w:rsid w:val="00313C6D"/>
    <w:rsid w:val="0031428A"/>
    <w:rsid w:val="00317EF9"/>
    <w:rsid w:val="00321269"/>
    <w:rsid w:val="00322C59"/>
    <w:rsid w:val="0032358C"/>
    <w:rsid w:val="003244F6"/>
    <w:rsid w:val="00325007"/>
    <w:rsid w:val="003265AD"/>
    <w:rsid w:val="00326B92"/>
    <w:rsid w:val="00336476"/>
    <w:rsid w:val="00337A91"/>
    <w:rsid w:val="003400F0"/>
    <w:rsid w:val="00341C77"/>
    <w:rsid w:val="0034265B"/>
    <w:rsid w:val="00343132"/>
    <w:rsid w:val="00346DE4"/>
    <w:rsid w:val="00357897"/>
    <w:rsid w:val="0036164B"/>
    <w:rsid w:val="00363733"/>
    <w:rsid w:val="003640D7"/>
    <w:rsid w:val="00364C5F"/>
    <w:rsid w:val="00366CDA"/>
    <w:rsid w:val="00367676"/>
    <w:rsid w:val="00370ED0"/>
    <w:rsid w:val="00371EAC"/>
    <w:rsid w:val="00374BBD"/>
    <w:rsid w:val="003755F6"/>
    <w:rsid w:val="003773A8"/>
    <w:rsid w:val="00377649"/>
    <w:rsid w:val="00377CC8"/>
    <w:rsid w:val="00383201"/>
    <w:rsid w:val="0038688A"/>
    <w:rsid w:val="00391D1F"/>
    <w:rsid w:val="0039264C"/>
    <w:rsid w:val="00392BA6"/>
    <w:rsid w:val="0039425F"/>
    <w:rsid w:val="003956EB"/>
    <w:rsid w:val="00397103"/>
    <w:rsid w:val="003A0164"/>
    <w:rsid w:val="003A0596"/>
    <w:rsid w:val="003A16D1"/>
    <w:rsid w:val="003A538E"/>
    <w:rsid w:val="003B127F"/>
    <w:rsid w:val="003B188F"/>
    <w:rsid w:val="003B1A34"/>
    <w:rsid w:val="003B24B2"/>
    <w:rsid w:val="003B5A51"/>
    <w:rsid w:val="003B6747"/>
    <w:rsid w:val="003B76DB"/>
    <w:rsid w:val="003C360C"/>
    <w:rsid w:val="003C3B21"/>
    <w:rsid w:val="003C674B"/>
    <w:rsid w:val="003C76F2"/>
    <w:rsid w:val="003D2EDD"/>
    <w:rsid w:val="003D3EC5"/>
    <w:rsid w:val="003D677B"/>
    <w:rsid w:val="003E0BC9"/>
    <w:rsid w:val="003E33FA"/>
    <w:rsid w:val="003E7AA7"/>
    <w:rsid w:val="00411A8C"/>
    <w:rsid w:val="00416893"/>
    <w:rsid w:val="00421E47"/>
    <w:rsid w:val="00422D39"/>
    <w:rsid w:val="004250DE"/>
    <w:rsid w:val="00426209"/>
    <w:rsid w:val="00430A3B"/>
    <w:rsid w:val="004325C3"/>
    <w:rsid w:val="00435930"/>
    <w:rsid w:val="004373B0"/>
    <w:rsid w:val="00440729"/>
    <w:rsid w:val="00443BA0"/>
    <w:rsid w:val="00451341"/>
    <w:rsid w:val="00452B90"/>
    <w:rsid w:val="00454032"/>
    <w:rsid w:val="004542DC"/>
    <w:rsid w:val="004564E2"/>
    <w:rsid w:val="00456682"/>
    <w:rsid w:val="004575B8"/>
    <w:rsid w:val="00462F94"/>
    <w:rsid w:val="00465693"/>
    <w:rsid w:val="004724ED"/>
    <w:rsid w:val="0047731E"/>
    <w:rsid w:val="00480585"/>
    <w:rsid w:val="0048266C"/>
    <w:rsid w:val="004828A1"/>
    <w:rsid w:val="00484421"/>
    <w:rsid w:val="0048537E"/>
    <w:rsid w:val="004905E5"/>
    <w:rsid w:val="00490E5B"/>
    <w:rsid w:val="00491E4C"/>
    <w:rsid w:val="004930EE"/>
    <w:rsid w:val="004952E0"/>
    <w:rsid w:val="00495A5E"/>
    <w:rsid w:val="004A40C4"/>
    <w:rsid w:val="004B684B"/>
    <w:rsid w:val="004C4091"/>
    <w:rsid w:val="004C5656"/>
    <w:rsid w:val="004C647A"/>
    <w:rsid w:val="004D1ACD"/>
    <w:rsid w:val="004D6457"/>
    <w:rsid w:val="004D74BD"/>
    <w:rsid w:val="004D7A64"/>
    <w:rsid w:val="004D7DD4"/>
    <w:rsid w:val="004E217C"/>
    <w:rsid w:val="004E4B3D"/>
    <w:rsid w:val="004E7352"/>
    <w:rsid w:val="004F0EF8"/>
    <w:rsid w:val="005002C6"/>
    <w:rsid w:val="00502A09"/>
    <w:rsid w:val="00502F2E"/>
    <w:rsid w:val="005062E7"/>
    <w:rsid w:val="005066AC"/>
    <w:rsid w:val="00506D82"/>
    <w:rsid w:val="005162E5"/>
    <w:rsid w:val="0051729B"/>
    <w:rsid w:val="00517FEF"/>
    <w:rsid w:val="00522146"/>
    <w:rsid w:val="00523C3C"/>
    <w:rsid w:val="00533477"/>
    <w:rsid w:val="00533691"/>
    <w:rsid w:val="00533F9A"/>
    <w:rsid w:val="00536475"/>
    <w:rsid w:val="005372BF"/>
    <w:rsid w:val="00543703"/>
    <w:rsid w:val="00550AEB"/>
    <w:rsid w:val="0055709D"/>
    <w:rsid w:val="005629F8"/>
    <w:rsid w:val="00562B2E"/>
    <w:rsid w:val="00565544"/>
    <w:rsid w:val="0057205A"/>
    <w:rsid w:val="005739FA"/>
    <w:rsid w:val="00574FBD"/>
    <w:rsid w:val="00582B54"/>
    <w:rsid w:val="0058551D"/>
    <w:rsid w:val="005A177A"/>
    <w:rsid w:val="005A2C6B"/>
    <w:rsid w:val="005B1CF4"/>
    <w:rsid w:val="005C4EDC"/>
    <w:rsid w:val="005D598E"/>
    <w:rsid w:val="005E3347"/>
    <w:rsid w:val="005E3548"/>
    <w:rsid w:val="005E3A7A"/>
    <w:rsid w:val="005E3F52"/>
    <w:rsid w:val="005E44DE"/>
    <w:rsid w:val="005E690F"/>
    <w:rsid w:val="005F3DC5"/>
    <w:rsid w:val="005F7854"/>
    <w:rsid w:val="005F7C21"/>
    <w:rsid w:val="006029C2"/>
    <w:rsid w:val="00603628"/>
    <w:rsid w:val="006058CF"/>
    <w:rsid w:val="00605F54"/>
    <w:rsid w:val="006132F6"/>
    <w:rsid w:val="00613D13"/>
    <w:rsid w:val="00614201"/>
    <w:rsid w:val="00633FCA"/>
    <w:rsid w:val="00634773"/>
    <w:rsid w:val="006356F6"/>
    <w:rsid w:val="00636846"/>
    <w:rsid w:val="00640A4E"/>
    <w:rsid w:val="00646327"/>
    <w:rsid w:val="0065012E"/>
    <w:rsid w:val="00653930"/>
    <w:rsid w:val="00660481"/>
    <w:rsid w:val="00663C81"/>
    <w:rsid w:val="006645BA"/>
    <w:rsid w:val="00664FDC"/>
    <w:rsid w:val="00681FC4"/>
    <w:rsid w:val="006843C9"/>
    <w:rsid w:val="00685E62"/>
    <w:rsid w:val="0068730C"/>
    <w:rsid w:val="00690CB7"/>
    <w:rsid w:val="0069133E"/>
    <w:rsid w:val="00692415"/>
    <w:rsid w:val="00694936"/>
    <w:rsid w:val="00696D29"/>
    <w:rsid w:val="006A0BD7"/>
    <w:rsid w:val="006A1F5C"/>
    <w:rsid w:val="006A3ACF"/>
    <w:rsid w:val="006A50BB"/>
    <w:rsid w:val="006A6EC7"/>
    <w:rsid w:val="006B2409"/>
    <w:rsid w:val="006C06E1"/>
    <w:rsid w:val="006C3F01"/>
    <w:rsid w:val="006C68FE"/>
    <w:rsid w:val="006C73A4"/>
    <w:rsid w:val="006D18E4"/>
    <w:rsid w:val="006D1937"/>
    <w:rsid w:val="006D2F1F"/>
    <w:rsid w:val="006D4BCA"/>
    <w:rsid w:val="006D4E0B"/>
    <w:rsid w:val="006D5D58"/>
    <w:rsid w:val="006D5FD2"/>
    <w:rsid w:val="006E0621"/>
    <w:rsid w:val="006E1197"/>
    <w:rsid w:val="006E351D"/>
    <w:rsid w:val="006F2EFC"/>
    <w:rsid w:val="006F7B6D"/>
    <w:rsid w:val="00707226"/>
    <w:rsid w:val="00707A91"/>
    <w:rsid w:val="00711AED"/>
    <w:rsid w:val="007164B7"/>
    <w:rsid w:val="00716550"/>
    <w:rsid w:val="007165E6"/>
    <w:rsid w:val="00724A2C"/>
    <w:rsid w:val="00732128"/>
    <w:rsid w:val="0073257D"/>
    <w:rsid w:val="00733A25"/>
    <w:rsid w:val="007345FC"/>
    <w:rsid w:val="0074083D"/>
    <w:rsid w:val="007415CD"/>
    <w:rsid w:val="007471CE"/>
    <w:rsid w:val="00752DE9"/>
    <w:rsid w:val="0075405B"/>
    <w:rsid w:val="0076290A"/>
    <w:rsid w:val="00763DF8"/>
    <w:rsid w:val="00771036"/>
    <w:rsid w:val="0077245A"/>
    <w:rsid w:val="00772A1E"/>
    <w:rsid w:val="00775907"/>
    <w:rsid w:val="00775E50"/>
    <w:rsid w:val="007764C1"/>
    <w:rsid w:val="00776F4D"/>
    <w:rsid w:val="00776F59"/>
    <w:rsid w:val="007772F7"/>
    <w:rsid w:val="007858CA"/>
    <w:rsid w:val="00786138"/>
    <w:rsid w:val="0078625D"/>
    <w:rsid w:val="00787078"/>
    <w:rsid w:val="00790C87"/>
    <w:rsid w:val="007A071B"/>
    <w:rsid w:val="007A46CF"/>
    <w:rsid w:val="007A650F"/>
    <w:rsid w:val="007B110D"/>
    <w:rsid w:val="007B3123"/>
    <w:rsid w:val="007B447E"/>
    <w:rsid w:val="007B46E1"/>
    <w:rsid w:val="007B4AC6"/>
    <w:rsid w:val="007B4F61"/>
    <w:rsid w:val="007B4F9B"/>
    <w:rsid w:val="007C1A01"/>
    <w:rsid w:val="007C6198"/>
    <w:rsid w:val="007D07FA"/>
    <w:rsid w:val="007D3796"/>
    <w:rsid w:val="007D3E1E"/>
    <w:rsid w:val="007E51A4"/>
    <w:rsid w:val="007E5599"/>
    <w:rsid w:val="007E7356"/>
    <w:rsid w:val="007F40C7"/>
    <w:rsid w:val="007F6F85"/>
    <w:rsid w:val="007F756F"/>
    <w:rsid w:val="00801B78"/>
    <w:rsid w:val="00802838"/>
    <w:rsid w:val="00804C25"/>
    <w:rsid w:val="0081173C"/>
    <w:rsid w:val="0081530E"/>
    <w:rsid w:val="00817378"/>
    <w:rsid w:val="00831484"/>
    <w:rsid w:val="008323CB"/>
    <w:rsid w:val="0084241B"/>
    <w:rsid w:val="00842BB6"/>
    <w:rsid w:val="00854DBE"/>
    <w:rsid w:val="00854F4A"/>
    <w:rsid w:val="00855591"/>
    <w:rsid w:val="0085577D"/>
    <w:rsid w:val="008621D5"/>
    <w:rsid w:val="00864013"/>
    <w:rsid w:val="0086510F"/>
    <w:rsid w:val="008669D3"/>
    <w:rsid w:val="00866E99"/>
    <w:rsid w:val="00871BB5"/>
    <w:rsid w:val="00874297"/>
    <w:rsid w:val="0088109E"/>
    <w:rsid w:val="00883437"/>
    <w:rsid w:val="00885404"/>
    <w:rsid w:val="0089788D"/>
    <w:rsid w:val="008A0291"/>
    <w:rsid w:val="008A0CCE"/>
    <w:rsid w:val="008A1659"/>
    <w:rsid w:val="008A67DE"/>
    <w:rsid w:val="008A6BAB"/>
    <w:rsid w:val="008B2AA0"/>
    <w:rsid w:val="008B4FC2"/>
    <w:rsid w:val="008B5C7B"/>
    <w:rsid w:val="008C242F"/>
    <w:rsid w:val="008C2573"/>
    <w:rsid w:val="008C6256"/>
    <w:rsid w:val="008C6CBB"/>
    <w:rsid w:val="008D092D"/>
    <w:rsid w:val="008D14E7"/>
    <w:rsid w:val="008D3054"/>
    <w:rsid w:val="008D39F6"/>
    <w:rsid w:val="008D5204"/>
    <w:rsid w:val="008D5B32"/>
    <w:rsid w:val="008E00F1"/>
    <w:rsid w:val="008E2E90"/>
    <w:rsid w:val="008E4DA3"/>
    <w:rsid w:val="008E7B9A"/>
    <w:rsid w:val="008F1A8B"/>
    <w:rsid w:val="008F3A72"/>
    <w:rsid w:val="009067B4"/>
    <w:rsid w:val="0090766D"/>
    <w:rsid w:val="00912541"/>
    <w:rsid w:val="00914756"/>
    <w:rsid w:val="009168EC"/>
    <w:rsid w:val="00922289"/>
    <w:rsid w:val="009230D1"/>
    <w:rsid w:val="00924D61"/>
    <w:rsid w:val="00926033"/>
    <w:rsid w:val="009337B4"/>
    <w:rsid w:val="0093534E"/>
    <w:rsid w:val="00941DB9"/>
    <w:rsid w:val="00942D11"/>
    <w:rsid w:val="0094343A"/>
    <w:rsid w:val="009479C9"/>
    <w:rsid w:val="00950210"/>
    <w:rsid w:val="00956E70"/>
    <w:rsid w:val="0096327D"/>
    <w:rsid w:val="009639C1"/>
    <w:rsid w:val="0097039F"/>
    <w:rsid w:val="009721F9"/>
    <w:rsid w:val="00972F11"/>
    <w:rsid w:val="00973039"/>
    <w:rsid w:val="00976970"/>
    <w:rsid w:val="00982B6B"/>
    <w:rsid w:val="009862D0"/>
    <w:rsid w:val="00990DC9"/>
    <w:rsid w:val="00996578"/>
    <w:rsid w:val="00997250"/>
    <w:rsid w:val="009A15BE"/>
    <w:rsid w:val="009B465F"/>
    <w:rsid w:val="009B5880"/>
    <w:rsid w:val="009C10A4"/>
    <w:rsid w:val="009C3879"/>
    <w:rsid w:val="009C68CB"/>
    <w:rsid w:val="009D1F0D"/>
    <w:rsid w:val="009D310D"/>
    <w:rsid w:val="009D3F37"/>
    <w:rsid w:val="009E386D"/>
    <w:rsid w:val="009E3F6F"/>
    <w:rsid w:val="009E59B2"/>
    <w:rsid w:val="009E5FB4"/>
    <w:rsid w:val="009E6836"/>
    <w:rsid w:val="009F2800"/>
    <w:rsid w:val="009F4C3C"/>
    <w:rsid w:val="009F7ED2"/>
    <w:rsid w:val="00A02F03"/>
    <w:rsid w:val="00A06572"/>
    <w:rsid w:val="00A17A7C"/>
    <w:rsid w:val="00A25DB2"/>
    <w:rsid w:val="00A26D9B"/>
    <w:rsid w:val="00A33D03"/>
    <w:rsid w:val="00A36A90"/>
    <w:rsid w:val="00A41CAF"/>
    <w:rsid w:val="00A47BBB"/>
    <w:rsid w:val="00A51ACE"/>
    <w:rsid w:val="00A527C1"/>
    <w:rsid w:val="00A530C8"/>
    <w:rsid w:val="00A53980"/>
    <w:rsid w:val="00A546C2"/>
    <w:rsid w:val="00A5626C"/>
    <w:rsid w:val="00A612D2"/>
    <w:rsid w:val="00A67990"/>
    <w:rsid w:val="00A70150"/>
    <w:rsid w:val="00A70F44"/>
    <w:rsid w:val="00A73952"/>
    <w:rsid w:val="00A77B94"/>
    <w:rsid w:val="00A830B4"/>
    <w:rsid w:val="00A869FB"/>
    <w:rsid w:val="00A86AC3"/>
    <w:rsid w:val="00A90A10"/>
    <w:rsid w:val="00A910B5"/>
    <w:rsid w:val="00A96EDB"/>
    <w:rsid w:val="00A97711"/>
    <w:rsid w:val="00AA1908"/>
    <w:rsid w:val="00AA3CAC"/>
    <w:rsid w:val="00AB45C9"/>
    <w:rsid w:val="00AC114F"/>
    <w:rsid w:val="00AC3DF7"/>
    <w:rsid w:val="00AC4C9D"/>
    <w:rsid w:val="00AC5593"/>
    <w:rsid w:val="00AD22E1"/>
    <w:rsid w:val="00AD360B"/>
    <w:rsid w:val="00AD4EEC"/>
    <w:rsid w:val="00AE1270"/>
    <w:rsid w:val="00AE2F94"/>
    <w:rsid w:val="00AE569D"/>
    <w:rsid w:val="00AF30D0"/>
    <w:rsid w:val="00B0199C"/>
    <w:rsid w:val="00B01CF4"/>
    <w:rsid w:val="00B02B00"/>
    <w:rsid w:val="00B103D1"/>
    <w:rsid w:val="00B11E69"/>
    <w:rsid w:val="00B14BDD"/>
    <w:rsid w:val="00B1554C"/>
    <w:rsid w:val="00B16337"/>
    <w:rsid w:val="00B171C9"/>
    <w:rsid w:val="00B20D7A"/>
    <w:rsid w:val="00B223D6"/>
    <w:rsid w:val="00B26CCE"/>
    <w:rsid w:val="00B42837"/>
    <w:rsid w:val="00B45117"/>
    <w:rsid w:val="00B567BF"/>
    <w:rsid w:val="00B64398"/>
    <w:rsid w:val="00B646A9"/>
    <w:rsid w:val="00B702F3"/>
    <w:rsid w:val="00B7555D"/>
    <w:rsid w:val="00B76B05"/>
    <w:rsid w:val="00B77ED5"/>
    <w:rsid w:val="00B80354"/>
    <w:rsid w:val="00B832EB"/>
    <w:rsid w:val="00B84331"/>
    <w:rsid w:val="00B84E73"/>
    <w:rsid w:val="00B85EF5"/>
    <w:rsid w:val="00B867AD"/>
    <w:rsid w:val="00B90AAB"/>
    <w:rsid w:val="00B97016"/>
    <w:rsid w:val="00BA0004"/>
    <w:rsid w:val="00BA31E0"/>
    <w:rsid w:val="00BA45CC"/>
    <w:rsid w:val="00BB5507"/>
    <w:rsid w:val="00BC01D2"/>
    <w:rsid w:val="00BC0828"/>
    <w:rsid w:val="00BC3632"/>
    <w:rsid w:val="00BC36FB"/>
    <w:rsid w:val="00BC533D"/>
    <w:rsid w:val="00BD05E7"/>
    <w:rsid w:val="00BD4972"/>
    <w:rsid w:val="00BD57D8"/>
    <w:rsid w:val="00BE20D6"/>
    <w:rsid w:val="00BE3AB9"/>
    <w:rsid w:val="00BE3CCD"/>
    <w:rsid w:val="00BE3E10"/>
    <w:rsid w:val="00BE7DE8"/>
    <w:rsid w:val="00BF088F"/>
    <w:rsid w:val="00BF105B"/>
    <w:rsid w:val="00BF12BF"/>
    <w:rsid w:val="00BF150A"/>
    <w:rsid w:val="00BF234C"/>
    <w:rsid w:val="00C01755"/>
    <w:rsid w:val="00C109BE"/>
    <w:rsid w:val="00C14480"/>
    <w:rsid w:val="00C15507"/>
    <w:rsid w:val="00C17880"/>
    <w:rsid w:val="00C22E2E"/>
    <w:rsid w:val="00C260EC"/>
    <w:rsid w:val="00C36A32"/>
    <w:rsid w:val="00C4675D"/>
    <w:rsid w:val="00C471F6"/>
    <w:rsid w:val="00C4795C"/>
    <w:rsid w:val="00C50DB1"/>
    <w:rsid w:val="00C5247D"/>
    <w:rsid w:val="00C5503B"/>
    <w:rsid w:val="00C57029"/>
    <w:rsid w:val="00C61A87"/>
    <w:rsid w:val="00C637F1"/>
    <w:rsid w:val="00C70348"/>
    <w:rsid w:val="00C7224F"/>
    <w:rsid w:val="00C73390"/>
    <w:rsid w:val="00C739CB"/>
    <w:rsid w:val="00C73E98"/>
    <w:rsid w:val="00C73ECE"/>
    <w:rsid w:val="00C7725E"/>
    <w:rsid w:val="00C8293A"/>
    <w:rsid w:val="00C82F8C"/>
    <w:rsid w:val="00C84E77"/>
    <w:rsid w:val="00C86255"/>
    <w:rsid w:val="00C86BFF"/>
    <w:rsid w:val="00C90FAC"/>
    <w:rsid w:val="00C93CE9"/>
    <w:rsid w:val="00C9519B"/>
    <w:rsid w:val="00CA5169"/>
    <w:rsid w:val="00CA5779"/>
    <w:rsid w:val="00CA6E73"/>
    <w:rsid w:val="00CA7F78"/>
    <w:rsid w:val="00CB12C4"/>
    <w:rsid w:val="00CB4778"/>
    <w:rsid w:val="00CB4D04"/>
    <w:rsid w:val="00CB5115"/>
    <w:rsid w:val="00CC0D75"/>
    <w:rsid w:val="00CC36FF"/>
    <w:rsid w:val="00CD29D7"/>
    <w:rsid w:val="00CD5D18"/>
    <w:rsid w:val="00CD7F3A"/>
    <w:rsid w:val="00CE61F2"/>
    <w:rsid w:val="00CF26C0"/>
    <w:rsid w:val="00D02724"/>
    <w:rsid w:val="00D04261"/>
    <w:rsid w:val="00D0576E"/>
    <w:rsid w:val="00D061C4"/>
    <w:rsid w:val="00D13419"/>
    <w:rsid w:val="00D16ED2"/>
    <w:rsid w:val="00D173CD"/>
    <w:rsid w:val="00D17AD7"/>
    <w:rsid w:val="00D20B03"/>
    <w:rsid w:val="00D338A9"/>
    <w:rsid w:val="00D3454D"/>
    <w:rsid w:val="00D37F03"/>
    <w:rsid w:val="00D40A60"/>
    <w:rsid w:val="00D418D9"/>
    <w:rsid w:val="00D41A2F"/>
    <w:rsid w:val="00D505A3"/>
    <w:rsid w:val="00D50EC4"/>
    <w:rsid w:val="00D53BB5"/>
    <w:rsid w:val="00D54E64"/>
    <w:rsid w:val="00D55C5B"/>
    <w:rsid w:val="00D55E31"/>
    <w:rsid w:val="00D60A37"/>
    <w:rsid w:val="00D61BAD"/>
    <w:rsid w:val="00D61BE1"/>
    <w:rsid w:val="00D62946"/>
    <w:rsid w:val="00D63660"/>
    <w:rsid w:val="00D75A17"/>
    <w:rsid w:val="00D84D32"/>
    <w:rsid w:val="00D8514A"/>
    <w:rsid w:val="00D8680B"/>
    <w:rsid w:val="00D86A8B"/>
    <w:rsid w:val="00D9018E"/>
    <w:rsid w:val="00D90F14"/>
    <w:rsid w:val="00D9124B"/>
    <w:rsid w:val="00D9779B"/>
    <w:rsid w:val="00D97C80"/>
    <w:rsid w:val="00DA1178"/>
    <w:rsid w:val="00DA1F7D"/>
    <w:rsid w:val="00DA4140"/>
    <w:rsid w:val="00DA4165"/>
    <w:rsid w:val="00DA7B3D"/>
    <w:rsid w:val="00DB0E3D"/>
    <w:rsid w:val="00DB117A"/>
    <w:rsid w:val="00DB16D0"/>
    <w:rsid w:val="00DB476A"/>
    <w:rsid w:val="00DB6937"/>
    <w:rsid w:val="00DB7638"/>
    <w:rsid w:val="00DC0458"/>
    <w:rsid w:val="00DC0E1A"/>
    <w:rsid w:val="00DC11EE"/>
    <w:rsid w:val="00DC5CE9"/>
    <w:rsid w:val="00DD0195"/>
    <w:rsid w:val="00DD1569"/>
    <w:rsid w:val="00DD17BE"/>
    <w:rsid w:val="00DD218D"/>
    <w:rsid w:val="00DD62DA"/>
    <w:rsid w:val="00DF154D"/>
    <w:rsid w:val="00DF244A"/>
    <w:rsid w:val="00DF7E1F"/>
    <w:rsid w:val="00E01C33"/>
    <w:rsid w:val="00E02904"/>
    <w:rsid w:val="00E03F55"/>
    <w:rsid w:val="00E047B2"/>
    <w:rsid w:val="00E06697"/>
    <w:rsid w:val="00E07845"/>
    <w:rsid w:val="00E104B5"/>
    <w:rsid w:val="00E13965"/>
    <w:rsid w:val="00E16820"/>
    <w:rsid w:val="00E17656"/>
    <w:rsid w:val="00E17C3A"/>
    <w:rsid w:val="00E22802"/>
    <w:rsid w:val="00E23664"/>
    <w:rsid w:val="00E24D0E"/>
    <w:rsid w:val="00E3200F"/>
    <w:rsid w:val="00E33F45"/>
    <w:rsid w:val="00E3452D"/>
    <w:rsid w:val="00E353BC"/>
    <w:rsid w:val="00E37CC4"/>
    <w:rsid w:val="00E37CEF"/>
    <w:rsid w:val="00E4071B"/>
    <w:rsid w:val="00E40CCE"/>
    <w:rsid w:val="00E41DDF"/>
    <w:rsid w:val="00E426C6"/>
    <w:rsid w:val="00E60C9F"/>
    <w:rsid w:val="00E64667"/>
    <w:rsid w:val="00E65C87"/>
    <w:rsid w:val="00E672C9"/>
    <w:rsid w:val="00E6752A"/>
    <w:rsid w:val="00E71D5D"/>
    <w:rsid w:val="00E7229D"/>
    <w:rsid w:val="00E729F0"/>
    <w:rsid w:val="00E77754"/>
    <w:rsid w:val="00E77D46"/>
    <w:rsid w:val="00E81F86"/>
    <w:rsid w:val="00E829BF"/>
    <w:rsid w:val="00E84E33"/>
    <w:rsid w:val="00E87B16"/>
    <w:rsid w:val="00E91286"/>
    <w:rsid w:val="00E91FC1"/>
    <w:rsid w:val="00E93669"/>
    <w:rsid w:val="00E94AD2"/>
    <w:rsid w:val="00E94BF0"/>
    <w:rsid w:val="00EA070A"/>
    <w:rsid w:val="00EA09CD"/>
    <w:rsid w:val="00EA2CD9"/>
    <w:rsid w:val="00EA48D2"/>
    <w:rsid w:val="00EA4BD2"/>
    <w:rsid w:val="00EA7E4A"/>
    <w:rsid w:val="00EB2C7F"/>
    <w:rsid w:val="00EB30D1"/>
    <w:rsid w:val="00EB40B0"/>
    <w:rsid w:val="00EB71F7"/>
    <w:rsid w:val="00EC0057"/>
    <w:rsid w:val="00EC0392"/>
    <w:rsid w:val="00EC4537"/>
    <w:rsid w:val="00EC4B3D"/>
    <w:rsid w:val="00EC5ACC"/>
    <w:rsid w:val="00EC7E6D"/>
    <w:rsid w:val="00ED1434"/>
    <w:rsid w:val="00ED5802"/>
    <w:rsid w:val="00ED798E"/>
    <w:rsid w:val="00EE15D0"/>
    <w:rsid w:val="00EE6138"/>
    <w:rsid w:val="00EF152A"/>
    <w:rsid w:val="00EF1759"/>
    <w:rsid w:val="00EF49FC"/>
    <w:rsid w:val="00F005E1"/>
    <w:rsid w:val="00F016EC"/>
    <w:rsid w:val="00F04BCD"/>
    <w:rsid w:val="00F062F9"/>
    <w:rsid w:val="00F14544"/>
    <w:rsid w:val="00F2253B"/>
    <w:rsid w:val="00F24C79"/>
    <w:rsid w:val="00F26A6E"/>
    <w:rsid w:val="00F26CC6"/>
    <w:rsid w:val="00F27379"/>
    <w:rsid w:val="00F31FE4"/>
    <w:rsid w:val="00F35214"/>
    <w:rsid w:val="00F364E4"/>
    <w:rsid w:val="00F36680"/>
    <w:rsid w:val="00F37CAA"/>
    <w:rsid w:val="00F41C1F"/>
    <w:rsid w:val="00F46108"/>
    <w:rsid w:val="00F46465"/>
    <w:rsid w:val="00F51A3B"/>
    <w:rsid w:val="00F5292B"/>
    <w:rsid w:val="00F66658"/>
    <w:rsid w:val="00F67821"/>
    <w:rsid w:val="00F72C9E"/>
    <w:rsid w:val="00F73634"/>
    <w:rsid w:val="00F73D80"/>
    <w:rsid w:val="00F73E6C"/>
    <w:rsid w:val="00F76674"/>
    <w:rsid w:val="00F77A81"/>
    <w:rsid w:val="00F80365"/>
    <w:rsid w:val="00F8544E"/>
    <w:rsid w:val="00F87F2B"/>
    <w:rsid w:val="00F91893"/>
    <w:rsid w:val="00F91C97"/>
    <w:rsid w:val="00F920B2"/>
    <w:rsid w:val="00F95700"/>
    <w:rsid w:val="00F96CA3"/>
    <w:rsid w:val="00F974CB"/>
    <w:rsid w:val="00F97B30"/>
    <w:rsid w:val="00FA0B55"/>
    <w:rsid w:val="00FA0E2B"/>
    <w:rsid w:val="00FA3775"/>
    <w:rsid w:val="00FA60FD"/>
    <w:rsid w:val="00FB1D53"/>
    <w:rsid w:val="00FB66B8"/>
    <w:rsid w:val="00FC34D3"/>
    <w:rsid w:val="00FC3951"/>
    <w:rsid w:val="00FC4599"/>
    <w:rsid w:val="00FC4B2D"/>
    <w:rsid w:val="00FC59D5"/>
    <w:rsid w:val="00FC5BA7"/>
    <w:rsid w:val="00FD76E2"/>
    <w:rsid w:val="00FE60CD"/>
    <w:rsid w:val="00FE6A89"/>
    <w:rsid w:val="00FF13B6"/>
    <w:rsid w:val="00FF2D7D"/>
    <w:rsid w:val="00FF72BB"/>
    <w:rsid w:val="0199AFE5"/>
    <w:rsid w:val="06E318D9"/>
    <w:rsid w:val="0A1013F7"/>
    <w:rsid w:val="0C7221AD"/>
    <w:rsid w:val="0EE405F5"/>
    <w:rsid w:val="12157D8B"/>
    <w:rsid w:val="160D3FA6"/>
    <w:rsid w:val="18506CDE"/>
    <w:rsid w:val="1B6FEFD6"/>
    <w:rsid w:val="1F77F63A"/>
    <w:rsid w:val="1FFE3681"/>
    <w:rsid w:val="2389417C"/>
    <w:rsid w:val="23A95909"/>
    <w:rsid w:val="2416D638"/>
    <w:rsid w:val="27B5044E"/>
    <w:rsid w:val="28CFD11C"/>
    <w:rsid w:val="291CB932"/>
    <w:rsid w:val="29F711A1"/>
    <w:rsid w:val="2C81BA52"/>
    <w:rsid w:val="2D3756A8"/>
    <w:rsid w:val="31B295BE"/>
    <w:rsid w:val="34F46CF5"/>
    <w:rsid w:val="35ADAD77"/>
    <w:rsid w:val="38B857ED"/>
    <w:rsid w:val="3FB6F49C"/>
    <w:rsid w:val="44406675"/>
    <w:rsid w:val="47559F00"/>
    <w:rsid w:val="47833A2B"/>
    <w:rsid w:val="494FB976"/>
    <w:rsid w:val="4AC950AB"/>
    <w:rsid w:val="527E4FCB"/>
    <w:rsid w:val="585350DC"/>
    <w:rsid w:val="5A011D9D"/>
    <w:rsid w:val="5E0B6ABA"/>
    <w:rsid w:val="5FC2A712"/>
    <w:rsid w:val="60157E26"/>
    <w:rsid w:val="637FB4A0"/>
    <w:rsid w:val="682E1BB8"/>
    <w:rsid w:val="6AA1FD95"/>
    <w:rsid w:val="6BC1F8A4"/>
    <w:rsid w:val="6C0E42C3"/>
    <w:rsid w:val="6D42711E"/>
    <w:rsid w:val="71A65878"/>
    <w:rsid w:val="74E673AD"/>
    <w:rsid w:val="7ADA4C1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4D37CE9A-F19B-4F29-AAFB-0958E285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54F4A"/>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FC4599"/>
    <w:pPr>
      <w:keepNext/>
      <w:keepLines/>
      <w:numPr>
        <w:numId w:val="4"/>
      </w:numPr>
      <w:spacing w:after="320"/>
      <w:ind w:left="709"/>
      <w:outlineLvl w:val="0"/>
    </w:pPr>
    <w:rPr>
      <w:rFonts w:eastAsiaTheme="majorEastAsia" w:cstheme="majorBidi"/>
      <w:b/>
      <w:bCs/>
      <w:sz w:val="72"/>
      <w:szCs w:val="32"/>
      <w:lang w:val="en-AU"/>
    </w:rPr>
  </w:style>
  <w:style w:type="paragraph" w:styleId="Heading2">
    <w:name w:val="heading 2"/>
    <w:basedOn w:val="Normal"/>
    <w:next w:val="Normal"/>
    <w:link w:val="Heading2Char"/>
    <w:uiPriority w:val="9"/>
    <w:unhideWhenUsed/>
    <w:qFormat/>
    <w:rsid w:val="00FC4599"/>
    <w:pPr>
      <w:keepNext/>
      <w:keepLines/>
      <w:spacing w:before="120" w:after="240"/>
      <w:outlineLvl w:val="1"/>
    </w:pPr>
    <w:rPr>
      <w:rFonts w:eastAsiaTheme="majorEastAsia" w:cstheme="majorBidi"/>
      <w:b/>
      <w:bCs/>
      <w:color w:val="104F99" w:themeColor="accent2"/>
      <w:sz w:val="36"/>
      <w:szCs w:val="26"/>
      <w:lang w:val="en-AU"/>
    </w:rPr>
  </w:style>
  <w:style w:type="paragraph" w:styleId="Heading3">
    <w:name w:val="heading 3"/>
    <w:basedOn w:val="Normal"/>
    <w:next w:val="Normal"/>
    <w:link w:val="Heading3Char"/>
    <w:uiPriority w:val="9"/>
    <w:unhideWhenUsed/>
    <w:qFormat/>
    <w:rsid w:val="00FC4599"/>
    <w:pPr>
      <w:keepNext/>
      <w:keepLines/>
      <w:spacing w:before="120" w:after="240"/>
      <w:outlineLvl w:val="2"/>
    </w:pPr>
    <w:rPr>
      <w:rFonts w:eastAsiaTheme="majorEastAsia" w:cstheme="majorBidi"/>
      <w:b/>
      <w:bCs/>
      <w:color w:val="008F55" w:themeColor="accent4"/>
      <w:sz w:val="26"/>
      <w:szCs w:val="24"/>
      <w:lang w:val="en-AU"/>
    </w:rPr>
  </w:style>
  <w:style w:type="paragraph" w:styleId="Heading4">
    <w:name w:val="heading 4"/>
    <w:basedOn w:val="Normal"/>
    <w:next w:val="Normal"/>
    <w:link w:val="Heading4Char"/>
    <w:uiPriority w:val="9"/>
    <w:unhideWhenUsed/>
    <w:qFormat/>
    <w:rsid w:val="00C7224F"/>
    <w:pPr>
      <w:keepNext/>
      <w:keepLines/>
      <w:spacing w:before="12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599"/>
    <w:rPr>
      <w:rFonts w:ascii="Arial" w:eastAsiaTheme="majorEastAsia" w:hAnsi="Arial" w:cstheme="majorBidi"/>
      <w:b/>
      <w:bCs/>
      <w:color w:val="15272F" w:themeColor="text1"/>
      <w:sz w:val="72"/>
      <w:szCs w:val="32"/>
      <w:lang w:val="en-AU"/>
    </w:rPr>
  </w:style>
  <w:style w:type="paragraph" w:styleId="Title">
    <w:name w:val="Title"/>
    <w:basedOn w:val="Normal"/>
    <w:next w:val="Normal"/>
    <w:link w:val="TitleChar"/>
    <w:uiPriority w:val="1"/>
    <w:qFormat/>
    <w:rsid w:val="00854F4A"/>
    <w:pPr>
      <w:spacing w:after="840" w:line="240" w:lineRule="auto"/>
      <w:contextualSpacing/>
    </w:pPr>
    <w:rPr>
      <w:rFonts w:eastAsiaTheme="majorEastAsia" w:cstheme="majorBidi"/>
      <w:spacing w:val="-10"/>
      <w:kern w:val="28"/>
      <w:sz w:val="84"/>
      <w:szCs w:val="56"/>
    </w:rPr>
  </w:style>
  <w:style w:type="character" w:customStyle="1" w:styleId="TitleChar">
    <w:name w:val="Title Char"/>
    <w:basedOn w:val="DefaultParagraphFont"/>
    <w:link w:val="Title"/>
    <w:uiPriority w:val="1"/>
    <w:rsid w:val="00854F4A"/>
    <w:rPr>
      <w:rFonts w:ascii="Arial" w:eastAsiaTheme="majorEastAsia" w:hAnsi="Arial" w:cstheme="majorBidi"/>
      <w:color w:val="15272F" w:themeColor="text1"/>
      <w:spacing w:val="-10"/>
      <w:kern w:val="28"/>
      <w:sz w:val="84"/>
      <w:szCs w:val="56"/>
    </w:rPr>
  </w:style>
  <w:style w:type="character" w:customStyle="1" w:styleId="Heading2Char">
    <w:name w:val="Heading 2 Char"/>
    <w:basedOn w:val="DefaultParagraphFont"/>
    <w:link w:val="Heading2"/>
    <w:uiPriority w:val="9"/>
    <w:rsid w:val="00FC4599"/>
    <w:rPr>
      <w:rFonts w:ascii="Arial" w:eastAsiaTheme="majorEastAsia" w:hAnsi="Arial" w:cstheme="majorBidi"/>
      <w:b/>
      <w:bCs/>
      <w:color w:val="104F99" w:themeColor="accent2"/>
      <w:sz w:val="36"/>
      <w:szCs w:val="26"/>
      <w:lang w:val="en-AU"/>
    </w:rPr>
  </w:style>
  <w:style w:type="character" w:customStyle="1" w:styleId="Heading3Char">
    <w:name w:val="Heading 3 Char"/>
    <w:basedOn w:val="DefaultParagraphFont"/>
    <w:link w:val="Heading3"/>
    <w:uiPriority w:val="9"/>
    <w:rsid w:val="00FC4599"/>
    <w:rPr>
      <w:rFonts w:ascii="Arial" w:eastAsiaTheme="majorEastAsia" w:hAnsi="Arial" w:cstheme="majorBidi"/>
      <w:b/>
      <w:bCs/>
      <w:color w:val="008F55" w:themeColor="accent4"/>
      <w:sz w:val="26"/>
      <w:szCs w:val="24"/>
      <w:lang w:val="en-AU"/>
    </w:rPr>
  </w:style>
  <w:style w:type="character" w:customStyle="1" w:styleId="Heading4Char">
    <w:name w:val="Heading 4 Char"/>
    <w:basedOn w:val="DefaultParagraphFont"/>
    <w:link w:val="Heading4"/>
    <w:uiPriority w:val="9"/>
    <w:rsid w:val="00C7224F"/>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1035A0"/>
    <w:pPr>
      <w:numPr>
        <w:numId w:val="3"/>
      </w:numPr>
    </w:pPr>
  </w:style>
  <w:style w:type="paragraph" w:customStyle="1" w:styleId="ListLevel2">
    <w:name w:val="List Level 2"/>
    <w:basedOn w:val="Normal"/>
    <w:link w:val="ListLevel2Char"/>
    <w:qFormat/>
    <w:rsid w:val="001035A0"/>
    <w:pPr>
      <w:numPr>
        <w:ilvl w:val="1"/>
        <w:numId w:val="2"/>
      </w:numPr>
      <w:ind w:left="851" w:hanging="425"/>
      <w:contextualSpacing/>
    </w:pPr>
  </w:style>
  <w:style w:type="paragraph" w:styleId="Header">
    <w:name w:val="header"/>
    <w:basedOn w:val="Normal"/>
    <w:link w:val="HeaderChar"/>
    <w:uiPriority w:val="99"/>
    <w:unhideWhenUsed/>
    <w:rsid w:val="00DC0458"/>
    <w:pPr>
      <w:tabs>
        <w:tab w:val="center" w:pos="4680"/>
        <w:tab w:val="right" w:pos="9360"/>
      </w:tabs>
      <w:spacing w:after="0" w:line="240" w:lineRule="auto"/>
    </w:pPr>
  </w:style>
  <w:style w:type="character" w:customStyle="1" w:styleId="ListLevel1Char">
    <w:name w:val="List Level 1 Char"/>
    <w:basedOn w:val="ListLevel2Char"/>
    <w:link w:val="ListLevel1"/>
    <w:rsid w:val="001035A0"/>
    <w:rPr>
      <w:color w:val="15272F" w:themeColor="text1"/>
      <w:sz w:val="18"/>
    </w:rPr>
  </w:style>
  <w:style w:type="character" w:customStyle="1" w:styleId="ListLevel2Char">
    <w:name w:val="List Level 2 Char"/>
    <w:basedOn w:val="DefaultParagraphFont"/>
    <w:link w:val="ListLevel2"/>
    <w:rsid w:val="001035A0"/>
    <w:rPr>
      <w:color w:val="15272F" w:themeColor="text1"/>
      <w:sz w:val="18"/>
    </w:rPr>
  </w:style>
  <w:style w:type="character" w:customStyle="1" w:styleId="HeaderChar">
    <w:name w:val="Header Char"/>
    <w:basedOn w:val="DefaultParagraphFont"/>
    <w:link w:val="Header"/>
    <w:uiPriority w:val="99"/>
    <w:rsid w:val="00DC0458"/>
    <w:rPr>
      <w:color w:val="15272F" w:themeColor="text1"/>
      <w:sz w:val="18"/>
    </w:rPr>
  </w:style>
  <w:style w:type="paragraph" w:styleId="Footer">
    <w:name w:val="footer"/>
    <w:basedOn w:val="Normal"/>
    <w:link w:val="FooterChar"/>
    <w:uiPriority w:val="99"/>
    <w:unhideWhenUsed/>
    <w:rsid w:val="00DC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458"/>
    <w:rPr>
      <w:color w:val="15272F" w:themeColor="text1"/>
      <w:sz w:val="18"/>
    </w:rPr>
  </w:style>
  <w:style w:type="paragraph" w:styleId="ListParagraph">
    <w:name w:val="List Paragraph"/>
    <w:basedOn w:val="Normal"/>
    <w:uiPriority w:val="1"/>
    <w:qFormat/>
    <w:rsid w:val="00D20B03"/>
    <w:pPr>
      <w:ind w:left="720"/>
      <w:contextualSpacing/>
    </w:pPr>
  </w:style>
  <w:style w:type="paragraph" w:customStyle="1" w:styleId="TableFigureheading">
    <w:name w:val="Table/Figure heading"/>
    <w:basedOn w:val="Heading4"/>
    <w:link w:val="TableFigureheadingChar"/>
    <w:qFormat/>
    <w:rsid w:val="00FC4599"/>
    <w:pPr>
      <w:spacing w:before="240"/>
    </w:pPr>
    <w:rPr>
      <w:b w:val="0"/>
      <w:bCs/>
      <w:color w:val="008F55" w:themeColor="accent4"/>
      <w:lang w:val="en-AU"/>
    </w:rPr>
  </w:style>
  <w:style w:type="table" w:customStyle="1" w:styleId="IHACPATable">
    <w:name w:val="IHACPA Table"/>
    <w:basedOn w:val="TableNormal"/>
    <w:uiPriority w:val="99"/>
    <w:rsid w:val="001B29EE"/>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FC4599"/>
    <w:rPr>
      <w:rFonts w:ascii="Arial" w:eastAsiaTheme="majorEastAsia" w:hAnsi="Arial" w:cstheme="majorBidi"/>
      <w:b w:val="0"/>
      <w:bCs/>
      <w:iCs/>
      <w:color w:val="008F55" w:themeColor="accent4"/>
      <w:lang w:val="en-AU"/>
    </w:rPr>
  </w:style>
  <w:style w:type="table" w:styleId="TableGrid">
    <w:name w:val="Table Grid"/>
    <w:basedOn w:val="TableNormal"/>
    <w:uiPriority w:val="39"/>
    <w:rsid w:val="001B2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077CF5"/>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1B64CA"/>
    <w:pPr>
      <w:spacing w:after="0" w:line="240" w:lineRule="auto"/>
    </w:pPr>
    <w:rPr>
      <w:sz w:val="16"/>
      <w:szCs w:val="15"/>
    </w:rPr>
  </w:style>
  <w:style w:type="character" w:customStyle="1" w:styleId="FootnoteChar">
    <w:name w:val="Footnote Char"/>
    <w:basedOn w:val="DefaultParagraphFont"/>
    <w:link w:val="Footnote"/>
    <w:rsid w:val="001B64CA"/>
    <w:rPr>
      <w:color w:val="15272F" w:themeColor="text1"/>
      <w:sz w:val="16"/>
      <w:szCs w:val="15"/>
    </w:rPr>
  </w:style>
  <w:style w:type="character" w:styleId="Hyperlink">
    <w:name w:val="Hyperlink"/>
    <w:basedOn w:val="DefaultParagraphFont"/>
    <w:uiPriority w:val="99"/>
    <w:unhideWhenUsed/>
    <w:rsid w:val="00C9519B"/>
    <w:rPr>
      <w:color w:val="0080C4" w:themeColor="hyperlink"/>
      <w:u w:val="single"/>
    </w:rPr>
  </w:style>
  <w:style w:type="paragraph" w:styleId="TOC1">
    <w:name w:val="toc 1"/>
    <w:basedOn w:val="Normal"/>
    <w:next w:val="Normal"/>
    <w:autoRedefine/>
    <w:uiPriority w:val="39"/>
    <w:unhideWhenUsed/>
    <w:rsid w:val="00E60C9F"/>
    <w:pPr>
      <w:spacing w:after="0"/>
    </w:pPr>
    <w:rPr>
      <w:b/>
      <w:sz w:val="28"/>
    </w:rPr>
  </w:style>
  <w:style w:type="paragraph" w:customStyle="1" w:styleId="CoverTitle">
    <w:name w:val="Cover Title"/>
    <w:basedOn w:val="Title"/>
    <w:link w:val="CoverTitleChar"/>
    <w:qFormat/>
    <w:rsid w:val="00A5626C"/>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A5626C"/>
    <w:rPr>
      <w:color w:val="54C1AF" w:themeColor="accent5"/>
      <w:sz w:val="48"/>
      <w:szCs w:val="48"/>
    </w:rPr>
  </w:style>
  <w:style w:type="character" w:customStyle="1" w:styleId="CoverTitleChar">
    <w:name w:val="Cover Title Char"/>
    <w:basedOn w:val="TitleChar"/>
    <w:link w:val="CoverTitle"/>
    <w:rsid w:val="00A5626C"/>
    <w:rPr>
      <w:rFonts w:asciiTheme="majorHAnsi" w:eastAsiaTheme="majorEastAsia" w:hAnsiTheme="majorHAnsi" w:cstheme="majorBidi"/>
      <w:color w:val="FFFFFF" w:themeColor="background2"/>
      <w:spacing w:val="-10"/>
      <w:kern w:val="28"/>
      <w:sz w:val="96"/>
      <w:szCs w:val="96"/>
    </w:rPr>
  </w:style>
  <w:style w:type="character" w:customStyle="1" w:styleId="UnresolvedMention1">
    <w:name w:val="Unresolved Mention1"/>
    <w:basedOn w:val="DefaultParagraphFont"/>
    <w:uiPriority w:val="99"/>
    <w:semiHidden/>
    <w:unhideWhenUsed/>
    <w:rsid w:val="00502A09"/>
    <w:rPr>
      <w:color w:val="605E5C"/>
      <w:shd w:val="clear" w:color="auto" w:fill="E1DFDD"/>
    </w:rPr>
  </w:style>
  <w:style w:type="character" w:customStyle="1" w:styleId="CoversubtitleChar">
    <w:name w:val="Cover subtitle Char"/>
    <w:basedOn w:val="CoverTitleChar"/>
    <w:link w:val="Coversubtitle"/>
    <w:rsid w:val="00A5626C"/>
    <w:rPr>
      <w:rFonts w:asciiTheme="majorHAnsi" w:eastAsiaTheme="majorEastAsia" w:hAnsiTheme="majorHAnsi" w:cstheme="majorBidi"/>
      <w:color w:val="54C1AF" w:themeColor="accent5"/>
      <w:spacing w:val="-10"/>
      <w:kern w:val="28"/>
      <w:sz w:val="48"/>
      <w:szCs w:val="48"/>
    </w:rPr>
  </w:style>
  <w:style w:type="paragraph" w:styleId="BodyText">
    <w:name w:val="Body Text"/>
    <w:basedOn w:val="Normal"/>
    <w:link w:val="BodyTextChar"/>
    <w:uiPriority w:val="1"/>
    <w:qFormat/>
    <w:rsid w:val="00C5247D"/>
    <w:pPr>
      <w:widowControl w:val="0"/>
      <w:autoSpaceDE w:val="0"/>
      <w:autoSpaceDN w:val="0"/>
      <w:spacing w:after="0" w:line="240" w:lineRule="auto"/>
    </w:pPr>
    <w:rPr>
      <w:rFonts w:eastAsia="Arial" w:cs="Arial"/>
      <w:color w:val="auto"/>
      <w:lang w:val="en-AU"/>
    </w:rPr>
  </w:style>
  <w:style w:type="character" w:customStyle="1" w:styleId="BodyTextChar">
    <w:name w:val="Body Text Char"/>
    <w:basedOn w:val="DefaultParagraphFont"/>
    <w:link w:val="BodyText"/>
    <w:uiPriority w:val="1"/>
    <w:rsid w:val="00C5247D"/>
    <w:rPr>
      <w:rFonts w:ascii="Arial" w:eastAsia="Arial" w:hAnsi="Arial" w:cs="Arial"/>
      <w:lang w:val="en-AU"/>
    </w:rPr>
  </w:style>
  <w:style w:type="paragraph" w:customStyle="1" w:styleId="TableParagraph">
    <w:name w:val="Table Paragraph"/>
    <w:basedOn w:val="Normal"/>
    <w:uiPriority w:val="1"/>
    <w:qFormat/>
    <w:rsid w:val="00956E70"/>
    <w:pPr>
      <w:widowControl w:val="0"/>
      <w:autoSpaceDE w:val="0"/>
      <w:autoSpaceDN w:val="0"/>
      <w:spacing w:after="0" w:line="240" w:lineRule="auto"/>
    </w:pPr>
    <w:rPr>
      <w:rFonts w:eastAsia="Arial" w:cs="Arial"/>
      <w:color w:val="auto"/>
      <w:sz w:val="14"/>
      <w:lang w:val="en-AU"/>
    </w:rPr>
  </w:style>
  <w:style w:type="paragraph" w:styleId="FootnoteText">
    <w:name w:val="footnote text"/>
    <w:basedOn w:val="Normal"/>
    <w:link w:val="FootnoteTextChar"/>
    <w:uiPriority w:val="99"/>
    <w:semiHidden/>
    <w:unhideWhenUsed/>
    <w:rsid w:val="001B6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4CA"/>
    <w:rPr>
      <w:color w:val="15272F" w:themeColor="text1"/>
      <w:sz w:val="20"/>
      <w:szCs w:val="20"/>
    </w:rPr>
  </w:style>
  <w:style w:type="character" w:styleId="FootnoteReference">
    <w:name w:val="footnote reference"/>
    <w:basedOn w:val="DefaultParagraphFont"/>
    <w:uiPriority w:val="99"/>
    <w:semiHidden/>
    <w:unhideWhenUsed/>
    <w:rsid w:val="001B64CA"/>
    <w:rPr>
      <w:vertAlign w:val="superscript"/>
    </w:rPr>
  </w:style>
  <w:style w:type="paragraph" w:styleId="Caption">
    <w:name w:val="caption"/>
    <w:basedOn w:val="Normal"/>
    <w:next w:val="Normal"/>
    <w:uiPriority w:val="35"/>
    <w:unhideWhenUsed/>
    <w:qFormat/>
    <w:rsid w:val="00854DBE"/>
    <w:pPr>
      <w:widowControl w:val="0"/>
      <w:autoSpaceDE w:val="0"/>
      <w:autoSpaceDN w:val="0"/>
      <w:spacing w:after="200" w:line="240" w:lineRule="auto"/>
    </w:pPr>
    <w:rPr>
      <w:rFonts w:eastAsia="Arial" w:cs="Arial"/>
      <w:b/>
      <w:iCs/>
      <w:color w:val="008F55" w:themeColor="accent4"/>
      <w:szCs w:val="18"/>
      <w:lang w:val="en-AU"/>
    </w:rPr>
  </w:style>
  <w:style w:type="paragraph" w:styleId="TOCHeading">
    <w:name w:val="TOC Heading"/>
    <w:basedOn w:val="Heading1"/>
    <w:next w:val="Normal"/>
    <w:uiPriority w:val="39"/>
    <w:unhideWhenUsed/>
    <w:qFormat/>
    <w:rsid w:val="00DB7638"/>
    <w:pPr>
      <w:spacing w:before="240" w:after="0" w:line="259" w:lineRule="auto"/>
      <w:outlineLvl w:val="9"/>
    </w:pPr>
    <w:rPr>
      <w:rFonts w:asciiTheme="majorHAnsi" w:hAnsiTheme="majorHAnsi"/>
      <w:color w:val="0F1D23" w:themeColor="accent1" w:themeShade="BF"/>
      <w:sz w:val="32"/>
      <w:lang w:val="en-US"/>
    </w:rPr>
  </w:style>
  <w:style w:type="paragraph" w:styleId="TOC2">
    <w:name w:val="toc 2"/>
    <w:basedOn w:val="Normal"/>
    <w:next w:val="Normal"/>
    <w:autoRedefine/>
    <w:uiPriority w:val="39"/>
    <w:unhideWhenUsed/>
    <w:rsid w:val="00DB7638"/>
    <w:pPr>
      <w:spacing w:after="100"/>
      <w:ind w:left="220"/>
    </w:pPr>
  </w:style>
  <w:style w:type="paragraph" w:styleId="TOC3">
    <w:name w:val="toc 3"/>
    <w:basedOn w:val="Normal"/>
    <w:next w:val="Normal"/>
    <w:uiPriority w:val="39"/>
    <w:unhideWhenUsed/>
    <w:rsid w:val="00DB7638"/>
    <w:pPr>
      <w:spacing w:after="100"/>
      <w:ind w:left="440"/>
    </w:pPr>
  </w:style>
  <w:style w:type="paragraph" w:styleId="TableofFigures">
    <w:name w:val="table of figures"/>
    <w:basedOn w:val="Normal"/>
    <w:next w:val="Normal"/>
    <w:uiPriority w:val="99"/>
    <w:unhideWhenUsed/>
    <w:rsid w:val="00DB7638"/>
    <w:pPr>
      <w:spacing w:after="0"/>
    </w:pPr>
  </w:style>
  <w:style w:type="character" w:styleId="CommentReference">
    <w:name w:val="annotation reference"/>
    <w:basedOn w:val="DefaultParagraphFont"/>
    <w:uiPriority w:val="99"/>
    <w:semiHidden/>
    <w:unhideWhenUsed/>
    <w:rsid w:val="00DB476A"/>
    <w:rPr>
      <w:sz w:val="16"/>
      <w:szCs w:val="16"/>
    </w:rPr>
  </w:style>
  <w:style w:type="paragraph" w:styleId="CommentText">
    <w:name w:val="annotation text"/>
    <w:basedOn w:val="Normal"/>
    <w:link w:val="CommentTextChar"/>
    <w:uiPriority w:val="99"/>
    <w:unhideWhenUsed/>
    <w:rsid w:val="00DB476A"/>
    <w:pPr>
      <w:spacing w:line="240" w:lineRule="auto"/>
    </w:pPr>
    <w:rPr>
      <w:sz w:val="20"/>
      <w:szCs w:val="20"/>
    </w:rPr>
  </w:style>
  <w:style w:type="character" w:customStyle="1" w:styleId="CommentTextChar">
    <w:name w:val="Comment Text Char"/>
    <w:basedOn w:val="DefaultParagraphFont"/>
    <w:link w:val="CommentText"/>
    <w:uiPriority w:val="99"/>
    <w:rsid w:val="00DB476A"/>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DB476A"/>
    <w:rPr>
      <w:b/>
      <w:bCs/>
    </w:rPr>
  </w:style>
  <w:style w:type="character" w:customStyle="1" w:styleId="CommentSubjectChar">
    <w:name w:val="Comment Subject Char"/>
    <w:basedOn w:val="CommentTextChar"/>
    <w:link w:val="CommentSubject"/>
    <w:uiPriority w:val="99"/>
    <w:semiHidden/>
    <w:rsid w:val="00DB476A"/>
    <w:rPr>
      <w:rFonts w:ascii="Arial" w:hAnsi="Arial"/>
      <w:b/>
      <w:bCs/>
      <w:color w:val="15272F" w:themeColor="text1"/>
      <w:sz w:val="20"/>
      <w:szCs w:val="20"/>
    </w:rPr>
  </w:style>
  <w:style w:type="paragraph" w:styleId="BalloonText">
    <w:name w:val="Balloon Text"/>
    <w:basedOn w:val="Normal"/>
    <w:link w:val="BalloonTextChar"/>
    <w:uiPriority w:val="99"/>
    <w:semiHidden/>
    <w:unhideWhenUsed/>
    <w:rsid w:val="00DB47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76A"/>
    <w:rPr>
      <w:rFonts w:ascii="Segoe UI" w:hAnsi="Segoe UI" w:cs="Segoe UI"/>
      <w:color w:val="15272F" w:themeColor="text1"/>
      <w:sz w:val="18"/>
      <w:szCs w:val="18"/>
    </w:rPr>
  </w:style>
  <w:style w:type="paragraph" w:styleId="NoSpacing">
    <w:name w:val="No Spacing"/>
    <w:qFormat/>
    <w:rsid w:val="00914756"/>
    <w:pPr>
      <w:spacing w:after="0" w:line="240" w:lineRule="auto"/>
    </w:pPr>
    <w:rPr>
      <w:rFonts w:ascii="Arial" w:eastAsia="Times New Roman" w:hAnsi="Arial" w:cs="Times New Roman"/>
      <w:szCs w:val="24"/>
      <w:lang w:val="en-AU" w:eastAsia="en-AU"/>
    </w:rPr>
  </w:style>
  <w:style w:type="paragraph" w:customStyle="1" w:styleId="Copyrightcopy">
    <w:name w:val="Copyright copy"/>
    <w:basedOn w:val="Normal"/>
    <w:next w:val="Normal"/>
    <w:qFormat/>
    <w:rsid w:val="00990DC9"/>
    <w:pPr>
      <w:ind w:right="4064"/>
    </w:pPr>
    <w:rPr>
      <w:sz w:val="18"/>
    </w:rPr>
  </w:style>
  <w:style w:type="paragraph" w:customStyle="1" w:styleId="Copyrightheading">
    <w:name w:val="Copyright heading"/>
    <w:basedOn w:val="Heading4"/>
    <w:next w:val="Normal"/>
    <w:qFormat/>
    <w:rsid w:val="00990DC9"/>
  </w:style>
  <w:style w:type="character" w:styleId="FollowedHyperlink">
    <w:name w:val="FollowedHyperlink"/>
    <w:basedOn w:val="DefaultParagraphFont"/>
    <w:uiPriority w:val="99"/>
    <w:semiHidden/>
    <w:unhideWhenUsed/>
    <w:rsid w:val="00BE3CCD"/>
    <w:rPr>
      <w:color w:val="104F99" w:themeColor="followedHyperlink"/>
      <w:u w:val="single"/>
    </w:rPr>
  </w:style>
  <w:style w:type="character" w:customStyle="1" w:styleId="UnresolvedMention2">
    <w:name w:val="Unresolved Mention2"/>
    <w:basedOn w:val="DefaultParagraphFont"/>
    <w:uiPriority w:val="99"/>
    <w:unhideWhenUsed/>
    <w:rsid w:val="00377649"/>
    <w:rPr>
      <w:color w:val="605E5C"/>
      <w:shd w:val="clear" w:color="auto" w:fill="E1DFDD"/>
    </w:rPr>
  </w:style>
  <w:style w:type="character" w:customStyle="1" w:styleId="Mention1">
    <w:name w:val="Mention1"/>
    <w:basedOn w:val="DefaultParagraphFont"/>
    <w:uiPriority w:val="99"/>
    <w:unhideWhenUsed/>
    <w:rsid w:val="00377649"/>
    <w:rPr>
      <w:color w:val="2B579A"/>
      <w:shd w:val="clear" w:color="auto" w:fill="E1DFDD"/>
    </w:rPr>
  </w:style>
  <w:style w:type="paragraph" w:styleId="Revision">
    <w:name w:val="Revision"/>
    <w:hidden/>
    <w:uiPriority w:val="99"/>
    <w:semiHidden/>
    <w:rsid w:val="00E829BF"/>
    <w:pPr>
      <w:spacing w:after="0" w:line="240" w:lineRule="auto"/>
    </w:pPr>
    <w:rPr>
      <w:rFonts w:ascii="Arial" w:hAnsi="Arial"/>
      <w:color w:val="15272F" w:themeColor="text1"/>
    </w:rPr>
  </w:style>
  <w:style w:type="character" w:styleId="UnresolvedMention">
    <w:name w:val="Unresolved Mention"/>
    <w:basedOn w:val="DefaultParagraphFont"/>
    <w:uiPriority w:val="99"/>
    <w:semiHidden/>
    <w:unhideWhenUsed/>
    <w:rsid w:val="00426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008">
      <w:bodyDiv w:val="1"/>
      <w:marLeft w:val="0"/>
      <w:marRight w:val="0"/>
      <w:marTop w:val="0"/>
      <w:marBottom w:val="0"/>
      <w:divBdr>
        <w:top w:val="none" w:sz="0" w:space="0" w:color="auto"/>
        <w:left w:val="none" w:sz="0" w:space="0" w:color="auto"/>
        <w:bottom w:val="none" w:sz="0" w:space="0" w:color="auto"/>
        <w:right w:val="none" w:sz="0" w:space="0" w:color="auto"/>
      </w:divBdr>
    </w:div>
    <w:div w:id="30613147">
      <w:bodyDiv w:val="1"/>
      <w:marLeft w:val="0"/>
      <w:marRight w:val="0"/>
      <w:marTop w:val="0"/>
      <w:marBottom w:val="0"/>
      <w:divBdr>
        <w:top w:val="none" w:sz="0" w:space="0" w:color="auto"/>
        <w:left w:val="none" w:sz="0" w:space="0" w:color="auto"/>
        <w:bottom w:val="none" w:sz="0" w:space="0" w:color="auto"/>
        <w:right w:val="none" w:sz="0" w:space="0" w:color="auto"/>
      </w:divBdr>
    </w:div>
    <w:div w:id="36858340">
      <w:bodyDiv w:val="1"/>
      <w:marLeft w:val="0"/>
      <w:marRight w:val="0"/>
      <w:marTop w:val="0"/>
      <w:marBottom w:val="0"/>
      <w:divBdr>
        <w:top w:val="none" w:sz="0" w:space="0" w:color="auto"/>
        <w:left w:val="none" w:sz="0" w:space="0" w:color="auto"/>
        <w:bottom w:val="none" w:sz="0" w:space="0" w:color="auto"/>
        <w:right w:val="none" w:sz="0" w:space="0" w:color="auto"/>
      </w:divBdr>
    </w:div>
    <w:div w:id="81417048">
      <w:bodyDiv w:val="1"/>
      <w:marLeft w:val="0"/>
      <w:marRight w:val="0"/>
      <w:marTop w:val="0"/>
      <w:marBottom w:val="0"/>
      <w:divBdr>
        <w:top w:val="none" w:sz="0" w:space="0" w:color="auto"/>
        <w:left w:val="none" w:sz="0" w:space="0" w:color="auto"/>
        <w:bottom w:val="none" w:sz="0" w:space="0" w:color="auto"/>
        <w:right w:val="none" w:sz="0" w:space="0" w:color="auto"/>
      </w:divBdr>
    </w:div>
    <w:div w:id="95444146">
      <w:bodyDiv w:val="1"/>
      <w:marLeft w:val="0"/>
      <w:marRight w:val="0"/>
      <w:marTop w:val="0"/>
      <w:marBottom w:val="0"/>
      <w:divBdr>
        <w:top w:val="none" w:sz="0" w:space="0" w:color="auto"/>
        <w:left w:val="none" w:sz="0" w:space="0" w:color="auto"/>
        <w:bottom w:val="none" w:sz="0" w:space="0" w:color="auto"/>
        <w:right w:val="none" w:sz="0" w:space="0" w:color="auto"/>
      </w:divBdr>
    </w:div>
    <w:div w:id="120920663">
      <w:bodyDiv w:val="1"/>
      <w:marLeft w:val="0"/>
      <w:marRight w:val="0"/>
      <w:marTop w:val="0"/>
      <w:marBottom w:val="0"/>
      <w:divBdr>
        <w:top w:val="none" w:sz="0" w:space="0" w:color="auto"/>
        <w:left w:val="none" w:sz="0" w:space="0" w:color="auto"/>
        <w:bottom w:val="none" w:sz="0" w:space="0" w:color="auto"/>
        <w:right w:val="none" w:sz="0" w:space="0" w:color="auto"/>
      </w:divBdr>
    </w:div>
    <w:div w:id="173344826">
      <w:bodyDiv w:val="1"/>
      <w:marLeft w:val="0"/>
      <w:marRight w:val="0"/>
      <w:marTop w:val="0"/>
      <w:marBottom w:val="0"/>
      <w:divBdr>
        <w:top w:val="none" w:sz="0" w:space="0" w:color="auto"/>
        <w:left w:val="none" w:sz="0" w:space="0" w:color="auto"/>
        <w:bottom w:val="none" w:sz="0" w:space="0" w:color="auto"/>
        <w:right w:val="none" w:sz="0" w:space="0" w:color="auto"/>
      </w:divBdr>
    </w:div>
    <w:div w:id="193274506">
      <w:bodyDiv w:val="1"/>
      <w:marLeft w:val="0"/>
      <w:marRight w:val="0"/>
      <w:marTop w:val="0"/>
      <w:marBottom w:val="0"/>
      <w:divBdr>
        <w:top w:val="none" w:sz="0" w:space="0" w:color="auto"/>
        <w:left w:val="none" w:sz="0" w:space="0" w:color="auto"/>
        <w:bottom w:val="none" w:sz="0" w:space="0" w:color="auto"/>
        <w:right w:val="none" w:sz="0" w:space="0" w:color="auto"/>
      </w:divBdr>
    </w:div>
    <w:div w:id="310987472">
      <w:bodyDiv w:val="1"/>
      <w:marLeft w:val="0"/>
      <w:marRight w:val="0"/>
      <w:marTop w:val="0"/>
      <w:marBottom w:val="0"/>
      <w:divBdr>
        <w:top w:val="none" w:sz="0" w:space="0" w:color="auto"/>
        <w:left w:val="none" w:sz="0" w:space="0" w:color="auto"/>
        <w:bottom w:val="none" w:sz="0" w:space="0" w:color="auto"/>
        <w:right w:val="none" w:sz="0" w:space="0" w:color="auto"/>
      </w:divBdr>
    </w:div>
    <w:div w:id="321393206">
      <w:bodyDiv w:val="1"/>
      <w:marLeft w:val="0"/>
      <w:marRight w:val="0"/>
      <w:marTop w:val="0"/>
      <w:marBottom w:val="0"/>
      <w:divBdr>
        <w:top w:val="none" w:sz="0" w:space="0" w:color="auto"/>
        <w:left w:val="none" w:sz="0" w:space="0" w:color="auto"/>
        <w:bottom w:val="none" w:sz="0" w:space="0" w:color="auto"/>
        <w:right w:val="none" w:sz="0" w:space="0" w:color="auto"/>
      </w:divBdr>
    </w:div>
    <w:div w:id="385688508">
      <w:bodyDiv w:val="1"/>
      <w:marLeft w:val="0"/>
      <w:marRight w:val="0"/>
      <w:marTop w:val="0"/>
      <w:marBottom w:val="0"/>
      <w:divBdr>
        <w:top w:val="none" w:sz="0" w:space="0" w:color="auto"/>
        <w:left w:val="none" w:sz="0" w:space="0" w:color="auto"/>
        <w:bottom w:val="none" w:sz="0" w:space="0" w:color="auto"/>
        <w:right w:val="none" w:sz="0" w:space="0" w:color="auto"/>
      </w:divBdr>
    </w:div>
    <w:div w:id="392778084">
      <w:bodyDiv w:val="1"/>
      <w:marLeft w:val="0"/>
      <w:marRight w:val="0"/>
      <w:marTop w:val="0"/>
      <w:marBottom w:val="0"/>
      <w:divBdr>
        <w:top w:val="none" w:sz="0" w:space="0" w:color="auto"/>
        <w:left w:val="none" w:sz="0" w:space="0" w:color="auto"/>
        <w:bottom w:val="none" w:sz="0" w:space="0" w:color="auto"/>
        <w:right w:val="none" w:sz="0" w:space="0" w:color="auto"/>
      </w:divBdr>
    </w:div>
    <w:div w:id="418330615">
      <w:bodyDiv w:val="1"/>
      <w:marLeft w:val="0"/>
      <w:marRight w:val="0"/>
      <w:marTop w:val="0"/>
      <w:marBottom w:val="0"/>
      <w:divBdr>
        <w:top w:val="none" w:sz="0" w:space="0" w:color="auto"/>
        <w:left w:val="none" w:sz="0" w:space="0" w:color="auto"/>
        <w:bottom w:val="none" w:sz="0" w:space="0" w:color="auto"/>
        <w:right w:val="none" w:sz="0" w:space="0" w:color="auto"/>
      </w:divBdr>
    </w:div>
    <w:div w:id="442042526">
      <w:bodyDiv w:val="1"/>
      <w:marLeft w:val="0"/>
      <w:marRight w:val="0"/>
      <w:marTop w:val="0"/>
      <w:marBottom w:val="0"/>
      <w:divBdr>
        <w:top w:val="none" w:sz="0" w:space="0" w:color="auto"/>
        <w:left w:val="none" w:sz="0" w:space="0" w:color="auto"/>
        <w:bottom w:val="none" w:sz="0" w:space="0" w:color="auto"/>
        <w:right w:val="none" w:sz="0" w:space="0" w:color="auto"/>
      </w:divBdr>
    </w:div>
    <w:div w:id="546717626">
      <w:bodyDiv w:val="1"/>
      <w:marLeft w:val="0"/>
      <w:marRight w:val="0"/>
      <w:marTop w:val="0"/>
      <w:marBottom w:val="0"/>
      <w:divBdr>
        <w:top w:val="none" w:sz="0" w:space="0" w:color="auto"/>
        <w:left w:val="none" w:sz="0" w:space="0" w:color="auto"/>
        <w:bottom w:val="none" w:sz="0" w:space="0" w:color="auto"/>
        <w:right w:val="none" w:sz="0" w:space="0" w:color="auto"/>
      </w:divBdr>
    </w:div>
    <w:div w:id="553077791">
      <w:bodyDiv w:val="1"/>
      <w:marLeft w:val="0"/>
      <w:marRight w:val="0"/>
      <w:marTop w:val="0"/>
      <w:marBottom w:val="0"/>
      <w:divBdr>
        <w:top w:val="none" w:sz="0" w:space="0" w:color="auto"/>
        <w:left w:val="none" w:sz="0" w:space="0" w:color="auto"/>
        <w:bottom w:val="none" w:sz="0" w:space="0" w:color="auto"/>
        <w:right w:val="none" w:sz="0" w:space="0" w:color="auto"/>
      </w:divBdr>
    </w:div>
    <w:div w:id="669599352">
      <w:bodyDiv w:val="1"/>
      <w:marLeft w:val="0"/>
      <w:marRight w:val="0"/>
      <w:marTop w:val="0"/>
      <w:marBottom w:val="0"/>
      <w:divBdr>
        <w:top w:val="none" w:sz="0" w:space="0" w:color="auto"/>
        <w:left w:val="none" w:sz="0" w:space="0" w:color="auto"/>
        <w:bottom w:val="none" w:sz="0" w:space="0" w:color="auto"/>
        <w:right w:val="none" w:sz="0" w:space="0" w:color="auto"/>
      </w:divBdr>
    </w:div>
    <w:div w:id="759712713">
      <w:bodyDiv w:val="1"/>
      <w:marLeft w:val="0"/>
      <w:marRight w:val="0"/>
      <w:marTop w:val="0"/>
      <w:marBottom w:val="0"/>
      <w:divBdr>
        <w:top w:val="none" w:sz="0" w:space="0" w:color="auto"/>
        <w:left w:val="none" w:sz="0" w:space="0" w:color="auto"/>
        <w:bottom w:val="none" w:sz="0" w:space="0" w:color="auto"/>
        <w:right w:val="none" w:sz="0" w:space="0" w:color="auto"/>
      </w:divBdr>
    </w:div>
    <w:div w:id="789936248">
      <w:bodyDiv w:val="1"/>
      <w:marLeft w:val="0"/>
      <w:marRight w:val="0"/>
      <w:marTop w:val="0"/>
      <w:marBottom w:val="0"/>
      <w:divBdr>
        <w:top w:val="none" w:sz="0" w:space="0" w:color="auto"/>
        <w:left w:val="none" w:sz="0" w:space="0" w:color="auto"/>
        <w:bottom w:val="none" w:sz="0" w:space="0" w:color="auto"/>
        <w:right w:val="none" w:sz="0" w:space="0" w:color="auto"/>
      </w:divBdr>
    </w:div>
    <w:div w:id="790787515">
      <w:bodyDiv w:val="1"/>
      <w:marLeft w:val="0"/>
      <w:marRight w:val="0"/>
      <w:marTop w:val="0"/>
      <w:marBottom w:val="0"/>
      <w:divBdr>
        <w:top w:val="none" w:sz="0" w:space="0" w:color="auto"/>
        <w:left w:val="none" w:sz="0" w:space="0" w:color="auto"/>
        <w:bottom w:val="none" w:sz="0" w:space="0" w:color="auto"/>
        <w:right w:val="none" w:sz="0" w:space="0" w:color="auto"/>
      </w:divBdr>
    </w:div>
    <w:div w:id="822090125">
      <w:bodyDiv w:val="1"/>
      <w:marLeft w:val="0"/>
      <w:marRight w:val="0"/>
      <w:marTop w:val="0"/>
      <w:marBottom w:val="0"/>
      <w:divBdr>
        <w:top w:val="none" w:sz="0" w:space="0" w:color="auto"/>
        <w:left w:val="none" w:sz="0" w:space="0" w:color="auto"/>
        <w:bottom w:val="none" w:sz="0" w:space="0" w:color="auto"/>
        <w:right w:val="none" w:sz="0" w:space="0" w:color="auto"/>
      </w:divBdr>
    </w:div>
    <w:div w:id="847214263">
      <w:bodyDiv w:val="1"/>
      <w:marLeft w:val="0"/>
      <w:marRight w:val="0"/>
      <w:marTop w:val="0"/>
      <w:marBottom w:val="0"/>
      <w:divBdr>
        <w:top w:val="none" w:sz="0" w:space="0" w:color="auto"/>
        <w:left w:val="none" w:sz="0" w:space="0" w:color="auto"/>
        <w:bottom w:val="none" w:sz="0" w:space="0" w:color="auto"/>
        <w:right w:val="none" w:sz="0" w:space="0" w:color="auto"/>
      </w:divBdr>
    </w:div>
    <w:div w:id="884289631">
      <w:bodyDiv w:val="1"/>
      <w:marLeft w:val="0"/>
      <w:marRight w:val="0"/>
      <w:marTop w:val="0"/>
      <w:marBottom w:val="0"/>
      <w:divBdr>
        <w:top w:val="none" w:sz="0" w:space="0" w:color="auto"/>
        <w:left w:val="none" w:sz="0" w:space="0" w:color="auto"/>
        <w:bottom w:val="none" w:sz="0" w:space="0" w:color="auto"/>
        <w:right w:val="none" w:sz="0" w:space="0" w:color="auto"/>
      </w:divBdr>
    </w:div>
    <w:div w:id="935819616">
      <w:bodyDiv w:val="1"/>
      <w:marLeft w:val="0"/>
      <w:marRight w:val="0"/>
      <w:marTop w:val="0"/>
      <w:marBottom w:val="0"/>
      <w:divBdr>
        <w:top w:val="none" w:sz="0" w:space="0" w:color="auto"/>
        <w:left w:val="none" w:sz="0" w:space="0" w:color="auto"/>
        <w:bottom w:val="none" w:sz="0" w:space="0" w:color="auto"/>
        <w:right w:val="none" w:sz="0" w:space="0" w:color="auto"/>
      </w:divBdr>
    </w:div>
    <w:div w:id="947153619">
      <w:bodyDiv w:val="1"/>
      <w:marLeft w:val="0"/>
      <w:marRight w:val="0"/>
      <w:marTop w:val="0"/>
      <w:marBottom w:val="0"/>
      <w:divBdr>
        <w:top w:val="none" w:sz="0" w:space="0" w:color="auto"/>
        <w:left w:val="none" w:sz="0" w:space="0" w:color="auto"/>
        <w:bottom w:val="none" w:sz="0" w:space="0" w:color="auto"/>
        <w:right w:val="none" w:sz="0" w:space="0" w:color="auto"/>
      </w:divBdr>
    </w:div>
    <w:div w:id="1007488117">
      <w:bodyDiv w:val="1"/>
      <w:marLeft w:val="0"/>
      <w:marRight w:val="0"/>
      <w:marTop w:val="0"/>
      <w:marBottom w:val="0"/>
      <w:divBdr>
        <w:top w:val="none" w:sz="0" w:space="0" w:color="auto"/>
        <w:left w:val="none" w:sz="0" w:space="0" w:color="auto"/>
        <w:bottom w:val="none" w:sz="0" w:space="0" w:color="auto"/>
        <w:right w:val="none" w:sz="0" w:space="0" w:color="auto"/>
      </w:divBdr>
    </w:div>
    <w:div w:id="1035347615">
      <w:bodyDiv w:val="1"/>
      <w:marLeft w:val="0"/>
      <w:marRight w:val="0"/>
      <w:marTop w:val="0"/>
      <w:marBottom w:val="0"/>
      <w:divBdr>
        <w:top w:val="none" w:sz="0" w:space="0" w:color="auto"/>
        <w:left w:val="none" w:sz="0" w:space="0" w:color="auto"/>
        <w:bottom w:val="none" w:sz="0" w:space="0" w:color="auto"/>
        <w:right w:val="none" w:sz="0" w:space="0" w:color="auto"/>
      </w:divBdr>
    </w:div>
    <w:div w:id="1086264291">
      <w:bodyDiv w:val="1"/>
      <w:marLeft w:val="0"/>
      <w:marRight w:val="0"/>
      <w:marTop w:val="0"/>
      <w:marBottom w:val="0"/>
      <w:divBdr>
        <w:top w:val="none" w:sz="0" w:space="0" w:color="auto"/>
        <w:left w:val="none" w:sz="0" w:space="0" w:color="auto"/>
        <w:bottom w:val="none" w:sz="0" w:space="0" w:color="auto"/>
        <w:right w:val="none" w:sz="0" w:space="0" w:color="auto"/>
      </w:divBdr>
    </w:div>
    <w:div w:id="1115055219">
      <w:bodyDiv w:val="1"/>
      <w:marLeft w:val="0"/>
      <w:marRight w:val="0"/>
      <w:marTop w:val="0"/>
      <w:marBottom w:val="0"/>
      <w:divBdr>
        <w:top w:val="none" w:sz="0" w:space="0" w:color="auto"/>
        <w:left w:val="none" w:sz="0" w:space="0" w:color="auto"/>
        <w:bottom w:val="none" w:sz="0" w:space="0" w:color="auto"/>
        <w:right w:val="none" w:sz="0" w:space="0" w:color="auto"/>
      </w:divBdr>
    </w:div>
    <w:div w:id="1116363304">
      <w:bodyDiv w:val="1"/>
      <w:marLeft w:val="0"/>
      <w:marRight w:val="0"/>
      <w:marTop w:val="0"/>
      <w:marBottom w:val="0"/>
      <w:divBdr>
        <w:top w:val="none" w:sz="0" w:space="0" w:color="auto"/>
        <w:left w:val="none" w:sz="0" w:space="0" w:color="auto"/>
        <w:bottom w:val="none" w:sz="0" w:space="0" w:color="auto"/>
        <w:right w:val="none" w:sz="0" w:space="0" w:color="auto"/>
      </w:divBdr>
    </w:div>
    <w:div w:id="1157455012">
      <w:bodyDiv w:val="1"/>
      <w:marLeft w:val="0"/>
      <w:marRight w:val="0"/>
      <w:marTop w:val="0"/>
      <w:marBottom w:val="0"/>
      <w:divBdr>
        <w:top w:val="none" w:sz="0" w:space="0" w:color="auto"/>
        <w:left w:val="none" w:sz="0" w:space="0" w:color="auto"/>
        <w:bottom w:val="none" w:sz="0" w:space="0" w:color="auto"/>
        <w:right w:val="none" w:sz="0" w:space="0" w:color="auto"/>
      </w:divBdr>
    </w:div>
    <w:div w:id="1224104342">
      <w:bodyDiv w:val="1"/>
      <w:marLeft w:val="0"/>
      <w:marRight w:val="0"/>
      <w:marTop w:val="0"/>
      <w:marBottom w:val="0"/>
      <w:divBdr>
        <w:top w:val="none" w:sz="0" w:space="0" w:color="auto"/>
        <w:left w:val="none" w:sz="0" w:space="0" w:color="auto"/>
        <w:bottom w:val="none" w:sz="0" w:space="0" w:color="auto"/>
        <w:right w:val="none" w:sz="0" w:space="0" w:color="auto"/>
      </w:divBdr>
    </w:div>
    <w:div w:id="1243291661">
      <w:bodyDiv w:val="1"/>
      <w:marLeft w:val="0"/>
      <w:marRight w:val="0"/>
      <w:marTop w:val="0"/>
      <w:marBottom w:val="0"/>
      <w:divBdr>
        <w:top w:val="none" w:sz="0" w:space="0" w:color="auto"/>
        <w:left w:val="none" w:sz="0" w:space="0" w:color="auto"/>
        <w:bottom w:val="none" w:sz="0" w:space="0" w:color="auto"/>
        <w:right w:val="none" w:sz="0" w:space="0" w:color="auto"/>
      </w:divBdr>
    </w:div>
    <w:div w:id="1266183288">
      <w:bodyDiv w:val="1"/>
      <w:marLeft w:val="0"/>
      <w:marRight w:val="0"/>
      <w:marTop w:val="0"/>
      <w:marBottom w:val="0"/>
      <w:divBdr>
        <w:top w:val="none" w:sz="0" w:space="0" w:color="auto"/>
        <w:left w:val="none" w:sz="0" w:space="0" w:color="auto"/>
        <w:bottom w:val="none" w:sz="0" w:space="0" w:color="auto"/>
        <w:right w:val="none" w:sz="0" w:space="0" w:color="auto"/>
      </w:divBdr>
    </w:div>
    <w:div w:id="1267345669">
      <w:bodyDiv w:val="1"/>
      <w:marLeft w:val="0"/>
      <w:marRight w:val="0"/>
      <w:marTop w:val="0"/>
      <w:marBottom w:val="0"/>
      <w:divBdr>
        <w:top w:val="none" w:sz="0" w:space="0" w:color="auto"/>
        <w:left w:val="none" w:sz="0" w:space="0" w:color="auto"/>
        <w:bottom w:val="none" w:sz="0" w:space="0" w:color="auto"/>
        <w:right w:val="none" w:sz="0" w:space="0" w:color="auto"/>
      </w:divBdr>
    </w:div>
    <w:div w:id="1276324944">
      <w:bodyDiv w:val="1"/>
      <w:marLeft w:val="0"/>
      <w:marRight w:val="0"/>
      <w:marTop w:val="0"/>
      <w:marBottom w:val="0"/>
      <w:divBdr>
        <w:top w:val="none" w:sz="0" w:space="0" w:color="auto"/>
        <w:left w:val="none" w:sz="0" w:space="0" w:color="auto"/>
        <w:bottom w:val="none" w:sz="0" w:space="0" w:color="auto"/>
        <w:right w:val="none" w:sz="0" w:space="0" w:color="auto"/>
      </w:divBdr>
    </w:div>
    <w:div w:id="1298759092">
      <w:bodyDiv w:val="1"/>
      <w:marLeft w:val="0"/>
      <w:marRight w:val="0"/>
      <w:marTop w:val="0"/>
      <w:marBottom w:val="0"/>
      <w:divBdr>
        <w:top w:val="none" w:sz="0" w:space="0" w:color="auto"/>
        <w:left w:val="none" w:sz="0" w:space="0" w:color="auto"/>
        <w:bottom w:val="none" w:sz="0" w:space="0" w:color="auto"/>
        <w:right w:val="none" w:sz="0" w:space="0" w:color="auto"/>
      </w:divBdr>
    </w:div>
    <w:div w:id="1304388238">
      <w:bodyDiv w:val="1"/>
      <w:marLeft w:val="0"/>
      <w:marRight w:val="0"/>
      <w:marTop w:val="0"/>
      <w:marBottom w:val="0"/>
      <w:divBdr>
        <w:top w:val="none" w:sz="0" w:space="0" w:color="auto"/>
        <w:left w:val="none" w:sz="0" w:space="0" w:color="auto"/>
        <w:bottom w:val="none" w:sz="0" w:space="0" w:color="auto"/>
        <w:right w:val="none" w:sz="0" w:space="0" w:color="auto"/>
      </w:divBdr>
    </w:div>
    <w:div w:id="1362121309">
      <w:bodyDiv w:val="1"/>
      <w:marLeft w:val="0"/>
      <w:marRight w:val="0"/>
      <w:marTop w:val="0"/>
      <w:marBottom w:val="0"/>
      <w:divBdr>
        <w:top w:val="none" w:sz="0" w:space="0" w:color="auto"/>
        <w:left w:val="none" w:sz="0" w:space="0" w:color="auto"/>
        <w:bottom w:val="none" w:sz="0" w:space="0" w:color="auto"/>
        <w:right w:val="none" w:sz="0" w:space="0" w:color="auto"/>
      </w:divBdr>
    </w:div>
    <w:div w:id="1365711969">
      <w:bodyDiv w:val="1"/>
      <w:marLeft w:val="0"/>
      <w:marRight w:val="0"/>
      <w:marTop w:val="0"/>
      <w:marBottom w:val="0"/>
      <w:divBdr>
        <w:top w:val="none" w:sz="0" w:space="0" w:color="auto"/>
        <w:left w:val="none" w:sz="0" w:space="0" w:color="auto"/>
        <w:bottom w:val="none" w:sz="0" w:space="0" w:color="auto"/>
        <w:right w:val="none" w:sz="0" w:space="0" w:color="auto"/>
      </w:divBdr>
    </w:div>
    <w:div w:id="1388601412">
      <w:bodyDiv w:val="1"/>
      <w:marLeft w:val="0"/>
      <w:marRight w:val="0"/>
      <w:marTop w:val="0"/>
      <w:marBottom w:val="0"/>
      <w:divBdr>
        <w:top w:val="none" w:sz="0" w:space="0" w:color="auto"/>
        <w:left w:val="none" w:sz="0" w:space="0" w:color="auto"/>
        <w:bottom w:val="none" w:sz="0" w:space="0" w:color="auto"/>
        <w:right w:val="none" w:sz="0" w:space="0" w:color="auto"/>
      </w:divBdr>
    </w:div>
    <w:div w:id="1440838468">
      <w:bodyDiv w:val="1"/>
      <w:marLeft w:val="0"/>
      <w:marRight w:val="0"/>
      <w:marTop w:val="0"/>
      <w:marBottom w:val="0"/>
      <w:divBdr>
        <w:top w:val="none" w:sz="0" w:space="0" w:color="auto"/>
        <w:left w:val="none" w:sz="0" w:space="0" w:color="auto"/>
        <w:bottom w:val="none" w:sz="0" w:space="0" w:color="auto"/>
        <w:right w:val="none" w:sz="0" w:space="0" w:color="auto"/>
      </w:divBdr>
    </w:div>
    <w:div w:id="1515455817">
      <w:bodyDiv w:val="1"/>
      <w:marLeft w:val="0"/>
      <w:marRight w:val="0"/>
      <w:marTop w:val="0"/>
      <w:marBottom w:val="0"/>
      <w:divBdr>
        <w:top w:val="none" w:sz="0" w:space="0" w:color="auto"/>
        <w:left w:val="none" w:sz="0" w:space="0" w:color="auto"/>
        <w:bottom w:val="none" w:sz="0" w:space="0" w:color="auto"/>
        <w:right w:val="none" w:sz="0" w:space="0" w:color="auto"/>
      </w:divBdr>
    </w:div>
    <w:div w:id="1528064086">
      <w:bodyDiv w:val="1"/>
      <w:marLeft w:val="0"/>
      <w:marRight w:val="0"/>
      <w:marTop w:val="0"/>
      <w:marBottom w:val="0"/>
      <w:divBdr>
        <w:top w:val="none" w:sz="0" w:space="0" w:color="auto"/>
        <w:left w:val="none" w:sz="0" w:space="0" w:color="auto"/>
        <w:bottom w:val="none" w:sz="0" w:space="0" w:color="auto"/>
        <w:right w:val="none" w:sz="0" w:space="0" w:color="auto"/>
      </w:divBdr>
    </w:div>
    <w:div w:id="1606574694">
      <w:bodyDiv w:val="1"/>
      <w:marLeft w:val="0"/>
      <w:marRight w:val="0"/>
      <w:marTop w:val="0"/>
      <w:marBottom w:val="0"/>
      <w:divBdr>
        <w:top w:val="none" w:sz="0" w:space="0" w:color="auto"/>
        <w:left w:val="none" w:sz="0" w:space="0" w:color="auto"/>
        <w:bottom w:val="none" w:sz="0" w:space="0" w:color="auto"/>
        <w:right w:val="none" w:sz="0" w:space="0" w:color="auto"/>
      </w:divBdr>
    </w:div>
    <w:div w:id="1614749696">
      <w:bodyDiv w:val="1"/>
      <w:marLeft w:val="0"/>
      <w:marRight w:val="0"/>
      <w:marTop w:val="0"/>
      <w:marBottom w:val="0"/>
      <w:divBdr>
        <w:top w:val="none" w:sz="0" w:space="0" w:color="auto"/>
        <w:left w:val="none" w:sz="0" w:space="0" w:color="auto"/>
        <w:bottom w:val="none" w:sz="0" w:space="0" w:color="auto"/>
        <w:right w:val="none" w:sz="0" w:space="0" w:color="auto"/>
      </w:divBdr>
    </w:div>
    <w:div w:id="1649633241">
      <w:bodyDiv w:val="1"/>
      <w:marLeft w:val="0"/>
      <w:marRight w:val="0"/>
      <w:marTop w:val="0"/>
      <w:marBottom w:val="0"/>
      <w:divBdr>
        <w:top w:val="none" w:sz="0" w:space="0" w:color="auto"/>
        <w:left w:val="none" w:sz="0" w:space="0" w:color="auto"/>
        <w:bottom w:val="none" w:sz="0" w:space="0" w:color="auto"/>
        <w:right w:val="none" w:sz="0" w:space="0" w:color="auto"/>
      </w:divBdr>
    </w:div>
    <w:div w:id="1665280211">
      <w:bodyDiv w:val="1"/>
      <w:marLeft w:val="0"/>
      <w:marRight w:val="0"/>
      <w:marTop w:val="0"/>
      <w:marBottom w:val="0"/>
      <w:divBdr>
        <w:top w:val="none" w:sz="0" w:space="0" w:color="auto"/>
        <w:left w:val="none" w:sz="0" w:space="0" w:color="auto"/>
        <w:bottom w:val="none" w:sz="0" w:space="0" w:color="auto"/>
        <w:right w:val="none" w:sz="0" w:space="0" w:color="auto"/>
      </w:divBdr>
    </w:div>
    <w:div w:id="1708212334">
      <w:bodyDiv w:val="1"/>
      <w:marLeft w:val="0"/>
      <w:marRight w:val="0"/>
      <w:marTop w:val="0"/>
      <w:marBottom w:val="0"/>
      <w:divBdr>
        <w:top w:val="none" w:sz="0" w:space="0" w:color="auto"/>
        <w:left w:val="none" w:sz="0" w:space="0" w:color="auto"/>
        <w:bottom w:val="none" w:sz="0" w:space="0" w:color="auto"/>
        <w:right w:val="none" w:sz="0" w:space="0" w:color="auto"/>
      </w:divBdr>
    </w:div>
    <w:div w:id="1746340151">
      <w:bodyDiv w:val="1"/>
      <w:marLeft w:val="0"/>
      <w:marRight w:val="0"/>
      <w:marTop w:val="0"/>
      <w:marBottom w:val="0"/>
      <w:divBdr>
        <w:top w:val="none" w:sz="0" w:space="0" w:color="auto"/>
        <w:left w:val="none" w:sz="0" w:space="0" w:color="auto"/>
        <w:bottom w:val="none" w:sz="0" w:space="0" w:color="auto"/>
        <w:right w:val="none" w:sz="0" w:space="0" w:color="auto"/>
      </w:divBdr>
    </w:div>
    <w:div w:id="1786460593">
      <w:bodyDiv w:val="1"/>
      <w:marLeft w:val="0"/>
      <w:marRight w:val="0"/>
      <w:marTop w:val="0"/>
      <w:marBottom w:val="0"/>
      <w:divBdr>
        <w:top w:val="none" w:sz="0" w:space="0" w:color="auto"/>
        <w:left w:val="none" w:sz="0" w:space="0" w:color="auto"/>
        <w:bottom w:val="none" w:sz="0" w:space="0" w:color="auto"/>
        <w:right w:val="none" w:sz="0" w:space="0" w:color="auto"/>
      </w:divBdr>
    </w:div>
    <w:div w:id="1820223617">
      <w:bodyDiv w:val="1"/>
      <w:marLeft w:val="0"/>
      <w:marRight w:val="0"/>
      <w:marTop w:val="0"/>
      <w:marBottom w:val="0"/>
      <w:divBdr>
        <w:top w:val="none" w:sz="0" w:space="0" w:color="auto"/>
        <w:left w:val="none" w:sz="0" w:space="0" w:color="auto"/>
        <w:bottom w:val="none" w:sz="0" w:space="0" w:color="auto"/>
        <w:right w:val="none" w:sz="0" w:space="0" w:color="auto"/>
      </w:divBdr>
    </w:div>
    <w:div w:id="1822454494">
      <w:bodyDiv w:val="1"/>
      <w:marLeft w:val="0"/>
      <w:marRight w:val="0"/>
      <w:marTop w:val="0"/>
      <w:marBottom w:val="0"/>
      <w:divBdr>
        <w:top w:val="none" w:sz="0" w:space="0" w:color="auto"/>
        <w:left w:val="none" w:sz="0" w:space="0" w:color="auto"/>
        <w:bottom w:val="none" w:sz="0" w:space="0" w:color="auto"/>
        <w:right w:val="none" w:sz="0" w:space="0" w:color="auto"/>
      </w:divBdr>
    </w:div>
    <w:div w:id="1936594984">
      <w:bodyDiv w:val="1"/>
      <w:marLeft w:val="0"/>
      <w:marRight w:val="0"/>
      <w:marTop w:val="0"/>
      <w:marBottom w:val="0"/>
      <w:divBdr>
        <w:top w:val="none" w:sz="0" w:space="0" w:color="auto"/>
        <w:left w:val="none" w:sz="0" w:space="0" w:color="auto"/>
        <w:bottom w:val="none" w:sz="0" w:space="0" w:color="auto"/>
        <w:right w:val="none" w:sz="0" w:space="0" w:color="auto"/>
      </w:divBdr>
    </w:div>
    <w:div w:id="2045137386">
      <w:bodyDiv w:val="1"/>
      <w:marLeft w:val="0"/>
      <w:marRight w:val="0"/>
      <w:marTop w:val="0"/>
      <w:marBottom w:val="0"/>
      <w:divBdr>
        <w:top w:val="none" w:sz="0" w:space="0" w:color="auto"/>
        <w:left w:val="none" w:sz="0" w:space="0" w:color="auto"/>
        <w:bottom w:val="none" w:sz="0" w:space="0" w:color="auto"/>
        <w:right w:val="none" w:sz="0" w:space="0" w:color="auto"/>
      </w:divBdr>
    </w:div>
    <w:div w:id="2052417202">
      <w:bodyDiv w:val="1"/>
      <w:marLeft w:val="0"/>
      <w:marRight w:val="0"/>
      <w:marTop w:val="0"/>
      <w:marBottom w:val="0"/>
      <w:divBdr>
        <w:top w:val="none" w:sz="0" w:space="0" w:color="auto"/>
        <w:left w:val="none" w:sz="0" w:space="0" w:color="auto"/>
        <w:bottom w:val="none" w:sz="0" w:space="0" w:color="auto"/>
        <w:right w:val="none" w:sz="0" w:space="0" w:color="auto"/>
      </w:divBdr>
    </w:div>
    <w:div w:id="207280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yperlink" Target="mailto:enquiries.ihpa@ihpa.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17.emf"/><Relationship Id="rId38" Type="http://schemas.openxmlformats.org/officeDocument/2006/relationships/image" Target="media/image19.emf"/><Relationship Id="rId46" Type="http://schemas.openxmlformats.org/officeDocument/2006/relationships/image" Target="media/image25.sv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3.xml"/><Relationship Id="rId29" Type="http://schemas.openxmlformats.org/officeDocument/2006/relationships/image" Target="media/image15.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footer" Target="footer9.xml"/><Relationship Id="rId40" Type="http://schemas.openxmlformats.org/officeDocument/2006/relationships/image" Target="media/image21.emf"/><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image" Target="media/image23.emf"/><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ihacpa.gov.au/resources/australian-hospital-patient-costing-standards-version-41" TargetMode="External"/><Relationship Id="rId3" Type="http://schemas.openxmlformats.org/officeDocument/2006/relationships/hyperlink" Target="https://meteor.aihw.gov.au/content/index.phtml/itemId/327254" TargetMode="External"/><Relationship Id="rId7" Type="http://schemas.openxmlformats.org/officeDocument/2006/relationships/hyperlink" Target="https://meteor.aihw.gov.au/content/711010" TargetMode="External"/><Relationship Id="rId2" Type="http://schemas.openxmlformats.org/officeDocument/2006/relationships/hyperlink" Target="https://meteor.aihw.gov.au/content/729904" TargetMode="External"/><Relationship Id="rId1" Type="http://schemas.openxmlformats.org/officeDocument/2006/relationships/hyperlink" Target="https://www.ihpa.gov.au/what-we-do/ar-drg-classification" TargetMode="External"/><Relationship Id="rId6" Type="http://schemas.openxmlformats.org/officeDocument/2006/relationships/hyperlink" Target="https://meteor.aihw.gov.au/content/index.phtml/itemId/711010" TargetMode="External"/><Relationship Id="rId5" Type="http://schemas.openxmlformats.org/officeDocument/2006/relationships/hyperlink" Target="https://meteor.aihw.gov.au/content/711010" TargetMode="External"/><Relationship Id="rId10" Type="http://schemas.openxmlformats.org/officeDocument/2006/relationships/hyperlink" Target="https://www.ihpa.gov.au/publications/covid-19-response-costing-and-pricing-guidelines" TargetMode="External"/><Relationship Id="rId4" Type="http://schemas.openxmlformats.org/officeDocument/2006/relationships/hyperlink" Target="https://meteor.aihw.gov.au/content/711010" TargetMode="External"/><Relationship Id="rId9" Type="http://schemas.openxmlformats.org/officeDocument/2006/relationships/hyperlink" Target="https://meteor.aihw.gov.au/content/index.phtml/itemId/3272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B84903686C28429C65FD0B739CECE0" ma:contentTypeVersion="6" ma:contentTypeDescription="Create a new document." ma:contentTypeScope="" ma:versionID="f8a504bec004d5ae82a6082c591fc57a">
  <xsd:schema xmlns:xsd="http://www.w3.org/2001/XMLSchema" xmlns:xs="http://www.w3.org/2001/XMLSchema" xmlns:p="http://schemas.microsoft.com/office/2006/metadata/properties" xmlns:ns2="c1a5cabb-0a78-489b-8ae1-b9beb933999c" xmlns:ns3="21690a0e-2893-4863-8c37-a873ee74f662" targetNamespace="http://schemas.microsoft.com/office/2006/metadata/properties" ma:root="true" ma:fieldsID="f71c8f0cd0e7f4aa54316396e28b393c" ns2:_="" ns3:_="">
    <xsd:import namespace="c1a5cabb-0a78-489b-8ae1-b9beb933999c"/>
    <xsd:import namespace="21690a0e-2893-4863-8c37-a873ee74f662"/>
    <xsd:element name="properties">
      <xsd:complexType>
        <xsd:sequence>
          <xsd:element name="documentManagement">
            <xsd:complexType>
              <xsd:all>
                <xsd:element ref="ns2:Links" minOccurs="0"/>
                <xsd:element ref="ns2:SignOff"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5cabb-0a78-489b-8ae1-b9beb933999c" elementFormDefault="qualified">
    <xsd:import namespace="http://schemas.microsoft.com/office/2006/documentManagement/types"/>
    <xsd:import namespace="http://schemas.microsoft.com/office/infopath/2007/PartnerControls"/>
    <xsd:element name="Links" ma:index="8" nillable="true" ma:displayName="Links" ma:list="{72c4f3bc-ee13-4125-a7fb-0c59e86bc435}" ma:internalName="Links" ma:readOnly="true" ma:showField="From_x0020_Document">
      <xsd:simpleType>
        <xsd:restriction base="dms:Lookup"/>
      </xsd:simpleType>
    </xsd:element>
    <xsd:element name="SignOff" ma:index="9" nillable="true" ma:displayName="Sign Off" ma:internalName="SignOff">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690a0e-2893-4863-8c37-a873ee74f6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ignOff xmlns="c1a5cabb-0a78-489b-8ae1-b9beb93399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29BCE-B78E-4229-B446-519D8FFCF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5cabb-0a78-489b-8ae1-b9beb933999c"/>
    <ds:schemaRef ds:uri="21690a0e-2893-4863-8c37-a873ee74f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A5362-E0C7-4455-BA2F-19E03D988488}">
  <ds:schemaRefs>
    <ds:schemaRef ds:uri="http://schemas.microsoft.com/office/2006/metadata/properties"/>
    <ds:schemaRef ds:uri="http://schemas.microsoft.com/office/infopath/2007/PartnerControls"/>
    <ds:schemaRef ds:uri="c1a5cabb-0a78-489b-8ae1-b9beb933999c"/>
  </ds:schemaRefs>
</ds:datastoreItem>
</file>

<file path=customXml/itemProps3.xml><?xml version="1.0" encoding="utf-8"?>
<ds:datastoreItem xmlns:ds="http://schemas.openxmlformats.org/officeDocument/2006/customXml" ds:itemID="{FB0BB369-ECEC-4985-B5B4-F3CC3592F00C}">
  <ds:schemaRefs>
    <ds:schemaRef ds:uri="http://schemas.microsoft.com/sharepoint/v3/contenttype/forms"/>
  </ds:schemaRefs>
</ds:datastoreItem>
</file>

<file path=customXml/itemProps4.xml><?xml version="1.0" encoding="utf-8"?>
<ds:datastoreItem xmlns:ds="http://schemas.openxmlformats.org/officeDocument/2006/customXml" ds:itemID="{545C0851-AB2C-4128-8F3F-71BA96E6B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51</Pages>
  <Words>12791</Words>
  <Characters>72910</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YEO, Tim</cp:lastModifiedBy>
  <cp:revision>20</cp:revision>
  <cp:lastPrinted>2022-09-07T01:41:00Z</cp:lastPrinted>
  <dcterms:created xsi:type="dcterms:W3CDTF">2023-04-30T23:51:00Z</dcterms:created>
  <dcterms:modified xsi:type="dcterms:W3CDTF">2023-07-11T05:13:00Z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0x010100CEB84903686C28429C65FD0B739CECE0</vt:lpwstr>
  </property>
</Properties>
</file>