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51349212" w:displacedByCustomXml="next"/>
    <w:bookmarkStart w:id="1" w:name="_Toc352144950" w:displacedByCustomXml="next"/>
    <w:bookmarkStart w:id="2" w:name="_Toc350850220" w:displacedByCustomXml="next"/>
    <w:sdt>
      <w:sdtPr>
        <w:rPr>
          <w:b w:val="0"/>
          <w:sz w:val="22"/>
          <w:szCs w:val="22"/>
        </w:rPr>
        <w:id w:val="223723746"/>
        <w:docPartObj>
          <w:docPartGallery w:val="Cover Pages"/>
          <w:docPartUnique/>
        </w:docPartObj>
      </w:sdtPr>
      <w:sdtEndPr/>
      <w:sdtContent>
        <w:p w14:paraId="34109457" w14:textId="77777777" w:rsidR="00C062F2" w:rsidRPr="00D61830" w:rsidRDefault="00C062F2" w:rsidP="00C062F2">
          <w:pPr>
            <w:pStyle w:val="OrganisationName"/>
          </w:pPr>
          <w:r w:rsidRPr="00D61830">
            <w:rPr>
              <w:noProof/>
              <w:lang w:eastAsia="en-PH"/>
            </w:rPr>
            <w:drawing>
              <wp:anchor distT="0" distB="0" distL="114300" distR="114300" simplePos="0" relativeHeight="251659264" behindDoc="0" locked="0" layoutInCell="1" allowOverlap="1" wp14:anchorId="2943324D" wp14:editId="11ED8F77">
                <wp:simplePos x="0" y="0"/>
                <wp:positionH relativeFrom="margin">
                  <wp:posOffset>2373630</wp:posOffset>
                </wp:positionH>
                <wp:positionV relativeFrom="margin">
                  <wp:posOffset>-1905</wp:posOffset>
                </wp:positionV>
                <wp:extent cx="979170" cy="612140"/>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979170" cy="612140"/>
                        </a:xfrm>
                        <a:prstGeom prst="rect">
                          <a:avLst/>
                        </a:prstGeom>
                      </pic:spPr>
                    </pic:pic>
                  </a:graphicData>
                </a:graphic>
                <wp14:sizeRelH relativeFrom="margin">
                  <wp14:pctWidth>0</wp14:pctWidth>
                </wp14:sizeRelH>
              </wp:anchor>
            </w:drawing>
          </w:r>
        </w:p>
        <w:p w14:paraId="7B17A21F" w14:textId="77777777" w:rsidR="00C062F2" w:rsidRPr="00D61830" w:rsidRDefault="00C062F2" w:rsidP="00C062F2">
          <w:pPr>
            <w:pStyle w:val="OrganisationName"/>
          </w:pPr>
        </w:p>
        <w:p w14:paraId="54B37B44" w14:textId="1CD17699" w:rsidR="00C062F2" w:rsidRPr="00D61830" w:rsidRDefault="00C062F2" w:rsidP="00C062F2">
          <w:pPr>
            <w:pStyle w:val="OrganisationName"/>
          </w:pPr>
          <w:r w:rsidRPr="00D61830">
            <w:t>Independent Health and Aged Care Pricing Authority</w:t>
          </w:r>
        </w:p>
        <w:p w14:paraId="77AB8A29" w14:textId="77777777" w:rsidR="00C062F2" w:rsidRPr="00D61830" w:rsidRDefault="00C062F2" w:rsidP="00126EA0">
          <w:pPr>
            <w:pStyle w:val="Title"/>
          </w:pPr>
        </w:p>
        <w:p w14:paraId="4A1B71F2" w14:textId="10B665E6" w:rsidR="007B2AD6" w:rsidRPr="00BC567C" w:rsidRDefault="00DF066D" w:rsidP="00FF22E7">
          <w:pPr>
            <w:pStyle w:val="Title"/>
            <w:ind w:right="0"/>
            <w:jc w:val="center"/>
            <w:rPr>
              <w:b/>
              <w:bCs/>
            </w:rPr>
          </w:pPr>
          <w:r w:rsidRPr="00BC567C">
            <w:rPr>
              <w:b/>
              <w:bCs/>
            </w:rPr>
            <w:t>Privacy Policy</w:t>
          </w:r>
        </w:p>
        <w:p w14:paraId="2763F8EA" w14:textId="77777777" w:rsidR="00C062F2" w:rsidRPr="00D61830" w:rsidRDefault="00C062F2" w:rsidP="00FF22E7">
          <w:pPr>
            <w:pStyle w:val="VersionandDate"/>
            <w:jc w:val="center"/>
          </w:pPr>
        </w:p>
        <w:p w14:paraId="5ACA7D4E" w14:textId="77777777" w:rsidR="00C062F2" w:rsidRPr="00D61830" w:rsidRDefault="00C062F2" w:rsidP="00FF22E7">
          <w:pPr>
            <w:pStyle w:val="VersionandDate"/>
            <w:jc w:val="center"/>
          </w:pPr>
        </w:p>
        <w:p w14:paraId="19EF4009" w14:textId="406FE2A0" w:rsidR="007B2AD6" w:rsidRPr="00D61830" w:rsidRDefault="00164F6C" w:rsidP="00FF22E7">
          <w:pPr>
            <w:pStyle w:val="VersionandDate"/>
            <w:jc w:val="center"/>
          </w:pPr>
          <w:r w:rsidRPr="00D61830">
            <w:t xml:space="preserve">Version </w:t>
          </w:r>
          <w:r w:rsidR="00491EA9" w:rsidRPr="00D61830">
            <w:t>5</w:t>
          </w:r>
        </w:p>
        <w:p w14:paraId="464A145B" w14:textId="58D0129E" w:rsidR="007B2AD6" w:rsidRPr="00D61830" w:rsidRDefault="00AD152D" w:rsidP="002E545F">
          <w:pPr>
            <w:jc w:val="center"/>
            <w:sectPr w:rsidR="007B2AD6" w:rsidRPr="00D61830" w:rsidSect="00D56762">
              <w:headerReference w:type="even" r:id="rId14"/>
              <w:headerReference w:type="default" r:id="rId15"/>
              <w:footerReference w:type="even" r:id="rId16"/>
              <w:footerReference w:type="default" r:id="rId17"/>
              <w:headerReference w:type="first" r:id="rId18"/>
              <w:footerReference w:type="first" r:id="rId19"/>
              <w:pgSz w:w="11906" w:h="16838"/>
              <w:pgMar w:top="2268" w:right="1440" w:bottom="1440" w:left="1440" w:header="709" w:footer="709" w:gutter="0"/>
              <w:pgNumType w:start="0"/>
              <w:cols w:space="708"/>
              <w:titlePg/>
              <w:docGrid w:linePitch="360"/>
            </w:sectPr>
          </w:pPr>
          <w:r w:rsidRPr="00D61830">
            <w:t>March 2023</w:t>
          </w:r>
        </w:p>
      </w:sdtContent>
    </w:sdt>
    <w:bookmarkStart w:id="3" w:name="StartTOC" w:displacedByCustomXml="next"/>
    <w:bookmarkEnd w:id="3" w:displacedByCustomXml="next"/>
    <w:sdt>
      <w:sdtPr>
        <w:rPr>
          <w:rFonts w:asciiTheme="minorHAnsi" w:eastAsiaTheme="minorHAnsi" w:hAnsiTheme="minorHAnsi" w:cstheme="minorBidi"/>
          <w:b w:val="0"/>
          <w:bCs w:val="0"/>
          <w:color w:val="auto"/>
          <w:sz w:val="22"/>
          <w:szCs w:val="22"/>
          <w:lang w:val="en-AU" w:eastAsia="en-US"/>
        </w:rPr>
        <w:id w:val="-672184431"/>
        <w:docPartObj>
          <w:docPartGallery w:val="Table of Contents"/>
          <w:docPartUnique/>
        </w:docPartObj>
      </w:sdtPr>
      <w:sdtEndPr>
        <w:rPr>
          <w:noProof/>
        </w:rPr>
      </w:sdtEndPr>
      <w:sdtContent>
        <w:p w14:paraId="00E98D64" w14:textId="2E6CA1D4" w:rsidR="002A351B" w:rsidRPr="00D61830" w:rsidRDefault="002A351B">
          <w:pPr>
            <w:pStyle w:val="TOCHeading"/>
          </w:pPr>
          <w:r w:rsidRPr="00D61830">
            <w:t>Contents</w:t>
          </w:r>
        </w:p>
        <w:p w14:paraId="27FC57FE" w14:textId="1589DC4E" w:rsidR="001652C5" w:rsidRDefault="002A351B">
          <w:pPr>
            <w:pStyle w:val="TOC1"/>
            <w:rPr>
              <w:rFonts w:eastAsiaTheme="minorEastAsia"/>
              <w:b w:val="0"/>
              <w:color w:val="auto"/>
              <w:lang w:eastAsia="en-AU"/>
            </w:rPr>
          </w:pPr>
          <w:r w:rsidRPr="00D61830">
            <w:fldChar w:fldCharType="begin"/>
          </w:r>
          <w:r w:rsidRPr="00D61830">
            <w:instrText xml:space="preserve"> TOC \o "1-3" \h \z \u </w:instrText>
          </w:r>
          <w:r w:rsidRPr="00D61830">
            <w:fldChar w:fldCharType="separate"/>
          </w:r>
          <w:hyperlink w:anchor="_Toc129679337" w:history="1">
            <w:r w:rsidR="001652C5" w:rsidRPr="00BC772F">
              <w:rPr>
                <w:rStyle w:val="Hyperlink"/>
              </w:rPr>
              <w:t>Document information</w:t>
            </w:r>
            <w:r w:rsidR="001652C5">
              <w:rPr>
                <w:webHidden/>
              </w:rPr>
              <w:tab/>
            </w:r>
            <w:r w:rsidR="001652C5">
              <w:rPr>
                <w:webHidden/>
              </w:rPr>
              <w:fldChar w:fldCharType="begin"/>
            </w:r>
            <w:r w:rsidR="001652C5">
              <w:rPr>
                <w:webHidden/>
              </w:rPr>
              <w:instrText xml:space="preserve"> PAGEREF _Toc129679337 \h </w:instrText>
            </w:r>
            <w:r w:rsidR="001652C5">
              <w:rPr>
                <w:webHidden/>
              </w:rPr>
            </w:r>
            <w:r w:rsidR="001652C5">
              <w:rPr>
                <w:webHidden/>
              </w:rPr>
              <w:fldChar w:fldCharType="separate"/>
            </w:r>
            <w:r w:rsidR="00487988">
              <w:rPr>
                <w:webHidden/>
              </w:rPr>
              <w:t>2</w:t>
            </w:r>
            <w:r w:rsidR="001652C5">
              <w:rPr>
                <w:webHidden/>
              </w:rPr>
              <w:fldChar w:fldCharType="end"/>
            </w:r>
          </w:hyperlink>
        </w:p>
        <w:p w14:paraId="2EA90060" w14:textId="6A46437C" w:rsidR="001652C5" w:rsidRDefault="00B2070D">
          <w:pPr>
            <w:pStyle w:val="TOC1"/>
            <w:rPr>
              <w:rFonts w:eastAsiaTheme="minorEastAsia"/>
              <w:b w:val="0"/>
              <w:color w:val="auto"/>
              <w:lang w:eastAsia="en-AU"/>
            </w:rPr>
          </w:pPr>
          <w:hyperlink w:anchor="_Toc129679341" w:history="1">
            <w:r w:rsidR="001652C5" w:rsidRPr="00BC772F">
              <w:rPr>
                <w:rStyle w:val="Hyperlink"/>
              </w:rPr>
              <w:t>Glossary</w:t>
            </w:r>
            <w:r w:rsidR="001652C5">
              <w:rPr>
                <w:webHidden/>
              </w:rPr>
              <w:tab/>
            </w:r>
            <w:r w:rsidR="001652C5">
              <w:rPr>
                <w:webHidden/>
              </w:rPr>
              <w:fldChar w:fldCharType="begin"/>
            </w:r>
            <w:r w:rsidR="001652C5">
              <w:rPr>
                <w:webHidden/>
              </w:rPr>
              <w:instrText xml:space="preserve"> PAGEREF _Toc129679341 \h </w:instrText>
            </w:r>
            <w:r w:rsidR="001652C5">
              <w:rPr>
                <w:webHidden/>
              </w:rPr>
            </w:r>
            <w:r w:rsidR="001652C5">
              <w:rPr>
                <w:webHidden/>
              </w:rPr>
              <w:fldChar w:fldCharType="separate"/>
            </w:r>
            <w:r w:rsidR="00487988">
              <w:rPr>
                <w:webHidden/>
              </w:rPr>
              <w:t>3</w:t>
            </w:r>
            <w:r w:rsidR="001652C5">
              <w:rPr>
                <w:webHidden/>
              </w:rPr>
              <w:fldChar w:fldCharType="end"/>
            </w:r>
          </w:hyperlink>
        </w:p>
        <w:p w14:paraId="24803021" w14:textId="7246B0D1" w:rsidR="001652C5" w:rsidRDefault="00B2070D">
          <w:pPr>
            <w:pStyle w:val="TOC1"/>
            <w:rPr>
              <w:rFonts w:eastAsiaTheme="minorEastAsia"/>
              <w:b w:val="0"/>
              <w:color w:val="auto"/>
              <w:lang w:eastAsia="en-AU"/>
            </w:rPr>
          </w:pPr>
          <w:hyperlink w:anchor="_Toc129679342" w:history="1">
            <w:r w:rsidR="001652C5" w:rsidRPr="00BC772F">
              <w:rPr>
                <w:rStyle w:val="Hyperlink"/>
              </w:rPr>
              <w:t>Introduction</w:t>
            </w:r>
            <w:r w:rsidR="001652C5">
              <w:rPr>
                <w:webHidden/>
              </w:rPr>
              <w:tab/>
            </w:r>
            <w:r w:rsidR="001652C5">
              <w:rPr>
                <w:webHidden/>
              </w:rPr>
              <w:fldChar w:fldCharType="begin"/>
            </w:r>
            <w:r w:rsidR="001652C5">
              <w:rPr>
                <w:webHidden/>
              </w:rPr>
              <w:instrText xml:space="preserve"> PAGEREF _Toc129679342 \h </w:instrText>
            </w:r>
            <w:r w:rsidR="001652C5">
              <w:rPr>
                <w:webHidden/>
              </w:rPr>
            </w:r>
            <w:r w:rsidR="001652C5">
              <w:rPr>
                <w:webHidden/>
              </w:rPr>
              <w:fldChar w:fldCharType="separate"/>
            </w:r>
            <w:r w:rsidR="00487988">
              <w:rPr>
                <w:webHidden/>
              </w:rPr>
              <w:t>5</w:t>
            </w:r>
            <w:r w:rsidR="001652C5">
              <w:rPr>
                <w:webHidden/>
              </w:rPr>
              <w:fldChar w:fldCharType="end"/>
            </w:r>
          </w:hyperlink>
        </w:p>
        <w:p w14:paraId="64C31FE1" w14:textId="470A0645" w:rsidR="001652C5" w:rsidRDefault="00B2070D">
          <w:pPr>
            <w:pStyle w:val="TOC2"/>
            <w:rPr>
              <w:rFonts w:eastAsiaTheme="minorEastAsia"/>
              <w:lang w:eastAsia="en-AU"/>
            </w:rPr>
          </w:pPr>
          <w:hyperlink w:anchor="_Toc129679343" w:history="1">
            <w:r w:rsidR="001652C5" w:rsidRPr="00BC772F">
              <w:rPr>
                <w:rStyle w:val="Hyperlink"/>
              </w:rPr>
              <w:t>Purpose</w:t>
            </w:r>
            <w:r w:rsidR="001652C5">
              <w:rPr>
                <w:webHidden/>
              </w:rPr>
              <w:tab/>
            </w:r>
            <w:r w:rsidR="001652C5">
              <w:rPr>
                <w:webHidden/>
              </w:rPr>
              <w:fldChar w:fldCharType="begin"/>
            </w:r>
            <w:r w:rsidR="001652C5">
              <w:rPr>
                <w:webHidden/>
              </w:rPr>
              <w:instrText xml:space="preserve"> PAGEREF _Toc129679343 \h </w:instrText>
            </w:r>
            <w:r w:rsidR="001652C5">
              <w:rPr>
                <w:webHidden/>
              </w:rPr>
            </w:r>
            <w:r w:rsidR="001652C5">
              <w:rPr>
                <w:webHidden/>
              </w:rPr>
              <w:fldChar w:fldCharType="separate"/>
            </w:r>
            <w:r w:rsidR="00487988">
              <w:rPr>
                <w:webHidden/>
              </w:rPr>
              <w:t>5</w:t>
            </w:r>
            <w:r w:rsidR="001652C5">
              <w:rPr>
                <w:webHidden/>
              </w:rPr>
              <w:fldChar w:fldCharType="end"/>
            </w:r>
          </w:hyperlink>
        </w:p>
        <w:p w14:paraId="2CAAD5ED" w14:textId="0C870AC2" w:rsidR="001652C5" w:rsidRDefault="00B2070D">
          <w:pPr>
            <w:pStyle w:val="TOC2"/>
            <w:rPr>
              <w:rFonts w:eastAsiaTheme="minorEastAsia"/>
              <w:lang w:eastAsia="en-AU"/>
            </w:rPr>
          </w:pPr>
          <w:hyperlink w:anchor="_Toc129679344" w:history="1">
            <w:r w:rsidR="001652C5" w:rsidRPr="00BC772F">
              <w:rPr>
                <w:rStyle w:val="Hyperlink"/>
              </w:rPr>
              <w:t>Privacy framework</w:t>
            </w:r>
            <w:r w:rsidR="001652C5">
              <w:rPr>
                <w:webHidden/>
              </w:rPr>
              <w:tab/>
            </w:r>
            <w:r w:rsidR="001652C5">
              <w:rPr>
                <w:webHidden/>
              </w:rPr>
              <w:fldChar w:fldCharType="begin"/>
            </w:r>
            <w:r w:rsidR="001652C5">
              <w:rPr>
                <w:webHidden/>
              </w:rPr>
              <w:instrText xml:space="preserve"> PAGEREF _Toc129679344 \h </w:instrText>
            </w:r>
            <w:r w:rsidR="001652C5">
              <w:rPr>
                <w:webHidden/>
              </w:rPr>
            </w:r>
            <w:r w:rsidR="001652C5">
              <w:rPr>
                <w:webHidden/>
              </w:rPr>
              <w:fldChar w:fldCharType="separate"/>
            </w:r>
            <w:r w:rsidR="00487988">
              <w:rPr>
                <w:webHidden/>
              </w:rPr>
              <w:t>5</w:t>
            </w:r>
            <w:r w:rsidR="001652C5">
              <w:rPr>
                <w:webHidden/>
              </w:rPr>
              <w:fldChar w:fldCharType="end"/>
            </w:r>
          </w:hyperlink>
        </w:p>
        <w:p w14:paraId="30DDC11C" w14:textId="294D011A" w:rsidR="001652C5" w:rsidRDefault="00B2070D">
          <w:pPr>
            <w:pStyle w:val="TOC2"/>
            <w:rPr>
              <w:rFonts w:eastAsiaTheme="minorEastAsia"/>
              <w:lang w:eastAsia="en-AU"/>
            </w:rPr>
          </w:pPr>
          <w:hyperlink w:anchor="_Toc129679345" w:history="1">
            <w:r w:rsidR="001652C5" w:rsidRPr="00BC772F">
              <w:rPr>
                <w:rStyle w:val="Hyperlink"/>
              </w:rPr>
              <w:t>Scope</w:t>
            </w:r>
            <w:r w:rsidR="00BC567C">
              <w:rPr>
                <w:rStyle w:val="Hyperlink"/>
              </w:rPr>
              <w:tab/>
            </w:r>
            <w:r w:rsidR="001652C5">
              <w:rPr>
                <w:webHidden/>
              </w:rPr>
              <w:tab/>
            </w:r>
            <w:r w:rsidR="001652C5">
              <w:rPr>
                <w:webHidden/>
              </w:rPr>
              <w:fldChar w:fldCharType="begin"/>
            </w:r>
            <w:r w:rsidR="001652C5">
              <w:rPr>
                <w:webHidden/>
              </w:rPr>
              <w:instrText xml:space="preserve"> PAGEREF _Toc129679345 \h </w:instrText>
            </w:r>
            <w:r w:rsidR="001652C5">
              <w:rPr>
                <w:webHidden/>
              </w:rPr>
            </w:r>
            <w:r w:rsidR="001652C5">
              <w:rPr>
                <w:webHidden/>
              </w:rPr>
              <w:fldChar w:fldCharType="separate"/>
            </w:r>
            <w:r w:rsidR="00487988">
              <w:rPr>
                <w:webHidden/>
              </w:rPr>
              <w:t>5</w:t>
            </w:r>
            <w:r w:rsidR="001652C5">
              <w:rPr>
                <w:webHidden/>
              </w:rPr>
              <w:fldChar w:fldCharType="end"/>
            </w:r>
          </w:hyperlink>
        </w:p>
        <w:p w14:paraId="46462B1C" w14:textId="6F69F457" w:rsidR="001652C5" w:rsidRDefault="00B2070D">
          <w:pPr>
            <w:pStyle w:val="TOC2"/>
            <w:rPr>
              <w:rFonts w:eastAsiaTheme="minorEastAsia"/>
              <w:lang w:eastAsia="en-AU"/>
            </w:rPr>
          </w:pPr>
          <w:hyperlink w:anchor="_Toc129679346" w:history="1">
            <w:r w:rsidR="001652C5" w:rsidRPr="00BC772F">
              <w:rPr>
                <w:rStyle w:val="Hyperlink"/>
              </w:rPr>
              <w:t>Review</w:t>
            </w:r>
            <w:r w:rsidR="001652C5">
              <w:rPr>
                <w:webHidden/>
              </w:rPr>
              <w:tab/>
            </w:r>
            <w:r w:rsidR="001652C5">
              <w:rPr>
                <w:webHidden/>
              </w:rPr>
              <w:fldChar w:fldCharType="begin"/>
            </w:r>
            <w:r w:rsidR="001652C5">
              <w:rPr>
                <w:webHidden/>
              </w:rPr>
              <w:instrText xml:space="preserve"> PAGEREF _Toc129679346 \h </w:instrText>
            </w:r>
            <w:r w:rsidR="001652C5">
              <w:rPr>
                <w:webHidden/>
              </w:rPr>
            </w:r>
            <w:r w:rsidR="001652C5">
              <w:rPr>
                <w:webHidden/>
              </w:rPr>
              <w:fldChar w:fldCharType="separate"/>
            </w:r>
            <w:r w:rsidR="00487988">
              <w:rPr>
                <w:webHidden/>
              </w:rPr>
              <w:t>6</w:t>
            </w:r>
            <w:r w:rsidR="001652C5">
              <w:rPr>
                <w:webHidden/>
              </w:rPr>
              <w:fldChar w:fldCharType="end"/>
            </w:r>
          </w:hyperlink>
        </w:p>
        <w:p w14:paraId="0CF0A625" w14:textId="0E71655D" w:rsidR="001652C5" w:rsidRDefault="00B2070D">
          <w:pPr>
            <w:pStyle w:val="TOC1"/>
            <w:rPr>
              <w:rFonts w:eastAsiaTheme="minorEastAsia"/>
              <w:b w:val="0"/>
              <w:color w:val="auto"/>
              <w:lang w:eastAsia="en-AU"/>
            </w:rPr>
          </w:pPr>
          <w:hyperlink w:anchor="_Toc129679347" w:history="1">
            <w:r w:rsidR="001652C5" w:rsidRPr="00BC772F">
              <w:rPr>
                <w:rStyle w:val="Hyperlink"/>
              </w:rPr>
              <w:t>Key Elements</w:t>
            </w:r>
            <w:r w:rsidR="001652C5">
              <w:rPr>
                <w:webHidden/>
              </w:rPr>
              <w:tab/>
            </w:r>
            <w:r w:rsidR="001652C5">
              <w:rPr>
                <w:webHidden/>
              </w:rPr>
              <w:fldChar w:fldCharType="begin"/>
            </w:r>
            <w:r w:rsidR="001652C5">
              <w:rPr>
                <w:webHidden/>
              </w:rPr>
              <w:instrText xml:space="preserve"> PAGEREF _Toc129679347 \h </w:instrText>
            </w:r>
            <w:r w:rsidR="001652C5">
              <w:rPr>
                <w:webHidden/>
              </w:rPr>
            </w:r>
            <w:r w:rsidR="001652C5">
              <w:rPr>
                <w:webHidden/>
              </w:rPr>
              <w:fldChar w:fldCharType="separate"/>
            </w:r>
            <w:r w:rsidR="00487988">
              <w:rPr>
                <w:webHidden/>
              </w:rPr>
              <w:t>7</w:t>
            </w:r>
            <w:r w:rsidR="001652C5">
              <w:rPr>
                <w:webHidden/>
              </w:rPr>
              <w:fldChar w:fldCharType="end"/>
            </w:r>
          </w:hyperlink>
        </w:p>
        <w:p w14:paraId="07228C2C" w14:textId="51FF7AF8" w:rsidR="001652C5" w:rsidRDefault="00B2070D">
          <w:pPr>
            <w:pStyle w:val="TOC2"/>
            <w:rPr>
              <w:rFonts w:eastAsiaTheme="minorEastAsia"/>
              <w:lang w:eastAsia="en-AU"/>
            </w:rPr>
          </w:pPr>
          <w:hyperlink w:anchor="_Toc129679348" w:history="1">
            <w:r w:rsidR="001652C5" w:rsidRPr="00BC772F">
              <w:rPr>
                <w:rStyle w:val="Hyperlink"/>
              </w:rPr>
              <w:t>What is “personal information”?</w:t>
            </w:r>
            <w:r w:rsidR="001652C5">
              <w:rPr>
                <w:webHidden/>
              </w:rPr>
              <w:tab/>
            </w:r>
            <w:r w:rsidR="001652C5">
              <w:rPr>
                <w:webHidden/>
              </w:rPr>
              <w:fldChar w:fldCharType="begin"/>
            </w:r>
            <w:r w:rsidR="001652C5">
              <w:rPr>
                <w:webHidden/>
              </w:rPr>
              <w:instrText xml:space="preserve"> PAGEREF _Toc129679348 \h </w:instrText>
            </w:r>
            <w:r w:rsidR="001652C5">
              <w:rPr>
                <w:webHidden/>
              </w:rPr>
            </w:r>
            <w:r w:rsidR="001652C5">
              <w:rPr>
                <w:webHidden/>
              </w:rPr>
              <w:fldChar w:fldCharType="separate"/>
            </w:r>
            <w:r w:rsidR="00487988">
              <w:rPr>
                <w:webHidden/>
              </w:rPr>
              <w:t>7</w:t>
            </w:r>
            <w:r w:rsidR="001652C5">
              <w:rPr>
                <w:webHidden/>
              </w:rPr>
              <w:fldChar w:fldCharType="end"/>
            </w:r>
          </w:hyperlink>
        </w:p>
        <w:p w14:paraId="53682656" w14:textId="6C4E70D0" w:rsidR="001652C5" w:rsidRDefault="00B2070D">
          <w:pPr>
            <w:pStyle w:val="TOC2"/>
            <w:rPr>
              <w:rFonts w:eastAsiaTheme="minorEastAsia"/>
              <w:lang w:eastAsia="en-AU"/>
            </w:rPr>
          </w:pPr>
          <w:hyperlink w:anchor="_Toc129679349" w:history="1">
            <w:r w:rsidR="001652C5" w:rsidRPr="00BC772F">
              <w:rPr>
                <w:rStyle w:val="Hyperlink"/>
              </w:rPr>
              <w:t>Types of information collected by IHACPA</w:t>
            </w:r>
            <w:r w:rsidR="001652C5">
              <w:rPr>
                <w:webHidden/>
              </w:rPr>
              <w:tab/>
            </w:r>
            <w:r w:rsidR="001652C5">
              <w:rPr>
                <w:webHidden/>
              </w:rPr>
              <w:fldChar w:fldCharType="begin"/>
            </w:r>
            <w:r w:rsidR="001652C5">
              <w:rPr>
                <w:webHidden/>
              </w:rPr>
              <w:instrText xml:space="preserve"> PAGEREF _Toc129679349 \h </w:instrText>
            </w:r>
            <w:r w:rsidR="001652C5">
              <w:rPr>
                <w:webHidden/>
              </w:rPr>
            </w:r>
            <w:r w:rsidR="001652C5">
              <w:rPr>
                <w:webHidden/>
              </w:rPr>
              <w:fldChar w:fldCharType="separate"/>
            </w:r>
            <w:r w:rsidR="00487988">
              <w:rPr>
                <w:webHidden/>
              </w:rPr>
              <w:t>7</w:t>
            </w:r>
            <w:r w:rsidR="001652C5">
              <w:rPr>
                <w:webHidden/>
              </w:rPr>
              <w:fldChar w:fldCharType="end"/>
            </w:r>
          </w:hyperlink>
        </w:p>
        <w:p w14:paraId="7690617F" w14:textId="0B2B5C89" w:rsidR="001652C5" w:rsidRDefault="00B2070D">
          <w:pPr>
            <w:pStyle w:val="TOC2"/>
            <w:rPr>
              <w:rFonts w:eastAsiaTheme="minorEastAsia"/>
              <w:lang w:eastAsia="en-AU"/>
            </w:rPr>
          </w:pPr>
          <w:hyperlink w:anchor="_Toc129679353" w:history="1">
            <w:r w:rsidR="001652C5" w:rsidRPr="00BC772F">
              <w:rPr>
                <w:rStyle w:val="Hyperlink"/>
              </w:rPr>
              <w:t>How IHACPA collects and holds personal information</w:t>
            </w:r>
            <w:r w:rsidR="001652C5">
              <w:rPr>
                <w:webHidden/>
              </w:rPr>
              <w:tab/>
            </w:r>
            <w:r w:rsidR="001652C5">
              <w:rPr>
                <w:webHidden/>
              </w:rPr>
              <w:fldChar w:fldCharType="begin"/>
            </w:r>
            <w:r w:rsidR="001652C5">
              <w:rPr>
                <w:webHidden/>
              </w:rPr>
              <w:instrText xml:space="preserve"> PAGEREF _Toc129679353 \h </w:instrText>
            </w:r>
            <w:r w:rsidR="001652C5">
              <w:rPr>
                <w:webHidden/>
              </w:rPr>
            </w:r>
            <w:r w:rsidR="001652C5">
              <w:rPr>
                <w:webHidden/>
              </w:rPr>
              <w:fldChar w:fldCharType="separate"/>
            </w:r>
            <w:r w:rsidR="00487988">
              <w:rPr>
                <w:webHidden/>
              </w:rPr>
              <w:t>9</w:t>
            </w:r>
            <w:r w:rsidR="001652C5">
              <w:rPr>
                <w:webHidden/>
              </w:rPr>
              <w:fldChar w:fldCharType="end"/>
            </w:r>
          </w:hyperlink>
        </w:p>
        <w:p w14:paraId="1BF94527" w14:textId="5379EFAF" w:rsidR="001652C5" w:rsidRDefault="00B2070D">
          <w:pPr>
            <w:pStyle w:val="TOC2"/>
            <w:rPr>
              <w:rFonts w:eastAsiaTheme="minorEastAsia"/>
              <w:lang w:eastAsia="en-AU"/>
            </w:rPr>
          </w:pPr>
          <w:hyperlink w:anchor="_Toc129679354" w:history="1">
            <w:r w:rsidR="001652C5" w:rsidRPr="00BC772F">
              <w:rPr>
                <w:rStyle w:val="Hyperlink"/>
              </w:rPr>
              <w:t>How IHACPA may collect and use personal information</w:t>
            </w:r>
            <w:r w:rsidR="001652C5">
              <w:rPr>
                <w:webHidden/>
              </w:rPr>
              <w:tab/>
            </w:r>
            <w:r w:rsidR="001652C5">
              <w:rPr>
                <w:webHidden/>
              </w:rPr>
              <w:fldChar w:fldCharType="begin"/>
            </w:r>
            <w:r w:rsidR="001652C5">
              <w:rPr>
                <w:webHidden/>
              </w:rPr>
              <w:instrText xml:space="preserve"> PAGEREF _Toc129679354 \h </w:instrText>
            </w:r>
            <w:r w:rsidR="001652C5">
              <w:rPr>
                <w:webHidden/>
              </w:rPr>
            </w:r>
            <w:r w:rsidR="001652C5">
              <w:rPr>
                <w:webHidden/>
              </w:rPr>
              <w:fldChar w:fldCharType="separate"/>
            </w:r>
            <w:r w:rsidR="00487988">
              <w:rPr>
                <w:webHidden/>
              </w:rPr>
              <w:t>10</w:t>
            </w:r>
            <w:r w:rsidR="001652C5">
              <w:rPr>
                <w:webHidden/>
              </w:rPr>
              <w:fldChar w:fldCharType="end"/>
            </w:r>
          </w:hyperlink>
        </w:p>
        <w:p w14:paraId="44DEBCB7" w14:textId="275016AC" w:rsidR="001652C5" w:rsidRDefault="00B2070D">
          <w:pPr>
            <w:pStyle w:val="TOC1"/>
            <w:rPr>
              <w:rFonts w:eastAsiaTheme="minorEastAsia"/>
              <w:b w:val="0"/>
              <w:color w:val="auto"/>
              <w:lang w:eastAsia="en-AU"/>
            </w:rPr>
          </w:pPr>
          <w:hyperlink w:anchor="_Toc129679355" w:history="1">
            <w:r w:rsidR="001652C5" w:rsidRPr="00BC772F">
              <w:rPr>
                <w:rStyle w:val="Hyperlink"/>
              </w:rPr>
              <w:t>Disclosure of personal information</w:t>
            </w:r>
            <w:r w:rsidR="001652C5">
              <w:rPr>
                <w:webHidden/>
              </w:rPr>
              <w:tab/>
            </w:r>
            <w:r w:rsidR="001652C5">
              <w:rPr>
                <w:webHidden/>
              </w:rPr>
              <w:fldChar w:fldCharType="begin"/>
            </w:r>
            <w:r w:rsidR="001652C5">
              <w:rPr>
                <w:webHidden/>
              </w:rPr>
              <w:instrText xml:space="preserve"> PAGEREF _Toc129679355 \h </w:instrText>
            </w:r>
            <w:r w:rsidR="001652C5">
              <w:rPr>
                <w:webHidden/>
              </w:rPr>
            </w:r>
            <w:r w:rsidR="001652C5">
              <w:rPr>
                <w:webHidden/>
              </w:rPr>
              <w:fldChar w:fldCharType="separate"/>
            </w:r>
            <w:r w:rsidR="00487988">
              <w:rPr>
                <w:webHidden/>
              </w:rPr>
              <w:t>11</w:t>
            </w:r>
            <w:r w:rsidR="001652C5">
              <w:rPr>
                <w:webHidden/>
              </w:rPr>
              <w:fldChar w:fldCharType="end"/>
            </w:r>
          </w:hyperlink>
        </w:p>
        <w:p w14:paraId="2FFA8043" w14:textId="18B66DB8" w:rsidR="001652C5" w:rsidRDefault="00B2070D">
          <w:pPr>
            <w:pStyle w:val="TOC1"/>
            <w:rPr>
              <w:rFonts w:eastAsiaTheme="minorEastAsia"/>
              <w:b w:val="0"/>
              <w:color w:val="auto"/>
              <w:lang w:eastAsia="en-AU"/>
            </w:rPr>
          </w:pPr>
          <w:hyperlink w:anchor="_Toc129679356" w:history="1">
            <w:r w:rsidR="001652C5" w:rsidRPr="00BC772F">
              <w:rPr>
                <w:rStyle w:val="Hyperlink"/>
              </w:rPr>
              <w:t>Information security</w:t>
            </w:r>
            <w:r w:rsidR="001652C5">
              <w:rPr>
                <w:webHidden/>
              </w:rPr>
              <w:tab/>
            </w:r>
            <w:r w:rsidR="001652C5">
              <w:rPr>
                <w:webHidden/>
              </w:rPr>
              <w:fldChar w:fldCharType="begin"/>
            </w:r>
            <w:r w:rsidR="001652C5">
              <w:rPr>
                <w:webHidden/>
              </w:rPr>
              <w:instrText xml:space="preserve"> PAGEREF _Toc129679356 \h </w:instrText>
            </w:r>
            <w:r w:rsidR="001652C5">
              <w:rPr>
                <w:webHidden/>
              </w:rPr>
            </w:r>
            <w:r w:rsidR="001652C5">
              <w:rPr>
                <w:webHidden/>
              </w:rPr>
              <w:fldChar w:fldCharType="separate"/>
            </w:r>
            <w:r w:rsidR="00487988">
              <w:rPr>
                <w:webHidden/>
              </w:rPr>
              <w:t>12</w:t>
            </w:r>
            <w:r w:rsidR="001652C5">
              <w:rPr>
                <w:webHidden/>
              </w:rPr>
              <w:fldChar w:fldCharType="end"/>
            </w:r>
          </w:hyperlink>
        </w:p>
        <w:p w14:paraId="381764A1" w14:textId="5E7C5FCF" w:rsidR="001652C5" w:rsidRDefault="00B2070D">
          <w:pPr>
            <w:pStyle w:val="TOC2"/>
            <w:rPr>
              <w:rFonts w:eastAsiaTheme="minorEastAsia"/>
              <w:lang w:eastAsia="en-AU"/>
            </w:rPr>
          </w:pPr>
          <w:hyperlink w:anchor="_Toc129679357" w:history="1">
            <w:r w:rsidR="001652C5" w:rsidRPr="00BC772F">
              <w:rPr>
                <w:rStyle w:val="Hyperlink"/>
              </w:rPr>
              <w:t>Privacy Impact Assessments</w:t>
            </w:r>
            <w:r w:rsidR="001652C5">
              <w:rPr>
                <w:webHidden/>
              </w:rPr>
              <w:tab/>
            </w:r>
            <w:r w:rsidR="001652C5">
              <w:rPr>
                <w:webHidden/>
              </w:rPr>
              <w:fldChar w:fldCharType="begin"/>
            </w:r>
            <w:r w:rsidR="001652C5">
              <w:rPr>
                <w:webHidden/>
              </w:rPr>
              <w:instrText xml:space="preserve"> PAGEREF _Toc129679357 \h </w:instrText>
            </w:r>
            <w:r w:rsidR="001652C5">
              <w:rPr>
                <w:webHidden/>
              </w:rPr>
            </w:r>
            <w:r w:rsidR="001652C5">
              <w:rPr>
                <w:webHidden/>
              </w:rPr>
              <w:fldChar w:fldCharType="separate"/>
            </w:r>
            <w:r w:rsidR="00487988">
              <w:rPr>
                <w:webHidden/>
              </w:rPr>
              <w:t>12</w:t>
            </w:r>
            <w:r w:rsidR="001652C5">
              <w:rPr>
                <w:webHidden/>
              </w:rPr>
              <w:fldChar w:fldCharType="end"/>
            </w:r>
          </w:hyperlink>
        </w:p>
        <w:p w14:paraId="747C499B" w14:textId="62ECE841" w:rsidR="001652C5" w:rsidRDefault="00B2070D">
          <w:pPr>
            <w:pStyle w:val="TOC2"/>
            <w:rPr>
              <w:rFonts w:eastAsiaTheme="minorEastAsia"/>
              <w:lang w:eastAsia="en-AU"/>
            </w:rPr>
          </w:pPr>
          <w:hyperlink w:anchor="_Toc129679358" w:history="1">
            <w:r w:rsidR="001652C5" w:rsidRPr="00BC772F">
              <w:rPr>
                <w:rStyle w:val="Hyperlink"/>
              </w:rPr>
              <w:t>Privacy or data breach</w:t>
            </w:r>
            <w:r w:rsidR="001652C5">
              <w:rPr>
                <w:webHidden/>
              </w:rPr>
              <w:tab/>
            </w:r>
            <w:r w:rsidR="001652C5">
              <w:rPr>
                <w:webHidden/>
              </w:rPr>
              <w:fldChar w:fldCharType="begin"/>
            </w:r>
            <w:r w:rsidR="001652C5">
              <w:rPr>
                <w:webHidden/>
              </w:rPr>
              <w:instrText xml:space="preserve"> PAGEREF _Toc129679358 \h </w:instrText>
            </w:r>
            <w:r w:rsidR="001652C5">
              <w:rPr>
                <w:webHidden/>
              </w:rPr>
            </w:r>
            <w:r w:rsidR="001652C5">
              <w:rPr>
                <w:webHidden/>
              </w:rPr>
              <w:fldChar w:fldCharType="separate"/>
            </w:r>
            <w:r w:rsidR="00487988">
              <w:rPr>
                <w:webHidden/>
              </w:rPr>
              <w:t>12</w:t>
            </w:r>
            <w:r w:rsidR="001652C5">
              <w:rPr>
                <w:webHidden/>
              </w:rPr>
              <w:fldChar w:fldCharType="end"/>
            </w:r>
          </w:hyperlink>
        </w:p>
        <w:p w14:paraId="5F20A655" w14:textId="7D11DCBE" w:rsidR="001652C5" w:rsidRDefault="00B2070D">
          <w:pPr>
            <w:pStyle w:val="TOC1"/>
            <w:rPr>
              <w:rFonts w:eastAsiaTheme="minorEastAsia"/>
              <w:b w:val="0"/>
              <w:color w:val="auto"/>
              <w:lang w:eastAsia="en-AU"/>
            </w:rPr>
          </w:pPr>
          <w:hyperlink w:anchor="_Toc129679359" w:history="1">
            <w:r w:rsidR="001652C5" w:rsidRPr="00BC772F">
              <w:rPr>
                <w:rStyle w:val="Hyperlink"/>
              </w:rPr>
              <w:t>Access and correction</w:t>
            </w:r>
            <w:r w:rsidR="001652C5">
              <w:rPr>
                <w:webHidden/>
              </w:rPr>
              <w:tab/>
            </w:r>
            <w:r w:rsidR="001652C5">
              <w:rPr>
                <w:webHidden/>
              </w:rPr>
              <w:fldChar w:fldCharType="begin"/>
            </w:r>
            <w:r w:rsidR="001652C5">
              <w:rPr>
                <w:webHidden/>
              </w:rPr>
              <w:instrText xml:space="preserve"> PAGEREF _Toc129679359 \h </w:instrText>
            </w:r>
            <w:r w:rsidR="001652C5">
              <w:rPr>
                <w:webHidden/>
              </w:rPr>
            </w:r>
            <w:r w:rsidR="001652C5">
              <w:rPr>
                <w:webHidden/>
              </w:rPr>
              <w:fldChar w:fldCharType="separate"/>
            </w:r>
            <w:r w:rsidR="00487988">
              <w:rPr>
                <w:webHidden/>
              </w:rPr>
              <w:t>13</w:t>
            </w:r>
            <w:r w:rsidR="001652C5">
              <w:rPr>
                <w:webHidden/>
              </w:rPr>
              <w:fldChar w:fldCharType="end"/>
            </w:r>
          </w:hyperlink>
        </w:p>
        <w:p w14:paraId="029A01CB" w14:textId="2626E40F" w:rsidR="001652C5" w:rsidRDefault="00B2070D">
          <w:pPr>
            <w:pStyle w:val="TOC1"/>
            <w:rPr>
              <w:rFonts w:eastAsiaTheme="minorEastAsia"/>
              <w:b w:val="0"/>
              <w:color w:val="auto"/>
              <w:lang w:eastAsia="en-AU"/>
            </w:rPr>
          </w:pPr>
          <w:hyperlink w:anchor="_Toc129679360" w:history="1">
            <w:r w:rsidR="001652C5" w:rsidRPr="00BC772F">
              <w:rPr>
                <w:rStyle w:val="Hyperlink"/>
              </w:rPr>
              <w:t>Privacy complaints</w:t>
            </w:r>
            <w:r w:rsidR="001652C5">
              <w:rPr>
                <w:webHidden/>
              </w:rPr>
              <w:tab/>
            </w:r>
            <w:r w:rsidR="001652C5">
              <w:rPr>
                <w:webHidden/>
              </w:rPr>
              <w:fldChar w:fldCharType="begin"/>
            </w:r>
            <w:r w:rsidR="001652C5">
              <w:rPr>
                <w:webHidden/>
              </w:rPr>
              <w:instrText xml:space="preserve"> PAGEREF _Toc129679360 \h </w:instrText>
            </w:r>
            <w:r w:rsidR="001652C5">
              <w:rPr>
                <w:webHidden/>
              </w:rPr>
            </w:r>
            <w:r w:rsidR="001652C5">
              <w:rPr>
                <w:webHidden/>
              </w:rPr>
              <w:fldChar w:fldCharType="separate"/>
            </w:r>
            <w:r w:rsidR="00487988">
              <w:rPr>
                <w:webHidden/>
              </w:rPr>
              <w:t>13</w:t>
            </w:r>
            <w:r w:rsidR="001652C5">
              <w:rPr>
                <w:webHidden/>
              </w:rPr>
              <w:fldChar w:fldCharType="end"/>
            </w:r>
          </w:hyperlink>
        </w:p>
        <w:p w14:paraId="69438656" w14:textId="72E2302A" w:rsidR="001652C5" w:rsidRDefault="00B2070D">
          <w:pPr>
            <w:pStyle w:val="TOC1"/>
            <w:rPr>
              <w:rFonts w:eastAsiaTheme="minorEastAsia"/>
              <w:b w:val="0"/>
              <w:color w:val="auto"/>
              <w:lang w:eastAsia="en-AU"/>
            </w:rPr>
          </w:pPr>
          <w:hyperlink w:anchor="_Toc129679361" w:history="1">
            <w:r w:rsidR="001652C5" w:rsidRPr="00BC772F">
              <w:rPr>
                <w:rStyle w:val="Hyperlink"/>
              </w:rPr>
              <w:t>Roles and responsibilities</w:t>
            </w:r>
            <w:r w:rsidR="001652C5">
              <w:rPr>
                <w:webHidden/>
              </w:rPr>
              <w:tab/>
            </w:r>
            <w:r w:rsidR="001652C5">
              <w:rPr>
                <w:webHidden/>
              </w:rPr>
              <w:fldChar w:fldCharType="begin"/>
            </w:r>
            <w:r w:rsidR="001652C5">
              <w:rPr>
                <w:webHidden/>
              </w:rPr>
              <w:instrText xml:space="preserve"> PAGEREF _Toc129679361 \h </w:instrText>
            </w:r>
            <w:r w:rsidR="001652C5">
              <w:rPr>
                <w:webHidden/>
              </w:rPr>
            </w:r>
            <w:r w:rsidR="001652C5">
              <w:rPr>
                <w:webHidden/>
              </w:rPr>
              <w:fldChar w:fldCharType="separate"/>
            </w:r>
            <w:r w:rsidR="00487988">
              <w:rPr>
                <w:webHidden/>
              </w:rPr>
              <w:t>14</w:t>
            </w:r>
            <w:r w:rsidR="001652C5">
              <w:rPr>
                <w:webHidden/>
              </w:rPr>
              <w:fldChar w:fldCharType="end"/>
            </w:r>
          </w:hyperlink>
        </w:p>
        <w:p w14:paraId="5E8576EC" w14:textId="50054722" w:rsidR="001652C5" w:rsidRDefault="00B2070D">
          <w:pPr>
            <w:pStyle w:val="TOC1"/>
            <w:rPr>
              <w:rFonts w:eastAsiaTheme="minorEastAsia"/>
              <w:b w:val="0"/>
              <w:color w:val="auto"/>
              <w:lang w:eastAsia="en-AU"/>
            </w:rPr>
          </w:pPr>
          <w:hyperlink w:anchor="_Toc129679362" w:history="1">
            <w:r w:rsidR="001652C5" w:rsidRPr="00BC772F">
              <w:rPr>
                <w:rStyle w:val="Hyperlink"/>
              </w:rPr>
              <w:t>Privacy compliance</w:t>
            </w:r>
            <w:r w:rsidR="001652C5">
              <w:rPr>
                <w:webHidden/>
              </w:rPr>
              <w:tab/>
            </w:r>
            <w:r w:rsidR="001652C5">
              <w:rPr>
                <w:webHidden/>
              </w:rPr>
              <w:fldChar w:fldCharType="begin"/>
            </w:r>
            <w:r w:rsidR="001652C5">
              <w:rPr>
                <w:webHidden/>
              </w:rPr>
              <w:instrText xml:space="preserve"> PAGEREF _Toc129679362 \h </w:instrText>
            </w:r>
            <w:r w:rsidR="001652C5">
              <w:rPr>
                <w:webHidden/>
              </w:rPr>
            </w:r>
            <w:r w:rsidR="001652C5">
              <w:rPr>
                <w:webHidden/>
              </w:rPr>
              <w:fldChar w:fldCharType="separate"/>
            </w:r>
            <w:r w:rsidR="00487988">
              <w:rPr>
                <w:webHidden/>
              </w:rPr>
              <w:t>14</w:t>
            </w:r>
            <w:r w:rsidR="001652C5">
              <w:rPr>
                <w:webHidden/>
              </w:rPr>
              <w:fldChar w:fldCharType="end"/>
            </w:r>
          </w:hyperlink>
        </w:p>
        <w:p w14:paraId="1AE1E8A8" w14:textId="413018DF" w:rsidR="002A351B" w:rsidRPr="00D61830" w:rsidRDefault="002A351B">
          <w:r w:rsidRPr="00D61830">
            <w:rPr>
              <w:b/>
              <w:bCs/>
              <w:noProof/>
            </w:rPr>
            <w:fldChar w:fldCharType="end"/>
          </w:r>
        </w:p>
      </w:sdtContent>
    </w:sdt>
    <w:p w14:paraId="0D14599D" w14:textId="083D4248" w:rsidR="00E03718" w:rsidRPr="00D61830" w:rsidRDefault="00E03718">
      <w:pPr>
        <w:spacing w:after="200" w:line="276" w:lineRule="auto"/>
      </w:pPr>
    </w:p>
    <w:p w14:paraId="063785AB" w14:textId="1E4C81D1" w:rsidR="00E03718" w:rsidRPr="00D61830" w:rsidRDefault="00E03718">
      <w:pPr>
        <w:spacing w:after="200" w:line="276" w:lineRule="auto"/>
        <w:rPr>
          <w:rFonts w:asciiTheme="majorHAnsi" w:eastAsiaTheme="majorEastAsia" w:hAnsiTheme="majorHAnsi" w:cstheme="majorBidi"/>
          <w:b/>
          <w:bCs/>
          <w:color w:val="000000" w:themeColor="background2"/>
          <w:sz w:val="32"/>
          <w:szCs w:val="28"/>
        </w:rPr>
      </w:pPr>
      <w:r w:rsidRPr="00D61830">
        <w:br w:type="page"/>
      </w:r>
    </w:p>
    <w:p w14:paraId="22FBD2F5" w14:textId="722B0CA1" w:rsidR="006407E3" w:rsidRPr="00D61830" w:rsidRDefault="006407E3" w:rsidP="00BC472B">
      <w:pPr>
        <w:pStyle w:val="Heading1"/>
      </w:pPr>
      <w:bookmarkStart w:id="4" w:name="_Toc69476053"/>
      <w:bookmarkStart w:id="5" w:name="_Toc129679337"/>
      <w:r w:rsidRPr="00D61830">
        <w:lastRenderedPageBreak/>
        <w:t>Document information</w:t>
      </w:r>
      <w:bookmarkEnd w:id="1"/>
      <w:bookmarkEnd w:id="0"/>
      <w:bookmarkEnd w:id="4"/>
      <w:bookmarkEnd w:id="5"/>
    </w:p>
    <w:p w14:paraId="31D8CA0F" w14:textId="77777777" w:rsidR="006407E3" w:rsidRPr="00D61830" w:rsidRDefault="006407E3" w:rsidP="00BC472B">
      <w:pPr>
        <w:pStyle w:val="Heading2"/>
      </w:pPr>
      <w:bookmarkStart w:id="6" w:name="_Toc351349213"/>
      <w:bookmarkStart w:id="7" w:name="_Toc352144951"/>
      <w:bookmarkStart w:id="8" w:name="_Toc29895852"/>
      <w:bookmarkStart w:id="9" w:name="_Toc31193314"/>
      <w:bookmarkStart w:id="10" w:name="_Toc34217023"/>
      <w:bookmarkStart w:id="11" w:name="_Toc45889002"/>
      <w:bookmarkStart w:id="12" w:name="_Toc65754858"/>
      <w:bookmarkStart w:id="13" w:name="_Toc69476054"/>
      <w:bookmarkStart w:id="14" w:name="_Toc70944826"/>
      <w:bookmarkStart w:id="15" w:name="_Toc129595886"/>
      <w:bookmarkStart w:id="16" w:name="_Toc129679338"/>
      <w:r w:rsidRPr="00D61830">
        <w:t xml:space="preserve">Approval and </w:t>
      </w:r>
      <w:r w:rsidR="004C579A" w:rsidRPr="00D61830">
        <w:t>v</w:t>
      </w:r>
      <w:r w:rsidRPr="00D61830">
        <w:t xml:space="preserve">ersion </w:t>
      </w:r>
      <w:r w:rsidR="004C579A" w:rsidRPr="00D61830">
        <w:t>h</w:t>
      </w:r>
      <w:r w:rsidRPr="00D61830">
        <w:t>istory</w:t>
      </w:r>
      <w:bookmarkEnd w:id="6"/>
      <w:bookmarkEnd w:id="7"/>
      <w:bookmarkEnd w:id="8"/>
      <w:bookmarkEnd w:id="9"/>
      <w:bookmarkEnd w:id="10"/>
      <w:bookmarkEnd w:id="11"/>
      <w:bookmarkEnd w:id="12"/>
      <w:bookmarkEnd w:id="13"/>
      <w:bookmarkEnd w:id="14"/>
      <w:bookmarkEnd w:id="15"/>
      <w:bookmarkEnd w:id="16"/>
    </w:p>
    <w:tbl>
      <w:tblPr>
        <w:tblStyle w:val="LightList-Accent2"/>
        <w:tblW w:w="0" w:type="auto"/>
        <w:tblLook w:val="0620" w:firstRow="1" w:lastRow="0" w:firstColumn="0" w:lastColumn="0" w:noHBand="1" w:noVBand="1"/>
        <w:tblDescription w:val="Approval and version history table consists of 6 heading columns: column titles are version, effective dates, change summary, approvals, signature and approval date."/>
      </w:tblPr>
      <w:tblGrid>
        <w:gridCol w:w="1023"/>
        <w:gridCol w:w="1802"/>
        <w:gridCol w:w="1799"/>
        <w:gridCol w:w="1829"/>
        <w:gridCol w:w="1231"/>
        <w:gridCol w:w="1322"/>
      </w:tblGrid>
      <w:tr w:rsidR="001E6176" w:rsidRPr="00D61830" w14:paraId="328B7A5A" w14:textId="77777777" w:rsidTr="00126EA0">
        <w:trPr>
          <w:cnfStyle w:val="100000000000" w:firstRow="1" w:lastRow="0" w:firstColumn="0" w:lastColumn="0" w:oddVBand="0" w:evenVBand="0" w:oddHBand="0" w:evenHBand="0" w:firstRowFirstColumn="0" w:firstRowLastColumn="0" w:lastRowFirstColumn="0" w:lastRowLastColumn="0"/>
          <w:cantSplit/>
          <w:tblHeader/>
        </w:trPr>
        <w:tc>
          <w:tcPr>
            <w:tcW w:w="1023" w:type="dxa"/>
          </w:tcPr>
          <w:p w14:paraId="64CC7F1C" w14:textId="77777777" w:rsidR="006407E3" w:rsidRPr="00D61830" w:rsidRDefault="006407E3" w:rsidP="006407E3">
            <w:r w:rsidRPr="00D61830">
              <w:t>Version</w:t>
            </w:r>
          </w:p>
        </w:tc>
        <w:tc>
          <w:tcPr>
            <w:tcW w:w="1802" w:type="dxa"/>
          </w:tcPr>
          <w:p w14:paraId="143530F6" w14:textId="77777777" w:rsidR="006407E3" w:rsidRPr="00D61830" w:rsidRDefault="006407E3" w:rsidP="004C579A">
            <w:r w:rsidRPr="00D61830">
              <w:t xml:space="preserve">Effective </w:t>
            </w:r>
            <w:r w:rsidR="004C579A" w:rsidRPr="00D61830">
              <w:t>d</w:t>
            </w:r>
            <w:r w:rsidRPr="00D61830">
              <w:t>ates</w:t>
            </w:r>
          </w:p>
        </w:tc>
        <w:tc>
          <w:tcPr>
            <w:tcW w:w="1799" w:type="dxa"/>
          </w:tcPr>
          <w:p w14:paraId="57A41466" w14:textId="77777777" w:rsidR="006407E3" w:rsidRPr="00D61830" w:rsidRDefault="006407E3" w:rsidP="004C579A">
            <w:r w:rsidRPr="00D61830">
              <w:t xml:space="preserve">Change </w:t>
            </w:r>
            <w:r w:rsidR="004C579A" w:rsidRPr="00D61830">
              <w:t>s</w:t>
            </w:r>
            <w:r w:rsidRPr="00D61830">
              <w:t>ummary</w:t>
            </w:r>
          </w:p>
        </w:tc>
        <w:tc>
          <w:tcPr>
            <w:tcW w:w="1829" w:type="dxa"/>
          </w:tcPr>
          <w:p w14:paraId="4CAF6E63" w14:textId="77777777" w:rsidR="006407E3" w:rsidRPr="00D61830" w:rsidRDefault="006407E3" w:rsidP="006407E3">
            <w:r w:rsidRPr="00D61830">
              <w:t>Approvals</w:t>
            </w:r>
          </w:p>
        </w:tc>
        <w:tc>
          <w:tcPr>
            <w:tcW w:w="1231" w:type="dxa"/>
          </w:tcPr>
          <w:p w14:paraId="012AA3EF" w14:textId="77777777" w:rsidR="006407E3" w:rsidRPr="00D61830" w:rsidRDefault="006407E3" w:rsidP="006407E3">
            <w:r w:rsidRPr="00D61830">
              <w:t>Signature</w:t>
            </w:r>
          </w:p>
        </w:tc>
        <w:tc>
          <w:tcPr>
            <w:tcW w:w="1322" w:type="dxa"/>
          </w:tcPr>
          <w:p w14:paraId="5BDFC4BD" w14:textId="77777777" w:rsidR="006407E3" w:rsidRPr="00D61830" w:rsidRDefault="006407E3" w:rsidP="004C579A">
            <w:r w:rsidRPr="00D61830">
              <w:t xml:space="preserve">Approval </w:t>
            </w:r>
            <w:r w:rsidR="004C579A" w:rsidRPr="00D61830">
              <w:t>d</w:t>
            </w:r>
            <w:r w:rsidRPr="00D61830">
              <w:t>ate</w:t>
            </w:r>
          </w:p>
        </w:tc>
      </w:tr>
      <w:tr w:rsidR="00AD152D" w:rsidRPr="00D61830" w14:paraId="79AD7A01" w14:textId="77777777" w:rsidTr="001E6176">
        <w:trPr>
          <w:cantSplit/>
        </w:trPr>
        <w:tc>
          <w:tcPr>
            <w:tcW w:w="1023" w:type="dxa"/>
          </w:tcPr>
          <w:p w14:paraId="2BE19F05" w14:textId="77777777" w:rsidR="00164F6C" w:rsidRPr="00D61830" w:rsidRDefault="00164F6C" w:rsidP="00164F6C">
            <w:pPr>
              <w:spacing w:after="200"/>
              <w:rPr>
                <w:rFonts w:eastAsia="Arial"/>
              </w:rPr>
            </w:pPr>
            <w:r w:rsidRPr="00D61830">
              <w:rPr>
                <w:rFonts w:eastAsia="Arial"/>
              </w:rPr>
              <w:t>1.0</w:t>
            </w:r>
          </w:p>
        </w:tc>
        <w:tc>
          <w:tcPr>
            <w:tcW w:w="1802" w:type="dxa"/>
          </w:tcPr>
          <w:p w14:paraId="099E51DF" w14:textId="178B6613" w:rsidR="00164F6C" w:rsidRPr="00D61830" w:rsidRDefault="00164F6C" w:rsidP="00164F6C">
            <w:pPr>
              <w:spacing w:after="200"/>
              <w:rPr>
                <w:rFonts w:eastAsia="Arial"/>
              </w:rPr>
            </w:pPr>
            <w:r w:rsidRPr="00D61830">
              <w:rPr>
                <w:rFonts w:eastAsia="Arial"/>
              </w:rPr>
              <w:t xml:space="preserve">29 August 2012 To </w:t>
            </w:r>
            <w:r w:rsidR="00D25E2C" w:rsidRPr="00D61830">
              <w:rPr>
                <w:rFonts w:eastAsia="Arial"/>
              </w:rPr>
              <w:br/>
            </w:r>
            <w:r w:rsidRPr="00D61830">
              <w:rPr>
                <w:rFonts w:eastAsia="Arial"/>
              </w:rPr>
              <w:t>11 March 2014</w:t>
            </w:r>
          </w:p>
        </w:tc>
        <w:tc>
          <w:tcPr>
            <w:tcW w:w="1799" w:type="dxa"/>
          </w:tcPr>
          <w:p w14:paraId="19B77D54" w14:textId="77777777" w:rsidR="00164F6C" w:rsidRPr="00D61830" w:rsidRDefault="00164F6C" w:rsidP="00164F6C">
            <w:pPr>
              <w:spacing w:after="200"/>
              <w:rPr>
                <w:rFonts w:eastAsia="Arial"/>
              </w:rPr>
            </w:pPr>
            <w:r w:rsidRPr="00D61830">
              <w:rPr>
                <w:rFonts w:eastAsia="Arial"/>
              </w:rPr>
              <w:t xml:space="preserve">Alessandra Ryan &amp; Samantha </w:t>
            </w:r>
            <w:proofErr w:type="spellStart"/>
            <w:r w:rsidRPr="00D61830">
              <w:rPr>
                <w:rFonts w:eastAsia="Arial"/>
              </w:rPr>
              <w:t>Koevoets</w:t>
            </w:r>
            <w:proofErr w:type="spellEnd"/>
          </w:p>
        </w:tc>
        <w:tc>
          <w:tcPr>
            <w:tcW w:w="1829" w:type="dxa"/>
          </w:tcPr>
          <w:p w14:paraId="2692E011" w14:textId="30051522" w:rsidR="00E03718" w:rsidRPr="00D61830" w:rsidRDefault="00164F6C" w:rsidP="00525257">
            <w:pPr>
              <w:spacing w:after="200"/>
              <w:rPr>
                <w:rFonts w:eastAsia="Arial"/>
              </w:rPr>
            </w:pPr>
            <w:r w:rsidRPr="00D61830">
              <w:rPr>
                <w:rFonts w:eastAsia="Arial"/>
              </w:rPr>
              <w:t xml:space="preserve">Approved by: </w:t>
            </w:r>
            <w:r w:rsidR="00E03718" w:rsidRPr="00D61830">
              <w:rPr>
                <w:rFonts w:eastAsia="Arial"/>
              </w:rPr>
              <w:br/>
            </w:r>
            <w:r w:rsidRPr="00D61830">
              <w:rPr>
                <w:rFonts w:eastAsia="Arial"/>
              </w:rPr>
              <w:t xml:space="preserve">Tony </w:t>
            </w:r>
            <w:proofErr w:type="spellStart"/>
            <w:r w:rsidRPr="00D61830">
              <w:rPr>
                <w:rFonts w:eastAsia="Arial"/>
              </w:rPr>
              <w:t>Sherbon</w:t>
            </w:r>
            <w:proofErr w:type="spellEnd"/>
          </w:p>
          <w:p w14:paraId="2F4FC487" w14:textId="37F8BF9D" w:rsidR="00164F6C" w:rsidRPr="00D61830" w:rsidRDefault="00164F6C" w:rsidP="000E5408">
            <w:pPr>
              <w:spacing w:after="200"/>
              <w:rPr>
                <w:rFonts w:eastAsia="Arial"/>
              </w:rPr>
            </w:pPr>
            <w:r w:rsidRPr="00D61830">
              <w:rPr>
                <w:rFonts w:eastAsia="Arial"/>
              </w:rPr>
              <w:t>Acting Chief Executive Officer</w:t>
            </w:r>
          </w:p>
        </w:tc>
        <w:tc>
          <w:tcPr>
            <w:tcW w:w="1231" w:type="dxa"/>
          </w:tcPr>
          <w:p w14:paraId="22332DAF" w14:textId="77777777" w:rsidR="00164F6C" w:rsidRPr="00D61830" w:rsidRDefault="00164F6C" w:rsidP="00164F6C"/>
        </w:tc>
        <w:tc>
          <w:tcPr>
            <w:tcW w:w="1322" w:type="dxa"/>
          </w:tcPr>
          <w:p w14:paraId="206C66B9" w14:textId="77777777" w:rsidR="00164F6C" w:rsidRPr="00D61830" w:rsidRDefault="00164F6C" w:rsidP="00164F6C"/>
        </w:tc>
      </w:tr>
      <w:tr w:rsidR="00AD152D" w:rsidRPr="00D61830" w14:paraId="4FA6D740" w14:textId="77777777" w:rsidTr="001E6176">
        <w:trPr>
          <w:cantSplit/>
        </w:trPr>
        <w:tc>
          <w:tcPr>
            <w:tcW w:w="1023" w:type="dxa"/>
          </w:tcPr>
          <w:p w14:paraId="0F2E7E6A" w14:textId="77777777" w:rsidR="00164F6C" w:rsidRPr="00D61830" w:rsidRDefault="00164F6C" w:rsidP="00164F6C">
            <w:pPr>
              <w:spacing w:after="200"/>
              <w:rPr>
                <w:rFonts w:eastAsia="Arial"/>
              </w:rPr>
            </w:pPr>
            <w:r w:rsidRPr="00D61830">
              <w:rPr>
                <w:rFonts w:eastAsia="Arial"/>
              </w:rPr>
              <w:t>2.0</w:t>
            </w:r>
          </w:p>
        </w:tc>
        <w:tc>
          <w:tcPr>
            <w:tcW w:w="1802" w:type="dxa"/>
          </w:tcPr>
          <w:p w14:paraId="05B45A57" w14:textId="27B55C76" w:rsidR="00164F6C" w:rsidRPr="00D61830" w:rsidRDefault="00164F6C" w:rsidP="00164F6C">
            <w:pPr>
              <w:spacing w:after="200"/>
              <w:rPr>
                <w:rFonts w:eastAsia="Arial"/>
              </w:rPr>
            </w:pPr>
            <w:r w:rsidRPr="00D61830">
              <w:rPr>
                <w:rFonts w:eastAsia="Arial"/>
              </w:rPr>
              <w:t xml:space="preserve">12 March 2014 to </w:t>
            </w:r>
            <w:r w:rsidR="00D25E2C" w:rsidRPr="00D61830">
              <w:rPr>
                <w:rFonts w:eastAsia="Arial"/>
              </w:rPr>
              <w:br/>
            </w:r>
            <w:r w:rsidRPr="00D61830">
              <w:rPr>
                <w:rFonts w:eastAsia="Arial"/>
              </w:rPr>
              <w:t>11 March 2015</w:t>
            </w:r>
          </w:p>
        </w:tc>
        <w:tc>
          <w:tcPr>
            <w:tcW w:w="1799" w:type="dxa"/>
          </w:tcPr>
          <w:p w14:paraId="72FA6710" w14:textId="77777777" w:rsidR="00164F6C" w:rsidRPr="00D61830" w:rsidRDefault="00164F6C" w:rsidP="00164F6C">
            <w:pPr>
              <w:spacing w:after="200"/>
              <w:rPr>
                <w:rFonts w:eastAsia="Arial"/>
              </w:rPr>
            </w:pPr>
            <w:r w:rsidRPr="00D61830">
              <w:rPr>
                <w:rFonts w:eastAsia="Arial"/>
              </w:rPr>
              <w:t>Jane Barry</w:t>
            </w:r>
          </w:p>
        </w:tc>
        <w:tc>
          <w:tcPr>
            <w:tcW w:w="1829" w:type="dxa"/>
          </w:tcPr>
          <w:p w14:paraId="0C1B280F" w14:textId="5CC8352F" w:rsidR="009A795D" w:rsidRPr="00D61830" w:rsidRDefault="00164F6C" w:rsidP="009A795D">
            <w:pPr>
              <w:spacing w:after="200"/>
              <w:rPr>
                <w:rFonts w:eastAsia="Arial"/>
              </w:rPr>
            </w:pPr>
            <w:r w:rsidRPr="00D61830">
              <w:rPr>
                <w:rFonts w:eastAsia="Arial"/>
              </w:rPr>
              <w:t>Approved by</w:t>
            </w:r>
            <w:r w:rsidR="0078162B" w:rsidRPr="00D61830">
              <w:rPr>
                <w:rFonts w:eastAsia="Arial"/>
              </w:rPr>
              <w:t>:</w:t>
            </w:r>
            <w:r w:rsidR="009A795D" w:rsidRPr="00D61830">
              <w:rPr>
                <w:rFonts w:eastAsia="Arial"/>
              </w:rPr>
              <w:t xml:space="preserve"> </w:t>
            </w:r>
          </w:p>
          <w:p w14:paraId="0B50B824" w14:textId="7BFA1FC1" w:rsidR="00164F6C" w:rsidRPr="00D61830" w:rsidRDefault="00164F6C" w:rsidP="009A795D">
            <w:pPr>
              <w:spacing w:after="200"/>
              <w:rPr>
                <w:rFonts w:eastAsia="Arial"/>
              </w:rPr>
            </w:pPr>
            <w:r w:rsidRPr="00D61830">
              <w:rPr>
                <w:rFonts w:eastAsia="Arial"/>
              </w:rPr>
              <w:t xml:space="preserve">Tony </w:t>
            </w:r>
            <w:proofErr w:type="spellStart"/>
            <w:r w:rsidRPr="00D61830">
              <w:rPr>
                <w:rFonts w:eastAsia="Arial"/>
              </w:rPr>
              <w:t>Sherbon</w:t>
            </w:r>
            <w:proofErr w:type="spellEnd"/>
            <w:r w:rsidRPr="00D61830">
              <w:rPr>
                <w:rFonts w:eastAsia="Arial"/>
              </w:rPr>
              <w:t xml:space="preserve"> </w:t>
            </w:r>
            <w:r w:rsidR="00E03718" w:rsidRPr="00D61830">
              <w:rPr>
                <w:rFonts w:eastAsia="Arial"/>
              </w:rPr>
              <w:br/>
            </w:r>
            <w:r w:rsidRPr="00D61830">
              <w:rPr>
                <w:rFonts w:eastAsia="Arial"/>
              </w:rPr>
              <w:t>Chief Executive Officer</w:t>
            </w:r>
          </w:p>
        </w:tc>
        <w:tc>
          <w:tcPr>
            <w:tcW w:w="1231" w:type="dxa"/>
          </w:tcPr>
          <w:p w14:paraId="32B50323" w14:textId="77777777" w:rsidR="00164F6C" w:rsidRPr="00D61830" w:rsidRDefault="00164F6C" w:rsidP="00164F6C"/>
        </w:tc>
        <w:tc>
          <w:tcPr>
            <w:tcW w:w="1322" w:type="dxa"/>
          </w:tcPr>
          <w:p w14:paraId="6546292F" w14:textId="77777777" w:rsidR="00164F6C" w:rsidRPr="00D61830" w:rsidRDefault="00164F6C" w:rsidP="00164F6C"/>
        </w:tc>
      </w:tr>
      <w:tr w:rsidR="00AD152D" w:rsidRPr="00D61830" w14:paraId="7AD43B69" w14:textId="77777777" w:rsidTr="001E6176">
        <w:trPr>
          <w:cantSplit/>
        </w:trPr>
        <w:tc>
          <w:tcPr>
            <w:tcW w:w="1023" w:type="dxa"/>
          </w:tcPr>
          <w:p w14:paraId="4E9C90A9" w14:textId="77777777" w:rsidR="00164F6C" w:rsidRPr="00D61830" w:rsidRDefault="00164F6C" w:rsidP="00164F6C">
            <w:pPr>
              <w:spacing w:after="200"/>
              <w:rPr>
                <w:rFonts w:eastAsia="Arial"/>
              </w:rPr>
            </w:pPr>
            <w:r w:rsidRPr="00D61830">
              <w:rPr>
                <w:rFonts w:eastAsia="Arial"/>
              </w:rPr>
              <w:t>3.0</w:t>
            </w:r>
          </w:p>
        </w:tc>
        <w:tc>
          <w:tcPr>
            <w:tcW w:w="1802" w:type="dxa"/>
          </w:tcPr>
          <w:p w14:paraId="67667823" w14:textId="516E4E65" w:rsidR="00164F6C" w:rsidRPr="00D61830" w:rsidRDefault="00AE4E8A" w:rsidP="00164F6C">
            <w:pPr>
              <w:spacing w:after="200"/>
              <w:rPr>
                <w:rFonts w:eastAsia="Arial"/>
              </w:rPr>
            </w:pPr>
            <w:r w:rsidRPr="00D61830">
              <w:rPr>
                <w:rFonts w:eastAsia="Arial"/>
              </w:rPr>
              <w:t xml:space="preserve">February </w:t>
            </w:r>
            <w:r w:rsidR="00164F6C" w:rsidRPr="00D61830">
              <w:rPr>
                <w:rFonts w:eastAsia="Arial"/>
              </w:rPr>
              <w:t>2020</w:t>
            </w:r>
          </w:p>
        </w:tc>
        <w:tc>
          <w:tcPr>
            <w:tcW w:w="1799" w:type="dxa"/>
          </w:tcPr>
          <w:p w14:paraId="611BC143" w14:textId="77777777" w:rsidR="00164F6C" w:rsidRPr="00D61830" w:rsidRDefault="00164F6C" w:rsidP="00164F6C">
            <w:pPr>
              <w:spacing w:after="200"/>
              <w:rPr>
                <w:rFonts w:eastAsia="Arial"/>
              </w:rPr>
            </w:pPr>
            <w:r w:rsidRPr="00D61830">
              <w:rPr>
                <w:rFonts w:eastAsia="Arial"/>
              </w:rPr>
              <w:t>Olga Liavas</w:t>
            </w:r>
          </w:p>
        </w:tc>
        <w:tc>
          <w:tcPr>
            <w:tcW w:w="1829" w:type="dxa"/>
          </w:tcPr>
          <w:p w14:paraId="09C4223D" w14:textId="6576B29A" w:rsidR="009A795D" w:rsidRPr="00D61830" w:rsidRDefault="00164F6C" w:rsidP="009A795D">
            <w:pPr>
              <w:spacing w:after="200"/>
              <w:rPr>
                <w:rFonts w:eastAsia="Arial"/>
              </w:rPr>
            </w:pPr>
            <w:r w:rsidRPr="00D61830">
              <w:rPr>
                <w:rFonts w:eastAsia="Arial"/>
              </w:rPr>
              <w:t>Approved by</w:t>
            </w:r>
            <w:r w:rsidR="0078162B" w:rsidRPr="00D61830">
              <w:rPr>
                <w:rFonts w:eastAsia="Arial"/>
              </w:rPr>
              <w:t>:</w:t>
            </w:r>
            <w:r w:rsidR="009A795D" w:rsidRPr="00D61830">
              <w:rPr>
                <w:rFonts w:eastAsia="Arial"/>
              </w:rPr>
              <w:t xml:space="preserve"> </w:t>
            </w:r>
          </w:p>
          <w:p w14:paraId="00D20C6C" w14:textId="4F1F7572" w:rsidR="00164F6C" w:rsidRPr="00D61830" w:rsidRDefault="009A795D" w:rsidP="009A795D">
            <w:pPr>
              <w:spacing w:after="200"/>
              <w:rPr>
                <w:rFonts w:eastAsia="Arial"/>
              </w:rPr>
            </w:pPr>
            <w:r w:rsidRPr="00D61830">
              <w:rPr>
                <w:rFonts w:eastAsia="Arial"/>
              </w:rPr>
              <w:t xml:space="preserve">James </w:t>
            </w:r>
            <w:proofErr w:type="spellStart"/>
            <w:r w:rsidRPr="00D61830">
              <w:rPr>
                <w:rFonts w:eastAsia="Arial"/>
              </w:rPr>
              <w:t>Downie</w:t>
            </w:r>
            <w:proofErr w:type="spellEnd"/>
            <w:r w:rsidRPr="00D61830">
              <w:rPr>
                <w:rFonts w:eastAsia="Arial"/>
              </w:rPr>
              <w:t xml:space="preserve"> </w:t>
            </w:r>
            <w:r w:rsidR="00E03718" w:rsidRPr="00D61830">
              <w:rPr>
                <w:rFonts w:eastAsia="Arial"/>
              </w:rPr>
              <w:br/>
            </w:r>
            <w:r w:rsidRPr="00D61830">
              <w:rPr>
                <w:rFonts w:eastAsia="Arial"/>
              </w:rPr>
              <w:t>Chief Executive Officer</w:t>
            </w:r>
          </w:p>
        </w:tc>
        <w:tc>
          <w:tcPr>
            <w:tcW w:w="1231" w:type="dxa"/>
          </w:tcPr>
          <w:p w14:paraId="15333FFD" w14:textId="552E1696" w:rsidR="00164F6C" w:rsidRPr="00D61830" w:rsidRDefault="00AE2C11" w:rsidP="00164F6C">
            <w:r w:rsidRPr="00D61830">
              <w:t xml:space="preserve">James </w:t>
            </w:r>
            <w:proofErr w:type="spellStart"/>
            <w:r w:rsidRPr="00D61830">
              <w:t>Downie</w:t>
            </w:r>
            <w:proofErr w:type="spellEnd"/>
            <w:r w:rsidRPr="00D61830">
              <w:t xml:space="preserve"> </w:t>
            </w:r>
          </w:p>
        </w:tc>
        <w:tc>
          <w:tcPr>
            <w:tcW w:w="1322" w:type="dxa"/>
          </w:tcPr>
          <w:p w14:paraId="6A2A7B97" w14:textId="6782B7F1" w:rsidR="00164F6C" w:rsidRPr="00D61830" w:rsidRDefault="00AE2C11" w:rsidP="00AE2C11">
            <w:r w:rsidRPr="00D61830">
              <w:t>25/02/2020</w:t>
            </w:r>
          </w:p>
        </w:tc>
      </w:tr>
      <w:tr w:rsidR="00AD152D" w:rsidRPr="00D61830" w14:paraId="7BC3F66B" w14:textId="77777777" w:rsidTr="001E6176">
        <w:trPr>
          <w:cantSplit/>
        </w:trPr>
        <w:tc>
          <w:tcPr>
            <w:tcW w:w="1023" w:type="dxa"/>
          </w:tcPr>
          <w:p w14:paraId="41D1C42A" w14:textId="132EC8B5" w:rsidR="00516D35" w:rsidRPr="00D61830" w:rsidRDefault="00C4780F" w:rsidP="00164F6C">
            <w:pPr>
              <w:spacing w:after="200"/>
              <w:rPr>
                <w:rFonts w:eastAsia="Arial"/>
              </w:rPr>
            </w:pPr>
            <w:r w:rsidRPr="00D61830">
              <w:rPr>
                <w:rFonts w:eastAsia="Arial"/>
              </w:rPr>
              <w:t>4.0</w:t>
            </w:r>
          </w:p>
        </w:tc>
        <w:tc>
          <w:tcPr>
            <w:tcW w:w="1802" w:type="dxa"/>
          </w:tcPr>
          <w:p w14:paraId="275F49AA" w14:textId="63188EEC" w:rsidR="00516D35" w:rsidRPr="00D61830" w:rsidRDefault="00031FBD" w:rsidP="000E450E">
            <w:pPr>
              <w:spacing w:after="200"/>
              <w:rPr>
                <w:rFonts w:eastAsia="Arial"/>
              </w:rPr>
            </w:pPr>
            <w:r w:rsidRPr="00D61830">
              <w:rPr>
                <w:rFonts w:eastAsia="Arial"/>
              </w:rPr>
              <w:t xml:space="preserve">May </w:t>
            </w:r>
            <w:r w:rsidR="001F7E1F" w:rsidRPr="00D61830">
              <w:rPr>
                <w:rFonts w:eastAsia="Arial"/>
              </w:rPr>
              <w:t>2021</w:t>
            </w:r>
          </w:p>
        </w:tc>
        <w:tc>
          <w:tcPr>
            <w:tcW w:w="1799" w:type="dxa"/>
          </w:tcPr>
          <w:p w14:paraId="4F0318EC" w14:textId="77777777" w:rsidR="00516D35" w:rsidRPr="00D61830" w:rsidRDefault="00516D35" w:rsidP="00164F6C">
            <w:pPr>
              <w:spacing w:after="200"/>
              <w:rPr>
                <w:rFonts w:eastAsia="Arial"/>
              </w:rPr>
            </w:pPr>
            <w:r w:rsidRPr="00D61830">
              <w:rPr>
                <w:rFonts w:eastAsia="Arial"/>
              </w:rPr>
              <w:t>Olga Liavas</w:t>
            </w:r>
          </w:p>
          <w:p w14:paraId="0D99C066" w14:textId="2F5DD841" w:rsidR="00516D35" w:rsidRPr="00D61830" w:rsidRDefault="00516D35" w:rsidP="00164F6C">
            <w:pPr>
              <w:spacing w:after="200"/>
              <w:rPr>
                <w:rFonts w:eastAsia="Arial"/>
              </w:rPr>
            </w:pPr>
            <w:r w:rsidRPr="00D61830">
              <w:rPr>
                <w:rFonts w:eastAsia="Arial"/>
              </w:rPr>
              <w:t>Reference to PIA</w:t>
            </w:r>
            <w:r w:rsidR="00BB31F1" w:rsidRPr="00D61830">
              <w:rPr>
                <w:rFonts w:eastAsia="Arial"/>
              </w:rPr>
              <w:t xml:space="preserve"> and associated updates</w:t>
            </w:r>
          </w:p>
        </w:tc>
        <w:tc>
          <w:tcPr>
            <w:tcW w:w="1829" w:type="dxa"/>
          </w:tcPr>
          <w:p w14:paraId="47879DB5" w14:textId="77777777" w:rsidR="00BF4193" w:rsidRPr="00D61830" w:rsidRDefault="00BF4193" w:rsidP="00BF4193">
            <w:pPr>
              <w:spacing w:after="200"/>
              <w:rPr>
                <w:rFonts w:eastAsia="Arial"/>
              </w:rPr>
            </w:pPr>
            <w:r w:rsidRPr="00D61830">
              <w:rPr>
                <w:rFonts w:eastAsia="Arial"/>
              </w:rPr>
              <w:t xml:space="preserve">Approved by: </w:t>
            </w:r>
          </w:p>
          <w:p w14:paraId="5E76C106" w14:textId="38BA03F1" w:rsidR="00516D35" w:rsidRPr="00D61830" w:rsidRDefault="00BF4193" w:rsidP="00BF4193">
            <w:pPr>
              <w:spacing w:after="200"/>
              <w:rPr>
                <w:rFonts w:eastAsia="Arial"/>
              </w:rPr>
            </w:pPr>
            <w:r w:rsidRPr="00D61830">
              <w:rPr>
                <w:rFonts w:eastAsia="Arial"/>
              </w:rPr>
              <w:t xml:space="preserve">James </w:t>
            </w:r>
            <w:proofErr w:type="spellStart"/>
            <w:r w:rsidRPr="00D61830">
              <w:rPr>
                <w:rFonts w:eastAsia="Arial"/>
              </w:rPr>
              <w:t>Downie</w:t>
            </w:r>
            <w:proofErr w:type="spellEnd"/>
            <w:r w:rsidRPr="00D61830">
              <w:rPr>
                <w:rFonts w:eastAsia="Arial"/>
              </w:rPr>
              <w:t xml:space="preserve"> </w:t>
            </w:r>
            <w:r w:rsidRPr="00D61830">
              <w:rPr>
                <w:rFonts w:eastAsia="Arial"/>
              </w:rPr>
              <w:br/>
              <w:t>Chief Executive Officer</w:t>
            </w:r>
          </w:p>
        </w:tc>
        <w:tc>
          <w:tcPr>
            <w:tcW w:w="1231" w:type="dxa"/>
          </w:tcPr>
          <w:p w14:paraId="0CD7F752" w14:textId="4FE9175B" w:rsidR="00516D35" w:rsidRPr="00D61830" w:rsidRDefault="00AE2C11" w:rsidP="00164F6C">
            <w:r w:rsidRPr="00D61830">
              <w:t xml:space="preserve">James </w:t>
            </w:r>
            <w:proofErr w:type="spellStart"/>
            <w:r w:rsidRPr="00D61830">
              <w:t>Downie</w:t>
            </w:r>
            <w:proofErr w:type="spellEnd"/>
          </w:p>
        </w:tc>
        <w:tc>
          <w:tcPr>
            <w:tcW w:w="1322" w:type="dxa"/>
          </w:tcPr>
          <w:p w14:paraId="5437CD18" w14:textId="790ED2C7" w:rsidR="00516D35" w:rsidRPr="00D61830" w:rsidRDefault="00AE2C11" w:rsidP="00164F6C">
            <w:r w:rsidRPr="00D61830">
              <w:t>03/05/2020</w:t>
            </w:r>
          </w:p>
        </w:tc>
      </w:tr>
      <w:tr w:rsidR="00AD152D" w:rsidRPr="00D61830" w14:paraId="790BDF7F" w14:textId="77777777" w:rsidTr="00126EA0">
        <w:trPr>
          <w:cantSplit/>
        </w:trPr>
        <w:tc>
          <w:tcPr>
            <w:tcW w:w="1023" w:type="dxa"/>
          </w:tcPr>
          <w:p w14:paraId="394394B7" w14:textId="0B0E4B96" w:rsidR="00491EA9" w:rsidRPr="00D61830" w:rsidRDefault="00491EA9" w:rsidP="00164F6C">
            <w:pPr>
              <w:spacing w:after="200"/>
              <w:rPr>
                <w:rFonts w:eastAsia="Arial"/>
              </w:rPr>
            </w:pPr>
            <w:r w:rsidRPr="00D61830">
              <w:rPr>
                <w:rFonts w:eastAsia="Arial"/>
              </w:rPr>
              <w:t>5.0</w:t>
            </w:r>
          </w:p>
        </w:tc>
        <w:tc>
          <w:tcPr>
            <w:tcW w:w="1802" w:type="dxa"/>
          </w:tcPr>
          <w:p w14:paraId="70AD0299" w14:textId="6FEE89D9" w:rsidR="00491EA9" w:rsidRPr="00D61830" w:rsidRDefault="00AD152D" w:rsidP="000E450E">
            <w:pPr>
              <w:spacing w:after="200"/>
              <w:rPr>
                <w:rFonts w:eastAsia="Arial"/>
              </w:rPr>
            </w:pPr>
            <w:r w:rsidRPr="00D61830">
              <w:rPr>
                <w:rFonts w:eastAsia="Arial"/>
              </w:rPr>
              <w:t>March 2023</w:t>
            </w:r>
          </w:p>
        </w:tc>
        <w:tc>
          <w:tcPr>
            <w:tcW w:w="1799" w:type="dxa"/>
          </w:tcPr>
          <w:p w14:paraId="2175F12B" w14:textId="7ED77C97" w:rsidR="00491EA9" w:rsidRPr="00D61830" w:rsidRDefault="00AD152D" w:rsidP="00164F6C">
            <w:pPr>
              <w:spacing w:after="200"/>
              <w:rPr>
                <w:rFonts w:eastAsia="Arial"/>
              </w:rPr>
            </w:pPr>
            <w:r w:rsidRPr="00D61830">
              <w:rPr>
                <w:rFonts w:eastAsia="Arial"/>
              </w:rPr>
              <w:t>Olga Liavas</w:t>
            </w:r>
          </w:p>
          <w:p w14:paraId="3849AAC8" w14:textId="63C3DA93" w:rsidR="00AD152D" w:rsidRPr="00D61830" w:rsidRDefault="00AD152D" w:rsidP="00164F6C">
            <w:pPr>
              <w:spacing w:after="200"/>
              <w:rPr>
                <w:rFonts w:eastAsia="Arial"/>
              </w:rPr>
            </w:pPr>
            <w:r w:rsidRPr="00D61830">
              <w:rPr>
                <w:rFonts w:eastAsia="Arial"/>
              </w:rPr>
              <w:t>Changes to policy to reflect amendments to the NHR Act and the Aged Care Act</w:t>
            </w:r>
            <w:r w:rsidRPr="00D61830">
              <w:rPr>
                <w:rFonts w:eastAsia="Arial"/>
                <w:i/>
                <w:iCs/>
              </w:rPr>
              <w:t xml:space="preserve"> </w:t>
            </w:r>
          </w:p>
        </w:tc>
        <w:tc>
          <w:tcPr>
            <w:tcW w:w="1829" w:type="dxa"/>
          </w:tcPr>
          <w:p w14:paraId="4EF09FD1" w14:textId="3DE61931" w:rsidR="00491EA9" w:rsidRDefault="00126EA0" w:rsidP="00BF4193">
            <w:pPr>
              <w:spacing w:after="200"/>
              <w:rPr>
                <w:rFonts w:eastAsia="Arial"/>
              </w:rPr>
            </w:pPr>
            <w:r w:rsidRPr="00D61830">
              <w:rPr>
                <w:rFonts w:eastAsia="Arial"/>
              </w:rPr>
              <w:t>Approved by:</w:t>
            </w:r>
          </w:p>
          <w:p w14:paraId="22586021" w14:textId="50AE295A" w:rsidR="00487988" w:rsidRPr="00D61830" w:rsidRDefault="00487988" w:rsidP="00BF4193">
            <w:pPr>
              <w:spacing w:after="200"/>
              <w:rPr>
                <w:rFonts w:eastAsia="Arial"/>
              </w:rPr>
            </w:pPr>
            <w:r>
              <w:rPr>
                <w:rFonts w:eastAsia="Arial"/>
              </w:rPr>
              <w:t>Prof. Michael Pervan</w:t>
            </w:r>
            <w:r>
              <w:rPr>
                <w:rFonts w:eastAsia="Arial"/>
              </w:rPr>
              <w:br/>
              <w:t>Chief Executive Officer</w:t>
            </w:r>
          </w:p>
          <w:p w14:paraId="7D299697" w14:textId="4B465719" w:rsidR="00126EA0" w:rsidRPr="00D61830" w:rsidRDefault="00126EA0" w:rsidP="00BF4193">
            <w:pPr>
              <w:spacing w:after="200"/>
              <w:rPr>
                <w:rFonts w:eastAsia="Arial"/>
              </w:rPr>
            </w:pPr>
          </w:p>
        </w:tc>
        <w:tc>
          <w:tcPr>
            <w:tcW w:w="1231" w:type="dxa"/>
          </w:tcPr>
          <w:p w14:paraId="3F831A30" w14:textId="05555A9D" w:rsidR="00491EA9" w:rsidRPr="00D61830" w:rsidRDefault="00DA262F" w:rsidP="00164F6C">
            <w:r>
              <w:rPr>
                <w:noProof/>
              </w:rPr>
              <w:drawing>
                <wp:anchor distT="0" distB="0" distL="114300" distR="114300" simplePos="0" relativeHeight="251661312" behindDoc="1" locked="0" layoutInCell="1" allowOverlap="1" wp14:anchorId="3681E206" wp14:editId="2FC8C15E">
                  <wp:simplePos x="0" y="0"/>
                  <wp:positionH relativeFrom="column">
                    <wp:posOffset>-5080</wp:posOffset>
                  </wp:positionH>
                  <wp:positionV relativeFrom="paragraph">
                    <wp:posOffset>1270</wp:posOffset>
                  </wp:positionV>
                  <wp:extent cx="762000" cy="24069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2000" cy="240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22" w:type="dxa"/>
          </w:tcPr>
          <w:p w14:paraId="23907CAE" w14:textId="0BBCE0CF" w:rsidR="00491EA9" w:rsidRPr="00D61830" w:rsidRDefault="00DA262F" w:rsidP="00164F6C">
            <w:r>
              <w:t>30/03/2023</w:t>
            </w:r>
          </w:p>
        </w:tc>
      </w:tr>
    </w:tbl>
    <w:p w14:paraId="3AF834B7" w14:textId="77777777" w:rsidR="006407E3" w:rsidRPr="00D61830" w:rsidRDefault="006407E3" w:rsidP="00BC472B">
      <w:pPr>
        <w:pStyle w:val="Heading2"/>
      </w:pPr>
      <w:bookmarkStart w:id="17" w:name="_Toc351349214"/>
      <w:bookmarkStart w:id="18" w:name="_Toc352144952"/>
      <w:bookmarkStart w:id="19" w:name="_Toc29895853"/>
      <w:bookmarkStart w:id="20" w:name="_Toc31193315"/>
      <w:bookmarkStart w:id="21" w:name="_Toc34217024"/>
      <w:bookmarkStart w:id="22" w:name="_Toc45889003"/>
      <w:bookmarkStart w:id="23" w:name="_Toc65754859"/>
      <w:bookmarkStart w:id="24" w:name="_Toc69476055"/>
      <w:bookmarkStart w:id="25" w:name="_Toc70944827"/>
      <w:bookmarkStart w:id="26" w:name="_Toc129595887"/>
      <w:bookmarkStart w:id="27" w:name="_Toc129679339"/>
      <w:r w:rsidRPr="00D61830">
        <w:t>Ownership</w:t>
      </w:r>
      <w:bookmarkEnd w:id="17"/>
      <w:bookmarkEnd w:id="18"/>
      <w:bookmarkEnd w:id="19"/>
      <w:bookmarkEnd w:id="20"/>
      <w:bookmarkEnd w:id="21"/>
      <w:bookmarkEnd w:id="22"/>
      <w:bookmarkEnd w:id="23"/>
      <w:bookmarkEnd w:id="24"/>
      <w:bookmarkEnd w:id="25"/>
      <w:bookmarkEnd w:id="26"/>
      <w:bookmarkEnd w:id="27"/>
    </w:p>
    <w:p w14:paraId="5F0B16D6" w14:textId="77777777" w:rsidR="006407E3" w:rsidRPr="00D61830" w:rsidRDefault="006407E3" w:rsidP="006407E3">
      <w:r w:rsidRPr="00D61830">
        <w:t>Enquiries regarding this document can be made to:</w:t>
      </w:r>
    </w:p>
    <w:p w14:paraId="4777FF16" w14:textId="341E5B70" w:rsidR="006407E3" w:rsidRPr="00D61830" w:rsidRDefault="006407E3" w:rsidP="006407E3">
      <w:pPr>
        <w:tabs>
          <w:tab w:val="left" w:pos="1418"/>
        </w:tabs>
      </w:pPr>
      <w:r w:rsidRPr="00D61830">
        <w:t>Name:</w:t>
      </w:r>
      <w:r w:rsidRPr="00D61830">
        <w:tab/>
      </w:r>
      <w:r w:rsidR="00803B4D" w:rsidRPr="00D61830">
        <w:t>Olga Liavas</w:t>
      </w:r>
    </w:p>
    <w:p w14:paraId="6181C5AF" w14:textId="3AA4239B" w:rsidR="006407E3" w:rsidRPr="00D61830" w:rsidRDefault="006407E3" w:rsidP="006407E3">
      <w:pPr>
        <w:tabs>
          <w:tab w:val="left" w:pos="1418"/>
        </w:tabs>
      </w:pPr>
      <w:r w:rsidRPr="00D61830">
        <w:t>Position:</w:t>
      </w:r>
      <w:r w:rsidRPr="00D61830">
        <w:tab/>
      </w:r>
      <w:r w:rsidR="00164F6C" w:rsidRPr="00D61830">
        <w:rPr>
          <w:rFonts w:eastAsia="Arial"/>
        </w:rPr>
        <w:t>Executive Officer</w:t>
      </w:r>
      <w:r w:rsidR="00AD152D" w:rsidRPr="00D61830">
        <w:rPr>
          <w:rFonts w:eastAsia="Arial"/>
        </w:rPr>
        <w:t>/Corporate Counsel</w:t>
      </w:r>
    </w:p>
    <w:p w14:paraId="4A89AA7B" w14:textId="4535DA19" w:rsidR="006407E3" w:rsidRPr="00D61830" w:rsidRDefault="006407E3" w:rsidP="006407E3">
      <w:pPr>
        <w:tabs>
          <w:tab w:val="left" w:pos="1418"/>
        </w:tabs>
      </w:pPr>
      <w:r w:rsidRPr="00D61830">
        <w:t>Email:</w:t>
      </w:r>
      <w:r w:rsidRPr="00D61830">
        <w:tab/>
      </w:r>
      <w:hyperlink r:id="rId21" w:history="1">
        <w:r w:rsidR="00491EA9" w:rsidRPr="00D61830">
          <w:rPr>
            <w:rStyle w:val="Hyperlink"/>
          </w:rPr>
          <w:t>olga.liavas@ihacpa.gov.au</w:t>
        </w:r>
      </w:hyperlink>
    </w:p>
    <w:p w14:paraId="1E5E1DB5" w14:textId="7689FA54" w:rsidR="006407E3" w:rsidRPr="00D61830" w:rsidRDefault="006407E3" w:rsidP="006407E3">
      <w:pPr>
        <w:tabs>
          <w:tab w:val="left" w:pos="1418"/>
        </w:tabs>
      </w:pPr>
      <w:r w:rsidRPr="00D61830">
        <w:t>Phone:</w:t>
      </w:r>
      <w:r w:rsidRPr="00D61830">
        <w:tab/>
      </w:r>
      <w:r w:rsidR="00164F6C" w:rsidRPr="00D61830">
        <w:rPr>
          <w:rFonts w:eastAsia="Arial"/>
        </w:rPr>
        <w:t xml:space="preserve">02 8215 </w:t>
      </w:r>
      <w:r w:rsidR="00803B4D" w:rsidRPr="00D61830">
        <w:rPr>
          <w:rFonts w:eastAsia="Arial"/>
        </w:rPr>
        <w:t>1129</w:t>
      </w:r>
    </w:p>
    <w:p w14:paraId="1BA6673F" w14:textId="77777777" w:rsidR="006407E3" w:rsidRPr="00D61830" w:rsidRDefault="006407E3" w:rsidP="00BC472B">
      <w:pPr>
        <w:pStyle w:val="Heading2"/>
      </w:pPr>
      <w:bookmarkStart w:id="28" w:name="_Toc351349215"/>
      <w:bookmarkStart w:id="29" w:name="_Toc352144953"/>
      <w:bookmarkStart w:id="30" w:name="_Toc29895854"/>
      <w:bookmarkStart w:id="31" w:name="_Toc31193316"/>
      <w:bookmarkStart w:id="32" w:name="_Toc34217025"/>
      <w:bookmarkStart w:id="33" w:name="_Toc45889004"/>
      <w:bookmarkStart w:id="34" w:name="_Toc65754860"/>
      <w:bookmarkStart w:id="35" w:name="_Toc69476056"/>
      <w:bookmarkStart w:id="36" w:name="_Toc70944828"/>
      <w:bookmarkStart w:id="37" w:name="_Toc129595888"/>
      <w:bookmarkStart w:id="38" w:name="_Toc129679340"/>
      <w:r w:rsidRPr="00D61830">
        <w:t xml:space="preserve">Document </w:t>
      </w:r>
      <w:r w:rsidR="004C579A" w:rsidRPr="00D61830">
        <w:t>l</w:t>
      </w:r>
      <w:r w:rsidRPr="00D61830">
        <w:t>ocation</w:t>
      </w:r>
      <w:bookmarkEnd w:id="28"/>
      <w:bookmarkEnd w:id="29"/>
      <w:bookmarkEnd w:id="30"/>
      <w:bookmarkEnd w:id="31"/>
      <w:bookmarkEnd w:id="32"/>
      <w:bookmarkEnd w:id="33"/>
      <w:bookmarkEnd w:id="34"/>
      <w:bookmarkEnd w:id="35"/>
      <w:bookmarkEnd w:id="36"/>
      <w:bookmarkEnd w:id="37"/>
      <w:bookmarkEnd w:id="38"/>
    </w:p>
    <w:bookmarkEnd w:id="2"/>
    <w:p w14:paraId="59D3A218" w14:textId="7787FD6B" w:rsidR="00597232" w:rsidRPr="00D61830" w:rsidRDefault="006F3841" w:rsidP="006F3841">
      <w:r w:rsidRPr="00D61830">
        <w:t xml:space="preserve">An electronic copy of this document is stored on </w:t>
      </w:r>
      <w:r w:rsidR="00491EA9" w:rsidRPr="00D61830">
        <w:t>IHACPA</w:t>
      </w:r>
      <w:r w:rsidRPr="00D61830">
        <w:t xml:space="preserve">’s electronic document records management system (EDRMs) </w:t>
      </w:r>
      <w:r w:rsidR="00E55B5A" w:rsidRPr="00D61830">
        <w:t xml:space="preserve">at </w:t>
      </w:r>
      <w:r w:rsidRPr="00D61830">
        <w:t xml:space="preserve">TRIM </w:t>
      </w:r>
      <w:r w:rsidR="00126EA0" w:rsidRPr="00D61830">
        <w:t>D23</w:t>
      </w:r>
      <w:r w:rsidR="000E450E" w:rsidRPr="00D61830">
        <w:t>-</w:t>
      </w:r>
      <w:r w:rsidR="00487988">
        <w:t>4736</w:t>
      </w:r>
      <w:r w:rsidR="00F06398" w:rsidRPr="00D61830">
        <w:br w:type="page"/>
      </w:r>
    </w:p>
    <w:p w14:paraId="26FE5421" w14:textId="28E6818C" w:rsidR="00E55B5A" w:rsidRPr="00D61830" w:rsidRDefault="00D47CC0" w:rsidP="00E55B5A">
      <w:pPr>
        <w:pStyle w:val="Heading1"/>
      </w:pPr>
      <w:bookmarkStart w:id="39" w:name="_Toc69476057"/>
      <w:bookmarkStart w:id="40" w:name="_Toc129679341"/>
      <w:r w:rsidRPr="00D61830">
        <w:lastRenderedPageBreak/>
        <w:t>Glossary</w:t>
      </w:r>
      <w:bookmarkEnd w:id="39"/>
      <w:bookmarkEnd w:id="40"/>
    </w:p>
    <w:p w14:paraId="3038E8EA" w14:textId="76EB5186" w:rsidR="00AD152D" w:rsidRPr="00D61830" w:rsidRDefault="00AB6E8F" w:rsidP="00383C79">
      <w:pPr>
        <w:rPr>
          <w:rFonts w:eastAsia="Arial" w:cs="Arial"/>
          <w:b/>
        </w:rPr>
      </w:pPr>
      <w:r w:rsidRPr="00D61830">
        <w:rPr>
          <w:rFonts w:eastAsia="Arial" w:cs="Arial"/>
          <w:b/>
        </w:rPr>
        <w:t xml:space="preserve">Aged </w:t>
      </w:r>
      <w:r w:rsidR="00AD152D" w:rsidRPr="00D61830">
        <w:rPr>
          <w:rFonts w:eastAsia="Arial" w:cs="Arial"/>
          <w:b/>
        </w:rPr>
        <w:t xml:space="preserve">Care Act </w:t>
      </w:r>
      <w:r w:rsidR="00AD152D" w:rsidRPr="00D61830">
        <w:rPr>
          <w:rFonts w:eastAsia="Arial" w:cs="Arial"/>
          <w:bCs/>
        </w:rPr>
        <w:t xml:space="preserve">means the </w:t>
      </w:r>
      <w:r w:rsidR="00AD152D" w:rsidRPr="00D61830">
        <w:rPr>
          <w:rFonts w:eastAsia="Arial" w:cs="Arial"/>
          <w:bCs/>
          <w:i/>
          <w:iCs/>
        </w:rPr>
        <w:t>Aged Care Act 1997</w:t>
      </w:r>
    </w:p>
    <w:p w14:paraId="223E3EAE" w14:textId="707A42E5" w:rsidR="00AB6E8F" w:rsidRPr="00D61830" w:rsidRDefault="00AD152D" w:rsidP="00383C79">
      <w:pPr>
        <w:rPr>
          <w:rFonts w:eastAsia="Arial" w:cs="Arial"/>
        </w:rPr>
      </w:pPr>
      <w:r w:rsidRPr="00D61830">
        <w:rPr>
          <w:rFonts w:eastAsia="Arial" w:cs="Arial"/>
          <w:b/>
        </w:rPr>
        <w:t xml:space="preserve">Aged </w:t>
      </w:r>
      <w:r w:rsidR="00AB6E8F" w:rsidRPr="00D61830">
        <w:rPr>
          <w:rFonts w:eastAsia="Arial" w:cs="Arial"/>
          <w:b/>
        </w:rPr>
        <w:t xml:space="preserve">care </w:t>
      </w:r>
      <w:r w:rsidR="00191FB6" w:rsidRPr="00D61830">
        <w:rPr>
          <w:rFonts w:eastAsia="Arial" w:cs="Arial"/>
          <w:b/>
        </w:rPr>
        <w:t>information</w:t>
      </w:r>
      <w:r w:rsidR="00AB6E8F" w:rsidRPr="00D61830">
        <w:rPr>
          <w:rFonts w:eastAsia="Arial" w:cs="Arial"/>
        </w:rPr>
        <w:t xml:space="preserve"> means </w:t>
      </w:r>
      <w:r w:rsidR="00191FB6" w:rsidRPr="00D61830">
        <w:rPr>
          <w:rFonts w:eastAsia="Arial" w:cs="Arial"/>
        </w:rPr>
        <w:t>information</w:t>
      </w:r>
      <w:r w:rsidR="00AB6E8F" w:rsidRPr="00D61830">
        <w:rPr>
          <w:rFonts w:eastAsia="Arial" w:cs="Arial"/>
        </w:rPr>
        <w:t xml:space="preserve"> relevant to IHACPA’s functions under the NHR Act and the Aged Care Act</w:t>
      </w:r>
    </w:p>
    <w:p w14:paraId="41D12997" w14:textId="1FD0A45D" w:rsidR="00653683" w:rsidRPr="00D61830" w:rsidRDefault="00653683" w:rsidP="00D37286">
      <w:pPr>
        <w:rPr>
          <w:rFonts w:eastAsia="Arial" w:cs="Arial"/>
        </w:rPr>
      </w:pPr>
      <w:r w:rsidRPr="00D61830">
        <w:rPr>
          <w:rFonts w:eastAsia="Arial" w:cs="Arial"/>
          <w:b/>
        </w:rPr>
        <w:t>APPs</w:t>
      </w:r>
      <w:r w:rsidRPr="00D61830">
        <w:rPr>
          <w:rFonts w:eastAsia="Arial" w:cs="Arial"/>
        </w:rPr>
        <w:t xml:space="preserve"> means the 13 Australian Privacy Principles </w:t>
      </w:r>
      <w:r w:rsidR="00302414" w:rsidRPr="00D61830">
        <w:rPr>
          <w:rFonts w:eastAsia="Arial" w:cs="Arial"/>
        </w:rPr>
        <w:t xml:space="preserve">in Schedule 1 to </w:t>
      </w:r>
      <w:r w:rsidRPr="00D61830">
        <w:rPr>
          <w:rFonts w:eastAsia="Arial" w:cs="Arial"/>
        </w:rPr>
        <w:t xml:space="preserve">the </w:t>
      </w:r>
      <w:r w:rsidR="009A795D" w:rsidRPr="00D61830">
        <w:rPr>
          <w:rFonts w:eastAsia="Arial" w:cs="Arial"/>
          <w:i/>
        </w:rPr>
        <w:t>Privacy Act 1988</w:t>
      </w:r>
    </w:p>
    <w:p w14:paraId="45445B0A" w14:textId="7D03AB2C" w:rsidR="00653683" w:rsidRPr="00D61830" w:rsidRDefault="00653683" w:rsidP="00D37286">
      <w:pPr>
        <w:rPr>
          <w:rFonts w:eastAsia="Arial" w:cs="Arial"/>
        </w:rPr>
      </w:pPr>
      <w:r w:rsidRPr="00D61830">
        <w:rPr>
          <w:rFonts w:eastAsia="Arial" w:cs="Arial"/>
          <w:b/>
        </w:rPr>
        <w:t>APS Privacy Code</w:t>
      </w:r>
      <w:r w:rsidRPr="00D61830">
        <w:rPr>
          <w:rFonts w:eastAsia="Arial" w:cs="Arial"/>
        </w:rPr>
        <w:t xml:space="preserve"> means the </w:t>
      </w:r>
      <w:r w:rsidRPr="00D61830">
        <w:rPr>
          <w:rFonts w:eastAsia="Arial" w:cs="Arial"/>
          <w:i/>
        </w:rPr>
        <w:t xml:space="preserve">Privacy (Australian Public Service – Governance) APP </w:t>
      </w:r>
      <w:r w:rsidR="00302414" w:rsidRPr="00D61830">
        <w:rPr>
          <w:rFonts w:eastAsia="Arial" w:cs="Arial"/>
          <w:i/>
        </w:rPr>
        <w:t>C</w:t>
      </w:r>
      <w:r w:rsidRPr="00D61830">
        <w:rPr>
          <w:rFonts w:eastAsia="Arial" w:cs="Arial"/>
          <w:i/>
        </w:rPr>
        <w:t>ode 2018</w:t>
      </w:r>
      <w:r w:rsidRPr="00D61830">
        <w:rPr>
          <w:rFonts w:eastAsia="Arial" w:cs="Arial"/>
        </w:rPr>
        <w:t xml:space="preserve"> </w:t>
      </w:r>
    </w:p>
    <w:p w14:paraId="0C337897" w14:textId="542A1958" w:rsidR="00653683" w:rsidRPr="00D61830" w:rsidRDefault="00653683" w:rsidP="00D37286">
      <w:pPr>
        <w:rPr>
          <w:rFonts w:eastAsia="Arial" w:cs="Arial"/>
        </w:rPr>
      </w:pPr>
      <w:r w:rsidRPr="00D61830">
        <w:rPr>
          <w:rFonts w:eastAsia="Arial" w:cs="Arial"/>
          <w:b/>
        </w:rPr>
        <w:t>Contracted Service Provider</w:t>
      </w:r>
      <w:r w:rsidRPr="00D61830">
        <w:rPr>
          <w:rFonts w:eastAsia="Arial" w:cs="Arial"/>
        </w:rPr>
        <w:t xml:space="preserve"> is an</w:t>
      </w:r>
      <w:r w:rsidR="00302414" w:rsidRPr="00D61830">
        <w:rPr>
          <w:rFonts w:eastAsia="Arial" w:cs="Arial"/>
        </w:rPr>
        <w:t xml:space="preserve"> entity, or an</w:t>
      </w:r>
      <w:r w:rsidRPr="00D61830">
        <w:rPr>
          <w:rFonts w:eastAsia="Arial" w:cs="Arial"/>
        </w:rPr>
        <w:t xml:space="preserve"> officer or employee </w:t>
      </w:r>
      <w:r w:rsidR="001F7E1F" w:rsidRPr="00D61830">
        <w:rPr>
          <w:rFonts w:eastAsia="Arial" w:cs="Arial"/>
        </w:rPr>
        <w:t>of</w:t>
      </w:r>
      <w:r w:rsidR="00302414" w:rsidRPr="00D61830">
        <w:rPr>
          <w:rFonts w:eastAsia="Arial" w:cs="Arial"/>
        </w:rPr>
        <w:t xml:space="preserve"> that entity, that </w:t>
      </w:r>
      <w:r w:rsidRPr="00D61830">
        <w:rPr>
          <w:rFonts w:eastAsia="Arial" w:cs="Arial"/>
        </w:rPr>
        <w:t xml:space="preserve">provides services for the purposes (whether direct or indirect) of </w:t>
      </w:r>
      <w:r w:rsidR="00302414" w:rsidRPr="00D61830">
        <w:rPr>
          <w:rFonts w:eastAsia="Arial" w:cs="Arial"/>
        </w:rPr>
        <w:t xml:space="preserve">a </w:t>
      </w:r>
      <w:r w:rsidRPr="00D61830">
        <w:rPr>
          <w:rFonts w:eastAsia="Arial" w:cs="Arial"/>
        </w:rPr>
        <w:t xml:space="preserve">contract with </w:t>
      </w:r>
      <w:r w:rsidR="00491EA9" w:rsidRPr="00D61830">
        <w:rPr>
          <w:rFonts w:eastAsia="Arial" w:cs="Arial"/>
        </w:rPr>
        <w:t>IHACPA</w:t>
      </w:r>
    </w:p>
    <w:p w14:paraId="6E35458B" w14:textId="6E1B1883" w:rsidR="00E264A8" w:rsidRPr="00D61830" w:rsidRDefault="00E264A8" w:rsidP="00D37286">
      <w:r w:rsidRPr="00D61830">
        <w:rPr>
          <w:rFonts w:eastAsia="Arial" w:cs="Arial"/>
          <w:b/>
        </w:rPr>
        <w:t xml:space="preserve">Department </w:t>
      </w:r>
      <w:r w:rsidRPr="00D61830">
        <w:rPr>
          <w:rFonts w:eastAsia="Arial" w:cs="Arial"/>
        </w:rPr>
        <w:t xml:space="preserve">is the </w:t>
      </w:r>
      <w:r w:rsidRPr="00D61830">
        <w:t>Department of Health and Aged Care</w:t>
      </w:r>
    </w:p>
    <w:p w14:paraId="36CCE88E" w14:textId="46B460AA" w:rsidR="00E97129" w:rsidRPr="00D61830" w:rsidRDefault="00E97129" w:rsidP="00D37286">
      <w:pPr>
        <w:rPr>
          <w:rFonts w:eastAsia="Arial" w:cs="Arial"/>
        </w:rPr>
      </w:pPr>
      <w:r w:rsidRPr="00D61830">
        <w:rPr>
          <w:rFonts w:eastAsia="Arial" w:cs="Arial"/>
          <w:b/>
        </w:rPr>
        <w:t>ESF application</w:t>
      </w:r>
      <w:r w:rsidRPr="00D61830">
        <w:rPr>
          <w:rFonts w:eastAsia="Arial" w:cs="Arial"/>
        </w:rPr>
        <w:t xml:space="preserve"> is an application </w:t>
      </w:r>
      <w:r w:rsidRPr="00D61830">
        <w:t>for approval to increase extra services fees under s</w:t>
      </w:r>
      <w:r w:rsidR="001E6176">
        <w:t xml:space="preserve">ection </w:t>
      </w:r>
      <w:r w:rsidRPr="00D61830">
        <w:t xml:space="preserve">35-2 of the Aged Care Act </w:t>
      </w:r>
    </w:p>
    <w:p w14:paraId="32A5CB3A" w14:textId="208847BD" w:rsidR="00244C95" w:rsidRPr="00D61830" w:rsidRDefault="00EB29D5" w:rsidP="00D37286">
      <w:r w:rsidRPr="00D61830">
        <w:rPr>
          <w:rFonts w:eastAsia="Arial" w:cs="Arial"/>
          <w:b/>
        </w:rPr>
        <w:t>Hospital data</w:t>
      </w:r>
      <w:r w:rsidRPr="00D61830">
        <w:rPr>
          <w:rFonts w:eastAsia="Arial" w:cs="Arial"/>
        </w:rPr>
        <w:t xml:space="preserve"> means </w:t>
      </w:r>
      <w:r w:rsidRPr="00D61830">
        <w:t>Activity Based Funding Data and National Hospital Cost Data Collection data</w:t>
      </w:r>
    </w:p>
    <w:p w14:paraId="010606A0" w14:textId="305EFC5A" w:rsidR="00653683" w:rsidRPr="00D61830" w:rsidRDefault="00491EA9" w:rsidP="00D37286">
      <w:pPr>
        <w:rPr>
          <w:rFonts w:eastAsia="Arial" w:cs="Arial"/>
        </w:rPr>
      </w:pPr>
      <w:r w:rsidRPr="00D61830">
        <w:rPr>
          <w:rFonts w:eastAsia="Arial" w:cs="Arial"/>
          <w:b/>
        </w:rPr>
        <w:t>IHACPA</w:t>
      </w:r>
      <w:r w:rsidR="00653683" w:rsidRPr="00D61830">
        <w:rPr>
          <w:rFonts w:eastAsia="Arial" w:cs="Arial"/>
        </w:rPr>
        <w:t xml:space="preserve"> is the Independent </w:t>
      </w:r>
      <w:r w:rsidR="00664A45" w:rsidRPr="00D61830">
        <w:rPr>
          <w:rFonts w:eastAsia="Arial" w:cs="Arial"/>
        </w:rPr>
        <w:t xml:space="preserve">Health and Aged Care </w:t>
      </w:r>
      <w:r w:rsidR="00653683" w:rsidRPr="00D61830">
        <w:rPr>
          <w:rFonts w:eastAsia="Arial" w:cs="Arial"/>
        </w:rPr>
        <w:t xml:space="preserve">Pricing Authority </w:t>
      </w:r>
    </w:p>
    <w:p w14:paraId="3DD8024E" w14:textId="7E7BEE5D" w:rsidR="00862835" w:rsidRPr="00D61830" w:rsidRDefault="00862835" w:rsidP="00D37286">
      <w:pPr>
        <w:rPr>
          <w:rFonts w:eastAsia="Arial" w:cs="Arial"/>
        </w:rPr>
      </w:pPr>
      <w:r w:rsidRPr="00D61830">
        <w:rPr>
          <w:rFonts w:eastAsia="Arial" w:cs="Arial"/>
          <w:b/>
        </w:rPr>
        <w:t>Minister</w:t>
      </w:r>
      <w:r w:rsidRPr="00D61830">
        <w:rPr>
          <w:rFonts w:eastAsia="Arial" w:cs="Arial"/>
        </w:rPr>
        <w:t xml:space="preserve"> means the Minister for Health and Aged Care</w:t>
      </w:r>
    </w:p>
    <w:p w14:paraId="21DDE5F6" w14:textId="67038AA1" w:rsidR="00653683" w:rsidRPr="00D61830" w:rsidRDefault="00653683" w:rsidP="00D37286">
      <w:pPr>
        <w:rPr>
          <w:rFonts w:eastAsia="Arial" w:cs="Arial"/>
        </w:rPr>
      </w:pPr>
      <w:r w:rsidRPr="00D61830">
        <w:rPr>
          <w:rFonts w:eastAsia="Arial" w:cs="Arial"/>
          <w:b/>
        </w:rPr>
        <w:t>NDB</w:t>
      </w:r>
      <w:r w:rsidRPr="00D61830">
        <w:rPr>
          <w:rFonts w:eastAsia="Arial" w:cs="Arial"/>
        </w:rPr>
        <w:t xml:space="preserve"> means </w:t>
      </w:r>
      <w:r w:rsidR="00302414" w:rsidRPr="00D61830">
        <w:rPr>
          <w:rFonts w:eastAsia="Arial" w:cs="Arial"/>
        </w:rPr>
        <w:t xml:space="preserve">a </w:t>
      </w:r>
      <w:r w:rsidRPr="00D61830">
        <w:rPr>
          <w:rFonts w:eastAsia="Arial" w:cs="Arial"/>
        </w:rPr>
        <w:t>Notifiable Data Breach</w:t>
      </w:r>
    </w:p>
    <w:p w14:paraId="4463EA3A" w14:textId="4703E77B" w:rsidR="00653683" w:rsidRPr="00D61830" w:rsidRDefault="00653683" w:rsidP="00D37286">
      <w:pPr>
        <w:rPr>
          <w:rFonts w:eastAsia="Arial" w:cs="Arial"/>
        </w:rPr>
      </w:pPr>
      <w:r w:rsidRPr="00D61830">
        <w:rPr>
          <w:rFonts w:eastAsia="Arial" w:cs="Arial"/>
          <w:b/>
        </w:rPr>
        <w:t>NDB scheme</w:t>
      </w:r>
      <w:r w:rsidRPr="00D61830">
        <w:rPr>
          <w:rFonts w:eastAsia="Arial" w:cs="Arial"/>
        </w:rPr>
        <w:t xml:space="preserve"> means the </w:t>
      </w:r>
      <w:r w:rsidR="00302414" w:rsidRPr="00D61830">
        <w:rPr>
          <w:rFonts w:eastAsia="Arial" w:cs="Arial"/>
        </w:rPr>
        <w:t xml:space="preserve">scheme in Part IIIC of the Privacy Act that requires </w:t>
      </w:r>
      <w:r w:rsidR="00491EA9" w:rsidRPr="00D61830">
        <w:rPr>
          <w:rFonts w:eastAsia="Arial" w:cs="Arial"/>
        </w:rPr>
        <w:t>IHACPA</w:t>
      </w:r>
      <w:r w:rsidRPr="00D61830">
        <w:rPr>
          <w:rFonts w:eastAsia="Arial" w:cs="Arial"/>
        </w:rPr>
        <w:t xml:space="preserve"> to notify individuals whose personal information is involved in a data breach that is likely to result in serious harm</w:t>
      </w:r>
      <w:r w:rsidR="001F7E1F" w:rsidRPr="00D61830">
        <w:rPr>
          <w:rFonts w:eastAsia="Arial" w:cs="Arial"/>
        </w:rPr>
        <w:t xml:space="preserve"> to any of the individuals</w:t>
      </w:r>
    </w:p>
    <w:p w14:paraId="07B50E4B" w14:textId="46BD6C8A" w:rsidR="00653683" w:rsidRPr="00D61830" w:rsidRDefault="00653683" w:rsidP="00D37286">
      <w:pPr>
        <w:rPr>
          <w:rFonts w:eastAsia="Arial" w:cs="Arial"/>
          <w:i/>
        </w:rPr>
      </w:pPr>
      <w:r w:rsidRPr="00D61830">
        <w:rPr>
          <w:rFonts w:eastAsia="Arial" w:cs="Arial"/>
          <w:b/>
        </w:rPr>
        <w:t>NHR Act</w:t>
      </w:r>
      <w:r w:rsidRPr="00D61830">
        <w:rPr>
          <w:rFonts w:eastAsia="Arial" w:cs="Arial"/>
        </w:rPr>
        <w:t xml:space="preserve"> means the </w:t>
      </w:r>
      <w:r w:rsidRPr="00D61830">
        <w:rPr>
          <w:rFonts w:eastAsia="Arial" w:cs="Arial"/>
          <w:i/>
        </w:rPr>
        <w:t>National Health Reform Act 2011</w:t>
      </w:r>
    </w:p>
    <w:p w14:paraId="22ECB5BE" w14:textId="592217C9" w:rsidR="00653683" w:rsidRPr="00D61830" w:rsidRDefault="00653683" w:rsidP="00D37286">
      <w:pPr>
        <w:rPr>
          <w:rFonts w:eastAsia="Arial" w:cs="Arial"/>
        </w:rPr>
      </w:pPr>
      <w:r w:rsidRPr="00D61830">
        <w:rPr>
          <w:rFonts w:eastAsia="Arial" w:cs="Arial"/>
          <w:b/>
        </w:rPr>
        <w:t>OAIC</w:t>
      </w:r>
      <w:r w:rsidRPr="00D61830">
        <w:rPr>
          <w:rFonts w:eastAsia="Arial" w:cs="Arial"/>
        </w:rPr>
        <w:t xml:space="preserve"> means the Office of the Australian Information Commissioner</w:t>
      </w:r>
    </w:p>
    <w:p w14:paraId="5B0234A0" w14:textId="10ACFAA9" w:rsidR="00292603" w:rsidRPr="00D61830" w:rsidRDefault="003B2272" w:rsidP="00BF4193">
      <w:r w:rsidRPr="00D61830">
        <w:rPr>
          <w:rFonts w:eastAsia="Arial" w:cs="Arial"/>
          <w:b/>
        </w:rPr>
        <w:t xml:space="preserve">Privacy Impact </w:t>
      </w:r>
      <w:r w:rsidR="007676D5" w:rsidRPr="00D61830">
        <w:rPr>
          <w:rFonts w:eastAsia="Arial" w:cs="Arial"/>
          <w:b/>
        </w:rPr>
        <w:t>Assessment</w:t>
      </w:r>
      <w:r w:rsidRPr="00D61830">
        <w:rPr>
          <w:rFonts w:eastAsia="Arial" w:cs="Arial"/>
          <w:b/>
        </w:rPr>
        <w:t xml:space="preserve"> </w:t>
      </w:r>
      <w:r w:rsidR="00292603" w:rsidRPr="00D61830">
        <w:rPr>
          <w:rFonts w:eastAsia="Arial" w:cs="Arial"/>
          <w:b/>
        </w:rPr>
        <w:t xml:space="preserve">(PIA) </w:t>
      </w:r>
      <w:r w:rsidR="00292603" w:rsidRPr="00D61830">
        <w:t>is a systematic assessment of a project that identifies the impact that the project might have on the privacy of individuals; and sets out recommendations for managing, minimising or eliminating that impact</w:t>
      </w:r>
    </w:p>
    <w:p w14:paraId="0BF76372" w14:textId="2C56747D" w:rsidR="00653683" w:rsidRPr="00D61830" w:rsidRDefault="00653683" w:rsidP="00D37286">
      <w:pPr>
        <w:rPr>
          <w:rFonts w:eastAsia="Arial" w:cs="Arial"/>
        </w:rPr>
      </w:pPr>
      <w:r w:rsidRPr="00D61830">
        <w:rPr>
          <w:rFonts w:eastAsia="Arial" w:cs="Arial"/>
          <w:b/>
        </w:rPr>
        <w:t>Personal information</w:t>
      </w:r>
      <w:r w:rsidRPr="00D61830">
        <w:rPr>
          <w:rFonts w:eastAsia="Arial" w:cs="Arial"/>
        </w:rPr>
        <w:t xml:space="preserve"> is defined by the Privacy Act </w:t>
      </w:r>
      <w:r w:rsidR="009A795D" w:rsidRPr="00D61830">
        <w:rPr>
          <w:rFonts w:eastAsia="Arial" w:cs="Arial"/>
        </w:rPr>
        <w:t>to mean</w:t>
      </w:r>
      <w:r w:rsidRPr="00D61830">
        <w:rPr>
          <w:rFonts w:eastAsia="Arial" w:cs="Arial"/>
        </w:rPr>
        <w:t xml:space="preserve"> information or an opinion about an identified individual, or an individual who is reasonably identifiable</w:t>
      </w:r>
    </w:p>
    <w:p w14:paraId="4875FBBF" w14:textId="77777777" w:rsidR="00681F2F" w:rsidRPr="00D61830" w:rsidRDefault="00681F2F" w:rsidP="00681F2F">
      <w:r w:rsidRPr="00D61830">
        <w:rPr>
          <w:b/>
          <w:bCs/>
        </w:rPr>
        <w:t>Pricing and costing data</w:t>
      </w:r>
      <w:r w:rsidRPr="00D61830">
        <w:t xml:space="preserve"> is information collected for the purposes of advising the Commonwealth in relation to:</w:t>
      </w:r>
    </w:p>
    <w:p w14:paraId="008691F6" w14:textId="7147998A" w:rsidR="00681F2F" w:rsidRPr="00D61830" w:rsidRDefault="00681F2F" w:rsidP="00126EA0">
      <w:pPr>
        <w:pStyle w:val="ListBullet"/>
        <w:tabs>
          <w:tab w:val="clear" w:pos="360"/>
          <w:tab w:val="num" w:pos="720"/>
        </w:tabs>
        <w:ind w:left="714" w:hanging="357"/>
        <w:contextualSpacing w:val="0"/>
      </w:pPr>
      <w:r w:rsidRPr="00D61830">
        <w:t xml:space="preserve">one or more health care pricing or costing matters (whether or not the matters relate to health care services provided by public hospitals) </w:t>
      </w:r>
    </w:p>
    <w:p w14:paraId="6402265F" w14:textId="77777777" w:rsidR="00681F2F" w:rsidRPr="00D61830" w:rsidRDefault="00681F2F" w:rsidP="00681F2F">
      <w:pPr>
        <w:pStyle w:val="ListBullet"/>
        <w:tabs>
          <w:tab w:val="clear" w:pos="360"/>
          <w:tab w:val="num" w:pos="720"/>
        </w:tabs>
        <w:ind w:left="714" w:hanging="357"/>
        <w:contextualSpacing w:val="0"/>
      </w:pPr>
      <w:r w:rsidRPr="00D61830">
        <w:t>one or more aged care pricing or costing matters, including in relation to methods for calculating amounts of subsidies to be paid under the </w:t>
      </w:r>
      <w:hyperlink r:id="rId22" w:history="1">
        <w:r w:rsidRPr="00D61830">
          <w:t>Aged Care Act</w:t>
        </w:r>
      </w:hyperlink>
      <w:r w:rsidRPr="00D61830">
        <w:t> or the </w:t>
      </w:r>
      <w:hyperlink r:id="rId23" w:history="1">
        <w:r w:rsidRPr="00D61830">
          <w:rPr>
            <w:i/>
          </w:rPr>
          <w:t>Aged Care (Transitional Provisions) Act 1997</w:t>
        </w:r>
      </w:hyperlink>
      <w:r w:rsidRPr="00D61830">
        <w:rPr>
          <w:i/>
        </w:rPr>
        <w:t>.</w:t>
      </w:r>
      <w:r w:rsidRPr="00D61830">
        <w:t xml:space="preserve"> </w:t>
      </w:r>
    </w:p>
    <w:p w14:paraId="070B34E8" w14:textId="494A0FA7" w:rsidR="00653683" w:rsidRPr="00D61830" w:rsidRDefault="00653683" w:rsidP="00D37286">
      <w:pPr>
        <w:rPr>
          <w:rFonts w:eastAsia="Arial" w:cs="Arial"/>
          <w:i/>
        </w:rPr>
      </w:pPr>
      <w:r w:rsidRPr="00D61830">
        <w:rPr>
          <w:rFonts w:eastAsia="Arial" w:cs="Arial"/>
          <w:b/>
        </w:rPr>
        <w:t>Privacy Act</w:t>
      </w:r>
      <w:r w:rsidRPr="00D61830">
        <w:rPr>
          <w:rFonts w:eastAsia="Arial" w:cs="Arial"/>
        </w:rPr>
        <w:t xml:space="preserve"> means the </w:t>
      </w:r>
      <w:r w:rsidRPr="00D61830">
        <w:rPr>
          <w:rFonts w:eastAsia="Arial" w:cs="Arial"/>
          <w:i/>
        </w:rPr>
        <w:t>Privacy Act 1988</w:t>
      </w:r>
    </w:p>
    <w:p w14:paraId="4229C942" w14:textId="3A370812" w:rsidR="00653683" w:rsidRPr="00D61830" w:rsidRDefault="00653683" w:rsidP="000E5408">
      <w:r w:rsidRPr="00D61830">
        <w:rPr>
          <w:b/>
        </w:rPr>
        <w:t>Protected Pricing Authority information</w:t>
      </w:r>
      <w:r w:rsidRPr="00D61830">
        <w:t xml:space="preserve"> is defined by the NHR Act as information that:</w:t>
      </w:r>
    </w:p>
    <w:p w14:paraId="2C060379" w14:textId="01C12AC1" w:rsidR="00653683" w:rsidRPr="00D61830" w:rsidRDefault="00653683" w:rsidP="00974FC5">
      <w:pPr>
        <w:pStyle w:val="ListParagraph"/>
        <w:numPr>
          <w:ilvl w:val="0"/>
          <w:numId w:val="32"/>
        </w:numPr>
      </w:pPr>
      <w:r w:rsidRPr="00D61830">
        <w:t xml:space="preserve">was obtained by a person in the person’s capacity </w:t>
      </w:r>
      <w:r w:rsidR="001F7E1F" w:rsidRPr="00D61830">
        <w:t xml:space="preserve">as </w:t>
      </w:r>
      <w:r w:rsidRPr="00D61830">
        <w:t>an official of the Pricing Authority; and</w:t>
      </w:r>
    </w:p>
    <w:p w14:paraId="7E1B3893" w14:textId="7BD42AE7" w:rsidR="003B1C1E" w:rsidRPr="00D61830" w:rsidRDefault="00653683" w:rsidP="002E545F">
      <w:pPr>
        <w:pStyle w:val="ListParagraph"/>
        <w:numPr>
          <w:ilvl w:val="0"/>
          <w:numId w:val="32"/>
        </w:numPr>
      </w:pPr>
      <w:r w:rsidRPr="00D61830">
        <w:t>relates to the affairs of a person other than an official of the Pricing Authority</w:t>
      </w:r>
      <w:r w:rsidR="003B1C1E" w:rsidRPr="00D61830">
        <w:t>;</w:t>
      </w:r>
    </w:p>
    <w:p w14:paraId="212407CD" w14:textId="6ADFEFBB" w:rsidR="00653683" w:rsidRPr="00D61830" w:rsidRDefault="003B1C1E" w:rsidP="008C4503">
      <w:r w:rsidRPr="00D61830">
        <w:rPr>
          <w:color w:val="000000"/>
          <w:shd w:val="clear" w:color="auto" w:fill="FFFFFF"/>
        </w:rPr>
        <w:t>but does not include protected information (within the meaning of the Aged Care Act) that is not aged care information.</w:t>
      </w:r>
    </w:p>
    <w:p w14:paraId="1AB3CD20" w14:textId="24EA055B" w:rsidR="00E97129" w:rsidRPr="00D61830" w:rsidRDefault="00E97129" w:rsidP="00E97129">
      <w:r w:rsidRPr="00D61830">
        <w:rPr>
          <w:b/>
        </w:rPr>
        <w:lastRenderedPageBreak/>
        <w:t>RAD application</w:t>
      </w:r>
      <w:r w:rsidRPr="00D61830">
        <w:t xml:space="preserve"> is an application to charge higher than maximum residential aged care accommodation payments under s</w:t>
      </w:r>
      <w:r w:rsidR="001E6176">
        <w:t>ection</w:t>
      </w:r>
      <w:r w:rsidRPr="00D61830">
        <w:t xml:space="preserve"> 52G-4 of the Aged Care Act </w:t>
      </w:r>
    </w:p>
    <w:p w14:paraId="2F99589D" w14:textId="27CF4FF9" w:rsidR="00653683" w:rsidRPr="00D61830" w:rsidRDefault="00653683" w:rsidP="000E5408">
      <w:r w:rsidRPr="00D61830">
        <w:rPr>
          <w:b/>
        </w:rPr>
        <w:t>Sensitive information</w:t>
      </w:r>
      <w:r w:rsidRPr="00D61830">
        <w:t xml:space="preserve"> is defined by the Privacy Act and means information or an opinion about an individual’s racial or ethnic origin, political opinions, membership of a political association, religious beliefs or affiliations, philosophical beliefs, membership of a professional or trade association, membership of a trade union, sexual orientation or practices, or criminal record that is also personal information, or health information or, genetic information about an individual, or certain biometric information</w:t>
      </w:r>
    </w:p>
    <w:p w14:paraId="6EF71FB3" w14:textId="7D6E3C63" w:rsidR="00653683" w:rsidRPr="00D61830" w:rsidRDefault="00653683">
      <w:pPr>
        <w:spacing w:after="200" w:line="276" w:lineRule="auto"/>
      </w:pPr>
      <w:r w:rsidRPr="00D61830">
        <w:br w:type="page"/>
      </w:r>
    </w:p>
    <w:p w14:paraId="19880C1E" w14:textId="77777777" w:rsidR="00CB20FD" w:rsidRPr="00D61830" w:rsidRDefault="00CB20FD" w:rsidP="00CB20FD">
      <w:pPr>
        <w:pStyle w:val="Heading1"/>
      </w:pPr>
      <w:bookmarkStart w:id="41" w:name="_Toc69476058"/>
      <w:bookmarkStart w:id="42" w:name="_Toc129679342"/>
      <w:r w:rsidRPr="00D61830">
        <w:lastRenderedPageBreak/>
        <w:t>Introduction</w:t>
      </w:r>
      <w:bookmarkEnd w:id="41"/>
      <w:bookmarkEnd w:id="42"/>
    </w:p>
    <w:p w14:paraId="276E9F21" w14:textId="3ED35DBC" w:rsidR="008A5ABB" w:rsidRPr="00D61830" w:rsidRDefault="00164F6C" w:rsidP="00D37286">
      <w:pPr>
        <w:rPr>
          <w:rFonts w:eastAsia="Arial"/>
        </w:rPr>
      </w:pPr>
      <w:r w:rsidRPr="00D61830">
        <w:rPr>
          <w:rFonts w:eastAsia="Arial"/>
        </w:rPr>
        <w:t xml:space="preserve">The </w:t>
      </w:r>
      <w:r w:rsidR="00491EA9" w:rsidRPr="00D61830">
        <w:rPr>
          <w:rFonts w:eastAsia="Arial"/>
        </w:rPr>
        <w:t>Independent Health and Aged Care Pricing Authority</w:t>
      </w:r>
      <w:r w:rsidR="00491EA9" w:rsidRPr="00D61830" w:rsidDel="00491EA9">
        <w:rPr>
          <w:rFonts w:eastAsia="Arial"/>
        </w:rPr>
        <w:t xml:space="preserve"> </w:t>
      </w:r>
      <w:r w:rsidRPr="00D61830">
        <w:rPr>
          <w:rFonts w:eastAsia="Arial"/>
        </w:rPr>
        <w:t>(</w:t>
      </w:r>
      <w:r w:rsidR="00491EA9" w:rsidRPr="00D61830">
        <w:rPr>
          <w:rFonts w:eastAsia="Arial"/>
        </w:rPr>
        <w:t>IHACPA</w:t>
      </w:r>
      <w:r w:rsidRPr="00D61830">
        <w:rPr>
          <w:rFonts w:eastAsia="Arial"/>
        </w:rPr>
        <w:t xml:space="preserve">) is committed to the protection of personal information </w:t>
      </w:r>
      <w:r w:rsidR="005019A0" w:rsidRPr="00D61830">
        <w:rPr>
          <w:rFonts w:eastAsia="Arial"/>
        </w:rPr>
        <w:t xml:space="preserve">and complies with </w:t>
      </w:r>
      <w:r w:rsidRPr="00D61830">
        <w:rPr>
          <w:rFonts w:eastAsia="Arial"/>
        </w:rPr>
        <w:t xml:space="preserve">the </w:t>
      </w:r>
      <w:r w:rsidRPr="00D61830">
        <w:rPr>
          <w:rFonts w:eastAsia="Arial"/>
          <w:i/>
        </w:rPr>
        <w:t>Privacy Act 1988</w:t>
      </w:r>
      <w:r w:rsidR="001C2DF1" w:rsidRPr="00D61830">
        <w:rPr>
          <w:rFonts w:eastAsia="Arial"/>
          <w:i/>
        </w:rPr>
        <w:t xml:space="preserve"> </w:t>
      </w:r>
      <w:r w:rsidR="001C2DF1" w:rsidRPr="00D61830">
        <w:rPr>
          <w:rFonts w:eastAsia="Arial"/>
        </w:rPr>
        <w:t>(Privacy Act)</w:t>
      </w:r>
      <w:r w:rsidRPr="00D61830">
        <w:rPr>
          <w:rFonts w:eastAsia="Arial"/>
        </w:rPr>
        <w:t xml:space="preserve"> </w:t>
      </w:r>
      <w:r w:rsidR="001C2DF1" w:rsidRPr="00D61830">
        <w:rPr>
          <w:rFonts w:eastAsia="Arial"/>
        </w:rPr>
        <w:t xml:space="preserve">and </w:t>
      </w:r>
      <w:r w:rsidRPr="00D61830">
        <w:rPr>
          <w:rFonts w:eastAsia="Arial"/>
        </w:rPr>
        <w:t>the Australian Privacy Principles (APPs).</w:t>
      </w:r>
    </w:p>
    <w:p w14:paraId="59DB7520" w14:textId="0BD8FD1E" w:rsidR="00164F6C" w:rsidRPr="00D61830" w:rsidRDefault="00491EA9" w:rsidP="00244C95">
      <w:r w:rsidRPr="00D61830">
        <w:rPr>
          <w:rFonts w:eastAsia="Arial"/>
        </w:rPr>
        <w:t>IHACPA</w:t>
      </w:r>
      <w:r w:rsidR="00164F6C" w:rsidRPr="00D61830">
        <w:rPr>
          <w:rFonts w:eastAsia="Arial"/>
        </w:rPr>
        <w:t xml:space="preserve"> is also committed to ensuring that the statistical hospital data</w:t>
      </w:r>
      <w:r w:rsidR="00244C95" w:rsidRPr="00D61830">
        <w:rPr>
          <w:rFonts w:eastAsia="Arial"/>
        </w:rPr>
        <w:t xml:space="preserve">, </w:t>
      </w:r>
      <w:r w:rsidR="00681F2F" w:rsidRPr="00D61830">
        <w:rPr>
          <w:rFonts w:eastAsia="Arial"/>
        </w:rPr>
        <w:t xml:space="preserve">as well as </w:t>
      </w:r>
      <w:r w:rsidR="00244C95" w:rsidRPr="00D61830">
        <w:rPr>
          <w:rFonts w:eastAsia="Arial"/>
        </w:rPr>
        <w:t xml:space="preserve">pricing and costing </w:t>
      </w:r>
      <w:r w:rsidR="00681F2F" w:rsidRPr="00D61830">
        <w:rPr>
          <w:rFonts w:eastAsia="Arial"/>
        </w:rPr>
        <w:t xml:space="preserve">data and aged care information </w:t>
      </w:r>
      <w:r w:rsidR="007B542E" w:rsidRPr="00D61830">
        <w:rPr>
          <w:rFonts w:eastAsia="Arial"/>
        </w:rPr>
        <w:t>handled</w:t>
      </w:r>
      <w:r w:rsidR="00164F6C" w:rsidRPr="00D61830">
        <w:rPr>
          <w:rFonts w:eastAsia="Arial"/>
        </w:rPr>
        <w:t xml:space="preserve"> </w:t>
      </w:r>
      <w:r w:rsidR="0056273D" w:rsidRPr="00D61830">
        <w:rPr>
          <w:rFonts w:eastAsia="Arial"/>
        </w:rPr>
        <w:t>for the purposes</w:t>
      </w:r>
      <w:r w:rsidR="00CB20FD" w:rsidRPr="00D61830">
        <w:rPr>
          <w:rFonts w:eastAsia="Arial"/>
        </w:rPr>
        <w:t xml:space="preserve"> </w:t>
      </w:r>
      <w:r w:rsidR="0056273D" w:rsidRPr="00D61830">
        <w:rPr>
          <w:rFonts w:eastAsia="Arial"/>
        </w:rPr>
        <w:t xml:space="preserve">of </w:t>
      </w:r>
      <w:r w:rsidRPr="00D61830">
        <w:rPr>
          <w:rFonts w:eastAsia="Arial"/>
        </w:rPr>
        <w:t>IHACPA</w:t>
      </w:r>
      <w:r w:rsidR="007F5AE8" w:rsidRPr="00D61830">
        <w:rPr>
          <w:rFonts w:eastAsia="Arial"/>
        </w:rPr>
        <w:t xml:space="preserve">’s </w:t>
      </w:r>
      <w:r w:rsidR="00164F6C" w:rsidRPr="00D61830">
        <w:rPr>
          <w:rFonts w:eastAsia="Arial"/>
        </w:rPr>
        <w:t xml:space="preserve">functions under the </w:t>
      </w:r>
      <w:r w:rsidR="00164F6C" w:rsidRPr="00D61830">
        <w:rPr>
          <w:rFonts w:eastAsia="Arial"/>
          <w:i/>
        </w:rPr>
        <w:t>National Health Reform Act 2011</w:t>
      </w:r>
      <w:r w:rsidR="00164F6C" w:rsidRPr="00D61830">
        <w:rPr>
          <w:rFonts w:eastAsia="Arial"/>
        </w:rPr>
        <w:t xml:space="preserve"> (</w:t>
      </w:r>
      <w:r w:rsidR="0056273D" w:rsidRPr="00D61830">
        <w:rPr>
          <w:rFonts w:eastAsia="Arial"/>
        </w:rPr>
        <w:t xml:space="preserve">NHR </w:t>
      </w:r>
      <w:r w:rsidR="007F5AE8" w:rsidRPr="00D61830">
        <w:rPr>
          <w:rFonts w:eastAsia="Arial"/>
        </w:rPr>
        <w:t>Act</w:t>
      </w:r>
      <w:r w:rsidR="00164F6C" w:rsidRPr="00D61830">
        <w:rPr>
          <w:rFonts w:eastAsia="Arial"/>
        </w:rPr>
        <w:t>)</w:t>
      </w:r>
      <w:r w:rsidR="00BB264B" w:rsidRPr="00D61830">
        <w:rPr>
          <w:rFonts w:eastAsia="Arial"/>
        </w:rPr>
        <w:t>,</w:t>
      </w:r>
      <w:r w:rsidR="009A7144" w:rsidRPr="00D61830">
        <w:rPr>
          <w:rFonts w:eastAsia="Arial"/>
        </w:rPr>
        <w:t xml:space="preserve"> </w:t>
      </w:r>
      <w:r w:rsidR="0056273D" w:rsidRPr="00D61830">
        <w:rPr>
          <w:rFonts w:eastAsia="Arial"/>
        </w:rPr>
        <w:t>National Health Reform Agreement</w:t>
      </w:r>
      <w:r w:rsidR="0057161F" w:rsidRPr="00D61830">
        <w:rPr>
          <w:rFonts w:eastAsia="Arial"/>
        </w:rPr>
        <w:t xml:space="preserve"> and the </w:t>
      </w:r>
      <w:r w:rsidR="0057161F" w:rsidRPr="00D61830">
        <w:rPr>
          <w:rFonts w:eastAsia="Arial"/>
          <w:bCs/>
          <w:i/>
        </w:rPr>
        <w:t>Aged Care Act 1997</w:t>
      </w:r>
      <w:r w:rsidR="0057161F" w:rsidRPr="00D61830">
        <w:rPr>
          <w:rFonts w:eastAsia="Arial"/>
          <w:bCs/>
        </w:rPr>
        <w:t xml:space="preserve"> (A</w:t>
      </w:r>
      <w:r w:rsidR="005B282E" w:rsidRPr="00D61830">
        <w:rPr>
          <w:rFonts w:eastAsia="Arial"/>
          <w:bCs/>
        </w:rPr>
        <w:t xml:space="preserve">ged </w:t>
      </w:r>
      <w:r w:rsidR="0057161F" w:rsidRPr="00D61830">
        <w:rPr>
          <w:rFonts w:eastAsia="Arial"/>
          <w:bCs/>
        </w:rPr>
        <w:t>C</w:t>
      </w:r>
      <w:r w:rsidR="005B282E" w:rsidRPr="00D61830">
        <w:rPr>
          <w:rFonts w:eastAsia="Arial"/>
          <w:bCs/>
        </w:rPr>
        <w:t>are</w:t>
      </w:r>
      <w:r w:rsidR="0057161F" w:rsidRPr="00D61830">
        <w:rPr>
          <w:rFonts w:eastAsia="Arial"/>
          <w:bCs/>
        </w:rPr>
        <w:t xml:space="preserve"> Act)</w:t>
      </w:r>
      <w:r w:rsidR="0056273D" w:rsidRPr="00D61830">
        <w:rPr>
          <w:rFonts w:eastAsia="Arial"/>
        </w:rPr>
        <w:t xml:space="preserve"> are</w:t>
      </w:r>
      <w:r w:rsidR="00164F6C" w:rsidRPr="00D61830">
        <w:rPr>
          <w:rFonts w:eastAsia="Arial"/>
        </w:rPr>
        <w:t xml:space="preserve"> managed in a manner </w:t>
      </w:r>
      <w:r w:rsidR="0056273D" w:rsidRPr="00D61830">
        <w:rPr>
          <w:rFonts w:eastAsia="Arial"/>
        </w:rPr>
        <w:t xml:space="preserve">that </w:t>
      </w:r>
      <w:r w:rsidR="00164F6C" w:rsidRPr="00D61830">
        <w:rPr>
          <w:rFonts w:eastAsia="Arial"/>
        </w:rPr>
        <w:t xml:space="preserve">is consistent with the APPs, </w:t>
      </w:r>
      <w:r w:rsidR="0056273D" w:rsidRPr="00D61830">
        <w:rPr>
          <w:rFonts w:eastAsia="Arial"/>
        </w:rPr>
        <w:t xml:space="preserve">state </w:t>
      </w:r>
      <w:r w:rsidR="00164F6C" w:rsidRPr="00D61830">
        <w:rPr>
          <w:rFonts w:eastAsia="Arial"/>
        </w:rPr>
        <w:t xml:space="preserve">and </w:t>
      </w:r>
      <w:r w:rsidR="0056273D" w:rsidRPr="00D61830">
        <w:rPr>
          <w:rFonts w:eastAsia="Arial"/>
        </w:rPr>
        <w:t xml:space="preserve">territory </w:t>
      </w:r>
      <w:r w:rsidR="00164F6C" w:rsidRPr="00D61830">
        <w:rPr>
          <w:rFonts w:eastAsia="Arial"/>
        </w:rPr>
        <w:t xml:space="preserve">privacy </w:t>
      </w:r>
      <w:r w:rsidR="0056273D" w:rsidRPr="00D61830">
        <w:rPr>
          <w:rFonts w:eastAsia="Arial"/>
        </w:rPr>
        <w:t xml:space="preserve">laws </w:t>
      </w:r>
      <w:r w:rsidR="00164F6C" w:rsidRPr="00D61830">
        <w:rPr>
          <w:rFonts w:eastAsia="Arial"/>
        </w:rPr>
        <w:t xml:space="preserve">and health data laws. Although these laws </w:t>
      </w:r>
      <w:r w:rsidR="00451C06" w:rsidRPr="00D61830">
        <w:rPr>
          <w:rFonts w:eastAsia="Arial"/>
        </w:rPr>
        <w:t>may</w:t>
      </w:r>
      <w:r w:rsidR="00164F6C" w:rsidRPr="00D61830">
        <w:rPr>
          <w:rFonts w:eastAsia="Arial"/>
        </w:rPr>
        <w:t xml:space="preserve"> not strictly apply to this data in the form in which it is held by </w:t>
      </w:r>
      <w:r w:rsidRPr="00D61830">
        <w:rPr>
          <w:rFonts w:eastAsia="Arial"/>
        </w:rPr>
        <w:t>IHACPA</w:t>
      </w:r>
      <w:r w:rsidR="00164F6C" w:rsidRPr="00D61830">
        <w:rPr>
          <w:rFonts w:eastAsia="Arial"/>
        </w:rPr>
        <w:t xml:space="preserve">, that data </w:t>
      </w:r>
      <w:r w:rsidR="004F2D4F" w:rsidRPr="00D61830">
        <w:rPr>
          <w:rFonts w:eastAsia="Arial"/>
        </w:rPr>
        <w:t xml:space="preserve">is treated </w:t>
      </w:r>
      <w:r w:rsidR="00164F6C" w:rsidRPr="00D61830">
        <w:rPr>
          <w:rFonts w:eastAsia="Arial"/>
        </w:rPr>
        <w:t xml:space="preserve">with the same care as personal information </w:t>
      </w:r>
      <w:r w:rsidR="004F2D4F" w:rsidRPr="00D61830">
        <w:rPr>
          <w:rFonts w:eastAsia="Arial"/>
        </w:rPr>
        <w:t xml:space="preserve">held by </w:t>
      </w:r>
      <w:r w:rsidRPr="00D61830">
        <w:rPr>
          <w:rFonts w:eastAsia="Arial"/>
        </w:rPr>
        <w:t>IHACPA</w:t>
      </w:r>
      <w:r w:rsidR="00164F6C" w:rsidRPr="00D61830">
        <w:rPr>
          <w:rFonts w:eastAsia="Arial"/>
        </w:rPr>
        <w:t>.</w:t>
      </w:r>
    </w:p>
    <w:p w14:paraId="5329448C" w14:textId="7543CC84" w:rsidR="008D6C0E" w:rsidRPr="00D61830" w:rsidRDefault="007F5AE8" w:rsidP="00D47CC0">
      <w:pPr>
        <w:pStyle w:val="Heading2"/>
      </w:pPr>
      <w:bookmarkStart w:id="43" w:name="_Toc69476059"/>
      <w:bookmarkStart w:id="44" w:name="_Toc129679343"/>
      <w:r w:rsidRPr="00D61830">
        <w:t>Purpose</w:t>
      </w:r>
      <w:bookmarkEnd w:id="43"/>
      <w:bookmarkEnd w:id="44"/>
    </w:p>
    <w:p w14:paraId="71379103" w14:textId="1E731814" w:rsidR="004F2D4F" w:rsidRPr="00D61830" w:rsidRDefault="007F5AE8" w:rsidP="00D37286">
      <w:pPr>
        <w:spacing w:after="60"/>
      </w:pPr>
      <w:r w:rsidRPr="00D61830">
        <w:t xml:space="preserve">The purpose of </w:t>
      </w:r>
      <w:r w:rsidR="00491EA9" w:rsidRPr="00D61830">
        <w:t>IHACPA</w:t>
      </w:r>
      <w:r w:rsidRPr="00D61830">
        <w:t>’s Privacy Policy (the “Policy”) is to provide information on</w:t>
      </w:r>
      <w:r w:rsidR="004F2D4F" w:rsidRPr="00D61830">
        <w:t>:</w:t>
      </w:r>
    </w:p>
    <w:p w14:paraId="076FF25C" w14:textId="406F893D" w:rsidR="008A5ABB" w:rsidRPr="00D61830" w:rsidRDefault="008A5ABB" w:rsidP="00D37286">
      <w:pPr>
        <w:pStyle w:val="ListParagraph"/>
        <w:numPr>
          <w:ilvl w:val="0"/>
          <w:numId w:val="28"/>
        </w:numPr>
        <w:spacing w:after="60"/>
        <w:ind w:left="714" w:hanging="357"/>
      </w:pPr>
      <w:r w:rsidRPr="00D61830">
        <w:t>w</w:t>
      </w:r>
      <w:r w:rsidR="004F2D4F" w:rsidRPr="00D61830">
        <w:t xml:space="preserve">hat information </w:t>
      </w:r>
      <w:r w:rsidR="00491EA9" w:rsidRPr="00D61830">
        <w:t>IHACPA</w:t>
      </w:r>
      <w:r w:rsidR="009A795D" w:rsidRPr="00D61830">
        <w:t xml:space="preserve"> collects</w:t>
      </w:r>
    </w:p>
    <w:p w14:paraId="6A3C4A84" w14:textId="11F0B810" w:rsidR="008A5ABB" w:rsidRPr="00D61830" w:rsidRDefault="008A5ABB" w:rsidP="00D37286">
      <w:pPr>
        <w:pStyle w:val="ListParagraph"/>
        <w:numPr>
          <w:ilvl w:val="0"/>
          <w:numId w:val="28"/>
        </w:numPr>
        <w:spacing w:after="60"/>
        <w:ind w:left="714" w:hanging="357"/>
      </w:pPr>
      <w:r w:rsidRPr="00D61830">
        <w:t xml:space="preserve">how </w:t>
      </w:r>
      <w:r w:rsidR="00491EA9" w:rsidRPr="00D61830">
        <w:t>IHACPA</w:t>
      </w:r>
      <w:r w:rsidRPr="00D61830">
        <w:t xml:space="preserve"> collects, holds and uses personal information</w:t>
      </w:r>
    </w:p>
    <w:p w14:paraId="260395B4" w14:textId="5AD1FB8D" w:rsidR="004F2D4F" w:rsidRPr="00D61830" w:rsidRDefault="004F2D4F" w:rsidP="00D37286">
      <w:pPr>
        <w:pStyle w:val="ListParagraph"/>
        <w:numPr>
          <w:ilvl w:val="0"/>
          <w:numId w:val="28"/>
        </w:numPr>
        <w:spacing w:after="60"/>
        <w:ind w:left="714" w:hanging="357"/>
      </w:pPr>
      <w:r w:rsidRPr="00D61830">
        <w:t xml:space="preserve">how </w:t>
      </w:r>
      <w:r w:rsidR="00491EA9" w:rsidRPr="00D61830">
        <w:t>IHACPA</w:t>
      </w:r>
      <w:r w:rsidRPr="00D61830">
        <w:t xml:space="preserve"> handles data breaches that include personal information</w:t>
      </w:r>
    </w:p>
    <w:p w14:paraId="78A46F7E" w14:textId="44AC43D6" w:rsidR="002E161E" w:rsidRPr="00D61830" w:rsidRDefault="002E161E" w:rsidP="002E161E">
      <w:pPr>
        <w:pStyle w:val="ListParagraph"/>
        <w:numPr>
          <w:ilvl w:val="0"/>
          <w:numId w:val="28"/>
        </w:numPr>
        <w:spacing w:after="60"/>
        <w:ind w:left="714" w:hanging="357"/>
      </w:pPr>
      <w:r w:rsidRPr="00D61830">
        <w:t xml:space="preserve">how </w:t>
      </w:r>
      <w:r w:rsidR="009A795D" w:rsidRPr="00D61830">
        <w:t>to</w:t>
      </w:r>
      <w:r w:rsidRPr="00D61830">
        <w:t xml:space="preserve"> lodge </w:t>
      </w:r>
      <w:r w:rsidR="009A795D" w:rsidRPr="00D61830">
        <w:t xml:space="preserve">a </w:t>
      </w:r>
      <w:r w:rsidRPr="00D61830">
        <w:t xml:space="preserve">complaint </w:t>
      </w:r>
      <w:r w:rsidR="009A795D" w:rsidRPr="00D61830">
        <w:t>on</w:t>
      </w:r>
      <w:r w:rsidRPr="00D61830">
        <w:t xml:space="preserve"> </w:t>
      </w:r>
      <w:r w:rsidR="009A795D" w:rsidRPr="00D61830">
        <w:t xml:space="preserve">how </w:t>
      </w:r>
      <w:r w:rsidR="00491EA9" w:rsidRPr="00D61830">
        <w:t>IHACPA</w:t>
      </w:r>
      <w:r w:rsidR="009A795D" w:rsidRPr="00D61830">
        <w:t xml:space="preserve"> has </w:t>
      </w:r>
      <w:r w:rsidR="001F7E1F" w:rsidRPr="00D61830">
        <w:t xml:space="preserve">handled </w:t>
      </w:r>
      <w:r w:rsidR="009A795D" w:rsidRPr="00D61830">
        <w:t>perso</w:t>
      </w:r>
      <w:r w:rsidRPr="00D61830">
        <w:t>nal information</w:t>
      </w:r>
    </w:p>
    <w:p w14:paraId="7292D582" w14:textId="19C01651" w:rsidR="004F2D4F" w:rsidRPr="00D61830" w:rsidRDefault="004F2D4F" w:rsidP="00D37286">
      <w:pPr>
        <w:pStyle w:val="ListParagraph"/>
        <w:numPr>
          <w:ilvl w:val="0"/>
          <w:numId w:val="28"/>
        </w:numPr>
        <w:spacing w:after="60"/>
        <w:ind w:left="714" w:hanging="357"/>
      </w:pPr>
      <w:r w:rsidRPr="00D61830">
        <w:t>how</w:t>
      </w:r>
      <w:r w:rsidR="009A795D" w:rsidRPr="00D61830">
        <w:t xml:space="preserve"> someone can</w:t>
      </w:r>
      <w:r w:rsidRPr="00D61830">
        <w:t xml:space="preserve"> access or request corrections to </w:t>
      </w:r>
      <w:r w:rsidR="009A795D" w:rsidRPr="00D61830">
        <w:t xml:space="preserve">their </w:t>
      </w:r>
      <w:r w:rsidRPr="00D61830">
        <w:t>personal information</w:t>
      </w:r>
      <w:r w:rsidR="002E161E" w:rsidRPr="00D61830">
        <w:t>.</w:t>
      </w:r>
    </w:p>
    <w:p w14:paraId="2A42A59F" w14:textId="5F1D32C2" w:rsidR="0056273D" w:rsidRPr="00D61830" w:rsidRDefault="0056273D" w:rsidP="00D47CC0">
      <w:pPr>
        <w:pStyle w:val="Heading2"/>
      </w:pPr>
      <w:bookmarkStart w:id="45" w:name="_Toc69476060"/>
      <w:bookmarkStart w:id="46" w:name="_Toc129679344"/>
      <w:r w:rsidRPr="00D61830">
        <w:t>Privacy framework</w:t>
      </w:r>
      <w:bookmarkEnd w:id="45"/>
      <w:bookmarkEnd w:id="46"/>
    </w:p>
    <w:p w14:paraId="261EB804" w14:textId="1FB34D00" w:rsidR="005F2500" w:rsidRPr="00D61830" w:rsidRDefault="00491EA9" w:rsidP="00711778">
      <w:r w:rsidRPr="00D61830">
        <w:t>IHACPA</w:t>
      </w:r>
      <w:r w:rsidR="007F5AE8" w:rsidRPr="00D61830">
        <w:t xml:space="preserve"> take</w:t>
      </w:r>
      <w:r w:rsidR="0056273D" w:rsidRPr="00D61830">
        <w:t>s</w:t>
      </w:r>
      <w:r w:rsidR="007F5AE8" w:rsidRPr="00D61830">
        <w:t xml:space="preserve"> all reasonable steps to ensure that it establishes and maintains internal practices, procedures and systems to ensure compliance with the APPs</w:t>
      </w:r>
      <w:r w:rsidR="005F2500" w:rsidRPr="00D61830">
        <w:t xml:space="preserve">. </w:t>
      </w:r>
    </w:p>
    <w:p w14:paraId="62163BFC" w14:textId="3C9DADD3" w:rsidR="0056273D" w:rsidRPr="00D61830" w:rsidRDefault="00491EA9" w:rsidP="00711778">
      <w:r w:rsidRPr="00D61830">
        <w:t>IHACPA</w:t>
      </w:r>
      <w:r w:rsidR="0056273D" w:rsidRPr="00D61830">
        <w:t xml:space="preserve"> has developed and implemented a number of supporting policies and procedures to supplement the principles outlined in the Policy, these include;</w:t>
      </w:r>
    </w:p>
    <w:p w14:paraId="79A02484" w14:textId="082253AB" w:rsidR="00B43B70" w:rsidRPr="00D61830" w:rsidRDefault="00B43B70" w:rsidP="00B43B70">
      <w:pPr>
        <w:pStyle w:val="ListParagraph"/>
        <w:numPr>
          <w:ilvl w:val="0"/>
          <w:numId w:val="28"/>
        </w:numPr>
        <w:spacing w:after="60"/>
        <w:ind w:left="714" w:hanging="357"/>
      </w:pPr>
      <w:r w:rsidRPr="00D61830">
        <w:t xml:space="preserve">Consultant Access to </w:t>
      </w:r>
      <w:r w:rsidR="00491EA9" w:rsidRPr="00D61830">
        <w:t>IHACPA</w:t>
      </w:r>
      <w:r w:rsidRPr="00D61830">
        <w:t xml:space="preserve"> Protected Data Rules</w:t>
      </w:r>
    </w:p>
    <w:p w14:paraId="4F18CC8C" w14:textId="77777777" w:rsidR="00B43B70" w:rsidRPr="00D61830" w:rsidRDefault="00B43B70" w:rsidP="00B43B70">
      <w:pPr>
        <w:pStyle w:val="ListParagraph"/>
        <w:numPr>
          <w:ilvl w:val="0"/>
          <w:numId w:val="28"/>
        </w:numPr>
        <w:spacing w:after="60"/>
        <w:ind w:left="714" w:hanging="357"/>
      </w:pPr>
      <w:r w:rsidRPr="00D61830">
        <w:t>Data Access and Release Policy</w:t>
      </w:r>
    </w:p>
    <w:p w14:paraId="01263E9F" w14:textId="77777777" w:rsidR="00B43B70" w:rsidRPr="00D61830" w:rsidRDefault="00B43B70" w:rsidP="00B43B70">
      <w:pPr>
        <w:pStyle w:val="ListParagraph"/>
        <w:numPr>
          <w:ilvl w:val="0"/>
          <w:numId w:val="28"/>
        </w:numPr>
        <w:spacing w:after="60"/>
        <w:ind w:left="714" w:hanging="357"/>
      </w:pPr>
      <w:r w:rsidRPr="00D61830">
        <w:t>Data Breach Response Plan</w:t>
      </w:r>
    </w:p>
    <w:p w14:paraId="0B642B86" w14:textId="7C62301C" w:rsidR="002F40CD" w:rsidRPr="00D61830" w:rsidRDefault="0056273D" w:rsidP="00D37286">
      <w:pPr>
        <w:pStyle w:val="ListParagraph"/>
        <w:numPr>
          <w:ilvl w:val="0"/>
          <w:numId w:val="28"/>
        </w:numPr>
        <w:spacing w:after="60"/>
        <w:ind w:left="714" w:hanging="357"/>
      </w:pPr>
      <w:r w:rsidRPr="00D61830">
        <w:t>Data Governance</w:t>
      </w:r>
      <w:r w:rsidR="002F40CD" w:rsidRPr="00D61830">
        <w:t xml:space="preserve"> Policy</w:t>
      </w:r>
      <w:r w:rsidR="002E161E" w:rsidRPr="00D61830">
        <w:t xml:space="preserve"> </w:t>
      </w:r>
    </w:p>
    <w:p w14:paraId="6556F6B3" w14:textId="620BF7E3" w:rsidR="002F40CD" w:rsidRPr="00D61830" w:rsidRDefault="002F40CD" w:rsidP="00D37286">
      <w:pPr>
        <w:pStyle w:val="ListParagraph"/>
        <w:numPr>
          <w:ilvl w:val="0"/>
          <w:numId w:val="28"/>
        </w:numPr>
        <w:spacing w:after="60"/>
        <w:ind w:left="714" w:hanging="357"/>
      </w:pPr>
      <w:r w:rsidRPr="00D61830">
        <w:t>Information Security Policy</w:t>
      </w:r>
    </w:p>
    <w:p w14:paraId="05666CDA" w14:textId="112050C4" w:rsidR="002F40CD" w:rsidRPr="00D61830" w:rsidRDefault="001B6F36" w:rsidP="00D37286">
      <w:pPr>
        <w:pStyle w:val="ListParagraph"/>
        <w:numPr>
          <w:ilvl w:val="0"/>
          <w:numId w:val="28"/>
        </w:numPr>
        <w:spacing w:after="60"/>
        <w:ind w:left="714" w:hanging="357"/>
      </w:pPr>
      <w:r w:rsidRPr="00D61830">
        <w:t xml:space="preserve">IT </w:t>
      </w:r>
      <w:r w:rsidR="002F40CD" w:rsidRPr="00D61830">
        <w:t>Operations Security Policy</w:t>
      </w:r>
    </w:p>
    <w:p w14:paraId="54212269" w14:textId="41917B4C" w:rsidR="00B43B70" w:rsidRPr="00D61830" w:rsidRDefault="00B43B70" w:rsidP="00B43B70">
      <w:pPr>
        <w:pStyle w:val="ListParagraph"/>
        <w:numPr>
          <w:ilvl w:val="0"/>
          <w:numId w:val="28"/>
        </w:numPr>
        <w:spacing w:after="60"/>
        <w:ind w:left="714" w:hanging="357"/>
      </w:pPr>
      <w:bookmarkStart w:id="47" w:name="_Hlk129595141"/>
      <w:r w:rsidRPr="00D61830">
        <w:t>Privacy Impact Assessment</w:t>
      </w:r>
      <w:r w:rsidR="00BC4D05" w:rsidRPr="00D61830">
        <w:t xml:space="preserve"> and Guidance</w:t>
      </w:r>
    </w:p>
    <w:p w14:paraId="48D093A5" w14:textId="77777777" w:rsidR="00B43B70" w:rsidRPr="00D61830" w:rsidRDefault="00B43B70" w:rsidP="00B43B70">
      <w:pPr>
        <w:pStyle w:val="ListParagraph"/>
        <w:numPr>
          <w:ilvl w:val="0"/>
          <w:numId w:val="28"/>
        </w:numPr>
        <w:spacing w:after="60"/>
        <w:ind w:left="714" w:hanging="357"/>
      </w:pPr>
      <w:r w:rsidRPr="00D61830">
        <w:t xml:space="preserve">Privacy Management Plan </w:t>
      </w:r>
    </w:p>
    <w:p w14:paraId="08076C5C" w14:textId="281670D4" w:rsidR="00B43B70" w:rsidRDefault="00B43B70" w:rsidP="00B43B70">
      <w:pPr>
        <w:pStyle w:val="ListParagraph"/>
        <w:numPr>
          <w:ilvl w:val="0"/>
          <w:numId w:val="28"/>
        </w:numPr>
        <w:spacing w:after="60"/>
      </w:pPr>
      <w:r w:rsidRPr="00D61830">
        <w:t>Procedures for handling inquiries, complaints and requests for access and amendment</w:t>
      </w:r>
    </w:p>
    <w:p w14:paraId="7FF34616" w14:textId="7261E545" w:rsidR="001E6176" w:rsidRPr="00D61830" w:rsidRDefault="001E6176" w:rsidP="00B43B70">
      <w:pPr>
        <w:pStyle w:val="ListParagraph"/>
        <w:numPr>
          <w:ilvl w:val="0"/>
          <w:numId w:val="28"/>
        </w:numPr>
        <w:spacing w:after="60"/>
      </w:pPr>
      <w:r w:rsidRPr="001E6176">
        <w:t xml:space="preserve">Treatment of, and compliance with, the </w:t>
      </w:r>
      <w:r>
        <w:t>APPs</w:t>
      </w:r>
    </w:p>
    <w:bookmarkEnd w:id="47"/>
    <w:p w14:paraId="7504129E" w14:textId="6A75D8D4" w:rsidR="00BB31F1" w:rsidRPr="00D61830" w:rsidRDefault="002F40CD" w:rsidP="00344B97">
      <w:pPr>
        <w:pStyle w:val="ListParagraph"/>
        <w:numPr>
          <w:ilvl w:val="0"/>
          <w:numId w:val="28"/>
        </w:numPr>
        <w:spacing w:after="60"/>
        <w:ind w:left="714" w:hanging="357"/>
      </w:pPr>
      <w:r w:rsidRPr="00D61830">
        <w:t>Public Interest Disclosure Policy</w:t>
      </w:r>
    </w:p>
    <w:p w14:paraId="4E0695B1" w14:textId="74AEB9D5" w:rsidR="00164F6C" w:rsidRPr="00D61830" w:rsidRDefault="00164F6C" w:rsidP="00B43B70">
      <w:pPr>
        <w:pStyle w:val="Heading2"/>
        <w:spacing w:before="120"/>
      </w:pPr>
      <w:bookmarkStart w:id="48" w:name="_Toc69476061"/>
      <w:bookmarkStart w:id="49" w:name="_Toc129679345"/>
      <w:r w:rsidRPr="00D61830">
        <w:t>Scope</w:t>
      </w:r>
      <w:bookmarkEnd w:id="48"/>
      <w:bookmarkEnd w:id="49"/>
    </w:p>
    <w:p w14:paraId="7AA1C90D" w14:textId="2E3382F1" w:rsidR="00CE306B" w:rsidRPr="00D61830" w:rsidRDefault="00D40914" w:rsidP="00244C95">
      <w:r w:rsidRPr="00D61830">
        <w:t xml:space="preserve">This </w:t>
      </w:r>
      <w:r w:rsidR="00164F6C" w:rsidRPr="00D61830">
        <w:t xml:space="preserve">Policy applies to personal information collected by </w:t>
      </w:r>
      <w:r w:rsidR="00491EA9" w:rsidRPr="00D61830">
        <w:t>IHACPA</w:t>
      </w:r>
      <w:r w:rsidR="00164F6C" w:rsidRPr="00D61830">
        <w:t xml:space="preserve">. Where relevant, </w:t>
      </w:r>
      <w:r w:rsidR="00491EA9" w:rsidRPr="00D61830">
        <w:t>IHACPA</w:t>
      </w:r>
      <w:r w:rsidR="0056273D" w:rsidRPr="00D61830">
        <w:t xml:space="preserve"> will</w:t>
      </w:r>
      <w:r w:rsidR="00164F6C" w:rsidRPr="00D61830">
        <w:t xml:space="preserve"> also apply </w:t>
      </w:r>
      <w:r w:rsidR="0056273D" w:rsidRPr="00D61830">
        <w:t>the</w:t>
      </w:r>
      <w:r w:rsidR="008A5ABB" w:rsidRPr="00D61830">
        <w:t xml:space="preserve"> </w:t>
      </w:r>
      <w:r w:rsidR="00164F6C" w:rsidRPr="00D61830">
        <w:t>Policy to</w:t>
      </w:r>
      <w:r w:rsidR="00CE306B" w:rsidRPr="00D61830">
        <w:t xml:space="preserve"> the following data it collects in its role to the extent that it is practicable for IHACPA to do so:</w:t>
      </w:r>
    </w:p>
    <w:p w14:paraId="299458D8" w14:textId="01D39D60" w:rsidR="00CE306B" w:rsidRPr="00D61830" w:rsidRDefault="00EB29D5" w:rsidP="001E6176">
      <w:pPr>
        <w:pStyle w:val="ListParagraph"/>
        <w:numPr>
          <w:ilvl w:val="0"/>
          <w:numId w:val="28"/>
        </w:numPr>
        <w:spacing w:after="60"/>
        <w:ind w:left="714" w:hanging="357"/>
      </w:pPr>
      <w:r w:rsidRPr="00D61830">
        <w:t xml:space="preserve">Activity Based Funding Data and National Hospital Cost Data Collection data (collectively, </w:t>
      </w:r>
      <w:r w:rsidR="00164F6C" w:rsidRPr="00D61830">
        <w:t>hospital data</w:t>
      </w:r>
      <w:r w:rsidRPr="00D61830">
        <w:t>)</w:t>
      </w:r>
      <w:r w:rsidR="00CE306B" w:rsidRPr="00D61830">
        <w:t xml:space="preserve"> </w:t>
      </w:r>
    </w:p>
    <w:p w14:paraId="6DA98363" w14:textId="56003492" w:rsidR="00164F6C" w:rsidRPr="00D61830" w:rsidRDefault="00CE306B" w:rsidP="00CE306B">
      <w:pPr>
        <w:pStyle w:val="ListParagraph"/>
        <w:numPr>
          <w:ilvl w:val="0"/>
          <w:numId w:val="28"/>
        </w:numPr>
        <w:spacing w:after="60"/>
        <w:ind w:left="714" w:hanging="357"/>
      </w:pPr>
      <w:bookmarkStart w:id="50" w:name="_Hlk129680167"/>
      <w:r w:rsidRPr="00D61830">
        <w:t xml:space="preserve">hospital </w:t>
      </w:r>
      <w:r w:rsidR="00244C95" w:rsidRPr="00D61830">
        <w:t xml:space="preserve">pricing and costing information </w:t>
      </w:r>
      <w:r w:rsidR="00EA2CF1" w:rsidRPr="00D61830">
        <w:t>and</w:t>
      </w:r>
      <w:r w:rsidR="00B049DC" w:rsidRPr="00D61830">
        <w:t xml:space="preserve"> </w:t>
      </w:r>
      <w:r w:rsidR="00EA2CF1" w:rsidRPr="00D61830">
        <w:t>aged care</w:t>
      </w:r>
      <w:r w:rsidRPr="00D61830">
        <w:t xml:space="preserve"> pricing and costing </w:t>
      </w:r>
      <w:r w:rsidR="00681F2F" w:rsidRPr="00D61830">
        <w:t>data</w:t>
      </w:r>
      <w:r w:rsidRPr="00D61830">
        <w:t xml:space="preserve"> (collectively, pricing and costing information</w:t>
      </w:r>
      <w:r w:rsidR="00126EA0" w:rsidRPr="00D61830">
        <w:t>)</w:t>
      </w:r>
      <w:r w:rsidRPr="00D61830">
        <w:t>.</w:t>
      </w:r>
      <w:bookmarkEnd w:id="50"/>
      <w:r w:rsidR="00EA2CF1" w:rsidRPr="00D61830">
        <w:t xml:space="preserve"> </w:t>
      </w:r>
    </w:p>
    <w:p w14:paraId="1B224FDF" w14:textId="3FA5C0FE" w:rsidR="0056273D" w:rsidRPr="00D61830" w:rsidRDefault="0056273D" w:rsidP="00164F6C">
      <w:r w:rsidRPr="00D61830">
        <w:lastRenderedPageBreak/>
        <w:t xml:space="preserve">The requirements under this Policy </w:t>
      </w:r>
      <w:r w:rsidR="00B820D2" w:rsidRPr="00D61830">
        <w:t xml:space="preserve">apply </w:t>
      </w:r>
      <w:r w:rsidRPr="00D61830">
        <w:t xml:space="preserve">to all </w:t>
      </w:r>
      <w:r w:rsidR="00491EA9" w:rsidRPr="00D61830">
        <w:t>IHACPA</w:t>
      </w:r>
      <w:r w:rsidRPr="00D61830">
        <w:t xml:space="preserve"> employees, officers and employees of contracted service providers.</w:t>
      </w:r>
    </w:p>
    <w:p w14:paraId="4492CA9A" w14:textId="37335416" w:rsidR="00164F6C" w:rsidRPr="00D61830" w:rsidRDefault="007F5AE8" w:rsidP="00D47CC0">
      <w:pPr>
        <w:pStyle w:val="Heading2"/>
      </w:pPr>
      <w:bookmarkStart w:id="51" w:name="_Toc69476062"/>
      <w:bookmarkStart w:id="52" w:name="_Toc129679346"/>
      <w:r w:rsidRPr="00D61830">
        <w:t>Review</w:t>
      </w:r>
      <w:bookmarkEnd w:id="51"/>
      <w:bookmarkEnd w:id="52"/>
    </w:p>
    <w:p w14:paraId="37CE8EF2" w14:textId="6F88CC01" w:rsidR="00CB20FD" w:rsidRPr="00D61830" w:rsidRDefault="007F5AE8" w:rsidP="00B43B70">
      <w:pPr>
        <w:spacing w:after="0"/>
        <w:rPr>
          <w:rFonts w:asciiTheme="majorHAnsi" w:eastAsiaTheme="majorEastAsia" w:hAnsiTheme="majorHAnsi" w:cstheme="majorBidi"/>
          <w:b/>
          <w:bCs/>
          <w:color w:val="000000" w:themeColor="background2"/>
          <w:sz w:val="32"/>
          <w:szCs w:val="28"/>
        </w:rPr>
      </w:pPr>
      <w:r w:rsidRPr="00D61830">
        <w:t xml:space="preserve">This Policy will be reviewed </w:t>
      </w:r>
      <w:r w:rsidR="001B4849" w:rsidRPr="00D61830">
        <w:t xml:space="preserve">annually </w:t>
      </w:r>
      <w:r w:rsidRPr="00D61830">
        <w:t>by the Executive Officer</w:t>
      </w:r>
      <w:r w:rsidR="00244C95" w:rsidRPr="00D61830">
        <w:t>/Corporate Counsel</w:t>
      </w:r>
      <w:r w:rsidRPr="00D61830">
        <w:t xml:space="preserve"> but may be reviewed more frequently if required. </w:t>
      </w:r>
      <w:r w:rsidR="00CB20FD" w:rsidRPr="00D61830">
        <w:br w:type="page"/>
      </w:r>
    </w:p>
    <w:p w14:paraId="047E90E4" w14:textId="77777777" w:rsidR="001C2DF1" w:rsidRPr="00D61830" w:rsidRDefault="00D47CC0" w:rsidP="00D37286">
      <w:pPr>
        <w:pStyle w:val="Heading1"/>
      </w:pPr>
      <w:bookmarkStart w:id="53" w:name="_Toc69476063"/>
      <w:bookmarkStart w:id="54" w:name="_Toc129679347"/>
      <w:r w:rsidRPr="00D61830">
        <w:lastRenderedPageBreak/>
        <w:t>Key Elements</w:t>
      </w:r>
      <w:bookmarkEnd w:id="53"/>
      <w:bookmarkEnd w:id="54"/>
    </w:p>
    <w:p w14:paraId="06891FB2" w14:textId="6D2C605A" w:rsidR="00164F6C" w:rsidRPr="00D61830" w:rsidRDefault="00164F6C" w:rsidP="00D37286">
      <w:pPr>
        <w:pStyle w:val="Heading2"/>
      </w:pPr>
      <w:bookmarkStart w:id="55" w:name="_Toc69476064"/>
      <w:bookmarkStart w:id="56" w:name="_Toc129679348"/>
      <w:r w:rsidRPr="00D61830">
        <w:t>What is</w:t>
      </w:r>
      <w:r w:rsidR="00D47CC0" w:rsidRPr="00D61830">
        <w:t xml:space="preserve"> “</w:t>
      </w:r>
      <w:r w:rsidRPr="00D61830">
        <w:t xml:space="preserve">personal </w:t>
      </w:r>
      <w:r w:rsidR="00D47CC0" w:rsidRPr="00D61830">
        <w:t>information”</w:t>
      </w:r>
      <w:r w:rsidRPr="00D61830">
        <w:t>?</w:t>
      </w:r>
      <w:bookmarkEnd w:id="55"/>
      <w:bookmarkEnd w:id="56"/>
    </w:p>
    <w:p w14:paraId="5591B13A" w14:textId="2F8DE2CD" w:rsidR="00164F6C" w:rsidRPr="00D61830" w:rsidRDefault="00711778" w:rsidP="00164F6C">
      <w:r w:rsidRPr="00D61830">
        <w:t xml:space="preserve">The Privacy Act defines </w:t>
      </w:r>
      <w:r w:rsidR="005F2500" w:rsidRPr="00D61830">
        <w:t xml:space="preserve">‘personal </w:t>
      </w:r>
      <w:r w:rsidR="00164F6C" w:rsidRPr="00D61830">
        <w:t>information</w:t>
      </w:r>
      <w:r w:rsidR="005F2500" w:rsidRPr="00D61830">
        <w:t>’</w:t>
      </w:r>
      <w:r w:rsidR="00164F6C" w:rsidRPr="00D61830">
        <w:t xml:space="preserve"> as ‘</w:t>
      </w:r>
      <w:r w:rsidR="005F2500" w:rsidRPr="00D61830">
        <w:t xml:space="preserve">Information </w:t>
      </w:r>
      <w:r w:rsidR="00164F6C" w:rsidRPr="00D61830">
        <w:t xml:space="preserve">or an opinion about an identified individual, or an individual who is reasonably identifiable’. </w:t>
      </w:r>
    </w:p>
    <w:p w14:paraId="5148D570" w14:textId="28329471" w:rsidR="00AE0C36" w:rsidRPr="00D61830" w:rsidRDefault="00164F6C" w:rsidP="00164F6C">
      <w:r w:rsidRPr="00D61830">
        <w:t xml:space="preserve">What constitutes personal information will vary, depending on whether an individual can be identified or is reasonably identifiable in the particular circumstance. Whether an individual is ‘reasonably identifiable’ from particular information about that individual will depend on </w:t>
      </w:r>
      <w:r w:rsidR="00711778" w:rsidRPr="00D61830">
        <w:t xml:space="preserve">a number of matters </w:t>
      </w:r>
      <w:r w:rsidRPr="00D61830">
        <w:t>including: the nature and extent of the information and whether it is possible for the recipient of the information to identify the individual using available resources (including other information available to that recipient).</w:t>
      </w:r>
      <w:r w:rsidR="00EE1860" w:rsidRPr="00D61830">
        <w:t xml:space="preserve"> </w:t>
      </w:r>
    </w:p>
    <w:p w14:paraId="7230FB95" w14:textId="439BBE78" w:rsidR="00164F6C" w:rsidRPr="00D61830" w:rsidRDefault="00164F6C" w:rsidP="00164F6C">
      <w:r w:rsidRPr="00D61830">
        <w:t xml:space="preserve">Where it is technically possible to identify an individual </w:t>
      </w:r>
      <w:r w:rsidR="00AE0C36" w:rsidRPr="00D61830">
        <w:t>based on the</w:t>
      </w:r>
      <w:r w:rsidRPr="00D61830">
        <w:t xml:space="preserve"> information, but doing so is not </w:t>
      </w:r>
      <w:r w:rsidR="00AE0C36" w:rsidRPr="00D61830">
        <w:t>practicable</w:t>
      </w:r>
      <w:r w:rsidRPr="00D61830">
        <w:t xml:space="preserve">, </w:t>
      </w:r>
      <w:r w:rsidR="00624583" w:rsidRPr="00D61830">
        <w:t xml:space="preserve">because of: the cost, difficulty, practicality and likelihood of a person or entity doing so, </w:t>
      </w:r>
      <w:r w:rsidRPr="00D61830">
        <w:t>that individual will generally be regarded as</w:t>
      </w:r>
      <w:r w:rsidR="00AE0C36" w:rsidRPr="00D61830">
        <w:t xml:space="preserve"> </w:t>
      </w:r>
      <w:r w:rsidR="00AE0C36" w:rsidRPr="00D61830">
        <w:rPr>
          <w:b/>
        </w:rPr>
        <w:t>not</w:t>
      </w:r>
      <w:r w:rsidRPr="00D61830">
        <w:t xml:space="preserve"> ‘reasonably identifiable’. For example</w:t>
      </w:r>
      <w:r w:rsidR="00EE1860" w:rsidRPr="00D61830">
        <w:t xml:space="preserve"> </w:t>
      </w:r>
      <w:r w:rsidR="00AE0C36" w:rsidRPr="00D61830">
        <w:t xml:space="preserve">if </w:t>
      </w:r>
      <w:r w:rsidRPr="00D61830">
        <w:t>the</w:t>
      </w:r>
      <w:r w:rsidR="00AE0C36" w:rsidRPr="00D61830">
        <w:t xml:space="preserve"> cost of</w:t>
      </w:r>
      <w:r w:rsidRPr="00D61830">
        <w:t xml:space="preserve"> reasonably ident</w:t>
      </w:r>
      <w:r w:rsidR="00AE0C36" w:rsidRPr="00D61830">
        <w:t>ifying an individual is overly expensive or resource intensive, that individual would be regarded as not reasonabl</w:t>
      </w:r>
      <w:r w:rsidR="00711778" w:rsidRPr="00D61830">
        <w:t xml:space="preserve">y </w:t>
      </w:r>
      <w:r w:rsidR="00AE0C36" w:rsidRPr="00D61830">
        <w:t>identifiable</w:t>
      </w:r>
      <w:r w:rsidRPr="00D61830">
        <w:t>.</w:t>
      </w:r>
    </w:p>
    <w:p w14:paraId="5C30716C" w14:textId="29F419E4" w:rsidR="00164F6C" w:rsidRPr="00D61830" w:rsidRDefault="00711778" w:rsidP="00164F6C">
      <w:r w:rsidRPr="00D61830">
        <w:t>P</w:t>
      </w:r>
      <w:r w:rsidR="00164F6C" w:rsidRPr="00D61830">
        <w:t xml:space="preserve">ersonal information relates </w:t>
      </w:r>
      <w:r w:rsidRPr="00D61830">
        <w:t xml:space="preserve">only </w:t>
      </w:r>
      <w:r w:rsidR="00164F6C" w:rsidRPr="00D61830">
        <w:t>to natural persons and in most circumstances it will not apply to deceased persons.</w:t>
      </w:r>
      <w:r w:rsidR="00164F6C" w:rsidRPr="00D61830">
        <w:rPr>
          <w:color w:val="FF0000"/>
        </w:rPr>
        <w:t xml:space="preserve"> </w:t>
      </w:r>
      <w:r w:rsidR="00B42D73" w:rsidRPr="00D61830">
        <w:t xml:space="preserve">However, information </w:t>
      </w:r>
      <w:r w:rsidR="00EB29D5" w:rsidRPr="00D61830">
        <w:t xml:space="preserve">about individuals </w:t>
      </w:r>
      <w:r w:rsidR="00B42D73" w:rsidRPr="00D61830">
        <w:t xml:space="preserve">provided in a business or professional capacity is personal information, </w:t>
      </w:r>
      <w:r w:rsidR="00EB29D5" w:rsidRPr="00D61830">
        <w:t>and will be protected by the</w:t>
      </w:r>
      <w:r w:rsidR="00B42D73" w:rsidRPr="00D61830">
        <w:t xml:space="preserve"> APPs. </w:t>
      </w:r>
    </w:p>
    <w:p w14:paraId="308A53CD" w14:textId="54E9A04C" w:rsidR="00276F24" w:rsidRPr="00D61830" w:rsidRDefault="00B42D73" w:rsidP="00D37286">
      <w:pPr>
        <w:pStyle w:val="Heading2"/>
      </w:pPr>
      <w:bookmarkStart w:id="57" w:name="_Toc69476065"/>
      <w:bookmarkStart w:id="58" w:name="_Toc129679349"/>
      <w:r w:rsidRPr="00D61830">
        <w:t xml:space="preserve">Types of </w:t>
      </w:r>
      <w:r w:rsidR="00164F6C" w:rsidRPr="00D61830">
        <w:t xml:space="preserve">information </w:t>
      </w:r>
      <w:r w:rsidRPr="00D61830">
        <w:t xml:space="preserve">collected by </w:t>
      </w:r>
      <w:bookmarkEnd w:id="57"/>
      <w:r w:rsidR="00491EA9" w:rsidRPr="00D61830">
        <w:t>IHACPA</w:t>
      </w:r>
      <w:bookmarkEnd w:id="58"/>
    </w:p>
    <w:p w14:paraId="45BDA8E7" w14:textId="77777777" w:rsidR="00164F6C" w:rsidRPr="00D61830" w:rsidRDefault="00164F6C" w:rsidP="00D37286">
      <w:pPr>
        <w:pStyle w:val="Heading3"/>
      </w:pPr>
      <w:bookmarkStart w:id="59" w:name="_Toc129595898"/>
      <w:bookmarkStart w:id="60" w:name="_Toc129679350"/>
      <w:r w:rsidRPr="00D61830">
        <w:t>Personal information</w:t>
      </w:r>
      <w:bookmarkEnd w:id="59"/>
      <w:bookmarkEnd w:id="60"/>
    </w:p>
    <w:p w14:paraId="260E86A2" w14:textId="371497DD" w:rsidR="00276F24" w:rsidRPr="00D61830" w:rsidRDefault="00491EA9" w:rsidP="00164F6C">
      <w:r w:rsidRPr="00D61830">
        <w:t>IHACPA</w:t>
      </w:r>
      <w:r w:rsidR="00164F6C" w:rsidRPr="00D61830">
        <w:t xml:space="preserve"> only collects personal information where the information is reasonably necessary for, or directly related to, one or more of </w:t>
      </w:r>
      <w:r w:rsidRPr="00D61830">
        <w:t>IHACPA</w:t>
      </w:r>
      <w:r w:rsidR="00164F6C" w:rsidRPr="00D61830">
        <w:t>’s functions or activities.</w:t>
      </w:r>
      <w:r w:rsidR="00B42D73" w:rsidRPr="00D61830">
        <w:t xml:space="preserve"> </w:t>
      </w:r>
      <w:r w:rsidR="00CF3748" w:rsidRPr="00D61830">
        <w:t xml:space="preserve">Examples </w:t>
      </w:r>
      <w:r w:rsidR="00912CCC" w:rsidRPr="00D61830">
        <w:t>include:</w:t>
      </w:r>
    </w:p>
    <w:p w14:paraId="40138C02" w14:textId="697BEEAB" w:rsidR="00CF3748" w:rsidRPr="00D61830" w:rsidRDefault="00CF3748" w:rsidP="00CF3748">
      <w:pPr>
        <w:pStyle w:val="ListParagraph"/>
        <w:numPr>
          <w:ilvl w:val="0"/>
          <w:numId w:val="28"/>
        </w:numPr>
        <w:spacing w:after="60"/>
        <w:ind w:left="714" w:hanging="357"/>
      </w:pPr>
      <w:r w:rsidRPr="00D61830">
        <w:t>contact details including name, address, phone number, email address,</w:t>
      </w:r>
      <w:r w:rsidR="00F26BF1" w:rsidRPr="00D61830">
        <w:t xml:space="preserve"> role, organisation or agency,</w:t>
      </w:r>
      <w:r w:rsidRPr="00D61830">
        <w:t xml:space="preserve"> other contact details</w:t>
      </w:r>
    </w:p>
    <w:p w14:paraId="527FF9DA" w14:textId="7877FE8B" w:rsidR="00EC5D2F" w:rsidRPr="00D61830" w:rsidRDefault="00EC5D2F" w:rsidP="00CF3748">
      <w:pPr>
        <w:pStyle w:val="ListParagraph"/>
        <w:numPr>
          <w:ilvl w:val="0"/>
          <w:numId w:val="28"/>
        </w:numPr>
        <w:spacing w:after="60"/>
        <w:ind w:left="714" w:hanging="357"/>
      </w:pPr>
      <w:r w:rsidRPr="00D61830">
        <w:t>signature</w:t>
      </w:r>
    </w:p>
    <w:p w14:paraId="48EF0723" w14:textId="77777777" w:rsidR="00CF3748" w:rsidRPr="00D61830" w:rsidRDefault="00CF3748" w:rsidP="00CF3748">
      <w:pPr>
        <w:pStyle w:val="ListParagraph"/>
        <w:numPr>
          <w:ilvl w:val="0"/>
          <w:numId w:val="28"/>
        </w:numPr>
        <w:spacing w:after="60"/>
        <w:ind w:left="714" w:hanging="357"/>
      </w:pPr>
      <w:r w:rsidRPr="00D61830">
        <w:t>educational qualifications</w:t>
      </w:r>
    </w:p>
    <w:p w14:paraId="14F19E76" w14:textId="77777777" w:rsidR="00CF3748" w:rsidRPr="00D61830" w:rsidRDefault="00CF3748" w:rsidP="00CF3748">
      <w:pPr>
        <w:pStyle w:val="ListParagraph"/>
        <w:numPr>
          <w:ilvl w:val="0"/>
          <w:numId w:val="28"/>
        </w:numPr>
        <w:spacing w:after="60"/>
        <w:ind w:left="714" w:hanging="357"/>
      </w:pPr>
      <w:r w:rsidRPr="00D61830">
        <w:t>employment history</w:t>
      </w:r>
    </w:p>
    <w:p w14:paraId="1458D90E" w14:textId="77777777" w:rsidR="00CF3748" w:rsidRPr="00D61830" w:rsidRDefault="00CF3748" w:rsidP="00CF3748">
      <w:pPr>
        <w:pStyle w:val="ListParagraph"/>
        <w:numPr>
          <w:ilvl w:val="0"/>
          <w:numId w:val="28"/>
        </w:numPr>
        <w:spacing w:after="60"/>
        <w:ind w:left="714" w:hanging="357"/>
      </w:pPr>
      <w:r w:rsidRPr="00D61830">
        <w:t>procurement records</w:t>
      </w:r>
    </w:p>
    <w:p w14:paraId="2F8BACCD" w14:textId="77777777" w:rsidR="00CF3748" w:rsidRPr="00D61830" w:rsidRDefault="00CF3748" w:rsidP="00CF3748">
      <w:pPr>
        <w:pStyle w:val="ListParagraph"/>
        <w:numPr>
          <w:ilvl w:val="0"/>
          <w:numId w:val="28"/>
        </w:numPr>
        <w:spacing w:after="60"/>
        <w:ind w:left="714" w:hanging="357"/>
      </w:pPr>
      <w:r w:rsidRPr="00D61830">
        <w:t>consultancy records</w:t>
      </w:r>
    </w:p>
    <w:p w14:paraId="1C710F97" w14:textId="77777777" w:rsidR="00CF3748" w:rsidRPr="00D61830" w:rsidRDefault="00CF3748" w:rsidP="00CF3748">
      <w:pPr>
        <w:pStyle w:val="ListParagraph"/>
        <w:numPr>
          <w:ilvl w:val="0"/>
          <w:numId w:val="28"/>
        </w:numPr>
        <w:spacing w:after="60"/>
        <w:ind w:left="714" w:hanging="357"/>
      </w:pPr>
      <w:r w:rsidRPr="00D61830">
        <w:t>committee membership details</w:t>
      </w:r>
    </w:p>
    <w:p w14:paraId="386FC289" w14:textId="77777777" w:rsidR="00CF3748" w:rsidRPr="00D61830" w:rsidRDefault="00CF3748" w:rsidP="00CF3748">
      <w:pPr>
        <w:pStyle w:val="ListParagraph"/>
        <w:numPr>
          <w:ilvl w:val="0"/>
          <w:numId w:val="28"/>
        </w:numPr>
        <w:spacing w:after="60"/>
        <w:ind w:left="714" w:hanging="357"/>
      </w:pPr>
      <w:r w:rsidRPr="00D61830">
        <w:t>bank account details</w:t>
      </w:r>
    </w:p>
    <w:p w14:paraId="3286E1D4" w14:textId="77777777" w:rsidR="00CF3748" w:rsidRPr="00D61830" w:rsidRDefault="00CF3748" w:rsidP="00CF3748">
      <w:pPr>
        <w:pStyle w:val="ListParagraph"/>
        <w:numPr>
          <w:ilvl w:val="0"/>
          <w:numId w:val="28"/>
        </w:numPr>
        <w:spacing w:after="60"/>
        <w:ind w:left="714" w:hanging="357"/>
      </w:pPr>
      <w:r w:rsidRPr="00D61830">
        <w:t>superannuation details</w:t>
      </w:r>
    </w:p>
    <w:p w14:paraId="7B92569B" w14:textId="77777777" w:rsidR="00CF3748" w:rsidRPr="00D61830" w:rsidRDefault="00CF3748" w:rsidP="00CF3748">
      <w:pPr>
        <w:pStyle w:val="ListParagraph"/>
        <w:numPr>
          <w:ilvl w:val="0"/>
          <w:numId w:val="28"/>
        </w:numPr>
        <w:spacing w:after="60"/>
        <w:ind w:left="714" w:hanging="357"/>
      </w:pPr>
      <w:r w:rsidRPr="00D61830">
        <w:t xml:space="preserve">creditor and debtor information </w:t>
      </w:r>
    </w:p>
    <w:p w14:paraId="38117B49" w14:textId="77777777" w:rsidR="00CF3748" w:rsidRPr="00D61830" w:rsidRDefault="00CF3748" w:rsidP="00CF3748">
      <w:pPr>
        <w:pStyle w:val="ListParagraph"/>
        <w:numPr>
          <w:ilvl w:val="0"/>
          <w:numId w:val="28"/>
        </w:numPr>
        <w:spacing w:after="60"/>
        <w:ind w:left="714" w:hanging="357"/>
      </w:pPr>
      <w:r w:rsidRPr="00D61830">
        <w:t>recruitment records</w:t>
      </w:r>
    </w:p>
    <w:p w14:paraId="25A1500D" w14:textId="49F4666B" w:rsidR="00CF3748" w:rsidRPr="00D61830" w:rsidRDefault="00CF3748" w:rsidP="00CF3748">
      <w:pPr>
        <w:pStyle w:val="ListParagraph"/>
        <w:numPr>
          <w:ilvl w:val="0"/>
          <w:numId w:val="28"/>
        </w:numPr>
      </w:pPr>
      <w:r w:rsidRPr="00D61830">
        <w:t>personnel records</w:t>
      </w:r>
    </w:p>
    <w:p w14:paraId="52F6788C" w14:textId="2C12B827" w:rsidR="00CF3748" w:rsidRPr="00D61830" w:rsidRDefault="00491EA9" w:rsidP="00CF3748">
      <w:r w:rsidRPr="00D61830">
        <w:t>IHACPA</w:t>
      </w:r>
      <w:r w:rsidR="00CF3748" w:rsidRPr="00D61830">
        <w:t xml:space="preserve"> may </w:t>
      </w:r>
      <w:r w:rsidR="00803B4D" w:rsidRPr="00D61830">
        <w:t xml:space="preserve">request or </w:t>
      </w:r>
      <w:r w:rsidR="00CF3748" w:rsidRPr="00D61830">
        <w:t xml:space="preserve">receive this personal information from: </w:t>
      </w:r>
    </w:p>
    <w:p w14:paraId="18F1AA48" w14:textId="652F72DA" w:rsidR="006726FA" w:rsidRPr="00D61830" w:rsidRDefault="006726FA" w:rsidP="006726FA">
      <w:pPr>
        <w:pStyle w:val="ListParagraph"/>
        <w:numPr>
          <w:ilvl w:val="0"/>
          <w:numId w:val="28"/>
        </w:numPr>
      </w:pPr>
      <w:r w:rsidRPr="00D61830">
        <w:t xml:space="preserve">individuals who contact </w:t>
      </w:r>
      <w:r w:rsidR="00491EA9" w:rsidRPr="00D61830">
        <w:t>IHACPA</w:t>
      </w:r>
      <w:r w:rsidRPr="00D61830">
        <w:t xml:space="preserve"> with an enquiry</w:t>
      </w:r>
    </w:p>
    <w:p w14:paraId="0A1E5AFC" w14:textId="6856085C" w:rsidR="006726FA" w:rsidRPr="00D61830" w:rsidRDefault="006726FA" w:rsidP="006726FA">
      <w:pPr>
        <w:pStyle w:val="ListParagraph"/>
        <w:numPr>
          <w:ilvl w:val="0"/>
          <w:numId w:val="28"/>
        </w:numPr>
      </w:pPr>
      <w:r w:rsidRPr="00D61830">
        <w:t xml:space="preserve">individuals who act on behalf of a healthcare organisation and register their interest in </w:t>
      </w:r>
      <w:r w:rsidR="00491EA9" w:rsidRPr="00D61830">
        <w:t>IHACPA</w:t>
      </w:r>
      <w:r w:rsidRPr="00D61830">
        <w:t xml:space="preserve"> activities</w:t>
      </w:r>
    </w:p>
    <w:p w14:paraId="49952C52" w14:textId="478B923B" w:rsidR="006726FA" w:rsidRPr="00D61830" w:rsidRDefault="006726FA" w:rsidP="006726FA">
      <w:pPr>
        <w:pStyle w:val="ListParagraph"/>
        <w:numPr>
          <w:ilvl w:val="0"/>
          <w:numId w:val="28"/>
        </w:numPr>
      </w:pPr>
      <w:r w:rsidRPr="00D61830">
        <w:t xml:space="preserve">individuals who deal with </w:t>
      </w:r>
      <w:r w:rsidR="00491EA9" w:rsidRPr="00D61830">
        <w:t>IHACPA</w:t>
      </w:r>
      <w:r w:rsidRPr="00D61830">
        <w:t xml:space="preserve"> as part of consultation, including a reference group or as a representative of a stakeholder organisation</w:t>
      </w:r>
    </w:p>
    <w:p w14:paraId="6092E0D9" w14:textId="5075AEFC" w:rsidR="00F26BF1" w:rsidRPr="00D61830" w:rsidRDefault="00F26BF1" w:rsidP="006726FA">
      <w:pPr>
        <w:pStyle w:val="ListParagraph"/>
        <w:numPr>
          <w:ilvl w:val="0"/>
          <w:numId w:val="28"/>
        </w:numPr>
      </w:pPr>
      <w:r w:rsidRPr="00D61830">
        <w:lastRenderedPageBreak/>
        <w:t xml:space="preserve">individuals who share data with </w:t>
      </w:r>
      <w:r w:rsidR="00491EA9" w:rsidRPr="00D61830">
        <w:t>IHACPA</w:t>
      </w:r>
      <w:r w:rsidRPr="00D61830">
        <w:t xml:space="preserve"> on behalf of a state or territory government department or a healthcare organisation</w:t>
      </w:r>
    </w:p>
    <w:p w14:paraId="26F0F8B4" w14:textId="0581D5CE" w:rsidR="00F26BF1" w:rsidRPr="00D61830" w:rsidRDefault="00F26BF1" w:rsidP="006726FA">
      <w:pPr>
        <w:pStyle w:val="ListParagraph"/>
        <w:numPr>
          <w:ilvl w:val="0"/>
          <w:numId w:val="28"/>
        </w:numPr>
      </w:pPr>
      <w:r w:rsidRPr="00D61830">
        <w:t>researchers who apply for data access and release</w:t>
      </w:r>
    </w:p>
    <w:p w14:paraId="7AD21728" w14:textId="4DC6D34F" w:rsidR="006726FA" w:rsidRPr="00D61830" w:rsidRDefault="00491EA9" w:rsidP="006726FA">
      <w:pPr>
        <w:pStyle w:val="ListParagraph"/>
        <w:numPr>
          <w:ilvl w:val="0"/>
          <w:numId w:val="28"/>
        </w:numPr>
      </w:pPr>
      <w:r w:rsidRPr="00D61830">
        <w:t>IHACPA</w:t>
      </w:r>
      <w:r w:rsidR="006726FA" w:rsidRPr="00D61830">
        <w:t>'s business associates</w:t>
      </w:r>
    </w:p>
    <w:p w14:paraId="00D924A1" w14:textId="2376A686" w:rsidR="001A4073" w:rsidRPr="00D61830" w:rsidRDefault="001A4073" w:rsidP="006726FA">
      <w:pPr>
        <w:pStyle w:val="ListParagraph"/>
        <w:numPr>
          <w:ilvl w:val="0"/>
          <w:numId w:val="28"/>
        </w:numPr>
      </w:pPr>
      <w:r w:rsidRPr="00D61830">
        <w:t>members of committees or working groups</w:t>
      </w:r>
    </w:p>
    <w:p w14:paraId="68CF63C6" w14:textId="4AF05426" w:rsidR="006726FA" w:rsidRPr="00D61830" w:rsidRDefault="006726FA" w:rsidP="006726FA">
      <w:pPr>
        <w:pStyle w:val="ListParagraph"/>
        <w:numPr>
          <w:ilvl w:val="0"/>
          <w:numId w:val="28"/>
        </w:numPr>
      </w:pPr>
      <w:r w:rsidRPr="00D61830">
        <w:t>goods and services providers (including contractors)</w:t>
      </w:r>
    </w:p>
    <w:p w14:paraId="773381B6" w14:textId="5F21C80D" w:rsidR="006726FA" w:rsidRPr="00D61830" w:rsidRDefault="006726FA" w:rsidP="006726FA">
      <w:pPr>
        <w:pStyle w:val="ListParagraph"/>
        <w:numPr>
          <w:ilvl w:val="0"/>
          <w:numId w:val="28"/>
        </w:numPr>
      </w:pPr>
      <w:r w:rsidRPr="00D61830">
        <w:t>current and former employees; and</w:t>
      </w:r>
    </w:p>
    <w:p w14:paraId="0E041AB5" w14:textId="793106D7" w:rsidR="006726FA" w:rsidRPr="00D61830" w:rsidRDefault="00CF3748" w:rsidP="006726FA">
      <w:pPr>
        <w:pStyle w:val="ListParagraph"/>
        <w:numPr>
          <w:ilvl w:val="0"/>
          <w:numId w:val="28"/>
        </w:numPr>
      </w:pPr>
      <w:r w:rsidRPr="00D61830">
        <w:t>applican</w:t>
      </w:r>
      <w:r w:rsidR="00EB29D5" w:rsidRPr="00D61830">
        <w:t>t</w:t>
      </w:r>
      <w:r w:rsidRPr="00D61830">
        <w:t>s for employment</w:t>
      </w:r>
      <w:r w:rsidR="006726FA" w:rsidRPr="00D61830">
        <w:t>.</w:t>
      </w:r>
    </w:p>
    <w:p w14:paraId="70801CA2" w14:textId="5FA56EC4" w:rsidR="00164F6C" w:rsidRPr="00D61830" w:rsidRDefault="00164F6C" w:rsidP="00276F24">
      <w:r w:rsidRPr="00D61830">
        <w:t xml:space="preserve">This information is subject to the Privacy Act and </w:t>
      </w:r>
      <w:r w:rsidR="00491EA9" w:rsidRPr="00D61830">
        <w:t>IHACPA</w:t>
      </w:r>
      <w:r w:rsidR="00824831" w:rsidRPr="00D61830">
        <w:t xml:space="preserve"> has</w:t>
      </w:r>
      <w:r w:rsidRPr="00D61830">
        <w:t xml:space="preserve"> an obligation to ensure that this information </w:t>
      </w:r>
      <w:r w:rsidR="00824831" w:rsidRPr="00D61830">
        <w:t xml:space="preserve">is managed </w:t>
      </w:r>
      <w:r w:rsidRPr="00D61830">
        <w:t xml:space="preserve">in accordance with the </w:t>
      </w:r>
      <w:r w:rsidR="00824831" w:rsidRPr="00D61830">
        <w:t xml:space="preserve">Privacy </w:t>
      </w:r>
      <w:r w:rsidRPr="00D61830">
        <w:t>Act.</w:t>
      </w:r>
    </w:p>
    <w:p w14:paraId="7DD767F6" w14:textId="726A360D" w:rsidR="00164F6C" w:rsidRPr="00D61830" w:rsidRDefault="00164F6C" w:rsidP="00D37286">
      <w:pPr>
        <w:pStyle w:val="Heading3"/>
      </w:pPr>
      <w:bookmarkStart w:id="61" w:name="_Toc129595899"/>
      <w:bookmarkStart w:id="62" w:name="_Toc129679351"/>
      <w:r w:rsidRPr="00D61830">
        <w:t>Hospital data</w:t>
      </w:r>
      <w:bookmarkEnd w:id="61"/>
      <w:bookmarkEnd w:id="62"/>
      <w:r w:rsidR="00D1778F" w:rsidRPr="00D61830">
        <w:t xml:space="preserve"> </w:t>
      </w:r>
    </w:p>
    <w:p w14:paraId="4EB9D8B1" w14:textId="689732B6" w:rsidR="00EE36B1" w:rsidRPr="00D61830" w:rsidRDefault="00491EA9" w:rsidP="00EE36B1">
      <w:r w:rsidRPr="00D61830">
        <w:t>IHACPA</w:t>
      </w:r>
      <w:r w:rsidR="00164F6C" w:rsidRPr="00D61830">
        <w:t xml:space="preserve"> also collects a range of hospital data pursuant to its functions outlined in the </w:t>
      </w:r>
      <w:r w:rsidR="00824831" w:rsidRPr="00D61830">
        <w:t xml:space="preserve">NHR </w:t>
      </w:r>
      <w:r w:rsidR="00164F6C" w:rsidRPr="00D61830">
        <w:t xml:space="preserve">Act. </w:t>
      </w:r>
      <w:r w:rsidR="00EE36B1" w:rsidRPr="00D61830">
        <w:t xml:space="preserve">The use of hospital data is subject to secrecy provisions contained in the NHR Act which relate to ‘protected Pricing Authority information’. The NHR Act recognises the importance of protecting patient confidentiality and imposes strict obligations on the use, disclosure and publishing of information that is likely to enable the identification of a patient (refer to section 279(2) of the NHR Act). </w:t>
      </w:r>
    </w:p>
    <w:p w14:paraId="4BBC44F9" w14:textId="5CB54C33" w:rsidR="00276F24" w:rsidRPr="00D61830" w:rsidRDefault="00EE36B1" w:rsidP="00164F6C">
      <w:r w:rsidRPr="00D61830">
        <w:t>H</w:t>
      </w:r>
      <w:r w:rsidR="00164F6C" w:rsidRPr="00D61830">
        <w:t xml:space="preserve">ospital data </w:t>
      </w:r>
      <w:r w:rsidR="00AE4E8A" w:rsidRPr="00D61830">
        <w:t xml:space="preserve">contains </w:t>
      </w:r>
      <w:r w:rsidR="00D25E2C" w:rsidRPr="00D61830">
        <w:t xml:space="preserve">Activity Based Funding Data </w:t>
      </w:r>
      <w:r w:rsidR="00164F6C" w:rsidRPr="00D61830">
        <w:t>and National Hospital Cost Data Collection data</w:t>
      </w:r>
      <w:r w:rsidR="00AE4E8A" w:rsidRPr="00D61830">
        <w:t xml:space="preserve"> including demographic information, clinical information, the nature of care provided and costs</w:t>
      </w:r>
      <w:r w:rsidR="00164F6C" w:rsidRPr="00D61830">
        <w:t xml:space="preserve">. </w:t>
      </w:r>
    </w:p>
    <w:p w14:paraId="71E84DB1" w14:textId="0B816456" w:rsidR="002F40CD" w:rsidRPr="00D61830" w:rsidRDefault="00164F6C" w:rsidP="00276F24">
      <w:r w:rsidRPr="00D61830">
        <w:t>Importantly, both the patient and the hospital are assigned a unique identifier. This unique identifier is used instead of the patient’s name and the name of the hospital</w:t>
      </w:r>
      <w:r w:rsidR="005F2500" w:rsidRPr="00D61830">
        <w:t>. T</w:t>
      </w:r>
      <w:r w:rsidRPr="00D61830">
        <w:t xml:space="preserve">he unique identifiers are not available to the general public. </w:t>
      </w:r>
      <w:r w:rsidR="00491EA9" w:rsidRPr="00D61830">
        <w:t>IHACPA</w:t>
      </w:r>
      <w:r w:rsidRPr="00D61830">
        <w:t xml:space="preserve"> has implemented a range of strategies to ensure that data sets are not able to be searched or combined in a way that would allow a person to determine the identity of an individual.</w:t>
      </w:r>
      <w:r w:rsidR="009970F3" w:rsidRPr="00D61830">
        <w:t xml:space="preserve"> For example, hospital data is only used or disclosed in a de-identified fashion. </w:t>
      </w:r>
    </w:p>
    <w:p w14:paraId="43D1E712" w14:textId="7DF2E026" w:rsidR="00DB10D8" w:rsidRPr="00D61830" w:rsidRDefault="009970F3" w:rsidP="00276F24">
      <w:r w:rsidRPr="00D61830">
        <w:t xml:space="preserve">Where small cell data (that is, data sets with a small number of entries) is present, </w:t>
      </w:r>
      <w:r w:rsidR="00491EA9" w:rsidRPr="00D61830">
        <w:t>IHACPA</w:t>
      </w:r>
      <w:r w:rsidRPr="00D61830">
        <w:t xml:space="preserve"> takes measures (such as zeroing or aggregation) to ensure that no identifying data is used or disclosed. </w:t>
      </w:r>
    </w:p>
    <w:p w14:paraId="0F5AFAFD" w14:textId="0B585CD6" w:rsidR="00164F6C" w:rsidRPr="00D61830" w:rsidRDefault="00DB10D8" w:rsidP="00164F6C">
      <w:r w:rsidRPr="00D61830">
        <w:t xml:space="preserve">As a result of these measures, </w:t>
      </w:r>
      <w:r w:rsidR="00164F6C" w:rsidRPr="00D61830">
        <w:t xml:space="preserve">the hospital data </w:t>
      </w:r>
      <w:r w:rsidR="00491EA9" w:rsidRPr="00D61830">
        <w:t>IHACPA</w:t>
      </w:r>
      <w:r w:rsidR="00164F6C" w:rsidRPr="00D61830">
        <w:t xml:space="preserve"> holds is depersonalised and not subject to the Privacy Act. </w:t>
      </w:r>
      <w:r w:rsidRPr="00D61830">
        <w:t xml:space="preserve">Nevertheless, </w:t>
      </w:r>
      <w:r w:rsidR="00491EA9" w:rsidRPr="00D61830">
        <w:t>IHACPA</w:t>
      </w:r>
      <w:r w:rsidRPr="00D61830">
        <w:t xml:space="preserve"> treats its </w:t>
      </w:r>
      <w:r w:rsidR="00164F6C" w:rsidRPr="00D61830">
        <w:t>hospital data with care</w:t>
      </w:r>
      <w:r w:rsidRPr="00D61830">
        <w:t xml:space="preserve"> and </w:t>
      </w:r>
      <w:r w:rsidR="00164F6C" w:rsidRPr="00D61830">
        <w:t>manages the data consistently with the Privacy Policy</w:t>
      </w:r>
      <w:r w:rsidR="004F2D4F" w:rsidRPr="00D61830">
        <w:t xml:space="preserve">, the </w:t>
      </w:r>
      <w:r w:rsidR="00164F6C" w:rsidRPr="00D61830">
        <w:t>Privacy Act</w:t>
      </w:r>
      <w:r w:rsidR="004F2D4F" w:rsidRPr="00D61830">
        <w:t xml:space="preserve"> and the APPs</w:t>
      </w:r>
      <w:r w:rsidR="00164F6C" w:rsidRPr="00D61830">
        <w:t>.</w:t>
      </w:r>
    </w:p>
    <w:p w14:paraId="54F174A4" w14:textId="192B35F0" w:rsidR="00D1778F" w:rsidRPr="00D61830" w:rsidRDefault="00556B51" w:rsidP="00D1778F">
      <w:pPr>
        <w:pStyle w:val="Heading3"/>
      </w:pPr>
      <w:bookmarkStart w:id="63" w:name="_Toc129595900"/>
      <w:bookmarkStart w:id="64" w:name="_Toc129679352"/>
      <w:r w:rsidRPr="00D61830">
        <w:t>P</w:t>
      </w:r>
      <w:r w:rsidR="00D1778F" w:rsidRPr="00D61830">
        <w:t>ricing and costing information</w:t>
      </w:r>
      <w:bookmarkEnd w:id="63"/>
      <w:bookmarkEnd w:id="64"/>
    </w:p>
    <w:p w14:paraId="7D3253B6" w14:textId="29C0E4FF" w:rsidR="00556B51" w:rsidRPr="00D61830" w:rsidRDefault="00D1778F" w:rsidP="00D1778F">
      <w:r w:rsidRPr="00D61830">
        <w:t>With effect from 12 August IHACPA’s functions include the providing of advice to the Commonwealth in relation to</w:t>
      </w:r>
      <w:r w:rsidR="00556B51" w:rsidRPr="00D61830">
        <w:t>:</w:t>
      </w:r>
    </w:p>
    <w:p w14:paraId="20DB4306" w14:textId="4461C10C" w:rsidR="00556B51" w:rsidRPr="00D61830" w:rsidRDefault="00D1778F" w:rsidP="00CE306B">
      <w:pPr>
        <w:pStyle w:val="ListBullet"/>
        <w:tabs>
          <w:tab w:val="clear" w:pos="360"/>
          <w:tab w:val="num" w:pos="720"/>
        </w:tabs>
        <w:ind w:left="714" w:hanging="357"/>
        <w:contextualSpacing w:val="0"/>
      </w:pPr>
      <w:bookmarkStart w:id="65" w:name="_Hlk129680260"/>
      <w:r w:rsidRPr="00D61830">
        <w:t>one or more health care pricing or costing matters (whether or not the matters relate to health care services provided by public hospitals)</w:t>
      </w:r>
    </w:p>
    <w:p w14:paraId="6A853C3F" w14:textId="13D9C187" w:rsidR="00556B51" w:rsidRPr="00D61830" w:rsidRDefault="00556B51" w:rsidP="00CE306B">
      <w:pPr>
        <w:pStyle w:val="ListBullet"/>
        <w:tabs>
          <w:tab w:val="clear" w:pos="360"/>
          <w:tab w:val="num" w:pos="720"/>
        </w:tabs>
        <w:ind w:left="714" w:hanging="357"/>
        <w:contextualSpacing w:val="0"/>
      </w:pPr>
      <w:r w:rsidRPr="00D61830">
        <w:t>one or more aged care pricing or costing matters, including in relation to methods for calculating amounts of subsidies to be paid under the </w:t>
      </w:r>
      <w:hyperlink r:id="rId24" w:history="1">
        <w:r w:rsidRPr="00D61830">
          <w:t>Aged Care Act</w:t>
        </w:r>
      </w:hyperlink>
      <w:r w:rsidRPr="00D61830">
        <w:t> or the </w:t>
      </w:r>
      <w:hyperlink r:id="rId25" w:history="1">
        <w:r w:rsidRPr="00D61830">
          <w:rPr>
            <w:i/>
          </w:rPr>
          <w:t>Aged Care (Transitional Provisions) Act 1997</w:t>
        </w:r>
      </w:hyperlink>
      <w:r w:rsidRPr="00D61830">
        <w:rPr>
          <w:i/>
        </w:rPr>
        <w:t>.</w:t>
      </w:r>
      <w:r w:rsidR="006C4F27" w:rsidRPr="00D61830">
        <w:t xml:space="preserve"> </w:t>
      </w:r>
    </w:p>
    <w:bookmarkEnd w:id="65"/>
    <w:p w14:paraId="4B4DFBC5" w14:textId="2CF820DC" w:rsidR="00556B51" w:rsidRPr="00D61830" w:rsidRDefault="00556B51" w:rsidP="00556B51">
      <w:r w:rsidRPr="00D61830">
        <w:t>To perform these functions, IHACPA may conduct, or arrange for the conduct of costing and other studies, consultations and review</w:t>
      </w:r>
      <w:r w:rsidR="00AB6674" w:rsidRPr="00D61830">
        <w:t>s</w:t>
      </w:r>
      <w:r w:rsidRPr="00D61830">
        <w:t xml:space="preserve"> of data.</w:t>
      </w:r>
    </w:p>
    <w:p w14:paraId="44245473" w14:textId="1C451DD8" w:rsidR="003B26B6" w:rsidRPr="00D61830" w:rsidRDefault="00CE306B" w:rsidP="00164F6C">
      <w:r w:rsidRPr="00D61830">
        <w:t xml:space="preserve">Specific to its </w:t>
      </w:r>
      <w:r w:rsidR="00642664" w:rsidRPr="00D61830">
        <w:t>aged care pricing and costing functions under the</w:t>
      </w:r>
      <w:r w:rsidR="00FC7F2D" w:rsidRPr="00D61830">
        <w:t xml:space="preserve"> </w:t>
      </w:r>
      <w:r w:rsidR="00F44276" w:rsidRPr="00D61830">
        <w:t>NHR</w:t>
      </w:r>
      <w:r w:rsidR="00642664" w:rsidRPr="00D61830">
        <w:t xml:space="preserve"> Act</w:t>
      </w:r>
      <w:r w:rsidR="00F44276" w:rsidRPr="00D61830">
        <w:t xml:space="preserve"> and the A</w:t>
      </w:r>
      <w:r w:rsidR="00A050E7" w:rsidRPr="00D61830">
        <w:t xml:space="preserve">ged </w:t>
      </w:r>
      <w:r w:rsidR="00F44276" w:rsidRPr="00D61830">
        <w:t>C</w:t>
      </w:r>
      <w:r w:rsidR="00A050E7" w:rsidRPr="00D61830">
        <w:t>are</w:t>
      </w:r>
      <w:r w:rsidR="00F44276" w:rsidRPr="00D61830">
        <w:t xml:space="preserve"> Act</w:t>
      </w:r>
      <w:r w:rsidRPr="00D61830">
        <w:t>, IHACPA collects</w:t>
      </w:r>
      <w:r w:rsidR="00212C0F" w:rsidRPr="00D61830">
        <w:t>:</w:t>
      </w:r>
    </w:p>
    <w:p w14:paraId="5A14DB71" w14:textId="663B8608" w:rsidR="00212C0F" w:rsidRPr="00D61830" w:rsidRDefault="00212C0F" w:rsidP="00526DE9">
      <w:pPr>
        <w:pStyle w:val="ListParagraph"/>
        <w:numPr>
          <w:ilvl w:val="0"/>
          <w:numId w:val="28"/>
        </w:numPr>
      </w:pPr>
      <w:r w:rsidRPr="00D61830">
        <w:lastRenderedPageBreak/>
        <w:t>Australian National Aged Care Classification Assessment Data</w:t>
      </w:r>
    </w:p>
    <w:p w14:paraId="792B3335" w14:textId="17FD5A49" w:rsidR="007A5F8A" w:rsidRPr="00D61830" w:rsidRDefault="007A5F8A" w:rsidP="007A5F8A">
      <w:pPr>
        <w:pStyle w:val="ListParagraph"/>
        <w:numPr>
          <w:ilvl w:val="0"/>
          <w:numId w:val="28"/>
        </w:numPr>
      </w:pPr>
      <w:r w:rsidRPr="00D61830">
        <w:t>Aged Care Financial Reporting Data</w:t>
      </w:r>
    </w:p>
    <w:p w14:paraId="500EAFF6" w14:textId="39081E67" w:rsidR="00212C0F" w:rsidRPr="00D61830" w:rsidRDefault="00212C0F" w:rsidP="00526DE9">
      <w:pPr>
        <w:pStyle w:val="ListParagraph"/>
        <w:numPr>
          <w:ilvl w:val="0"/>
          <w:numId w:val="28"/>
        </w:numPr>
      </w:pPr>
      <w:r w:rsidRPr="00D61830">
        <w:t>Aged Care Funding Instrument Data</w:t>
      </w:r>
    </w:p>
    <w:p w14:paraId="38B4F59D" w14:textId="60597A18" w:rsidR="00212C0F" w:rsidRPr="00D61830" w:rsidRDefault="00212C0F" w:rsidP="00526DE9">
      <w:pPr>
        <w:pStyle w:val="ListParagraph"/>
        <w:numPr>
          <w:ilvl w:val="0"/>
          <w:numId w:val="28"/>
        </w:numPr>
      </w:pPr>
      <w:r w:rsidRPr="00D61830">
        <w:t>Resource Utilisation and Classification Study Data</w:t>
      </w:r>
    </w:p>
    <w:p w14:paraId="63ADE5D3" w14:textId="506B39A7" w:rsidR="00D01B04" w:rsidRPr="00D61830" w:rsidRDefault="00D01B04" w:rsidP="00D01B04">
      <w:pPr>
        <w:pStyle w:val="ListParagraph"/>
        <w:numPr>
          <w:ilvl w:val="0"/>
          <w:numId w:val="28"/>
        </w:numPr>
      </w:pPr>
      <w:r w:rsidRPr="00D61830">
        <w:t xml:space="preserve">Subsidy, supplement, and service utilisation </w:t>
      </w:r>
      <w:r w:rsidR="00FF5125" w:rsidRPr="00D61830">
        <w:t>d</w:t>
      </w:r>
      <w:r w:rsidRPr="00D61830">
        <w:t>ata</w:t>
      </w:r>
      <w:r w:rsidR="00FF5125" w:rsidRPr="00D61830">
        <w:t>.</w:t>
      </w:r>
    </w:p>
    <w:p w14:paraId="6543656F" w14:textId="36B3707B" w:rsidR="00212C0F" w:rsidRPr="00D61830" w:rsidRDefault="003A5D2F" w:rsidP="00164F6C">
      <w:r w:rsidRPr="00D61830">
        <w:t>This</w:t>
      </w:r>
      <w:r w:rsidR="00FB305C" w:rsidRPr="00D61830">
        <w:t xml:space="preserve"> d</w:t>
      </w:r>
      <w:r w:rsidR="003B26B6" w:rsidRPr="00D61830">
        <w:t>ata</w:t>
      </w:r>
      <w:r w:rsidR="00DE0B13" w:rsidRPr="00D61830">
        <w:t>, includes information</w:t>
      </w:r>
      <w:r w:rsidR="00212C0F" w:rsidRPr="00D61830">
        <w:t xml:space="preserve"> about Commonwealth funded residential aged care providers and residential aged care recipients</w:t>
      </w:r>
      <w:r w:rsidR="00622032" w:rsidRPr="00D61830">
        <w:t xml:space="preserve">. </w:t>
      </w:r>
      <w:r w:rsidR="00D97FA8" w:rsidRPr="00D61830">
        <w:t xml:space="preserve">This data may be obtained from a range of sources, including </w:t>
      </w:r>
      <w:r w:rsidR="00642664" w:rsidRPr="00D61830">
        <w:t>from the Department of Health and Aged Care</w:t>
      </w:r>
      <w:r w:rsidR="00E264A8" w:rsidRPr="00D61830">
        <w:t xml:space="preserve"> (</w:t>
      </w:r>
      <w:r w:rsidR="001E6176">
        <w:t xml:space="preserve">the </w:t>
      </w:r>
      <w:r w:rsidR="00E264A8" w:rsidRPr="00D61830">
        <w:t>Department)</w:t>
      </w:r>
      <w:r w:rsidR="00D97FA8" w:rsidRPr="00D61830">
        <w:t>, costing studies and individual provider</w:t>
      </w:r>
      <w:r w:rsidR="00FC7F2D" w:rsidRPr="00D61830">
        <w:t>s</w:t>
      </w:r>
      <w:r w:rsidR="00E264A8" w:rsidRPr="00D61830">
        <w:t>.</w:t>
      </w:r>
      <w:r w:rsidR="00FC7F2D" w:rsidRPr="00D61830">
        <w:t xml:space="preserve"> </w:t>
      </w:r>
    </w:p>
    <w:p w14:paraId="1858472C" w14:textId="5E3928EC" w:rsidR="00664A45" w:rsidRPr="00D61830" w:rsidRDefault="00E264A8" w:rsidP="00E264A8">
      <w:r w:rsidRPr="00D61830">
        <w:t xml:space="preserve">Like hospital data, </w:t>
      </w:r>
      <w:r w:rsidR="00CE306B" w:rsidRPr="00D61830">
        <w:t xml:space="preserve">pricing and costing </w:t>
      </w:r>
      <w:r w:rsidRPr="00D61830">
        <w:t xml:space="preserve">data is ‘protected Pricing Authority information’ which can only be used and disclosed in accordance with the secrecy provisions in the NHR Act. </w:t>
      </w:r>
      <w:r w:rsidR="007B542E" w:rsidRPr="00D61830">
        <w:t>P</w:t>
      </w:r>
      <w:r w:rsidR="00191FB6" w:rsidRPr="00D61830">
        <w:t xml:space="preserve">ricing and costing data </w:t>
      </w:r>
      <w:r w:rsidR="007B542E" w:rsidRPr="00D61830">
        <w:t xml:space="preserve">that </w:t>
      </w:r>
      <w:r w:rsidR="00191FB6" w:rsidRPr="00D61830">
        <w:t>is a</w:t>
      </w:r>
      <w:r w:rsidRPr="00D61830">
        <w:t xml:space="preserve">ged care </w:t>
      </w:r>
      <w:r w:rsidR="00CE306B" w:rsidRPr="00D61830">
        <w:t xml:space="preserve">information may </w:t>
      </w:r>
      <w:r w:rsidRPr="00D61830">
        <w:t xml:space="preserve">also </w:t>
      </w:r>
      <w:r w:rsidR="00CE306B" w:rsidRPr="00D61830">
        <w:t xml:space="preserve">be </w:t>
      </w:r>
      <w:r w:rsidRPr="00D61830">
        <w:t xml:space="preserve">‘protected information’ under </w:t>
      </w:r>
      <w:r w:rsidR="00F44276" w:rsidRPr="00D61830">
        <w:t xml:space="preserve">the </w:t>
      </w:r>
      <w:r w:rsidR="00212C0F" w:rsidRPr="00D61830">
        <w:t>A</w:t>
      </w:r>
      <w:r w:rsidR="00A050E7" w:rsidRPr="00D61830">
        <w:t xml:space="preserve">ged </w:t>
      </w:r>
      <w:r w:rsidR="00212C0F" w:rsidRPr="00D61830">
        <w:t>C</w:t>
      </w:r>
      <w:r w:rsidR="00A050E7" w:rsidRPr="00D61830">
        <w:t>are</w:t>
      </w:r>
      <w:r w:rsidR="00212C0F" w:rsidRPr="00D61830">
        <w:t xml:space="preserve"> Act</w:t>
      </w:r>
      <w:r w:rsidR="00F44276" w:rsidRPr="00D61830">
        <w:t>.</w:t>
      </w:r>
    </w:p>
    <w:p w14:paraId="00DFD0C9" w14:textId="2533CCBF" w:rsidR="00664A45" w:rsidRDefault="00451C06" w:rsidP="00164F6C">
      <w:r w:rsidRPr="00D61830">
        <w:t xml:space="preserve">Typically, </w:t>
      </w:r>
      <w:r w:rsidR="00191FB6" w:rsidRPr="00D61830">
        <w:t>pricing and costing information</w:t>
      </w:r>
      <w:r w:rsidR="00E264A8" w:rsidRPr="00D61830">
        <w:t xml:space="preserve"> is obtained in de-identified form</w:t>
      </w:r>
      <w:r w:rsidRPr="00D61830">
        <w:t xml:space="preserve">. It </w:t>
      </w:r>
      <w:r w:rsidR="00E264A8" w:rsidRPr="00D61830">
        <w:t xml:space="preserve">is </w:t>
      </w:r>
      <w:r w:rsidRPr="00D61830">
        <w:t xml:space="preserve">also </w:t>
      </w:r>
      <w:r w:rsidR="00E264A8" w:rsidRPr="00D61830">
        <w:t xml:space="preserve">subject to strict controls within IHACPA to prevent potential re-identification. </w:t>
      </w:r>
      <w:r w:rsidR="0083792C" w:rsidRPr="00D61830">
        <w:t>As a result,</w:t>
      </w:r>
      <w:r w:rsidR="00681F2F" w:rsidRPr="00D61830">
        <w:t xml:space="preserve"> pricing and costing </w:t>
      </w:r>
      <w:r w:rsidR="0083792C" w:rsidRPr="00D61830">
        <w:t xml:space="preserve">data is depersonalised and not subject to the Privacy Act. However, </w:t>
      </w:r>
      <w:r w:rsidR="00BF64D7" w:rsidRPr="00D61830">
        <w:t xml:space="preserve">like hospital data, </w:t>
      </w:r>
      <w:r w:rsidR="0083792C" w:rsidRPr="00D61830">
        <w:t xml:space="preserve">IHACPA handles </w:t>
      </w:r>
      <w:r w:rsidR="00AB6E8F" w:rsidRPr="00D61830">
        <w:t xml:space="preserve">aged care </w:t>
      </w:r>
      <w:r w:rsidR="0083792C" w:rsidRPr="00D61830">
        <w:t>data consistently with this Privacy Policy, the Privacy Act and the APPs</w:t>
      </w:r>
      <w:r w:rsidR="006D0728" w:rsidRPr="00D61830">
        <w:t>.</w:t>
      </w:r>
    </w:p>
    <w:p w14:paraId="4F429394" w14:textId="4503BA8D" w:rsidR="009461BD" w:rsidRPr="00D61830" w:rsidRDefault="009461BD" w:rsidP="00164F6C">
      <w:r w:rsidRPr="00487988">
        <w:t>In certain circumstances such as costing studies where individuals are involved, the individual can request access to information about their hospital stay or aged care service under the FOI Act.</w:t>
      </w:r>
    </w:p>
    <w:p w14:paraId="1BD0A8EB" w14:textId="7FDF6381" w:rsidR="00164F6C" w:rsidRPr="00D61830" w:rsidRDefault="00164F6C" w:rsidP="00D37286">
      <w:pPr>
        <w:pStyle w:val="Heading2"/>
      </w:pPr>
      <w:bookmarkStart w:id="66" w:name="_Toc69476066"/>
      <w:bookmarkStart w:id="67" w:name="_Toc129679353"/>
      <w:r w:rsidRPr="00D61830">
        <w:t xml:space="preserve">How </w:t>
      </w:r>
      <w:r w:rsidR="00491EA9" w:rsidRPr="00D61830">
        <w:t>IHACPA</w:t>
      </w:r>
      <w:r w:rsidR="00DE1054" w:rsidRPr="00D61830">
        <w:t xml:space="preserve"> </w:t>
      </w:r>
      <w:r w:rsidRPr="00D61830">
        <w:t>collect</w:t>
      </w:r>
      <w:r w:rsidR="00DE1054" w:rsidRPr="00D61830">
        <w:t>s</w:t>
      </w:r>
      <w:r w:rsidRPr="00D61830">
        <w:t xml:space="preserve"> and hold</w:t>
      </w:r>
      <w:r w:rsidR="00DE1054" w:rsidRPr="00D61830">
        <w:t>s</w:t>
      </w:r>
      <w:r w:rsidRPr="00D61830">
        <w:t xml:space="preserve"> personal information</w:t>
      </w:r>
      <w:bookmarkEnd w:id="66"/>
      <w:bookmarkEnd w:id="67"/>
    </w:p>
    <w:p w14:paraId="2EECF120" w14:textId="5EBDFE14" w:rsidR="00276F24" w:rsidRPr="00D61830" w:rsidRDefault="00491EA9" w:rsidP="006726FA">
      <w:r w:rsidRPr="00D61830">
        <w:t>IHACPA</w:t>
      </w:r>
      <w:r w:rsidR="00164F6C" w:rsidRPr="00D61830">
        <w:t xml:space="preserve"> collects personal information about individuals directly from those individuals or their authorised representative. </w:t>
      </w:r>
      <w:r w:rsidRPr="00D61830">
        <w:t>IHACPA</w:t>
      </w:r>
      <w:r w:rsidR="00164F6C" w:rsidRPr="00D61830">
        <w:t xml:space="preserve"> may also collect personal information if it is required or authorised by or under an Australian law to do so. </w:t>
      </w:r>
    </w:p>
    <w:p w14:paraId="52EB237A" w14:textId="1B783277" w:rsidR="00276F24" w:rsidRPr="00D61830" w:rsidRDefault="00276F24" w:rsidP="00276F24">
      <w:r w:rsidRPr="00D61830">
        <w:t xml:space="preserve">When collecting personal information, </w:t>
      </w:r>
      <w:r w:rsidR="00491EA9" w:rsidRPr="00D61830">
        <w:t>IHACPA</w:t>
      </w:r>
      <w:r w:rsidRPr="00D61830">
        <w:t xml:space="preserve"> will inform the individual </w:t>
      </w:r>
      <w:r w:rsidR="001807E5" w:rsidRPr="00D61830">
        <w:t xml:space="preserve">of </w:t>
      </w:r>
      <w:r w:rsidRPr="00D61830">
        <w:t xml:space="preserve">the purpose for </w:t>
      </w:r>
      <w:r w:rsidR="003E0263" w:rsidRPr="00D61830">
        <w:t xml:space="preserve">collecting the information, </w:t>
      </w:r>
      <w:r w:rsidR="00491EA9" w:rsidRPr="00D61830">
        <w:t>IHACPA</w:t>
      </w:r>
      <w:r w:rsidR="003E0263" w:rsidRPr="00D61830">
        <w:t>’s requirements to access the information, how the information will be held</w:t>
      </w:r>
      <w:r w:rsidRPr="00D61830">
        <w:t xml:space="preserve">, the ramifications </w:t>
      </w:r>
      <w:r w:rsidR="003E0263" w:rsidRPr="00D61830">
        <w:t xml:space="preserve">if </w:t>
      </w:r>
      <w:r w:rsidR="00491EA9" w:rsidRPr="00D61830">
        <w:t>IHACPA</w:t>
      </w:r>
      <w:r w:rsidRPr="00D61830">
        <w:t xml:space="preserve"> fail</w:t>
      </w:r>
      <w:r w:rsidR="003E0263" w:rsidRPr="00D61830">
        <w:t>s</w:t>
      </w:r>
      <w:r w:rsidRPr="00D61830">
        <w:t xml:space="preserve"> to collect the information and if the </w:t>
      </w:r>
      <w:r w:rsidR="00EB29D5" w:rsidRPr="00D61830">
        <w:t xml:space="preserve">collection of the </w:t>
      </w:r>
      <w:r w:rsidRPr="00D61830">
        <w:t xml:space="preserve">information is required </w:t>
      </w:r>
      <w:r w:rsidR="00495760" w:rsidRPr="00D61830">
        <w:t xml:space="preserve">or authorised by or </w:t>
      </w:r>
      <w:r w:rsidRPr="00D61830">
        <w:t>under Australian law.</w:t>
      </w:r>
    </w:p>
    <w:p w14:paraId="21BCEAC5" w14:textId="1A0ED78C" w:rsidR="003E0263" w:rsidRPr="00D61830" w:rsidRDefault="00491EA9" w:rsidP="00164F6C">
      <w:r w:rsidRPr="00D61830">
        <w:t>IHACPA</w:t>
      </w:r>
      <w:r w:rsidR="003E0263" w:rsidRPr="00D61830">
        <w:t xml:space="preserve"> does not collect sensitive information about an individual unless the individual has consented and the information is reasonably necessary for, or directly related to, one or more of </w:t>
      </w:r>
      <w:r w:rsidRPr="00D61830">
        <w:t>IHACPA</w:t>
      </w:r>
      <w:r w:rsidR="003E0263" w:rsidRPr="00D61830">
        <w:t xml:space="preserve">’s functions. </w:t>
      </w:r>
    </w:p>
    <w:p w14:paraId="67874D2C" w14:textId="27A3108F" w:rsidR="00164F6C" w:rsidRPr="00D61830" w:rsidRDefault="00164F6C" w:rsidP="00164F6C">
      <w:r w:rsidRPr="00D61830">
        <w:t xml:space="preserve">Where </w:t>
      </w:r>
      <w:r w:rsidR="00491EA9" w:rsidRPr="00D61830">
        <w:t>IHACPA</w:t>
      </w:r>
      <w:r w:rsidRPr="00D61830">
        <w:t xml:space="preserve"> receives</w:t>
      </w:r>
      <w:r w:rsidR="003E0263" w:rsidRPr="00D61830">
        <w:t xml:space="preserve"> unsolicited</w:t>
      </w:r>
      <w:r w:rsidRPr="00D61830">
        <w:t xml:space="preserve"> personal information, </w:t>
      </w:r>
      <w:r w:rsidR="00491EA9" w:rsidRPr="00D61830">
        <w:t>IHACPA</w:t>
      </w:r>
      <w:r w:rsidR="003E0263" w:rsidRPr="00D61830">
        <w:t xml:space="preserve"> </w:t>
      </w:r>
      <w:r w:rsidRPr="00D61830">
        <w:t>will determine whether that information</w:t>
      </w:r>
      <w:r w:rsidR="003E0263" w:rsidRPr="00D61830">
        <w:t xml:space="preserve"> could have been collected</w:t>
      </w:r>
      <w:r w:rsidRPr="00D61830">
        <w:t xml:space="preserve"> in accordance with the APPs. If</w:t>
      </w:r>
      <w:r w:rsidR="003E0263" w:rsidRPr="00D61830">
        <w:t xml:space="preserve"> </w:t>
      </w:r>
      <w:r w:rsidR="00491EA9" w:rsidRPr="00D61830">
        <w:t>IHACPA</w:t>
      </w:r>
      <w:r w:rsidRPr="00D61830">
        <w:t xml:space="preserve"> determines it could not have obtained the information in accordance with the APPs, </w:t>
      </w:r>
      <w:r w:rsidR="00491EA9" w:rsidRPr="00D61830">
        <w:t>IHACPA</w:t>
      </w:r>
      <w:r w:rsidRPr="00D61830">
        <w:t xml:space="preserve"> will consider whether it is obliged to retain that information under its record-keeping rules</w:t>
      </w:r>
      <w:r w:rsidR="003E0263" w:rsidRPr="00D61830">
        <w:t>. I</w:t>
      </w:r>
      <w:r w:rsidRPr="00D61830">
        <w:t>f not</w:t>
      </w:r>
      <w:r w:rsidR="00EE36B1" w:rsidRPr="00D61830">
        <w:t>,</w:t>
      </w:r>
      <w:r w:rsidRPr="00D61830">
        <w:t xml:space="preserve"> </w:t>
      </w:r>
      <w:r w:rsidR="00491EA9" w:rsidRPr="00D61830">
        <w:t>IHACPA</w:t>
      </w:r>
      <w:r w:rsidR="003E0263" w:rsidRPr="00D61830">
        <w:t xml:space="preserve"> </w:t>
      </w:r>
      <w:r w:rsidRPr="00D61830">
        <w:t>will destroy the information or ensure that the information is de-identified where it is lawful and reasonable to do so.</w:t>
      </w:r>
    </w:p>
    <w:p w14:paraId="4CA8875F" w14:textId="013E0552" w:rsidR="00536F5A" w:rsidRPr="00D61830" w:rsidRDefault="00491EA9" w:rsidP="00164F6C">
      <w:r w:rsidRPr="00D61830">
        <w:t>IHACPA</w:t>
      </w:r>
      <w:r w:rsidR="00536F5A" w:rsidRPr="00D61830">
        <w:t xml:space="preserve"> uses TRIM as its official </w:t>
      </w:r>
      <w:r w:rsidR="005F2500" w:rsidRPr="00D61830">
        <w:rPr>
          <w:rFonts w:cs="Arial"/>
        </w:rPr>
        <w:t>e</w:t>
      </w:r>
      <w:r w:rsidR="001B6F36" w:rsidRPr="00D61830">
        <w:rPr>
          <w:rFonts w:cs="Arial"/>
        </w:rPr>
        <w:t xml:space="preserve">lectronic </w:t>
      </w:r>
      <w:r w:rsidR="005F2500" w:rsidRPr="00D61830">
        <w:rPr>
          <w:rFonts w:cs="Arial"/>
        </w:rPr>
        <w:t>d</w:t>
      </w:r>
      <w:r w:rsidR="001B6F36" w:rsidRPr="00D61830">
        <w:rPr>
          <w:rFonts w:cs="Arial"/>
        </w:rPr>
        <w:t xml:space="preserve">ocument and </w:t>
      </w:r>
      <w:r w:rsidR="005F2500" w:rsidRPr="00D61830">
        <w:rPr>
          <w:rFonts w:cs="Arial"/>
        </w:rPr>
        <w:t>r</w:t>
      </w:r>
      <w:r w:rsidR="001B6F36" w:rsidRPr="00D61830">
        <w:rPr>
          <w:rFonts w:cs="Arial"/>
        </w:rPr>
        <w:t xml:space="preserve">ecords </w:t>
      </w:r>
      <w:r w:rsidR="005F2500" w:rsidRPr="00D61830">
        <w:rPr>
          <w:rFonts w:cs="Arial"/>
        </w:rPr>
        <w:t>m</w:t>
      </w:r>
      <w:r w:rsidR="001B6F36" w:rsidRPr="00D61830">
        <w:rPr>
          <w:rFonts w:cs="Arial"/>
        </w:rPr>
        <w:t xml:space="preserve">anagement </w:t>
      </w:r>
      <w:r w:rsidR="005F2500" w:rsidRPr="00D61830">
        <w:rPr>
          <w:rFonts w:cs="Arial"/>
        </w:rPr>
        <w:t>s</w:t>
      </w:r>
      <w:r w:rsidR="001B6F36" w:rsidRPr="00D61830">
        <w:rPr>
          <w:rFonts w:cs="Arial"/>
        </w:rPr>
        <w:t>ystem</w:t>
      </w:r>
      <w:r w:rsidR="00536F5A" w:rsidRPr="00D61830">
        <w:t xml:space="preserve"> for storing of its information, including personal information. TRIM is a secure environment vetted and managed by </w:t>
      </w:r>
      <w:r w:rsidR="001B6F36" w:rsidRPr="00D61830">
        <w:t xml:space="preserve">the </w:t>
      </w:r>
      <w:r w:rsidR="00536F5A" w:rsidRPr="00D61830">
        <w:t>Department and meets the security requirements of the Australian Government.</w:t>
      </w:r>
    </w:p>
    <w:p w14:paraId="038E2761" w14:textId="77777777" w:rsidR="00487988" w:rsidRDefault="00487988" w:rsidP="00D37286">
      <w:pPr>
        <w:pStyle w:val="Heading2"/>
      </w:pPr>
      <w:bookmarkStart w:id="68" w:name="_Toc69476067"/>
      <w:bookmarkStart w:id="69" w:name="_Toc129679354"/>
    </w:p>
    <w:p w14:paraId="546E13E3" w14:textId="77777777" w:rsidR="00487988" w:rsidRDefault="00487988">
      <w:pPr>
        <w:spacing w:after="200" w:line="276" w:lineRule="auto"/>
        <w:rPr>
          <w:rFonts w:asciiTheme="majorHAnsi" w:eastAsiaTheme="majorEastAsia" w:hAnsiTheme="majorHAnsi" w:cstheme="majorBidi"/>
          <w:b/>
          <w:bCs/>
          <w:color w:val="000000" w:themeColor="background2"/>
          <w:sz w:val="28"/>
          <w:szCs w:val="32"/>
        </w:rPr>
      </w:pPr>
      <w:r>
        <w:br w:type="page"/>
      </w:r>
    </w:p>
    <w:p w14:paraId="572A821B" w14:textId="4ABD325D" w:rsidR="00164F6C" w:rsidRPr="00D61830" w:rsidRDefault="00536F5A" w:rsidP="00D37286">
      <w:pPr>
        <w:pStyle w:val="Heading2"/>
      </w:pPr>
      <w:r w:rsidRPr="00D61830">
        <w:lastRenderedPageBreak/>
        <w:t xml:space="preserve">How </w:t>
      </w:r>
      <w:r w:rsidR="00491EA9" w:rsidRPr="00D61830">
        <w:t>IHACPA</w:t>
      </w:r>
      <w:r w:rsidRPr="00D61830">
        <w:t xml:space="preserve"> may </w:t>
      </w:r>
      <w:r w:rsidR="00495760" w:rsidRPr="00D61830">
        <w:t xml:space="preserve">collect and </w:t>
      </w:r>
      <w:r w:rsidRPr="00D61830">
        <w:t>use</w:t>
      </w:r>
      <w:r w:rsidR="00164F6C" w:rsidRPr="00D61830">
        <w:t xml:space="preserve"> personal information</w:t>
      </w:r>
      <w:bookmarkEnd w:id="68"/>
      <w:bookmarkEnd w:id="69"/>
    </w:p>
    <w:p w14:paraId="0D551A00" w14:textId="62621B84" w:rsidR="002C670E" w:rsidRPr="00D61830" w:rsidRDefault="00491EA9" w:rsidP="002C670E">
      <w:r w:rsidRPr="00D61830">
        <w:t>IHACPA</w:t>
      </w:r>
      <w:r w:rsidR="002C670E" w:rsidRPr="00D61830">
        <w:t xml:space="preserve"> may </w:t>
      </w:r>
      <w:r w:rsidR="00495760" w:rsidRPr="00D61830">
        <w:t xml:space="preserve">collect and </w:t>
      </w:r>
      <w:r w:rsidR="002C670E" w:rsidRPr="00D61830">
        <w:t>use the personal information in order to:</w:t>
      </w:r>
    </w:p>
    <w:p w14:paraId="01044A2C" w14:textId="7CC5D7BB" w:rsidR="00E97129" w:rsidRPr="00D61830" w:rsidRDefault="00E97129" w:rsidP="00037B02">
      <w:pPr>
        <w:pStyle w:val="ListParagraph"/>
        <w:numPr>
          <w:ilvl w:val="0"/>
          <w:numId w:val="33"/>
        </w:numPr>
      </w:pPr>
      <w:r w:rsidRPr="00D61830">
        <w:t>assess applications for approval to increase extra services fees under s</w:t>
      </w:r>
      <w:r w:rsidR="001E6176">
        <w:t xml:space="preserve">ection </w:t>
      </w:r>
      <w:r w:rsidRPr="00D61830">
        <w:t>35-2 of the Aged Care Act (ESF applications)</w:t>
      </w:r>
    </w:p>
    <w:p w14:paraId="1C9E1C27" w14:textId="4AA7FD69" w:rsidR="00E97129" w:rsidRPr="00D61830" w:rsidRDefault="00E97129" w:rsidP="00037B02">
      <w:pPr>
        <w:pStyle w:val="ListParagraph"/>
        <w:numPr>
          <w:ilvl w:val="0"/>
          <w:numId w:val="33"/>
        </w:numPr>
      </w:pPr>
      <w:r w:rsidRPr="00D61830">
        <w:t>assess applications to charge higher than maximum residential aged care accommodation payments under s</w:t>
      </w:r>
      <w:r w:rsidR="001206B2">
        <w:t>ection</w:t>
      </w:r>
      <w:r w:rsidRPr="00D61830">
        <w:t xml:space="preserve"> 52G-4 of the Aged Care Act (RAD applications)</w:t>
      </w:r>
    </w:p>
    <w:p w14:paraId="73E96F4C" w14:textId="34B68BEC" w:rsidR="00FB03E5" w:rsidRPr="00D61830" w:rsidRDefault="00862835" w:rsidP="00037B02">
      <w:pPr>
        <w:pStyle w:val="ListParagraph"/>
        <w:numPr>
          <w:ilvl w:val="0"/>
          <w:numId w:val="33"/>
        </w:numPr>
      </w:pPr>
      <w:r w:rsidRPr="00D61830">
        <w:t>perform functions related to providing advice to the Minister in relation to health care pricing or costing matters and aged care pricing matters (see s</w:t>
      </w:r>
      <w:r w:rsidR="00D0403A">
        <w:t>ection</w:t>
      </w:r>
      <w:r w:rsidRPr="00D61830">
        <w:t xml:space="preserve"> 131(1A) and s</w:t>
      </w:r>
      <w:r w:rsidR="00D0403A">
        <w:t>ection</w:t>
      </w:r>
      <w:r w:rsidRPr="00D61830">
        <w:t> 131A of the NHR Act)</w:t>
      </w:r>
    </w:p>
    <w:p w14:paraId="14D31F09" w14:textId="14EDFB65" w:rsidR="002C670E" w:rsidRPr="00D61830" w:rsidRDefault="002C670E" w:rsidP="002C670E">
      <w:pPr>
        <w:pStyle w:val="ListParagraph"/>
        <w:numPr>
          <w:ilvl w:val="0"/>
          <w:numId w:val="33"/>
        </w:numPr>
      </w:pPr>
      <w:r w:rsidRPr="00D61830">
        <w:t>respond to enquiries and otherwise engage with stakeholders</w:t>
      </w:r>
    </w:p>
    <w:p w14:paraId="025A561E" w14:textId="68C684A5" w:rsidR="002C670E" w:rsidRPr="00D61830" w:rsidRDefault="002C670E" w:rsidP="002C670E">
      <w:pPr>
        <w:pStyle w:val="ListParagraph"/>
        <w:numPr>
          <w:ilvl w:val="0"/>
          <w:numId w:val="33"/>
        </w:numPr>
      </w:pPr>
      <w:r w:rsidRPr="00D61830">
        <w:t xml:space="preserve">communicate information to an individual about any initiative offered by or associated with </w:t>
      </w:r>
      <w:r w:rsidR="00491EA9" w:rsidRPr="00D61830">
        <w:t>IHACPA</w:t>
      </w:r>
      <w:r w:rsidRPr="00D61830">
        <w:t>, including invitations to consultation or engagement events</w:t>
      </w:r>
    </w:p>
    <w:p w14:paraId="5EA67910" w14:textId="6CF69A2A" w:rsidR="002C670E" w:rsidRPr="00D61830" w:rsidRDefault="002C670E" w:rsidP="002C670E">
      <w:pPr>
        <w:pStyle w:val="ListParagraph"/>
        <w:numPr>
          <w:ilvl w:val="0"/>
          <w:numId w:val="33"/>
        </w:numPr>
      </w:pPr>
      <w:r w:rsidRPr="00D61830">
        <w:t>provide marketing information about goods, services, events or initiatives which may be of interest</w:t>
      </w:r>
    </w:p>
    <w:p w14:paraId="337F558C" w14:textId="4B853152" w:rsidR="002C670E" w:rsidRPr="00D61830" w:rsidRDefault="002C670E" w:rsidP="002C670E">
      <w:pPr>
        <w:pStyle w:val="ListParagraph"/>
        <w:numPr>
          <w:ilvl w:val="0"/>
          <w:numId w:val="33"/>
        </w:numPr>
      </w:pPr>
      <w:r w:rsidRPr="00D61830">
        <w:t>conduct business with its business associates and contractors</w:t>
      </w:r>
    </w:p>
    <w:p w14:paraId="67DC51C2" w14:textId="0A397B56" w:rsidR="00F26BF1" w:rsidRPr="00D61830" w:rsidRDefault="00F26BF1" w:rsidP="002C670E">
      <w:pPr>
        <w:pStyle w:val="ListParagraph"/>
        <w:numPr>
          <w:ilvl w:val="0"/>
          <w:numId w:val="33"/>
        </w:numPr>
      </w:pPr>
      <w:r w:rsidRPr="00D61830">
        <w:t>manage requests for data access and release</w:t>
      </w:r>
    </w:p>
    <w:p w14:paraId="3701BA92" w14:textId="4FC1FE90" w:rsidR="002C670E" w:rsidRPr="00D61830" w:rsidRDefault="002C670E" w:rsidP="002C670E">
      <w:pPr>
        <w:pStyle w:val="ListParagraph"/>
        <w:numPr>
          <w:ilvl w:val="0"/>
          <w:numId w:val="33"/>
        </w:numPr>
      </w:pPr>
      <w:r w:rsidRPr="00D61830">
        <w:t>manage its employment relationships and responsibilities</w:t>
      </w:r>
    </w:p>
    <w:p w14:paraId="585F3D4B" w14:textId="77777777" w:rsidR="002C670E" w:rsidRPr="00D61830" w:rsidRDefault="002C670E" w:rsidP="002C670E">
      <w:pPr>
        <w:pStyle w:val="ListParagraph"/>
        <w:numPr>
          <w:ilvl w:val="0"/>
          <w:numId w:val="33"/>
        </w:numPr>
      </w:pPr>
      <w:r w:rsidRPr="00D61830">
        <w:t>engage and manage its workforce; and/or</w:t>
      </w:r>
    </w:p>
    <w:p w14:paraId="58BF404F" w14:textId="77777777" w:rsidR="002C670E" w:rsidRPr="00D61830" w:rsidRDefault="002C670E" w:rsidP="002C670E">
      <w:pPr>
        <w:pStyle w:val="ListParagraph"/>
        <w:numPr>
          <w:ilvl w:val="0"/>
          <w:numId w:val="33"/>
        </w:numPr>
      </w:pPr>
      <w:r w:rsidRPr="00D61830">
        <w:t>deliver its functions and meet its legal obligations.</w:t>
      </w:r>
    </w:p>
    <w:p w14:paraId="5AF03590" w14:textId="60419849" w:rsidR="00536F5A" w:rsidRPr="00D61830" w:rsidRDefault="00624583" w:rsidP="00164F6C">
      <w:r w:rsidRPr="00D61830">
        <w:t>For example, t</w:t>
      </w:r>
      <w:r w:rsidR="00536F5A" w:rsidRPr="00D61830">
        <w:t>he NHR</w:t>
      </w:r>
      <w:r w:rsidR="001B6F36" w:rsidRPr="00D61830">
        <w:t xml:space="preserve"> Act</w:t>
      </w:r>
      <w:r w:rsidR="00536F5A" w:rsidRPr="00D61830">
        <w:t xml:space="preserve"> authorises </w:t>
      </w:r>
      <w:r w:rsidR="00491EA9" w:rsidRPr="00D61830">
        <w:t>IHACPA</w:t>
      </w:r>
      <w:r w:rsidR="00536F5A" w:rsidRPr="00D61830">
        <w:t xml:space="preserve"> to establish committees</w:t>
      </w:r>
      <w:r w:rsidR="00B46028" w:rsidRPr="00D61830">
        <w:t xml:space="preserve"> </w:t>
      </w:r>
      <w:r w:rsidR="00536F5A" w:rsidRPr="00D61830">
        <w:t xml:space="preserve">to provide advice or assist in performing its functions. </w:t>
      </w:r>
      <w:r w:rsidR="00491EA9" w:rsidRPr="00D61830">
        <w:t>IHACPA</w:t>
      </w:r>
      <w:r w:rsidR="00164F6C" w:rsidRPr="00D61830">
        <w:t xml:space="preserve"> collects and uses</w:t>
      </w:r>
      <w:r w:rsidR="00536F5A" w:rsidRPr="00D61830">
        <w:t xml:space="preserve"> personal information relating to</w:t>
      </w:r>
      <w:r w:rsidR="00164F6C" w:rsidRPr="00D61830">
        <w:t xml:space="preserve"> </w:t>
      </w:r>
      <w:r w:rsidR="00952981" w:rsidRPr="00D61830">
        <w:t xml:space="preserve">the </w:t>
      </w:r>
      <w:r w:rsidR="00164F6C" w:rsidRPr="00D61830">
        <w:t xml:space="preserve">committee </w:t>
      </w:r>
      <w:r w:rsidR="00536F5A" w:rsidRPr="00D61830">
        <w:t>members in order to establish and</w:t>
      </w:r>
      <w:r w:rsidR="00164F6C" w:rsidRPr="00D61830">
        <w:t xml:space="preserve"> maintain current committee member information</w:t>
      </w:r>
      <w:r w:rsidR="00536F5A" w:rsidRPr="00D61830">
        <w:t>. Personal information contained in committee files may include contact details and terms of engagement.</w:t>
      </w:r>
    </w:p>
    <w:p w14:paraId="4C43CE52" w14:textId="3EBCB725" w:rsidR="00164F6C" w:rsidRPr="00D61830" w:rsidRDefault="00536F5A" w:rsidP="00164F6C">
      <w:r w:rsidRPr="00D61830">
        <w:t xml:space="preserve">If </w:t>
      </w:r>
      <w:r w:rsidR="00491EA9" w:rsidRPr="00D61830">
        <w:t>IHACPA</w:t>
      </w:r>
      <w:r w:rsidRPr="00D61830">
        <w:t xml:space="preserve"> is required to pay sitting fees to eligible committee members, </w:t>
      </w:r>
      <w:r w:rsidR="00491EA9" w:rsidRPr="00D61830">
        <w:t>IHACPA</w:t>
      </w:r>
      <w:r w:rsidR="00952981" w:rsidRPr="00D61830">
        <w:t xml:space="preserve">’s file will include member’s </w:t>
      </w:r>
      <w:r w:rsidR="00164F6C" w:rsidRPr="00D61830">
        <w:t>bank accounts</w:t>
      </w:r>
      <w:r w:rsidRPr="00D61830">
        <w:t xml:space="preserve">, </w:t>
      </w:r>
      <w:r w:rsidR="00164F6C" w:rsidRPr="00D61830">
        <w:t>taxation details</w:t>
      </w:r>
      <w:r w:rsidRPr="00D61830">
        <w:t xml:space="preserve"> and superannuation details in order to pay th</w:t>
      </w:r>
      <w:r w:rsidR="00952981" w:rsidRPr="00D61830">
        <w:t>ose</w:t>
      </w:r>
      <w:r w:rsidRPr="00D61830">
        <w:t xml:space="preserve"> sitting fees. </w:t>
      </w:r>
    </w:p>
    <w:p w14:paraId="343B76DC" w14:textId="0B5E81B6" w:rsidR="00A21616" w:rsidRPr="00D61830" w:rsidRDefault="00A21616" w:rsidP="00D37286">
      <w:pPr>
        <w:pStyle w:val="Heading4"/>
      </w:pPr>
      <w:r w:rsidRPr="00D61830">
        <w:t>ESF applications and RAD applications</w:t>
      </w:r>
    </w:p>
    <w:p w14:paraId="43A2DAB7" w14:textId="77AD80CE" w:rsidR="00A21616" w:rsidRPr="00D61830" w:rsidRDefault="00A21616" w:rsidP="00037B02">
      <w:r w:rsidRPr="00D61830">
        <w:t>IHACPA collects, uses and discloses personal information</w:t>
      </w:r>
      <w:r w:rsidR="00451C06" w:rsidRPr="00D61830">
        <w:t xml:space="preserve"> of service provider personnel</w:t>
      </w:r>
      <w:r w:rsidRPr="00D61830">
        <w:t xml:space="preserve"> to assess ESF </w:t>
      </w:r>
      <w:r w:rsidR="00DA6615" w:rsidRPr="00D61830">
        <w:t xml:space="preserve">applications </w:t>
      </w:r>
      <w:r w:rsidRPr="00D61830">
        <w:t>and RAD applications. This includes applications for reconsideration and reviews to the Administrative Appeals Tribunal.</w:t>
      </w:r>
      <w:r w:rsidR="00451C06" w:rsidRPr="00D61830">
        <w:t xml:space="preserve"> </w:t>
      </w:r>
    </w:p>
    <w:p w14:paraId="563368B4" w14:textId="750405B7" w:rsidR="00451C06" w:rsidRPr="00D61830" w:rsidRDefault="00451C06" w:rsidP="00037B02">
      <w:r w:rsidRPr="00D61830">
        <w:t>ESF and RAD applications must not include any personal information of care recipients. Applications which contain documents, photographs or other information of care recipients will not be accepted for lodgement.</w:t>
      </w:r>
    </w:p>
    <w:p w14:paraId="604F070A" w14:textId="6AE6D30D" w:rsidR="00164F6C" w:rsidRPr="00D61830" w:rsidRDefault="00164F6C" w:rsidP="00D37286">
      <w:pPr>
        <w:pStyle w:val="Heading4"/>
      </w:pPr>
      <w:r w:rsidRPr="00D61830">
        <w:t xml:space="preserve">Personnel </w:t>
      </w:r>
      <w:r w:rsidR="00AB2783" w:rsidRPr="00D61830">
        <w:t xml:space="preserve">and </w:t>
      </w:r>
      <w:r w:rsidR="00525257" w:rsidRPr="00D61830">
        <w:t xml:space="preserve">Contractor </w:t>
      </w:r>
      <w:r w:rsidR="00CB7614" w:rsidRPr="00D61830">
        <w:t>files</w:t>
      </w:r>
    </w:p>
    <w:p w14:paraId="52CDF003" w14:textId="68CAE500" w:rsidR="00536F5A" w:rsidRPr="00D61830" w:rsidRDefault="00491EA9" w:rsidP="00164F6C">
      <w:r w:rsidRPr="00D61830">
        <w:t>IHACPA</w:t>
      </w:r>
      <w:r w:rsidR="00164F6C" w:rsidRPr="00D61830">
        <w:t xml:space="preserve"> collects and uses </w:t>
      </w:r>
      <w:r w:rsidR="00AE4E8A" w:rsidRPr="00D61830">
        <w:t xml:space="preserve">personal information </w:t>
      </w:r>
      <w:r w:rsidR="00164F6C" w:rsidRPr="00D61830">
        <w:t xml:space="preserve">to maintain current employee information for business related purposes. </w:t>
      </w:r>
    </w:p>
    <w:p w14:paraId="0B7ABD0D" w14:textId="59D10979" w:rsidR="00164F6C" w:rsidRPr="00D61830" w:rsidRDefault="00164F6C" w:rsidP="00D37286">
      <w:pPr>
        <w:pStyle w:val="Heading4"/>
      </w:pPr>
      <w:r w:rsidRPr="00D61830">
        <w:t xml:space="preserve">Stakeholder </w:t>
      </w:r>
      <w:r w:rsidR="00CB7614" w:rsidRPr="00D61830">
        <w:t>files</w:t>
      </w:r>
    </w:p>
    <w:p w14:paraId="7EB3465A" w14:textId="4AC013AE" w:rsidR="00164F6C" w:rsidRPr="00D61830" w:rsidRDefault="00491EA9" w:rsidP="00164F6C">
      <w:r w:rsidRPr="00D61830">
        <w:t>IHACPA</w:t>
      </w:r>
      <w:r w:rsidR="00164F6C" w:rsidRPr="00D61830">
        <w:t xml:space="preserve"> collects and uses stakeholder files to maintain current stakeholder information for business related purposes. The personal information relates to contact details and employment details.</w:t>
      </w:r>
    </w:p>
    <w:p w14:paraId="3460D9FE" w14:textId="0BF72FC8" w:rsidR="00B46028" w:rsidRPr="00D61830" w:rsidRDefault="00B46028" w:rsidP="00B46028">
      <w:pPr>
        <w:pStyle w:val="Heading4"/>
      </w:pPr>
      <w:r w:rsidRPr="00D61830">
        <w:lastRenderedPageBreak/>
        <w:t>P</w:t>
      </w:r>
      <w:r w:rsidR="00EF3207" w:rsidRPr="00D61830">
        <w:t>ersonal information</w:t>
      </w:r>
      <w:r w:rsidRPr="00D61830">
        <w:t xml:space="preserve"> in relation to consultation</w:t>
      </w:r>
    </w:p>
    <w:p w14:paraId="7A378FC4" w14:textId="5CC761B9" w:rsidR="00B46028" w:rsidRPr="00D61830" w:rsidRDefault="00EF3207" w:rsidP="00B46028">
      <w:r w:rsidRPr="00D61830">
        <w:t xml:space="preserve">Feedback gathered from jurisdictional, stakeholder and public consultations is crucial to the success of </w:t>
      </w:r>
      <w:r w:rsidR="00491EA9" w:rsidRPr="00D61830">
        <w:t>IHACPA</w:t>
      </w:r>
      <w:r w:rsidRPr="00D61830">
        <w:t xml:space="preserve">’s work program. </w:t>
      </w:r>
      <w:r w:rsidR="00491EA9" w:rsidRPr="00D61830">
        <w:t>IHACPA</w:t>
      </w:r>
      <w:r w:rsidR="00B46028" w:rsidRPr="00D61830">
        <w:t xml:space="preserve"> often collects consultation feedback on a variety of areas in its </w:t>
      </w:r>
      <w:r w:rsidR="00495760" w:rsidRPr="00D61830">
        <w:t>w</w:t>
      </w:r>
      <w:r w:rsidR="00B46028" w:rsidRPr="00D61830">
        <w:t xml:space="preserve">ork </w:t>
      </w:r>
      <w:r w:rsidR="00495760" w:rsidRPr="00D61830">
        <w:t>p</w:t>
      </w:r>
      <w:r w:rsidR="00B46028" w:rsidRPr="00D61830">
        <w:t xml:space="preserve">rogram. This can be in the form of written </w:t>
      </w:r>
      <w:r w:rsidRPr="00D61830">
        <w:t>submissions</w:t>
      </w:r>
      <w:r w:rsidR="00495760" w:rsidRPr="00D61830">
        <w:t>,</w:t>
      </w:r>
      <w:r w:rsidRPr="00D61830">
        <w:t xml:space="preserve"> </w:t>
      </w:r>
      <w:r w:rsidR="00495760" w:rsidRPr="00D61830">
        <w:t>n</w:t>
      </w:r>
      <w:r w:rsidRPr="00D61830">
        <w:t>ames, contact details</w:t>
      </w:r>
      <w:r w:rsidR="00580BFF" w:rsidRPr="00D61830">
        <w:t xml:space="preserve"> and</w:t>
      </w:r>
      <w:r w:rsidRPr="00D61830">
        <w:t xml:space="preserve"> details of workplaces. All submissions are published on </w:t>
      </w:r>
      <w:r w:rsidR="00491EA9" w:rsidRPr="00D61830">
        <w:t>IHACPA</w:t>
      </w:r>
      <w:r w:rsidRPr="00D61830">
        <w:t>'s website unless respondents specifically identify any sections they believe should be kept confidential due to commercial or other reasons.</w:t>
      </w:r>
    </w:p>
    <w:p w14:paraId="3E9EF876" w14:textId="77777777" w:rsidR="00CB7614" w:rsidRPr="00D61830" w:rsidRDefault="00CB7614" w:rsidP="00CB7614">
      <w:pPr>
        <w:pStyle w:val="Heading4"/>
      </w:pPr>
      <w:r w:rsidRPr="00D61830">
        <w:t>Corporate information</w:t>
      </w:r>
    </w:p>
    <w:p w14:paraId="73AE93D1" w14:textId="0F332D41" w:rsidR="00CB7614" w:rsidRPr="00D61830" w:rsidRDefault="00CB7614" w:rsidP="00164F6C">
      <w:r w:rsidRPr="00D61830">
        <w:t xml:space="preserve">In addition to the above categories, </w:t>
      </w:r>
      <w:r w:rsidR="00491EA9" w:rsidRPr="00D61830">
        <w:t>IHACPA</w:t>
      </w:r>
      <w:r w:rsidRPr="00D61830">
        <w:t xml:space="preserve"> collects and uses information</w:t>
      </w:r>
      <w:r w:rsidR="00580BFF" w:rsidRPr="00D61830">
        <w:t xml:space="preserve"> about corporate entities. This</w:t>
      </w:r>
      <w:r w:rsidRPr="00D61830">
        <w:t xml:space="preserve"> may contain information relating to a person in their corporate capacity</w:t>
      </w:r>
      <w:r w:rsidR="00580BFF" w:rsidRPr="00D61830">
        <w:t xml:space="preserve">, such as </w:t>
      </w:r>
      <w:r w:rsidRPr="00D61830">
        <w:t>details and job titles</w:t>
      </w:r>
      <w:r w:rsidR="00580BFF" w:rsidRPr="00D61830">
        <w:t xml:space="preserve"> for employees of </w:t>
      </w:r>
      <w:r w:rsidR="00491EA9" w:rsidRPr="00D61830">
        <w:t>IHACPA</w:t>
      </w:r>
      <w:r w:rsidR="00580BFF" w:rsidRPr="00D61830">
        <w:t>’s business associates</w:t>
      </w:r>
      <w:r w:rsidRPr="00D61830">
        <w:t>.</w:t>
      </w:r>
    </w:p>
    <w:p w14:paraId="0B69A7AC" w14:textId="395BBF73" w:rsidR="00CB7614" w:rsidRPr="00D61830" w:rsidRDefault="00580BFF" w:rsidP="00164F6C">
      <w:r w:rsidRPr="00D61830">
        <w:t xml:space="preserve">While </w:t>
      </w:r>
      <w:r w:rsidR="00CB7614" w:rsidRPr="00D61830">
        <w:t>information</w:t>
      </w:r>
      <w:r w:rsidRPr="00D61830">
        <w:t xml:space="preserve"> about individuals comprises personal information, information about corporate entities</w:t>
      </w:r>
      <w:r w:rsidR="00CB7614" w:rsidRPr="00D61830">
        <w:t xml:space="preserve"> does not meet the definition of personal information under the Privacy Act. </w:t>
      </w:r>
      <w:r w:rsidR="00491EA9" w:rsidRPr="00D61830">
        <w:t>IHACPA</w:t>
      </w:r>
      <w:r w:rsidR="00CB7614" w:rsidRPr="00D61830">
        <w:t xml:space="preserve"> treats such information as commercial-in-confidence if it is appropriate to do so. </w:t>
      </w:r>
    </w:p>
    <w:p w14:paraId="70FD886B" w14:textId="17855001" w:rsidR="00DC6031" w:rsidRPr="00D61830" w:rsidRDefault="00B839FA" w:rsidP="000268DB">
      <w:pPr>
        <w:pStyle w:val="Heading4"/>
      </w:pPr>
      <w:r w:rsidRPr="00D61830">
        <w:t>Internet c</w:t>
      </w:r>
      <w:r w:rsidR="003D1F3B" w:rsidRPr="00D61830">
        <w:t>ookies and location information</w:t>
      </w:r>
      <w:r w:rsidR="0019045F" w:rsidRPr="00D61830">
        <w:t xml:space="preserve"> </w:t>
      </w:r>
    </w:p>
    <w:p w14:paraId="1C7C76F8" w14:textId="69A7D3A8" w:rsidR="00DE2351" w:rsidRPr="00D61830" w:rsidRDefault="003D1F3B">
      <w:r w:rsidRPr="00D61830">
        <w:t xml:space="preserve">A cookie is a very small text file which is stored on an individual's device, when a user first visits a website. Cookies may be used on </w:t>
      </w:r>
      <w:r w:rsidR="00491EA9" w:rsidRPr="00D61830">
        <w:t>IHACPA</w:t>
      </w:r>
      <w:r w:rsidRPr="00D61830">
        <w:t xml:space="preserve"> websites, including </w:t>
      </w:r>
      <w:hyperlink r:id="rId26" w:history="1">
        <w:r w:rsidR="00525257" w:rsidRPr="00D61830">
          <w:rPr>
            <w:rStyle w:val="Hyperlink"/>
          </w:rPr>
          <w:t>www.</w:t>
        </w:r>
        <w:r w:rsidR="00491EA9" w:rsidRPr="00D61830">
          <w:rPr>
            <w:rStyle w:val="Hyperlink"/>
          </w:rPr>
          <w:t>ihacpa</w:t>
        </w:r>
        <w:r w:rsidR="00525257" w:rsidRPr="00D61830">
          <w:rPr>
            <w:rStyle w:val="Hyperlink"/>
          </w:rPr>
          <w:t>.gov.au</w:t>
        </w:r>
      </w:hyperlink>
      <w:r w:rsidRPr="00D61830">
        <w:t xml:space="preserve">. When a </w:t>
      </w:r>
      <w:r w:rsidR="0019045F" w:rsidRPr="00D61830">
        <w:t xml:space="preserve">visitor </w:t>
      </w:r>
      <w:r w:rsidRPr="00D61830">
        <w:t>returns to a website owned by</w:t>
      </w:r>
      <w:r w:rsidR="00203325" w:rsidRPr="00D61830">
        <w:t xml:space="preserve"> </w:t>
      </w:r>
      <w:r w:rsidR="00491EA9" w:rsidRPr="00D61830">
        <w:t>IHACPA</w:t>
      </w:r>
      <w:r w:rsidRPr="00D61830">
        <w:t xml:space="preserve">, the cookie enables </w:t>
      </w:r>
      <w:r w:rsidR="00491EA9" w:rsidRPr="00D61830">
        <w:t>IHACPA</w:t>
      </w:r>
      <w:r w:rsidRPr="00D61830">
        <w:t xml:space="preserve"> to register that same </w:t>
      </w:r>
      <w:r w:rsidR="00525257" w:rsidRPr="00D61830">
        <w:t xml:space="preserve">browser, </w:t>
      </w:r>
      <w:r w:rsidRPr="00D61830">
        <w:t xml:space="preserve">on which the cookie is stored has returned. Cookies help </w:t>
      </w:r>
      <w:r w:rsidR="00491EA9" w:rsidRPr="00D61830">
        <w:t>IHACPA</w:t>
      </w:r>
      <w:r w:rsidRPr="00D61830">
        <w:t xml:space="preserve"> to improve its website and monitor internet traffic. </w:t>
      </w:r>
    </w:p>
    <w:p w14:paraId="6E1F75D2" w14:textId="67E9591A" w:rsidR="003D1F3B" w:rsidRPr="00D61830" w:rsidRDefault="003D1F3B">
      <w:r w:rsidRPr="00D61830">
        <w:t xml:space="preserve">Visitors to </w:t>
      </w:r>
      <w:r w:rsidR="00491EA9" w:rsidRPr="00D61830">
        <w:t>IHACPA</w:t>
      </w:r>
      <w:r w:rsidRPr="00D61830">
        <w:t xml:space="preserve">’s website can block cookies by activating a setting on their browser that allows the </w:t>
      </w:r>
      <w:r w:rsidR="0019045F" w:rsidRPr="00D61830">
        <w:t>visitor</w:t>
      </w:r>
      <w:r w:rsidRPr="00D61830">
        <w:t xml:space="preserve"> to refuse the setting of all or some cookies, however, if the </w:t>
      </w:r>
      <w:r w:rsidR="0019045F" w:rsidRPr="00D61830">
        <w:t>visitor</w:t>
      </w:r>
      <w:r w:rsidRPr="00D61830">
        <w:t xml:space="preserve"> blocks all cookies</w:t>
      </w:r>
      <w:r w:rsidR="0019045F" w:rsidRPr="00D61830">
        <w:t xml:space="preserve"> they </w:t>
      </w:r>
      <w:r w:rsidRPr="00D61830">
        <w:t xml:space="preserve">may not be able to use the full functionality of </w:t>
      </w:r>
      <w:r w:rsidR="00491EA9" w:rsidRPr="00D61830">
        <w:t>IHACPA</w:t>
      </w:r>
      <w:r w:rsidR="00525257" w:rsidRPr="00D61830">
        <w:t>’s</w:t>
      </w:r>
      <w:r w:rsidRPr="00D61830">
        <w:t xml:space="preserve"> websites.</w:t>
      </w:r>
      <w:r w:rsidR="00DC6031" w:rsidRPr="00D61830">
        <w:t xml:space="preserve"> </w:t>
      </w:r>
    </w:p>
    <w:p w14:paraId="46203F4E" w14:textId="7E0C1DCC" w:rsidR="00DC6031" w:rsidRPr="00D61830" w:rsidRDefault="00DC6031">
      <w:r w:rsidRPr="00D61830">
        <w:t xml:space="preserve">Currently </w:t>
      </w:r>
      <w:r w:rsidR="00491EA9" w:rsidRPr="00D61830">
        <w:t>IHACPA</w:t>
      </w:r>
      <w:r w:rsidRPr="00D61830">
        <w:t>’s server makes a record of an individual’s visit and logs the following information for statistical purposes or systems administration purposes:</w:t>
      </w:r>
    </w:p>
    <w:p w14:paraId="5E2968C1" w14:textId="75AE0B2F" w:rsidR="00DC6031" w:rsidRPr="00D61830" w:rsidRDefault="00DC6031" w:rsidP="00DE2351">
      <w:pPr>
        <w:pStyle w:val="ListParagraph"/>
        <w:numPr>
          <w:ilvl w:val="0"/>
          <w:numId w:val="42"/>
        </w:numPr>
        <w:ind w:left="714" w:hanging="357"/>
      </w:pPr>
      <w:r w:rsidRPr="00D61830">
        <w:t>server address</w:t>
      </w:r>
    </w:p>
    <w:p w14:paraId="75A490A6" w14:textId="44354093" w:rsidR="00DC6031" w:rsidRPr="00D61830" w:rsidRDefault="00DC6031" w:rsidP="00DE2351">
      <w:pPr>
        <w:pStyle w:val="ListParagraph"/>
        <w:numPr>
          <w:ilvl w:val="0"/>
          <w:numId w:val="42"/>
        </w:numPr>
        <w:ind w:left="714" w:hanging="357"/>
      </w:pPr>
      <w:r w:rsidRPr="00D61830">
        <w:t>top level domain name (for example .com, .gov, .au, .</w:t>
      </w:r>
      <w:proofErr w:type="spellStart"/>
      <w:r w:rsidRPr="00D61830">
        <w:t>uk</w:t>
      </w:r>
      <w:proofErr w:type="spellEnd"/>
      <w:r w:rsidRPr="00D61830">
        <w:t xml:space="preserve"> etc)</w:t>
      </w:r>
    </w:p>
    <w:p w14:paraId="454E16A8" w14:textId="7CD44A1E" w:rsidR="00DC6031" w:rsidRPr="00D61830" w:rsidRDefault="00DC6031" w:rsidP="00DE2351">
      <w:pPr>
        <w:pStyle w:val="ListParagraph"/>
        <w:numPr>
          <w:ilvl w:val="0"/>
          <w:numId w:val="42"/>
        </w:numPr>
        <w:ind w:left="714" w:hanging="357"/>
      </w:pPr>
      <w:r w:rsidRPr="00D61830">
        <w:t>the date and time of the visit to the site</w:t>
      </w:r>
    </w:p>
    <w:p w14:paraId="5FC809AA" w14:textId="00410494" w:rsidR="00DC6031" w:rsidRPr="00D61830" w:rsidRDefault="00DC6031" w:rsidP="00DE2351">
      <w:pPr>
        <w:pStyle w:val="ListParagraph"/>
        <w:numPr>
          <w:ilvl w:val="0"/>
          <w:numId w:val="42"/>
        </w:numPr>
        <w:ind w:left="714" w:hanging="357"/>
      </w:pPr>
      <w:r w:rsidRPr="00D61830">
        <w:t>the pages accessed and documents downloaded</w:t>
      </w:r>
    </w:p>
    <w:p w14:paraId="1827A869" w14:textId="019699F0" w:rsidR="00DC6031" w:rsidRPr="00D61830" w:rsidRDefault="00DC6031" w:rsidP="00DE2351">
      <w:pPr>
        <w:pStyle w:val="ListParagraph"/>
        <w:numPr>
          <w:ilvl w:val="0"/>
          <w:numId w:val="42"/>
        </w:numPr>
        <w:ind w:left="714" w:hanging="357"/>
      </w:pPr>
      <w:r w:rsidRPr="00D61830">
        <w:t>the previous site visited</w:t>
      </w:r>
    </w:p>
    <w:p w14:paraId="478491A9" w14:textId="77777777" w:rsidR="00DC6031" w:rsidRPr="00D61830" w:rsidRDefault="00DC6031" w:rsidP="00DE2351">
      <w:pPr>
        <w:pStyle w:val="ListParagraph"/>
        <w:numPr>
          <w:ilvl w:val="0"/>
          <w:numId w:val="42"/>
        </w:numPr>
        <w:ind w:left="714" w:hanging="357"/>
      </w:pPr>
      <w:r w:rsidRPr="00D61830">
        <w:t>the type of browser being used.</w:t>
      </w:r>
    </w:p>
    <w:p w14:paraId="2CC04901" w14:textId="0C88542C" w:rsidR="00DC6031" w:rsidRPr="00D61830" w:rsidRDefault="00DC6031" w:rsidP="00DE2351">
      <w:r w:rsidRPr="00D61830">
        <w:t>No attempt will be made to identify users or their browsing activities, except in the unlikely event of an investigation where a law enforcement agency may exercise a warrant to inspect the logs.</w:t>
      </w:r>
    </w:p>
    <w:p w14:paraId="6F5236F1" w14:textId="25AFD3AC" w:rsidR="00CB7614" w:rsidRPr="00D61830" w:rsidRDefault="00CB7614" w:rsidP="00D37286">
      <w:pPr>
        <w:pStyle w:val="Heading1"/>
      </w:pPr>
      <w:bookmarkStart w:id="70" w:name="_Toc69476068"/>
      <w:bookmarkStart w:id="71" w:name="_Toc129679355"/>
      <w:r w:rsidRPr="00D61830">
        <w:t>Disclosure of personal information</w:t>
      </w:r>
      <w:bookmarkEnd w:id="70"/>
      <w:bookmarkEnd w:id="71"/>
    </w:p>
    <w:p w14:paraId="670BA91A" w14:textId="31E015C5" w:rsidR="00580BFF" w:rsidRPr="00D61830" w:rsidRDefault="00580BFF" w:rsidP="00762F9A">
      <w:r w:rsidRPr="00D61830">
        <w:t xml:space="preserve">Ordinarily, </w:t>
      </w:r>
      <w:r w:rsidR="00491EA9" w:rsidRPr="00D61830">
        <w:t>IHACPA</w:t>
      </w:r>
      <w:r w:rsidR="009970F3" w:rsidRPr="00D61830">
        <w:t xml:space="preserve"> discloses personal information to other government agencies</w:t>
      </w:r>
      <w:r w:rsidRPr="00D61830">
        <w:t xml:space="preserve"> or organisations</w:t>
      </w:r>
      <w:r w:rsidR="009970F3" w:rsidRPr="00D61830">
        <w:t xml:space="preserve"> </w:t>
      </w:r>
      <w:r w:rsidR="00CE4E4C" w:rsidRPr="00D61830">
        <w:t>only</w:t>
      </w:r>
      <w:r w:rsidRPr="00D61830">
        <w:t xml:space="preserve"> for the purpose the information was collected. </w:t>
      </w:r>
    </w:p>
    <w:p w14:paraId="37117CC7" w14:textId="797FBFEA" w:rsidR="00D30D59" w:rsidRPr="00D61830" w:rsidRDefault="00580BFF" w:rsidP="00762F9A">
      <w:r w:rsidRPr="00D61830">
        <w:t xml:space="preserve">Personal information may be disclosed </w:t>
      </w:r>
      <w:r w:rsidR="00F26BF1" w:rsidRPr="00D61830">
        <w:t>for a secondary purpose with the individual’s consent, where</w:t>
      </w:r>
      <w:r w:rsidR="00CE4E4C" w:rsidRPr="00D61830">
        <w:t xml:space="preserve"> </w:t>
      </w:r>
      <w:r w:rsidR="009970F3" w:rsidRPr="00D61830">
        <w:t>the individual would reasonabl</w:t>
      </w:r>
      <w:r w:rsidR="00762F9A" w:rsidRPr="00D61830">
        <w:t>y</w:t>
      </w:r>
      <w:r w:rsidR="009970F3" w:rsidRPr="00D61830">
        <w:t xml:space="preserve"> expect that their information will be disclosed, or </w:t>
      </w:r>
      <w:r w:rsidR="00164F6C" w:rsidRPr="00D61830">
        <w:t>i</w:t>
      </w:r>
      <w:r w:rsidR="00F26BF1" w:rsidRPr="00D61830">
        <w:t>f disclosure</w:t>
      </w:r>
      <w:r w:rsidR="00164F6C" w:rsidRPr="00D61830">
        <w:t xml:space="preserve"> is otherwise required or authorised by</w:t>
      </w:r>
      <w:r w:rsidR="00F26BF1" w:rsidRPr="00D61830">
        <w:t xml:space="preserve"> or under</w:t>
      </w:r>
      <w:r w:rsidR="00164F6C" w:rsidRPr="00D61830">
        <w:t xml:space="preserve"> law.</w:t>
      </w:r>
    </w:p>
    <w:p w14:paraId="37BCF087" w14:textId="34F27316" w:rsidR="00D37286" w:rsidRPr="00D61830" w:rsidRDefault="00762F9A" w:rsidP="00762F9A">
      <w:r w:rsidRPr="00D61830">
        <w:t>For example</w:t>
      </w:r>
      <w:r w:rsidR="00F26BF1" w:rsidRPr="00D61830">
        <w:t>,</w:t>
      </w:r>
      <w:r w:rsidRPr="00D61830">
        <w:t xml:space="preserve"> personal information will be used and/or disclosed</w:t>
      </w:r>
      <w:r w:rsidR="00952981" w:rsidRPr="00D61830">
        <w:t>:</w:t>
      </w:r>
      <w:r w:rsidR="009970F3" w:rsidRPr="00D61830">
        <w:t xml:space="preserve"> </w:t>
      </w:r>
    </w:p>
    <w:p w14:paraId="3BFBEA17" w14:textId="5A229F1F" w:rsidR="00E97129" w:rsidRPr="00D61830" w:rsidRDefault="00E97129" w:rsidP="000268DB">
      <w:pPr>
        <w:pStyle w:val="ListParagraph"/>
        <w:numPr>
          <w:ilvl w:val="0"/>
          <w:numId w:val="39"/>
        </w:numPr>
        <w:ind w:left="777" w:hanging="357"/>
      </w:pPr>
      <w:r w:rsidRPr="00D61830">
        <w:t>to liaise with nominated contacts for ESF applications and RAD applications, including to notify the application outcome</w:t>
      </w:r>
      <w:r w:rsidR="00D0403A">
        <w:t>.</w:t>
      </w:r>
    </w:p>
    <w:p w14:paraId="2E5DD660" w14:textId="7099165D" w:rsidR="00762F9A" w:rsidRPr="00D61830" w:rsidRDefault="00762F9A" w:rsidP="000268DB">
      <w:pPr>
        <w:pStyle w:val="ListParagraph"/>
        <w:numPr>
          <w:ilvl w:val="0"/>
          <w:numId w:val="39"/>
        </w:numPr>
        <w:ind w:left="777" w:hanging="357"/>
      </w:pPr>
      <w:r w:rsidRPr="00D61830">
        <w:lastRenderedPageBreak/>
        <w:t xml:space="preserve">to manage new and ongoing employees’ employment such as leave applications and approvals and pay related records.  </w:t>
      </w:r>
    </w:p>
    <w:p w14:paraId="47F8B8FB" w14:textId="68A2EA5D" w:rsidR="00762F9A" w:rsidRPr="00D61830" w:rsidRDefault="00762F9A" w:rsidP="000268DB">
      <w:pPr>
        <w:pStyle w:val="ListParagraph"/>
        <w:numPr>
          <w:ilvl w:val="0"/>
          <w:numId w:val="39"/>
        </w:numPr>
        <w:ind w:left="777" w:hanging="357"/>
      </w:pPr>
      <w:r w:rsidRPr="00D61830">
        <w:t xml:space="preserve">to monitor employees’ phone and internet usage, code of conduct investigations, police checks and security clearances, while undertaking fraud or audit functions or for other purposes relevant to employer powers under the </w:t>
      </w:r>
      <w:r w:rsidR="008076C6" w:rsidRPr="00D61830">
        <w:rPr>
          <w:i/>
        </w:rPr>
        <w:t>P</w:t>
      </w:r>
      <w:r w:rsidRPr="00D61830">
        <w:rPr>
          <w:i/>
        </w:rPr>
        <w:t xml:space="preserve">ublic </w:t>
      </w:r>
      <w:r w:rsidR="008076C6" w:rsidRPr="00D61830">
        <w:rPr>
          <w:i/>
        </w:rPr>
        <w:t>S</w:t>
      </w:r>
      <w:r w:rsidRPr="00D61830">
        <w:rPr>
          <w:i/>
        </w:rPr>
        <w:t xml:space="preserve">ervice </w:t>
      </w:r>
      <w:r w:rsidR="008076C6" w:rsidRPr="00D61830">
        <w:rPr>
          <w:i/>
        </w:rPr>
        <w:t>A</w:t>
      </w:r>
      <w:r w:rsidRPr="00D61830">
        <w:rPr>
          <w:i/>
        </w:rPr>
        <w:t>ct 1999</w:t>
      </w:r>
      <w:r w:rsidRPr="00D61830">
        <w:t xml:space="preserve">.  </w:t>
      </w:r>
    </w:p>
    <w:p w14:paraId="4C977D9D" w14:textId="6C527377" w:rsidR="00762F9A" w:rsidRPr="00D61830" w:rsidRDefault="00525257" w:rsidP="000268DB">
      <w:pPr>
        <w:pStyle w:val="ListParagraph"/>
        <w:numPr>
          <w:ilvl w:val="0"/>
          <w:numId w:val="39"/>
        </w:numPr>
        <w:ind w:left="777" w:hanging="357"/>
      </w:pPr>
      <w:r w:rsidRPr="00D61830">
        <w:t>t</w:t>
      </w:r>
      <w:r w:rsidR="00762F9A" w:rsidRPr="00D61830">
        <w:t xml:space="preserve">o Comcare </w:t>
      </w:r>
      <w:r w:rsidR="008076C6" w:rsidRPr="00D61830">
        <w:t>for worker’s compensation matters and/or Comcare rehabilitation providers for rehabilitation purposes and legal advisors f</w:t>
      </w:r>
      <w:r w:rsidR="00762F9A" w:rsidRPr="00D61830">
        <w:t>o</w:t>
      </w:r>
      <w:r w:rsidR="008076C6" w:rsidRPr="00D61830">
        <w:t>r workers’ compensation matters</w:t>
      </w:r>
      <w:r w:rsidR="00762F9A" w:rsidRPr="00D61830">
        <w:t>.</w:t>
      </w:r>
    </w:p>
    <w:p w14:paraId="4298022B" w14:textId="7CAFE760" w:rsidR="008076C6" w:rsidRPr="00D61830" w:rsidRDefault="00525257" w:rsidP="000268DB">
      <w:pPr>
        <w:pStyle w:val="ListParagraph"/>
        <w:numPr>
          <w:ilvl w:val="0"/>
          <w:numId w:val="39"/>
        </w:numPr>
        <w:ind w:left="777" w:hanging="357"/>
      </w:pPr>
      <w:r w:rsidRPr="00D61830">
        <w:t>t</w:t>
      </w:r>
      <w:r w:rsidR="008076C6" w:rsidRPr="00D61830">
        <w:t>o decision makers, which may include external parties</w:t>
      </w:r>
      <w:r w:rsidRPr="00D61830">
        <w:t>,</w:t>
      </w:r>
      <w:r w:rsidR="008076C6" w:rsidRPr="00D61830">
        <w:t xml:space="preserve"> including ministers or the </w:t>
      </w:r>
      <w:r w:rsidRPr="00D61830">
        <w:t>Chair</w:t>
      </w:r>
      <w:r w:rsidR="008076C6" w:rsidRPr="00D61830">
        <w:t xml:space="preserve"> of such committees. Biographical information may be disclosed on </w:t>
      </w:r>
      <w:r w:rsidR="00491EA9" w:rsidRPr="00D61830">
        <w:t>IHACPA</w:t>
      </w:r>
      <w:r w:rsidR="008076C6" w:rsidRPr="00D61830">
        <w:t>’s website or media announcements regarding particular appointments.</w:t>
      </w:r>
    </w:p>
    <w:p w14:paraId="40954EE8" w14:textId="034C52A7" w:rsidR="008076C6" w:rsidRPr="00D61830" w:rsidRDefault="00525257" w:rsidP="000268DB">
      <w:pPr>
        <w:pStyle w:val="ListParagraph"/>
        <w:numPr>
          <w:ilvl w:val="0"/>
          <w:numId w:val="39"/>
        </w:numPr>
        <w:ind w:left="777" w:hanging="357"/>
      </w:pPr>
      <w:r w:rsidRPr="00D61830">
        <w:t>t</w:t>
      </w:r>
      <w:r w:rsidR="008076C6" w:rsidRPr="00D61830">
        <w:t xml:space="preserve">o other Commonwealth, state or territory government departments and external bodies or contracted service providers responsible for </w:t>
      </w:r>
      <w:r w:rsidR="009D4743" w:rsidRPr="00D61830">
        <w:t xml:space="preserve">performing </w:t>
      </w:r>
      <w:r w:rsidR="008076C6" w:rsidRPr="00D61830">
        <w:t>the functions</w:t>
      </w:r>
      <w:r w:rsidR="009D4743" w:rsidRPr="00D61830">
        <w:t>, or</w:t>
      </w:r>
      <w:r w:rsidR="008076C6" w:rsidRPr="00D61830">
        <w:t xml:space="preserve"> assisting </w:t>
      </w:r>
      <w:r w:rsidR="00491EA9" w:rsidRPr="00D61830">
        <w:t>IHACPA</w:t>
      </w:r>
      <w:r w:rsidR="009D4743" w:rsidRPr="00D61830">
        <w:t xml:space="preserve"> to perform its functions.</w:t>
      </w:r>
    </w:p>
    <w:p w14:paraId="002AD830" w14:textId="220B7F0D" w:rsidR="008076C6" w:rsidRPr="00D61830" w:rsidRDefault="00525257" w:rsidP="000268DB">
      <w:pPr>
        <w:pStyle w:val="ListParagraph"/>
        <w:numPr>
          <w:ilvl w:val="0"/>
          <w:numId w:val="39"/>
        </w:numPr>
        <w:ind w:left="777" w:hanging="357"/>
        <w:rPr>
          <w:rFonts w:cstheme="minorHAnsi"/>
          <w:smallCaps/>
          <w:color w:val="000000"/>
          <w:spacing w:val="5"/>
        </w:rPr>
      </w:pPr>
      <w:r w:rsidRPr="00D61830">
        <w:t>f</w:t>
      </w:r>
      <w:r w:rsidR="009D4743" w:rsidRPr="00D61830">
        <w:t xml:space="preserve">or purposes including </w:t>
      </w:r>
      <w:r w:rsidR="00491EA9" w:rsidRPr="00D61830">
        <w:t>IHACPA</w:t>
      </w:r>
      <w:r w:rsidR="009D4743" w:rsidRPr="00D61830">
        <w:t xml:space="preserve"> promotions activities</w:t>
      </w:r>
      <w:r w:rsidRPr="00D61830">
        <w:t>.</w:t>
      </w:r>
    </w:p>
    <w:p w14:paraId="485A9306" w14:textId="2E15D9E9" w:rsidR="00D37286" w:rsidRPr="00D61830" w:rsidRDefault="00491EA9" w:rsidP="00D37286">
      <w:r w:rsidRPr="00D61830">
        <w:t>IHACPA</w:t>
      </w:r>
      <w:r w:rsidR="00D37286" w:rsidRPr="00D61830">
        <w:t xml:space="preserve"> does not routinely send personal information overseas, but where it does so, it will ensure that it has appropriate procedures and systems in place for ensuring th</w:t>
      </w:r>
      <w:r w:rsidR="00F26BF1" w:rsidRPr="00D61830">
        <w:t>at the information will be handled in accordance with the APPs</w:t>
      </w:r>
      <w:r w:rsidR="00D37286" w:rsidRPr="00D61830">
        <w:t>.</w:t>
      </w:r>
    </w:p>
    <w:p w14:paraId="2593C2F2" w14:textId="3A46A1B7" w:rsidR="00164F6C" w:rsidRPr="00D61830" w:rsidRDefault="00D37286" w:rsidP="001B6F36">
      <w:pPr>
        <w:pStyle w:val="Heading1"/>
      </w:pPr>
      <w:bookmarkStart w:id="72" w:name="_Toc69476069"/>
      <w:bookmarkStart w:id="73" w:name="_Toc129679356"/>
      <w:r w:rsidRPr="00D61830">
        <w:t>Information security</w:t>
      </w:r>
      <w:bookmarkEnd w:id="72"/>
      <w:bookmarkEnd w:id="73"/>
    </w:p>
    <w:p w14:paraId="0AF7FE0A" w14:textId="494FE2D5" w:rsidR="00DF262C" w:rsidRPr="00D61830" w:rsidRDefault="00491EA9" w:rsidP="00DF262C">
      <w:r w:rsidRPr="00D61830">
        <w:t>IHACPA</w:t>
      </w:r>
      <w:r w:rsidR="00DF262C" w:rsidRPr="00D61830">
        <w:t xml:space="preserve"> applies the principles set out in the Australian Government Protective Security Policy Framework and Australian Government Information Security Manual with reference to </w:t>
      </w:r>
      <w:r w:rsidRPr="00D61830">
        <w:t>IHACPA</w:t>
      </w:r>
      <w:r w:rsidR="00DF262C" w:rsidRPr="00D61830">
        <w:t xml:space="preserve">’s individual security requirements. </w:t>
      </w:r>
    </w:p>
    <w:p w14:paraId="18733C7B" w14:textId="1BDA7CDD" w:rsidR="008A5ABB" w:rsidRPr="00D61830" w:rsidRDefault="00491EA9" w:rsidP="00164F6C">
      <w:r w:rsidRPr="00D61830">
        <w:t>IHACPA</w:t>
      </w:r>
      <w:r w:rsidR="008A5ABB" w:rsidRPr="00D61830">
        <w:t xml:space="preserve"> will destroy or de-identify personal information if it is no longer </w:t>
      </w:r>
      <w:r w:rsidR="009D4743" w:rsidRPr="00D61830">
        <w:t>required to perform its functions</w:t>
      </w:r>
      <w:r w:rsidR="008A5ABB" w:rsidRPr="00D61830">
        <w:t xml:space="preserve"> and its retention is not required under Australian law. </w:t>
      </w:r>
      <w:r w:rsidRPr="00D61830">
        <w:t>IHACPA</w:t>
      </w:r>
      <w:r w:rsidR="00164F6C" w:rsidRPr="00D61830">
        <w:t xml:space="preserve"> will also ensure that personal information is protected from misuse, interference, loss and from unauthorised access, modification or disclosure</w:t>
      </w:r>
      <w:r w:rsidR="008A5ABB" w:rsidRPr="00D61830">
        <w:t xml:space="preserve"> through a range of physical and electronic security measures including restricted physical access to </w:t>
      </w:r>
      <w:r w:rsidRPr="00D61830">
        <w:t>IHACPA</w:t>
      </w:r>
      <w:r w:rsidR="008A5ABB" w:rsidRPr="00D61830">
        <w:t>’s premises, security firewalls and computer user identifiers and passwords</w:t>
      </w:r>
      <w:r w:rsidR="00164F6C" w:rsidRPr="00D61830">
        <w:t xml:space="preserve">. </w:t>
      </w:r>
    </w:p>
    <w:p w14:paraId="49E0A86C" w14:textId="1F4B145E" w:rsidR="00BC267F" w:rsidRPr="00D61830" w:rsidRDefault="00491EA9" w:rsidP="00BC267F">
      <w:r w:rsidRPr="00D61830">
        <w:t>IHACPA</w:t>
      </w:r>
      <w:r w:rsidR="00BC267F" w:rsidRPr="00D61830">
        <w:t xml:space="preserve"> has adopted a comprehensive </w:t>
      </w:r>
      <w:r w:rsidR="00DF262C" w:rsidRPr="00D61830">
        <w:t>D</w:t>
      </w:r>
      <w:r w:rsidR="00BC267F" w:rsidRPr="00D61830">
        <w:t xml:space="preserve">ata </w:t>
      </w:r>
      <w:r w:rsidR="00DF262C" w:rsidRPr="00D61830">
        <w:t>Governance</w:t>
      </w:r>
      <w:r w:rsidR="00BC267F" w:rsidRPr="00D61830">
        <w:t xml:space="preserve"> </w:t>
      </w:r>
      <w:r w:rsidR="001B6F36" w:rsidRPr="00D61830">
        <w:t>Policy</w:t>
      </w:r>
      <w:r w:rsidR="00BC267F" w:rsidRPr="00D61830">
        <w:t xml:space="preserve"> to ensure that the personal information that it holds is protected. </w:t>
      </w:r>
      <w:r w:rsidRPr="00D61830">
        <w:t>IHACPA</w:t>
      </w:r>
      <w:r w:rsidR="00DF262C" w:rsidRPr="00D61830">
        <w:t xml:space="preserve">’s </w:t>
      </w:r>
      <w:r w:rsidR="00BC267F" w:rsidRPr="00D61830">
        <w:t xml:space="preserve">Information Security Policy outlines how </w:t>
      </w:r>
      <w:r w:rsidRPr="00D61830">
        <w:t>IHACPA</w:t>
      </w:r>
      <w:r w:rsidR="00BC267F" w:rsidRPr="00D61830">
        <w:t xml:space="preserve"> complies with its information security obligations in respect of the handling and protection of personal information. In addition </w:t>
      </w:r>
      <w:r w:rsidRPr="00D61830">
        <w:t>IHACPA</w:t>
      </w:r>
      <w:r w:rsidR="00BC267F" w:rsidRPr="00D61830">
        <w:t xml:space="preserve"> has adopted personnel security procedures to ensure that the information </w:t>
      </w:r>
      <w:r w:rsidRPr="00D61830">
        <w:t>IHACPA</w:t>
      </w:r>
      <w:r w:rsidR="00BC267F" w:rsidRPr="00D61830">
        <w:t xml:space="preserve"> holds is protected from misuse. </w:t>
      </w:r>
    </w:p>
    <w:p w14:paraId="269B1173" w14:textId="1E591526" w:rsidR="00E97129" w:rsidRPr="00D61830" w:rsidRDefault="00E97129" w:rsidP="00E97129">
      <w:pPr>
        <w:pStyle w:val="Heading2"/>
      </w:pPr>
      <w:bookmarkStart w:id="74" w:name="_Toc129679357"/>
      <w:r w:rsidRPr="00D61830">
        <w:t>Privacy Impact Assessments</w:t>
      </w:r>
      <w:bookmarkEnd w:id="74"/>
    </w:p>
    <w:p w14:paraId="24F2B95B" w14:textId="111F31EF" w:rsidR="00B51545" w:rsidRPr="00D61830" w:rsidRDefault="00491EA9" w:rsidP="00BC267F">
      <w:r w:rsidRPr="00D61830">
        <w:t>IHACPA</w:t>
      </w:r>
      <w:r w:rsidR="00B51545" w:rsidRPr="00D61830">
        <w:t xml:space="preserve"> will also undertake a written Privacy Impact Assessment (PIA) for all </w:t>
      </w:r>
      <w:r w:rsidR="00AB7B33" w:rsidRPr="00D61830">
        <w:t xml:space="preserve">‘high risk’ </w:t>
      </w:r>
      <w:r w:rsidR="00B51545" w:rsidRPr="00D61830">
        <w:t xml:space="preserve">projects that involve new or changed ways of handling personal information that are likely to have a significant impact on the privacy of individuals. </w:t>
      </w:r>
      <w:r w:rsidR="002D248F" w:rsidRPr="00D61830" w:rsidDel="002D248F">
        <w:t xml:space="preserve"> </w:t>
      </w:r>
    </w:p>
    <w:p w14:paraId="74351AF4" w14:textId="5F020E92" w:rsidR="00AB7B33" w:rsidRPr="00D61830" w:rsidRDefault="00AB7B33" w:rsidP="00BC267F">
      <w:r w:rsidRPr="00D61830">
        <w:t>IHACPA keeps a register for the PIAs that it completes on its website (www.ihacpa.gov.au/privacy-impact-assessment-register)</w:t>
      </w:r>
    </w:p>
    <w:p w14:paraId="595CC076" w14:textId="64B2ABFF" w:rsidR="008A5ABB" w:rsidRPr="00D61830" w:rsidRDefault="008A5ABB" w:rsidP="00D063B7">
      <w:pPr>
        <w:pStyle w:val="Heading2"/>
      </w:pPr>
      <w:bookmarkStart w:id="75" w:name="_Toc69476070"/>
      <w:bookmarkStart w:id="76" w:name="_Toc129679358"/>
      <w:r w:rsidRPr="00D61830">
        <w:t>Privacy or data breach</w:t>
      </w:r>
      <w:bookmarkEnd w:id="75"/>
      <w:bookmarkEnd w:id="76"/>
    </w:p>
    <w:p w14:paraId="7BFD1E44" w14:textId="3244C929" w:rsidR="00525257" w:rsidRPr="00D61830" w:rsidRDefault="00BC267F" w:rsidP="000268DB">
      <w:pPr>
        <w:rPr>
          <w:rFonts w:ascii="Arial" w:eastAsia="Arial" w:hAnsi="Arial" w:cs="Arial"/>
          <w:lang w:val="en-US" w:eastAsia="ja-JP"/>
        </w:rPr>
      </w:pPr>
      <w:r w:rsidRPr="00D61830">
        <w:rPr>
          <w:rFonts w:ascii="Arial" w:eastAsia="Arial" w:hAnsi="Arial" w:cs="Arial"/>
          <w:lang w:val="en-US" w:eastAsia="ja-JP"/>
        </w:rPr>
        <w:t xml:space="preserve">The Notifiable Data Breaches (NDB) scheme in </w:t>
      </w:r>
      <w:r w:rsidR="00B1216F" w:rsidRPr="00D61830">
        <w:rPr>
          <w:rFonts w:ascii="Arial" w:eastAsia="Arial" w:hAnsi="Arial" w:cs="Arial"/>
          <w:lang w:val="en-US" w:eastAsia="ja-JP"/>
        </w:rPr>
        <w:t>Part I</w:t>
      </w:r>
      <w:r w:rsidR="004425B9" w:rsidRPr="00D61830">
        <w:rPr>
          <w:rFonts w:ascii="Arial" w:eastAsia="Arial" w:hAnsi="Arial" w:cs="Arial"/>
          <w:lang w:val="en-US" w:eastAsia="ja-JP"/>
        </w:rPr>
        <w:t>I</w:t>
      </w:r>
      <w:r w:rsidR="00B1216F" w:rsidRPr="00D61830">
        <w:rPr>
          <w:rFonts w:ascii="Arial" w:eastAsia="Arial" w:hAnsi="Arial" w:cs="Arial"/>
          <w:lang w:val="en-US" w:eastAsia="ja-JP"/>
        </w:rPr>
        <w:t xml:space="preserve">IC of the Privacy Act </w:t>
      </w:r>
      <w:r w:rsidR="00B35549" w:rsidRPr="00D61830">
        <w:rPr>
          <w:rFonts w:ascii="Arial" w:eastAsia="Arial" w:hAnsi="Arial" w:cs="Arial"/>
        </w:rPr>
        <w:t>requires</w:t>
      </w:r>
      <w:r w:rsidRPr="00D61830">
        <w:rPr>
          <w:rFonts w:ascii="Arial" w:eastAsia="Arial" w:hAnsi="Arial" w:cs="Arial"/>
        </w:rPr>
        <w:t xml:space="preserve"> </w:t>
      </w:r>
      <w:r w:rsidR="00491EA9" w:rsidRPr="00D61830">
        <w:rPr>
          <w:rFonts w:ascii="Arial" w:eastAsia="Arial" w:hAnsi="Arial" w:cs="Arial"/>
        </w:rPr>
        <w:t>IHACPA</w:t>
      </w:r>
      <w:r w:rsidR="00B1216F" w:rsidRPr="00D61830">
        <w:rPr>
          <w:rFonts w:ascii="Arial" w:eastAsia="Arial" w:hAnsi="Arial" w:cs="Arial"/>
        </w:rPr>
        <w:t xml:space="preserve"> </w:t>
      </w:r>
      <w:r w:rsidRPr="00D61830">
        <w:rPr>
          <w:rFonts w:ascii="Arial" w:eastAsia="Arial" w:hAnsi="Arial" w:cs="Arial"/>
        </w:rPr>
        <w:t xml:space="preserve">to notify individuals whose personal information is involved in a data breach that is likely to result in </w:t>
      </w:r>
      <w:r w:rsidR="00952981" w:rsidRPr="00D61830">
        <w:rPr>
          <w:rFonts w:ascii="Arial" w:eastAsia="Arial" w:hAnsi="Arial" w:cs="Arial"/>
        </w:rPr>
        <w:t>‘</w:t>
      </w:r>
      <w:r w:rsidRPr="00D61830">
        <w:rPr>
          <w:rFonts w:ascii="Arial" w:eastAsia="Arial" w:hAnsi="Arial" w:cs="Arial"/>
        </w:rPr>
        <w:t>serious harm</w:t>
      </w:r>
      <w:r w:rsidR="00952981" w:rsidRPr="00D61830">
        <w:rPr>
          <w:rFonts w:ascii="Arial" w:eastAsia="Arial" w:hAnsi="Arial" w:cs="Arial"/>
        </w:rPr>
        <w:t>’</w:t>
      </w:r>
      <w:r w:rsidR="00B1216F" w:rsidRPr="00D61830">
        <w:rPr>
          <w:rFonts w:ascii="Arial" w:eastAsia="Arial" w:hAnsi="Arial" w:cs="Arial"/>
        </w:rPr>
        <w:t xml:space="preserve"> to any of the individuals</w:t>
      </w:r>
      <w:r w:rsidRPr="00D61830">
        <w:rPr>
          <w:rFonts w:ascii="Arial" w:eastAsia="Arial" w:hAnsi="Arial" w:cs="Arial"/>
        </w:rPr>
        <w:t xml:space="preserve">. </w:t>
      </w:r>
      <w:r w:rsidR="00952981" w:rsidRPr="00D61830">
        <w:rPr>
          <w:rFonts w:ascii="Arial" w:eastAsia="Arial" w:hAnsi="Arial" w:cs="Arial"/>
        </w:rPr>
        <w:t>S</w:t>
      </w:r>
      <w:proofErr w:type="spellStart"/>
      <w:r w:rsidRPr="00D61830">
        <w:rPr>
          <w:rFonts w:ascii="Arial" w:eastAsia="Arial" w:hAnsi="Arial" w:cs="Arial"/>
          <w:lang w:val="en-US" w:eastAsia="ja-JP"/>
        </w:rPr>
        <w:t>erious</w:t>
      </w:r>
      <w:proofErr w:type="spellEnd"/>
      <w:r w:rsidRPr="00D61830">
        <w:rPr>
          <w:rFonts w:ascii="Arial" w:eastAsia="Arial" w:hAnsi="Arial" w:cs="Arial"/>
          <w:lang w:val="en-US" w:eastAsia="ja-JP"/>
        </w:rPr>
        <w:t xml:space="preserve"> harm refers to serious physical, psychological, emotional, financial or reputational harm to an individual or individuals.</w:t>
      </w:r>
    </w:p>
    <w:p w14:paraId="6BE7F3B4" w14:textId="13E5E8EA" w:rsidR="00525257" w:rsidRPr="00D61830" w:rsidRDefault="00491EA9" w:rsidP="000268DB">
      <w:pPr>
        <w:rPr>
          <w:rFonts w:ascii="Arial" w:eastAsia="Arial" w:hAnsi="Arial" w:cs="Arial"/>
          <w:lang w:val="en-US" w:eastAsia="ja-JP"/>
        </w:rPr>
      </w:pPr>
      <w:r w:rsidRPr="00D61830">
        <w:rPr>
          <w:rFonts w:ascii="Arial" w:eastAsia="Arial" w:hAnsi="Arial" w:cs="Arial"/>
          <w:lang w:val="en-US" w:eastAsia="ja-JP"/>
        </w:rPr>
        <w:lastRenderedPageBreak/>
        <w:t>IHACPA</w:t>
      </w:r>
      <w:r w:rsidR="00B35549" w:rsidRPr="00D61830">
        <w:rPr>
          <w:rFonts w:ascii="Arial" w:eastAsia="Arial" w:hAnsi="Arial" w:cs="Arial"/>
          <w:lang w:val="en-US" w:eastAsia="ja-JP"/>
        </w:rPr>
        <w:t xml:space="preserve"> </w:t>
      </w:r>
      <w:r w:rsidR="004634CA" w:rsidRPr="00D61830">
        <w:rPr>
          <w:rFonts w:ascii="Arial" w:eastAsia="Arial" w:hAnsi="Arial" w:cs="Arial"/>
          <w:lang w:val="en-US" w:eastAsia="ja-JP"/>
        </w:rPr>
        <w:t xml:space="preserve">has implemented a Data Breach Response Plan to </w:t>
      </w:r>
      <w:r w:rsidR="00BC267F" w:rsidRPr="00D61830">
        <w:rPr>
          <w:rFonts w:ascii="Arial" w:eastAsia="Arial" w:hAnsi="Arial" w:cs="Arial"/>
          <w:lang w:val="en-US" w:eastAsia="ja-JP"/>
        </w:rPr>
        <w:t xml:space="preserve">manage all data breaches in accordance with the NDB. </w:t>
      </w:r>
    </w:p>
    <w:p w14:paraId="0EE3C64E" w14:textId="299757DF" w:rsidR="00BC267F" w:rsidRPr="00D61830" w:rsidRDefault="00BC267F" w:rsidP="000268DB">
      <w:pPr>
        <w:rPr>
          <w:rFonts w:ascii="Arial" w:eastAsia="Arial" w:hAnsi="Arial" w:cs="Arial"/>
          <w:lang w:val="en-US" w:eastAsia="ja-JP"/>
        </w:rPr>
      </w:pPr>
      <w:r w:rsidRPr="00D61830">
        <w:rPr>
          <w:rFonts w:ascii="Arial" w:eastAsia="Arial" w:hAnsi="Arial" w:cs="Arial"/>
          <w:lang w:val="en-US" w:eastAsia="ja-JP"/>
        </w:rPr>
        <w:t xml:space="preserve">If a suspected or known data breach occurs, </w:t>
      </w:r>
      <w:r w:rsidR="00B35549" w:rsidRPr="00D61830">
        <w:rPr>
          <w:rFonts w:ascii="Arial" w:eastAsia="Arial" w:hAnsi="Arial" w:cs="Arial"/>
          <w:lang w:val="en-US" w:eastAsia="ja-JP"/>
        </w:rPr>
        <w:t>all employees are required to take action to report suspected data breaches to the Executive Officer</w:t>
      </w:r>
      <w:r w:rsidR="004634CA" w:rsidRPr="00D61830">
        <w:rPr>
          <w:rFonts w:ascii="Arial" w:eastAsia="Arial" w:hAnsi="Arial" w:cs="Arial"/>
          <w:lang w:val="en-US" w:eastAsia="ja-JP"/>
        </w:rPr>
        <w:t xml:space="preserve"> and take immediate steps to contain the breach (if applicable)</w:t>
      </w:r>
      <w:r w:rsidR="00B35549" w:rsidRPr="00D61830">
        <w:rPr>
          <w:rFonts w:ascii="Arial" w:eastAsia="Arial" w:hAnsi="Arial" w:cs="Arial"/>
          <w:lang w:val="en-US" w:eastAsia="ja-JP"/>
        </w:rPr>
        <w:t xml:space="preserve">. The Executive Officer will immediately notify the Chief Executive Officer </w:t>
      </w:r>
      <w:r w:rsidR="00AE0F63" w:rsidRPr="00D61830">
        <w:rPr>
          <w:rFonts w:ascii="Arial" w:eastAsia="Arial" w:hAnsi="Arial" w:cs="Arial"/>
          <w:lang w:val="en-US" w:eastAsia="ja-JP"/>
        </w:rPr>
        <w:t xml:space="preserve">(CEO) </w:t>
      </w:r>
      <w:r w:rsidR="00B35549" w:rsidRPr="00D61830">
        <w:rPr>
          <w:rFonts w:ascii="Arial" w:eastAsia="Arial" w:hAnsi="Arial" w:cs="Arial"/>
          <w:lang w:val="en-US" w:eastAsia="ja-JP"/>
        </w:rPr>
        <w:t xml:space="preserve">of the suspected breach and will then undertake an initial assessment based on its seriousness. </w:t>
      </w:r>
      <w:r w:rsidR="00AE0F63" w:rsidRPr="00D61830">
        <w:rPr>
          <w:rFonts w:ascii="Arial" w:eastAsia="Arial" w:hAnsi="Arial" w:cs="Arial"/>
          <w:lang w:val="en-US" w:eastAsia="ja-JP"/>
        </w:rPr>
        <w:t xml:space="preserve">The CEO will </w:t>
      </w:r>
      <w:proofErr w:type="gramStart"/>
      <w:r w:rsidR="00AE0F63" w:rsidRPr="00D61830">
        <w:rPr>
          <w:rFonts w:ascii="Arial" w:eastAsia="Arial" w:hAnsi="Arial" w:cs="Arial"/>
          <w:lang w:val="en-US" w:eastAsia="ja-JP"/>
        </w:rPr>
        <w:t>make a decision</w:t>
      </w:r>
      <w:proofErr w:type="gramEnd"/>
      <w:r w:rsidR="00AE0F63" w:rsidRPr="00D61830">
        <w:rPr>
          <w:rFonts w:ascii="Arial" w:eastAsia="Arial" w:hAnsi="Arial" w:cs="Arial"/>
          <w:lang w:val="en-US" w:eastAsia="ja-JP"/>
        </w:rPr>
        <w:t xml:space="preserve"> regarding the response required, including whether notification </w:t>
      </w:r>
      <w:r w:rsidR="00554B35" w:rsidRPr="00D61830">
        <w:rPr>
          <w:rFonts w:ascii="Arial" w:eastAsia="Arial" w:hAnsi="Arial" w:cs="Arial"/>
          <w:lang w:val="en-US" w:eastAsia="ja-JP"/>
        </w:rPr>
        <w:t>via the NDB Statement – Form (</w:t>
      </w:r>
      <w:hyperlink r:id="rId27" w:history="1">
        <w:r w:rsidR="00554B35" w:rsidRPr="00D61830">
          <w:rPr>
            <w:rStyle w:val="Hyperlink"/>
            <w:rFonts w:ascii="Arial" w:eastAsia="Arial" w:hAnsi="Arial" w:cs="Arial"/>
            <w:lang w:val="en-US" w:eastAsia="ja-JP"/>
          </w:rPr>
          <w:t>www.oaic.gov.au</w:t>
        </w:r>
      </w:hyperlink>
      <w:r w:rsidR="00554B35" w:rsidRPr="00D61830">
        <w:rPr>
          <w:rFonts w:ascii="Arial" w:eastAsia="Arial" w:hAnsi="Arial" w:cs="Arial"/>
          <w:lang w:val="en-US" w:eastAsia="ja-JP"/>
        </w:rPr>
        <w:t xml:space="preserve">) </w:t>
      </w:r>
      <w:r w:rsidR="00AE0F63" w:rsidRPr="00D61830">
        <w:rPr>
          <w:rFonts w:ascii="Arial" w:eastAsia="Arial" w:hAnsi="Arial" w:cs="Arial"/>
          <w:lang w:val="en-US" w:eastAsia="ja-JP"/>
        </w:rPr>
        <w:t xml:space="preserve">to the </w:t>
      </w:r>
      <w:r w:rsidR="004634CA" w:rsidRPr="00D61830">
        <w:rPr>
          <w:rFonts w:ascii="Arial" w:eastAsia="Arial" w:hAnsi="Arial" w:cs="Arial"/>
          <w:lang w:val="en-US" w:eastAsia="ja-JP"/>
        </w:rPr>
        <w:t xml:space="preserve">Office of the Australian </w:t>
      </w:r>
      <w:r w:rsidR="00AE0F63" w:rsidRPr="00D61830">
        <w:rPr>
          <w:rFonts w:ascii="Arial" w:eastAsia="Arial" w:hAnsi="Arial" w:cs="Arial"/>
          <w:lang w:val="en-US" w:eastAsia="ja-JP"/>
        </w:rPr>
        <w:t>Information Commissioner</w:t>
      </w:r>
      <w:r w:rsidR="004634CA" w:rsidRPr="00D61830">
        <w:rPr>
          <w:rFonts w:ascii="Arial" w:eastAsia="Arial" w:hAnsi="Arial" w:cs="Arial"/>
          <w:lang w:val="en-US" w:eastAsia="ja-JP"/>
        </w:rPr>
        <w:t xml:space="preserve"> (OAIC)</w:t>
      </w:r>
      <w:r w:rsidR="00AE0F63" w:rsidRPr="00D61830">
        <w:rPr>
          <w:rFonts w:ascii="Arial" w:eastAsia="Arial" w:hAnsi="Arial" w:cs="Arial"/>
          <w:lang w:val="en-US" w:eastAsia="ja-JP"/>
        </w:rPr>
        <w:t xml:space="preserve"> is </w:t>
      </w:r>
      <w:r w:rsidR="00CB20FD" w:rsidRPr="00D61830">
        <w:rPr>
          <w:rFonts w:ascii="Arial" w:eastAsia="Arial" w:hAnsi="Arial" w:cs="Arial"/>
          <w:lang w:val="en-US" w:eastAsia="ja-JP"/>
        </w:rPr>
        <w:t xml:space="preserve">necessary. </w:t>
      </w:r>
      <w:r w:rsidR="00AE0F63" w:rsidRPr="00D61830">
        <w:rPr>
          <w:rFonts w:ascii="Arial" w:eastAsia="Arial" w:hAnsi="Arial" w:cs="Arial"/>
          <w:lang w:val="en-US" w:eastAsia="ja-JP"/>
        </w:rPr>
        <w:t xml:space="preserve"> </w:t>
      </w:r>
    </w:p>
    <w:p w14:paraId="6F7A1771" w14:textId="76250344" w:rsidR="00952981" w:rsidRPr="00D61830" w:rsidRDefault="00BC267F" w:rsidP="000268DB">
      <w:pPr>
        <w:rPr>
          <w:rFonts w:ascii="Arial" w:eastAsia="Arial" w:hAnsi="Arial" w:cs="Arial"/>
          <w:lang w:val="en-US" w:eastAsia="ja-JP"/>
        </w:rPr>
      </w:pPr>
      <w:r w:rsidRPr="00D61830">
        <w:rPr>
          <w:rFonts w:ascii="Arial" w:eastAsia="Arial" w:hAnsi="Arial" w:cs="Arial"/>
          <w:lang w:val="en-US" w:eastAsia="ja-JP"/>
        </w:rPr>
        <w:t xml:space="preserve">If serious harm is likely </w:t>
      </w:r>
      <w:r w:rsidR="00CE4E4C" w:rsidRPr="00D61830">
        <w:rPr>
          <w:rFonts w:ascii="Arial" w:eastAsia="Arial" w:hAnsi="Arial" w:cs="Arial"/>
          <w:lang w:val="en-US" w:eastAsia="ja-JP"/>
        </w:rPr>
        <w:t>to be caused to an individual or individuals f</w:t>
      </w:r>
      <w:r w:rsidRPr="00D61830">
        <w:rPr>
          <w:rFonts w:ascii="Arial" w:eastAsia="Arial" w:hAnsi="Arial" w:cs="Arial"/>
          <w:lang w:val="en-US" w:eastAsia="ja-JP"/>
        </w:rPr>
        <w:t xml:space="preserve">rom the data breach, </w:t>
      </w:r>
      <w:r w:rsidR="00491EA9" w:rsidRPr="00D61830">
        <w:rPr>
          <w:rFonts w:ascii="Arial" w:eastAsia="Arial" w:hAnsi="Arial" w:cs="Arial"/>
          <w:lang w:val="en-US" w:eastAsia="ja-JP"/>
        </w:rPr>
        <w:t>IHACPA</w:t>
      </w:r>
      <w:r w:rsidRPr="00D61830">
        <w:rPr>
          <w:rFonts w:ascii="Arial" w:eastAsia="Arial" w:hAnsi="Arial" w:cs="Arial"/>
          <w:lang w:val="en-US" w:eastAsia="ja-JP"/>
        </w:rPr>
        <w:t xml:space="preserve"> will</w:t>
      </w:r>
      <w:r w:rsidR="00952981" w:rsidRPr="00D61830">
        <w:rPr>
          <w:rFonts w:ascii="Arial" w:eastAsia="Arial" w:hAnsi="Arial" w:cs="Arial"/>
          <w:lang w:val="en-US" w:eastAsia="ja-JP"/>
        </w:rPr>
        <w:t xml:space="preserve"> notify the affected </w:t>
      </w:r>
      <w:r w:rsidR="00754F12" w:rsidRPr="00D61830">
        <w:rPr>
          <w:rFonts w:ascii="Arial" w:eastAsia="Arial" w:hAnsi="Arial" w:cs="Arial"/>
          <w:lang w:val="en-US" w:eastAsia="ja-JP"/>
        </w:rPr>
        <w:t>individual</w:t>
      </w:r>
      <w:r w:rsidR="00952981" w:rsidRPr="00D61830">
        <w:rPr>
          <w:rFonts w:ascii="Arial" w:eastAsia="Arial" w:hAnsi="Arial" w:cs="Arial"/>
          <w:lang w:val="en-US" w:eastAsia="ja-JP"/>
        </w:rPr>
        <w:t>:</w:t>
      </w:r>
    </w:p>
    <w:p w14:paraId="00F98E0F" w14:textId="64F5C3FD" w:rsidR="00952981" w:rsidRPr="00D61830" w:rsidRDefault="00CE4E4C" w:rsidP="00665B80">
      <w:pPr>
        <w:pStyle w:val="ListParagraph"/>
        <w:numPr>
          <w:ilvl w:val="0"/>
          <w:numId w:val="43"/>
        </w:numPr>
        <w:rPr>
          <w:rFonts w:ascii="Arial" w:eastAsia="Arial" w:hAnsi="Arial" w:cs="Arial"/>
          <w:lang w:val="en-US" w:eastAsia="ja-JP"/>
        </w:rPr>
      </w:pPr>
      <w:r w:rsidRPr="00D61830">
        <w:rPr>
          <w:rFonts w:ascii="Arial" w:eastAsia="Arial" w:hAnsi="Arial" w:cs="Arial"/>
          <w:lang w:val="en-US" w:eastAsia="ja-JP"/>
        </w:rPr>
        <w:t xml:space="preserve">as far as it is practicable to do so, </w:t>
      </w:r>
      <w:r w:rsidR="00BC267F" w:rsidRPr="00D61830">
        <w:rPr>
          <w:rFonts w:ascii="Arial" w:eastAsia="Arial" w:hAnsi="Arial" w:cs="Arial"/>
          <w:lang w:val="en-US" w:eastAsia="ja-JP"/>
        </w:rPr>
        <w:t>immediately to advise that a suspected or known data breach has occurred</w:t>
      </w:r>
    </w:p>
    <w:p w14:paraId="29F83DAC" w14:textId="07443DFA" w:rsidR="00952981" w:rsidRPr="00D61830" w:rsidRDefault="00754F12" w:rsidP="00665B80">
      <w:pPr>
        <w:pStyle w:val="ListParagraph"/>
        <w:numPr>
          <w:ilvl w:val="0"/>
          <w:numId w:val="43"/>
        </w:numPr>
        <w:rPr>
          <w:rFonts w:ascii="Arial" w:eastAsia="Arial" w:hAnsi="Arial" w:cs="Arial"/>
          <w:lang w:val="en-US" w:eastAsia="ja-JP"/>
        </w:rPr>
      </w:pPr>
      <w:r w:rsidRPr="00D61830">
        <w:rPr>
          <w:rFonts w:ascii="Arial" w:eastAsia="Arial" w:hAnsi="Arial" w:cs="Arial"/>
          <w:lang w:val="en-US" w:eastAsia="ja-JP"/>
        </w:rPr>
        <w:t>the</w:t>
      </w:r>
      <w:r w:rsidR="00952981" w:rsidRPr="00D61830">
        <w:rPr>
          <w:rFonts w:ascii="Arial" w:eastAsia="Arial" w:hAnsi="Arial" w:cs="Arial"/>
          <w:lang w:val="en-US" w:eastAsia="ja-JP"/>
        </w:rPr>
        <w:t xml:space="preserve"> breach </w:t>
      </w:r>
      <w:r w:rsidR="00BC267F" w:rsidRPr="00D61830">
        <w:rPr>
          <w:rFonts w:ascii="Arial" w:eastAsia="Arial" w:hAnsi="Arial" w:cs="Arial"/>
          <w:lang w:val="en-US" w:eastAsia="ja-JP"/>
        </w:rPr>
        <w:t xml:space="preserve">includes their personal information, and </w:t>
      </w:r>
    </w:p>
    <w:p w14:paraId="533B59AE" w14:textId="60D94DEF" w:rsidR="00BC267F" w:rsidRPr="00D61830" w:rsidRDefault="00754F12" w:rsidP="00665B80">
      <w:pPr>
        <w:pStyle w:val="ListParagraph"/>
        <w:numPr>
          <w:ilvl w:val="0"/>
          <w:numId w:val="43"/>
        </w:numPr>
        <w:rPr>
          <w:rFonts w:ascii="Arial" w:eastAsia="Arial" w:hAnsi="Arial" w:cs="Arial"/>
          <w:lang w:val="en-US" w:eastAsia="ja-JP"/>
        </w:rPr>
      </w:pPr>
      <w:r w:rsidRPr="00D61830">
        <w:rPr>
          <w:rFonts w:ascii="Arial" w:eastAsia="Arial" w:hAnsi="Arial" w:cs="Arial"/>
          <w:lang w:val="en-US" w:eastAsia="ja-JP"/>
        </w:rPr>
        <w:t xml:space="preserve">the </w:t>
      </w:r>
      <w:r w:rsidR="00BC267F" w:rsidRPr="00D61830">
        <w:rPr>
          <w:rFonts w:ascii="Arial" w:eastAsia="Arial" w:hAnsi="Arial" w:cs="Arial"/>
          <w:lang w:val="en-US" w:eastAsia="ja-JP"/>
        </w:rPr>
        <w:t>actions</w:t>
      </w:r>
      <w:r w:rsidR="00B1216F" w:rsidRPr="00D61830">
        <w:rPr>
          <w:rFonts w:ascii="Arial" w:eastAsia="Arial" w:hAnsi="Arial" w:cs="Arial"/>
          <w:lang w:val="en-US" w:eastAsia="ja-JP"/>
        </w:rPr>
        <w:t xml:space="preserve"> that</w:t>
      </w:r>
      <w:r w:rsidR="00BC267F" w:rsidRPr="00D61830">
        <w:rPr>
          <w:rFonts w:ascii="Arial" w:eastAsia="Arial" w:hAnsi="Arial" w:cs="Arial"/>
          <w:lang w:val="en-US" w:eastAsia="ja-JP"/>
        </w:rPr>
        <w:t xml:space="preserve"> are being undertaken to limit or mitigate </w:t>
      </w:r>
      <w:r w:rsidR="00CE4E4C" w:rsidRPr="00D61830">
        <w:rPr>
          <w:rFonts w:ascii="Arial" w:eastAsia="Arial" w:hAnsi="Arial" w:cs="Arial"/>
          <w:lang w:val="en-US" w:eastAsia="ja-JP"/>
        </w:rPr>
        <w:t>any</w:t>
      </w:r>
      <w:r w:rsidR="00BC267F" w:rsidRPr="00D61830">
        <w:rPr>
          <w:rFonts w:ascii="Arial" w:eastAsia="Arial" w:hAnsi="Arial" w:cs="Arial"/>
          <w:lang w:val="en-US" w:eastAsia="ja-JP"/>
        </w:rPr>
        <w:t xml:space="preserve"> harm </w:t>
      </w:r>
      <w:r w:rsidR="00CE4E4C" w:rsidRPr="00D61830">
        <w:rPr>
          <w:rFonts w:ascii="Arial" w:eastAsia="Arial" w:hAnsi="Arial" w:cs="Arial"/>
          <w:lang w:val="en-US" w:eastAsia="ja-JP"/>
        </w:rPr>
        <w:t>caused by the breach</w:t>
      </w:r>
      <w:r w:rsidR="00BC267F" w:rsidRPr="00D61830">
        <w:rPr>
          <w:rFonts w:ascii="Arial" w:eastAsia="Arial" w:hAnsi="Arial" w:cs="Arial"/>
          <w:lang w:val="en-US" w:eastAsia="ja-JP"/>
        </w:rPr>
        <w:t>.</w:t>
      </w:r>
    </w:p>
    <w:p w14:paraId="3BA9D5C7" w14:textId="04FB32A1" w:rsidR="00BC267F" w:rsidRPr="00D61830" w:rsidRDefault="00491EA9" w:rsidP="000268DB">
      <w:pPr>
        <w:rPr>
          <w:rFonts w:ascii="Arial" w:eastAsia="Arial" w:hAnsi="Arial" w:cs="Arial"/>
          <w:lang w:val="en-US" w:eastAsia="ja-JP"/>
        </w:rPr>
      </w:pPr>
      <w:r w:rsidRPr="00D61830">
        <w:rPr>
          <w:rFonts w:ascii="Arial" w:eastAsia="Arial" w:hAnsi="Arial" w:cs="Arial"/>
          <w:lang w:val="en-US" w:eastAsia="ja-JP"/>
        </w:rPr>
        <w:t>IHACPA</w:t>
      </w:r>
      <w:r w:rsidR="00BC267F" w:rsidRPr="00D61830">
        <w:rPr>
          <w:rFonts w:ascii="Arial" w:eastAsia="Arial" w:hAnsi="Arial" w:cs="Arial"/>
          <w:lang w:val="en-US" w:eastAsia="ja-JP"/>
        </w:rPr>
        <w:t xml:space="preserve"> will work with </w:t>
      </w:r>
      <w:r w:rsidR="00CE4E4C" w:rsidRPr="00D61830">
        <w:rPr>
          <w:rFonts w:ascii="Arial" w:eastAsia="Arial" w:hAnsi="Arial" w:cs="Arial"/>
          <w:lang w:val="en-US" w:eastAsia="ja-JP"/>
        </w:rPr>
        <w:t xml:space="preserve">the </w:t>
      </w:r>
      <w:r w:rsidR="00BC267F" w:rsidRPr="00D61830">
        <w:rPr>
          <w:rFonts w:ascii="Arial" w:eastAsia="Arial" w:hAnsi="Arial" w:cs="Arial"/>
          <w:lang w:val="en-US" w:eastAsia="ja-JP"/>
        </w:rPr>
        <w:t>OAIC on any recommendations or directions from the Information Commissioner relating to the breach.</w:t>
      </w:r>
    </w:p>
    <w:p w14:paraId="7D7B0064" w14:textId="33D205C2" w:rsidR="00BC267F" w:rsidRPr="00D61830" w:rsidRDefault="00491EA9" w:rsidP="000268DB">
      <w:pPr>
        <w:rPr>
          <w:rFonts w:ascii="Arial" w:eastAsia="Arial" w:hAnsi="Arial" w:cs="Arial"/>
          <w:lang w:val="en-US" w:eastAsia="ja-JP"/>
        </w:rPr>
      </w:pPr>
      <w:r w:rsidRPr="00D61830">
        <w:rPr>
          <w:rFonts w:ascii="Arial" w:eastAsia="Arial" w:hAnsi="Arial" w:cs="Arial"/>
          <w:lang w:val="en-US" w:eastAsia="ja-JP"/>
        </w:rPr>
        <w:t>IHACPA</w:t>
      </w:r>
      <w:r w:rsidR="00BC267F" w:rsidRPr="00D61830">
        <w:rPr>
          <w:rFonts w:ascii="Arial" w:eastAsia="Arial" w:hAnsi="Arial" w:cs="Arial"/>
          <w:lang w:val="en-US" w:eastAsia="ja-JP"/>
        </w:rPr>
        <w:t xml:space="preserve"> will review the incident to determine possible causes of the breach and revise its internal policies and procedures to prevent reoccurrence. Possible actions will include updating policies and procedures relating to records management</w:t>
      </w:r>
      <w:r w:rsidR="001B6F36" w:rsidRPr="00D61830">
        <w:rPr>
          <w:rFonts w:ascii="Arial" w:eastAsia="Arial" w:hAnsi="Arial" w:cs="Arial"/>
          <w:lang w:val="en-US" w:eastAsia="ja-JP"/>
        </w:rPr>
        <w:t xml:space="preserve"> </w:t>
      </w:r>
      <w:r w:rsidR="00BC267F" w:rsidRPr="00D61830">
        <w:rPr>
          <w:rFonts w:ascii="Arial" w:eastAsia="Arial" w:hAnsi="Arial" w:cs="Arial"/>
          <w:lang w:val="en-US" w:eastAsia="ja-JP"/>
        </w:rPr>
        <w:t>and additional staff training on privacy.</w:t>
      </w:r>
    </w:p>
    <w:p w14:paraId="6922D527" w14:textId="3F54C2E3" w:rsidR="00E97129" w:rsidRPr="00D61830" w:rsidRDefault="00E97129" w:rsidP="00E97129">
      <w:pPr>
        <w:pStyle w:val="Heading1"/>
      </w:pPr>
      <w:bookmarkStart w:id="77" w:name="_Toc45889134"/>
      <w:bookmarkStart w:id="78" w:name="_Toc129679359"/>
      <w:r w:rsidRPr="00D61830">
        <w:t xml:space="preserve">Access </w:t>
      </w:r>
      <w:r w:rsidR="00AB7B33" w:rsidRPr="00D61830">
        <w:t>and correctio</w:t>
      </w:r>
      <w:r w:rsidRPr="00D61830">
        <w:t>n</w:t>
      </w:r>
      <w:bookmarkEnd w:id="77"/>
      <w:bookmarkEnd w:id="78"/>
    </w:p>
    <w:p w14:paraId="7858176D" w14:textId="6B5EC6B1" w:rsidR="00E97129" w:rsidRDefault="00E97129" w:rsidP="00E97129">
      <w:r w:rsidRPr="00D61830">
        <w:t xml:space="preserve">IHACPA will take reasonable steps to ensure that personal information held by IHACPA is accurate, current, complete and relevant. </w:t>
      </w:r>
    </w:p>
    <w:p w14:paraId="30456FE4" w14:textId="1A3B1D9B" w:rsidR="001652C5" w:rsidRDefault="001652C5" w:rsidP="00E97129">
      <w:r>
        <w:rPr>
          <w:rFonts w:ascii="Arial" w:hAnsi="Arial" w:cs="Arial"/>
        </w:rPr>
        <w:t>Individuals who receive marketing materials from IHACPA or are on one or more of IHACPA’s distribution lists may opt out or ‘unsubscribe’ from further communications of this nature.</w:t>
      </w:r>
      <w:r w:rsidRPr="00D61830">
        <w:t xml:space="preserve"> </w:t>
      </w:r>
    </w:p>
    <w:p w14:paraId="7BBC5B11" w14:textId="5E7E59BC" w:rsidR="00E97129" w:rsidRDefault="001652C5" w:rsidP="00E97129">
      <w:r w:rsidRPr="00D61830">
        <w:t>Individuals</w:t>
      </w:r>
      <w:r w:rsidR="00E97129" w:rsidRPr="00D61830">
        <w:t xml:space="preserve"> can request access to their personal information held by </w:t>
      </w:r>
      <w:proofErr w:type="gramStart"/>
      <w:r w:rsidR="00E97129" w:rsidRPr="00D61830">
        <w:t>IH</w:t>
      </w:r>
      <w:r w:rsidR="00AB7B33" w:rsidRPr="00D61830">
        <w:t>AC</w:t>
      </w:r>
      <w:r w:rsidR="00E97129" w:rsidRPr="00D61830">
        <w:t>PA</w:t>
      </w:r>
      <w:r>
        <w:t>, unless</w:t>
      </w:r>
      <w:proofErr w:type="gramEnd"/>
      <w:r>
        <w:t xml:space="preserve"> an exemption applies (APP 12)</w:t>
      </w:r>
      <w:r w:rsidR="00E97129" w:rsidRPr="00D61830">
        <w:t>. They can also request IH</w:t>
      </w:r>
      <w:r w:rsidR="00AB7B33" w:rsidRPr="00D61830">
        <w:t>AC</w:t>
      </w:r>
      <w:r w:rsidR="00E97129" w:rsidRPr="00D61830">
        <w:t xml:space="preserve">PA to correct their personal information if it is incorrect. </w:t>
      </w:r>
    </w:p>
    <w:p w14:paraId="30361680" w14:textId="1AF5D4F2" w:rsidR="001652C5" w:rsidRDefault="001652C5" w:rsidP="001652C5">
      <w:r>
        <w:t xml:space="preserve">All applications for access and correction should be made in writing and directed to the Privacy Officer (details provided on the following page). IHACPA will generally respond to requests for access or correction in writing within 30 days. </w:t>
      </w:r>
    </w:p>
    <w:p w14:paraId="663F2C23" w14:textId="77777777" w:rsidR="001652C5" w:rsidRDefault="001652C5" w:rsidP="001652C5">
      <w:r>
        <w:t xml:space="preserve">In the event that a person disagrees with the outcome of an access or correction request by IHACPA, they can make a complaint to the OAIC. </w:t>
      </w:r>
    </w:p>
    <w:p w14:paraId="7A81CB0A" w14:textId="1BF8EDCF" w:rsidR="001652C5" w:rsidRPr="00D61830" w:rsidRDefault="001652C5" w:rsidP="001652C5">
      <w:r>
        <w:t>Further information is available in IHACPA’s Procedures for handling privacy inquiries, complaints and requests for access and amendment.</w:t>
      </w:r>
    </w:p>
    <w:p w14:paraId="7DDE6915" w14:textId="070890CA" w:rsidR="00AB7B33" w:rsidRPr="00D61830" w:rsidRDefault="00AB7B33" w:rsidP="00037B02">
      <w:pPr>
        <w:pStyle w:val="Heading1"/>
      </w:pPr>
      <w:bookmarkStart w:id="79" w:name="_Toc129679360"/>
      <w:r w:rsidRPr="00D61830">
        <w:t>Privacy complaints</w:t>
      </w:r>
      <w:bookmarkEnd w:id="79"/>
    </w:p>
    <w:p w14:paraId="5E15A561" w14:textId="77777777" w:rsidR="001652C5" w:rsidRDefault="001652C5" w:rsidP="001652C5">
      <w:r>
        <w:t>Individuals can make a complaint about IHACPA’s privacy practices to the Privacy Officer. A complaint may be in writing or by phone. Individuals seeking to make a complaint by phone should be invited to make their complaint in writing so that their concerns can be accurately documented and considered.</w:t>
      </w:r>
    </w:p>
    <w:p w14:paraId="7A534B9F" w14:textId="77777777" w:rsidR="001652C5" w:rsidRDefault="001652C5" w:rsidP="001652C5">
      <w:r>
        <w:t>Once a privacy complaint is received, IHACPA will generally respond within 30 days.</w:t>
      </w:r>
    </w:p>
    <w:p w14:paraId="3F7B67A4" w14:textId="77777777" w:rsidR="001652C5" w:rsidRDefault="001652C5" w:rsidP="00E97129">
      <w:r>
        <w:lastRenderedPageBreak/>
        <w:t xml:space="preserve">If an individual is dissatisfied with IHACPA’s response, they can make a written complaint to the OAIC setting out the details of IHACPA’s privacy practices which they think interfere with their privacy. The OAIC will generally expect an individual to complain to IHACPA first, and will likely refer the complaint to IHACPA if this has not occurred. </w:t>
      </w:r>
    </w:p>
    <w:p w14:paraId="6EA7458F" w14:textId="2C3C461E" w:rsidR="00AB7B33" w:rsidRPr="00D61830" w:rsidRDefault="00AB7B33" w:rsidP="00E97129">
      <w:r w:rsidRPr="00D61830">
        <w:t>For more information, see the OAIC website (</w:t>
      </w:r>
      <w:hyperlink r:id="rId28" w:history="1">
        <w:r w:rsidR="001652C5" w:rsidRPr="001652C5">
          <w:rPr>
            <w:rStyle w:val="Hyperlink"/>
          </w:rPr>
          <w:t>https://www.oaic.gov.au/privacy/privacy-complaints</w:t>
        </w:r>
      </w:hyperlink>
      <w:r w:rsidRPr="00D61830">
        <w:t xml:space="preserve">) </w:t>
      </w:r>
    </w:p>
    <w:p w14:paraId="5D05385E" w14:textId="3CE011EC" w:rsidR="009B6576" w:rsidRPr="00D61830" w:rsidRDefault="009B6576" w:rsidP="009B6576">
      <w:pPr>
        <w:pStyle w:val="Heading1"/>
      </w:pPr>
      <w:bookmarkStart w:id="80" w:name="_Toc34217041"/>
      <w:bookmarkStart w:id="81" w:name="_Toc69476071"/>
      <w:bookmarkStart w:id="82" w:name="_Toc129679361"/>
      <w:r w:rsidRPr="00D61830">
        <w:t>Roles and responsibilities</w:t>
      </w:r>
      <w:bookmarkEnd w:id="80"/>
      <w:bookmarkEnd w:id="81"/>
      <w:bookmarkEnd w:id="82"/>
    </w:p>
    <w:p w14:paraId="2C505481" w14:textId="27622EFB" w:rsidR="009B6576" w:rsidRPr="00D61830" w:rsidRDefault="009B6576" w:rsidP="009B6576">
      <w:r w:rsidRPr="00D61830">
        <w:t xml:space="preserve">All </w:t>
      </w:r>
      <w:r w:rsidR="00491EA9" w:rsidRPr="00D61830">
        <w:t>IHACPA</w:t>
      </w:r>
      <w:r w:rsidRPr="00D61830">
        <w:t xml:space="preserve"> employees and contractors are responsible for ensuring that </w:t>
      </w:r>
      <w:r w:rsidR="00491EA9" w:rsidRPr="00D61830">
        <w:t>IHACPA</w:t>
      </w:r>
      <w:r w:rsidRPr="00D61830">
        <w:t xml:space="preserve"> complies with the Privacy Act by following the requirements of the Privacy Policy.</w:t>
      </w:r>
    </w:p>
    <w:p w14:paraId="20C690FD" w14:textId="3241A610" w:rsidR="009B6576" w:rsidRPr="00D61830" w:rsidRDefault="00491EA9" w:rsidP="009B6576">
      <w:r w:rsidRPr="00D61830">
        <w:t>IHACPA</w:t>
      </w:r>
      <w:r w:rsidR="009B6576" w:rsidRPr="00D61830">
        <w:t xml:space="preserve"> is required under the </w:t>
      </w:r>
      <w:r w:rsidR="009B6576" w:rsidRPr="00D61830">
        <w:rPr>
          <w:i/>
        </w:rPr>
        <w:t>Australian Government Agencies Privacy Code</w:t>
      </w:r>
      <w:r w:rsidR="009B6576" w:rsidRPr="00D61830">
        <w:t xml:space="preserve"> to appoint a Privacy Champion and Privacy Officer. The Privacy Champion provides cultural leadership and promotes the value of personal information. The Privacy Officer is the first point of contact for privacy matters within </w:t>
      </w:r>
      <w:r w:rsidRPr="00D61830">
        <w:t>IHACPA</w:t>
      </w:r>
      <w:r w:rsidR="009B6576" w:rsidRPr="00D61830">
        <w:t xml:space="preserve">, and is responsible for ensuring day-to-day operational privacy activities are undertaken. </w:t>
      </w:r>
    </w:p>
    <w:p w14:paraId="7CB4EF41" w14:textId="075A55DE" w:rsidR="009B6576" w:rsidRPr="00D61830" w:rsidRDefault="009B6576" w:rsidP="009B6576">
      <w:r w:rsidRPr="00D61830">
        <w:rPr>
          <w:b/>
        </w:rPr>
        <w:t xml:space="preserve">Privacy Champion (Executive Director, </w:t>
      </w:r>
      <w:r w:rsidR="00B36E35">
        <w:rPr>
          <w:b/>
        </w:rPr>
        <w:t>Costing and Data Infrastructure</w:t>
      </w:r>
      <w:r w:rsidRPr="00D61830">
        <w:rPr>
          <w:b/>
        </w:rPr>
        <w:t>)</w:t>
      </w:r>
      <w:r w:rsidRPr="00D61830">
        <w:rPr>
          <w:b/>
        </w:rPr>
        <w:br/>
      </w:r>
      <w:r w:rsidRPr="00D61830">
        <w:t>Name: Julia Hume</w:t>
      </w:r>
      <w:r w:rsidRPr="00D61830">
        <w:br/>
        <w:t>Postal Address: PO Box 483 Darlinghurst NSW 1300</w:t>
      </w:r>
      <w:r w:rsidRPr="00D61830">
        <w:br/>
        <w:t>Telephone: 02 8215 1159</w:t>
      </w:r>
      <w:r w:rsidRPr="00D61830">
        <w:br/>
        <w:t xml:space="preserve">Email: </w:t>
      </w:r>
      <w:hyperlink r:id="rId29" w:history="1">
        <w:r w:rsidR="00126EA0" w:rsidRPr="00D61830">
          <w:rPr>
            <w:rStyle w:val="Hyperlink"/>
          </w:rPr>
          <w:t>julia.hume@ihacpa.gov.au</w:t>
        </w:r>
      </w:hyperlink>
      <w:r w:rsidR="00126EA0" w:rsidRPr="00D61830">
        <w:t xml:space="preserve"> </w:t>
      </w:r>
    </w:p>
    <w:p w14:paraId="444B9D67" w14:textId="25D7C952" w:rsidR="009B6576" w:rsidRPr="00D61830" w:rsidRDefault="009B6576" w:rsidP="009B6576">
      <w:r w:rsidRPr="00D61830">
        <w:rPr>
          <w:b/>
        </w:rPr>
        <w:t>Privacy Officer (Executive Officer</w:t>
      </w:r>
      <w:r w:rsidR="00126EA0" w:rsidRPr="00D61830">
        <w:rPr>
          <w:b/>
        </w:rPr>
        <w:t>/Corporate Coun</w:t>
      </w:r>
      <w:r w:rsidR="003178A3">
        <w:rPr>
          <w:b/>
        </w:rPr>
        <w:t>sel</w:t>
      </w:r>
      <w:r w:rsidRPr="00D61830">
        <w:rPr>
          <w:b/>
        </w:rPr>
        <w:t>)</w:t>
      </w:r>
      <w:r w:rsidRPr="00D61830">
        <w:rPr>
          <w:b/>
        </w:rPr>
        <w:br/>
      </w:r>
      <w:r w:rsidRPr="00D61830">
        <w:t>Name: Olga Liavas</w:t>
      </w:r>
      <w:r w:rsidRPr="00D61830">
        <w:br/>
        <w:t>Title: Executive Officer</w:t>
      </w:r>
      <w:r w:rsidR="00126EA0" w:rsidRPr="00D61830">
        <w:t>/Corporate Coun</w:t>
      </w:r>
      <w:r w:rsidR="003178A3">
        <w:t>se</w:t>
      </w:r>
      <w:r w:rsidR="00126EA0" w:rsidRPr="00D61830">
        <w:t>l</w:t>
      </w:r>
      <w:r w:rsidRPr="00D61830">
        <w:br/>
        <w:t>Postal Address: PO Box 483 Darlinghurst NSW 1300</w:t>
      </w:r>
      <w:r w:rsidRPr="00D61830">
        <w:br/>
        <w:t>Telephone: 02 8215 1129</w:t>
      </w:r>
      <w:r w:rsidRPr="00D61830">
        <w:br/>
        <w:t xml:space="preserve">Email: </w:t>
      </w:r>
      <w:hyperlink r:id="rId30" w:history="1">
        <w:r w:rsidR="00126EA0" w:rsidRPr="00D61830">
          <w:rPr>
            <w:rStyle w:val="Hyperlink"/>
          </w:rPr>
          <w:t>olga.liavas@ihacpa.gov.au</w:t>
        </w:r>
      </w:hyperlink>
      <w:r w:rsidR="00126EA0" w:rsidRPr="00D61830">
        <w:t xml:space="preserve"> </w:t>
      </w:r>
    </w:p>
    <w:p w14:paraId="23E25DF3" w14:textId="2BE00B25" w:rsidR="009B6576" w:rsidRPr="00D61830" w:rsidRDefault="009B6576" w:rsidP="009B6576">
      <w:pPr>
        <w:pStyle w:val="Heading1"/>
      </w:pPr>
      <w:bookmarkStart w:id="83" w:name="_Toc34217042"/>
      <w:bookmarkStart w:id="84" w:name="_Toc69476072"/>
      <w:bookmarkStart w:id="85" w:name="_Toc129679362"/>
      <w:r w:rsidRPr="00D61830">
        <w:t>Privacy compliance</w:t>
      </w:r>
      <w:bookmarkEnd w:id="83"/>
      <w:bookmarkEnd w:id="84"/>
      <w:bookmarkEnd w:id="85"/>
    </w:p>
    <w:p w14:paraId="3E3AEB79" w14:textId="2365E137" w:rsidR="009B6576" w:rsidRPr="00D61830" w:rsidRDefault="00491EA9" w:rsidP="009B6576">
      <w:r w:rsidRPr="00D61830">
        <w:t>IHACPA</w:t>
      </w:r>
      <w:r w:rsidR="009B6576" w:rsidRPr="00D61830">
        <w:t xml:space="preserve"> has established a robust compliance program to ensure that it meets its obligations to manage personal information appropriately and to comply with the APPs. </w:t>
      </w:r>
      <w:r w:rsidRPr="00D61830">
        <w:t>IHACPA</w:t>
      </w:r>
      <w:r w:rsidR="009B6576" w:rsidRPr="00D61830">
        <w:t xml:space="preserve"> reviews how and when it collects personal information to ensure that the collection complies with the APPs. </w:t>
      </w:r>
    </w:p>
    <w:p w14:paraId="63F066C2" w14:textId="167DBEDE" w:rsidR="004557A4" w:rsidRDefault="00491EA9" w:rsidP="009B6576">
      <w:r w:rsidRPr="00D61830">
        <w:t>IHACPA</w:t>
      </w:r>
      <w:r w:rsidR="009B6576" w:rsidRPr="00D61830">
        <w:t xml:space="preserve"> annually reviews its use and disclosure of personal information to ensure that it manages personal information in accordance with the APPs.</w:t>
      </w:r>
    </w:p>
    <w:sectPr w:rsidR="004557A4" w:rsidSect="001D3190">
      <w:headerReference w:type="default" r:id="rId31"/>
      <w:pgSz w:w="11906" w:h="16838" w:code="9"/>
      <w:pgMar w:top="158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3365" w14:textId="77777777" w:rsidR="00B2070D" w:rsidRDefault="00B2070D" w:rsidP="006A55E0">
      <w:pPr>
        <w:spacing w:after="0"/>
      </w:pPr>
      <w:r>
        <w:separator/>
      </w:r>
    </w:p>
  </w:endnote>
  <w:endnote w:type="continuationSeparator" w:id="0">
    <w:p w14:paraId="630AED6C" w14:textId="77777777" w:rsidR="00B2070D" w:rsidRDefault="00B2070D" w:rsidP="006A55E0">
      <w:pPr>
        <w:spacing w:after="0"/>
      </w:pPr>
      <w:r>
        <w:continuationSeparator/>
      </w:r>
    </w:p>
  </w:endnote>
  <w:endnote w:type="continuationNotice" w:id="1">
    <w:p w14:paraId="6EFFDC39" w14:textId="77777777" w:rsidR="00B2070D" w:rsidRDefault="00B207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95E0" w14:textId="43C56EDC" w:rsidR="002E545F" w:rsidRPr="00124320" w:rsidRDefault="002E545F" w:rsidP="00124320">
    <w:pPr>
      <w:pStyle w:val="Footer"/>
      <w:tabs>
        <w:tab w:val="clear" w:pos="4513"/>
      </w:tabs>
    </w:pPr>
    <w:r>
      <w:t>Independent Hospital Pricing Authority</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AB74" w14:textId="52E4AF20" w:rsidR="002E545F" w:rsidRDefault="002E545F" w:rsidP="004C15AD">
    <w:pPr>
      <w:pStyle w:val="Footer"/>
      <w:jc w:val="right"/>
    </w:pPr>
    <w:r>
      <w:t xml:space="preserve">Page </w:t>
    </w:r>
    <w:r>
      <w:fldChar w:fldCharType="begin"/>
    </w:r>
    <w:r>
      <w:instrText xml:space="preserve"> PAGE   \* MERGEFORMAT </w:instrText>
    </w:r>
    <w:r>
      <w:fldChar w:fldCharType="separate"/>
    </w:r>
    <w:r>
      <w:rPr>
        <w:noProof/>
      </w:rPr>
      <w:t>10</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511C" w14:textId="77777777" w:rsidR="002E545F" w:rsidRDefault="002E5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BCE9" w14:textId="77777777" w:rsidR="00B2070D" w:rsidRDefault="00B2070D" w:rsidP="006A55E0">
      <w:pPr>
        <w:spacing w:after="0"/>
      </w:pPr>
      <w:r>
        <w:separator/>
      </w:r>
    </w:p>
  </w:footnote>
  <w:footnote w:type="continuationSeparator" w:id="0">
    <w:p w14:paraId="658854C7" w14:textId="77777777" w:rsidR="00B2070D" w:rsidRDefault="00B2070D" w:rsidP="006A55E0">
      <w:pPr>
        <w:spacing w:after="0"/>
      </w:pPr>
      <w:r>
        <w:continuationSeparator/>
      </w:r>
    </w:p>
  </w:footnote>
  <w:footnote w:type="continuationNotice" w:id="1">
    <w:p w14:paraId="5B532110" w14:textId="77777777" w:rsidR="00B2070D" w:rsidRDefault="00B207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4687" w14:textId="77777777" w:rsidR="002E545F" w:rsidRDefault="002E5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7F98" w14:textId="77777777" w:rsidR="002E545F" w:rsidRPr="004B071D" w:rsidRDefault="00B2070D" w:rsidP="00F91173">
    <w:pPr>
      <w:pStyle w:val="Header"/>
      <w:tabs>
        <w:tab w:val="clear" w:pos="4513"/>
      </w:tabs>
    </w:pPr>
    <w:sdt>
      <w:sdtPr>
        <w:alias w:val="Title"/>
        <w:tag w:val=""/>
        <w:id w:val="776146240"/>
        <w:dataBinding w:prefixMappings="xmlns:ns0='http://purl.org/dc/elements/1.1/' xmlns:ns1='http://schemas.openxmlformats.org/package/2006/metadata/core-properties' " w:xpath="/ns1:coreProperties[1]/ns0:title[1]" w:storeItemID="{6C3C8BC8-F283-45AE-878A-BAB7291924A1}"/>
        <w:text/>
      </w:sdtPr>
      <w:sdtEndPr/>
      <w:sdtContent>
        <w:r w:rsidR="002E545F">
          <w:t>Privacy Policy</w:t>
        </w:r>
      </w:sdtContent>
    </w:sdt>
    <w:r w:rsidR="002E545F">
      <w:tab/>
    </w:r>
    <w:r w:rsidR="002E545F">
      <w:drawing>
        <wp:anchor distT="0" distB="0" distL="114300" distR="114300" simplePos="0" relativeHeight="251657216" behindDoc="0" locked="0" layoutInCell="1" allowOverlap="1" wp14:anchorId="1DEEDEAD" wp14:editId="6FE155E8">
          <wp:simplePos x="0" y="0"/>
          <wp:positionH relativeFrom="rightMargin">
            <wp:posOffset>-360045</wp:posOffset>
          </wp:positionH>
          <wp:positionV relativeFrom="topMargin">
            <wp:posOffset>450215</wp:posOffset>
          </wp:positionV>
          <wp:extent cx="720000" cy="982800"/>
          <wp:effectExtent l="0" t="0" r="444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pa_logo_cmyk_2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98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8540" w14:textId="77777777" w:rsidR="002E545F" w:rsidRDefault="002E54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5D47" w14:textId="2E8D6723" w:rsidR="002E545F" w:rsidRPr="004B071D" w:rsidRDefault="00B2070D" w:rsidP="003A1BDD">
    <w:pPr>
      <w:pStyle w:val="Header"/>
      <w:tabs>
        <w:tab w:val="clear" w:pos="4513"/>
        <w:tab w:val="clear" w:pos="9026"/>
        <w:tab w:val="right" w:pos="13183"/>
      </w:tabs>
      <w:ind w:right="-46"/>
    </w:pPr>
    <w:sdt>
      <w:sdtPr>
        <w:alias w:val="Title"/>
        <w:tag w:val=""/>
        <w:id w:val="1732659145"/>
        <w:dataBinding w:prefixMappings="xmlns:ns0='http://purl.org/dc/elements/1.1/' xmlns:ns1='http://schemas.openxmlformats.org/package/2006/metadata/core-properties' " w:xpath="/ns1:coreProperties[1]/ns0:title[1]" w:storeItemID="{6C3C8BC8-F283-45AE-878A-BAB7291924A1}"/>
        <w:text/>
      </w:sdtPr>
      <w:sdtEndPr/>
      <w:sdtContent>
        <w:r w:rsidR="002E545F">
          <w:t>Privacy Policy</w:t>
        </w:r>
      </w:sdtContent>
    </w:sdt>
    <w:r w:rsidR="002E545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C18F9E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514C6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557773"/>
    <w:multiLevelType w:val="hybridMultilevel"/>
    <w:tmpl w:val="987669CA"/>
    <w:lvl w:ilvl="0" w:tplc="3E5241E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4E4607"/>
    <w:multiLevelType w:val="hybridMultilevel"/>
    <w:tmpl w:val="3BF81CE0"/>
    <w:lvl w:ilvl="0" w:tplc="298EAB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6E1A1E"/>
    <w:multiLevelType w:val="hybridMultilevel"/>
    <w:tmpl w:val="4C329DF0"/>
    <w:lvl w:ilvl="0" w:tplc="B66CE392">
      <w:start w:val="1"/>
      <w:numFmt w:val="bullet"/>
      <w:pStyle w:val="Bullet1"/>
      <w:lvlText w:val=""/>
      <w:lvlJc w:val="left"/>
      <w:pPr>
        <w:ind w:left="720" w:hanging="360"/>
      </w:pPr>
      <w:rPr>
        <w:rFonts w:ascii="Wingdings" w:hAnsi="Wingdings" w:hint="default"/>
        <w:color w:val="000000" w:themeColor="tex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730DAF"/>
    <w:multiLevelType w:val="hybridMultilevel"/>
    <w:tmpl w:val="6A4A365E"/>
    <w:lvl w:ilvl="0" w:tplc="B66CE392">
      <w:start w:val="1"/>
      <w:numFmt w:val="bullet"/>
      <w:lvlText w:val=""/>
      <w:lvlJc w:val="left"/>
      <w:pPr>
        <w:ind w:left="720" w:hanging="360"/>
      </w:pPr>
      <w:rPr>
        <w:rFonts w:ascii="Wingdings" w:hAnsi="Wingdings" w:hint="default"/>
        <w:color w:val="000000" w:themeColor="text2"/>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0572E4"/>
    <w:multiLevelType w:val="hybridMultilevel"/>
    <w:tmpl w:val="DB4ED5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012D25"/>
    <w:multiLevelType w:val="hybridMultilevel"/>
    <w:tmpl w:val="534ABD16"/>
    <w:lvl w:ilvl="0" w:tplc="9B2C4D08">
      <w:start w:val="1"/>
      <w:numFmt w:val="bullet"/>
      <w:lvlText w:val=""/>
      <w:lvlJc w:val="left"/>
      <w:pPr>
        <w:ind w:left="720" w:hanging="360"/>
      </w:pPr>
      <w:rPr>
        <w:rFonts w:ascii="Wingdings 2" w:hAnsi="Wingdings 2" w:hint="default"/>
        <w:color w:val="000000" w:themeColor="text2"/>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BB08A0"/>
    <w:multiLevelType w:val="hybridMultilevel"/>
    <w:tmpl w:val="02DE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5645CF"/>
    <w:multiLevelType w:val="hybridMultilevel"/>
    <w:tmpl w:val="D32AB0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188405D"/>
    <w:multiLevelType w:val="hybridMultilevel"/>
    <w:tmpl w:val="85022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A03CA8"/>
    <w:multiLevelType w:val="hybridMultilevel"/>
    <w:tmpl w:val="9704FD8E"/>
    <w:lvl w:ilvl="0" w:tplc="9A6EF2F8">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327664"/>
    <w:multiLevelType w:val="multilevel"/>
    <w:tmpl w:val="895ADDDE"/>
    <w:lvl w:ilvl="0">
      <w:start w:val="1"/>
      <w:numFmt w:val="decimal"/>
      <w:pStyle w:val="NumberLevel1"/>
      <w:lvlText w:val="%1."/>
      <w:lvlJc w:val="left"/>
      <w:pPr>
        <w:tabs>
          <w:tab w:val="num" w:pos="709"/>
        </w:tabs>
        <w:ind w:left="0" w:hanging="709"/>
      </w:pPr>
      <w:rPr>
        <w:rFonts w:hint="default"/>
        <w:i w:val="0"/>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3" w15:restartNumberingAfterBreak="0">
    <w:nsid w:val="1C910B61"/>
    <w:multiLevelType w:val="multilevel"/>
    <w:tmpl w:val="670CB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00A4AF4"/>
    <w:multiLevelType w:val="hybridMultilevel"/>
    <w:tmpl w:val="8D1AA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10791C"/>
    <w:multiLevelType w:val="hybridMultilevel"/>
    <w:tmpl w:val="F4B80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3213F6"/>
    <w:multiLevelType w:val="hybridMultilevel"/>
    <w:tmpl w:val="038C4B16"/>
    <w:lvl w:ilvl="0" w:tplc="EACACB22">
      <w:start w:val="1"/>
      <w:numFmt w:val="bullet"/>
      <w:lvlText w:val=""/>
      <w:lvlJc w:val="left"/>
      <w:pPr>
        <w:ind w:left="360" w:hanging="360"/>
      </w:pPr>
      <w:rPr>
        <w:rFonts w:ascii="Wingdings 2" w:hAnsi="Wingdings 2" w:hint="default"/>
        <w:color w:val="000000" w:themeColor="text1"/>
        <w:sz w:val="16"/>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7" w15:restartNumberingAfterBreak="0">
    <w:nsid w:val="2C933ADD"/>
    <w:multiLevelType w:val="hybridMultilevel"/>
    <w:tmpl w:val="E00480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AE4F19"/>
    <w:multiLevelType w:val="hybridMultilevel"/>
    <w:tmpl w:val="EF2638EA"/>
    <w:lvl w:ilvl="0" w:tplc="A5A8CE32">
      <w:start w:val="1"/>
      <w:numFmt w:val="bullet"/>
      <w:lvlText w:val=""/>
      <w:lvlJc w:val="left"/>
      <w:pPr>
        <w:ind w:left="720" w:hanging="360"/>
      </w:pPr>
      <w:rPr>
        <w:rFonts w:ascii="Wingdings 2" w:hAnsi="Wingdings 2" w:hint="default"/>
        <w:color w:val="000000" w:themeColor="text2"/>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F20CCC"/>
    <w:multiLevelType w:val="multilevel"/>
    <w:tmpl w:val="670CB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F283D80"/>
    <w:multiLevelType w:val="hybridMultilevel"/>
    <w:tmpl w:val="29A62476"/>
    <w:lvl w:ilvl="0" w:tplc="9B2C4D08">
      <w:start w:val="1"/>
      <w:numFmt w:val="bullet"/>
      <w:lvlText w:val=""/>
      <w:lvlJc w:val="left"/>
      <w:pPr>
        <w:ind w:left="720" w:hanging="360"/>
      </w:pPr>
      <w:rPr>
        <w:rFonts w:ascii="Wingdings 2" w:hAnsi="Wingdings 2" w:hint="default"/>
        <w:color w:val="000000" w:themeColor="text2"/>
        <w:sz w:val="16"/>
      </w:rPr>
    </w:lvl>
    <w:lvl w:ilvl="1" w:tplc="A5A8CE32">
      <w:start w:val="1"/>
      <w:numFmt w:val="bullet"/>
      <w:lvlText w:val=""/>
      <w:lvlJc w:val="left"/>
      <w:pPr>
        <w:ind w:left="1440" w:hanging="360"/>
      </w:pPr>
      <w:rPr>
        <w:rFonts w:ascii="Wingdings 2" w:hAnsi="Wingdings 2" w:hint="default"/>
        <w:color w:val="000000" w:themeColor="text2"/>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4740B5"/>
    <w:multiLevelType w:val="multilevel"/>
    <w:tmpl w:val="3DE034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33267635"/>
    <w:multiLevelType w:val="hybridMultilevel"/>
    <w:tmpl w:val="24543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7C53847"/>
    <w:multiLevelType w:val="hybridMultilevel"/>
    <w:tmpl w:val="1624E3A6"/>
    <w:lvl w:ilvl="0" w:tplc="9B2C4D08">
      <w:start w:val="1"/>
      <w:numFmt w:val="bullet"/>
      <w:lvlText w:val=""/>
      <w:lvlJc w:val="left"/>
      <w:pPr>
        <w:ind w:left="720" w:hanging="360"/>
      </w:pPr>
      <w:rPr>
        <w:rFonts w:ascii="Wingdings 2" w:hAnsi="Wingdings 2" w:hint="default"/>
        <w:color w:val="000000" w:themeColor="text2"/>
        <w:sz w:val="16"/>
      </w:rPr>
    </w:lvl>
    <w:lvl w:ilvl="1" w:tplc="EACACB22">
      <w:start w:val="1"/>
      <w:numFmt w:val="bullet"/>
      <w:lvlText w:val=""/>
      <w:lvlJc w:val="left"/>
      <w:pPr>
        <w:ind w:left="1440" w:hanging="360"/>
      </w:pPr>
      <w:rPr>
        <w:rFonts w:ascii="Wingdings 2" w:hAnsi="Wingdings 2" w:hint="default"/>
        <w:color w:val="000000" w:themeColor="text1"/>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AE08F1"/>
    <w:multiLevelType w:val="hybridMultilevel"/>
    <w:tmpl w:val="6E9481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3A6A3670"/>
    <w:multiLevelType w:val="hybridMultilevel"/>
    <w:tmpl w:val="9F0C27CC"/>
    <w:lvl w:ilvl="0" w:tplc="C80058F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B14E30"/>
    <w:multiLevelType w:val="hybridMultilevel"/>
    <w:tmpl w:val="8B9A1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862798"/>
    <w:multiLevelType w:val="hybridMultilevel"/>
    <w:tmpl w:val="343076F6"/>
    <w:lvl w:ilvl="0" w:tplc="6258351C">
      <w:start w:val="1"/>
      <w:numFmt w:val="bullet"/>
      <w:pStyle w:val="Dotpoin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EF9068B"/>
    <w:multiLevelType w:val="hybridMultilevel"/>
    <w:tmpl w:val="73F4C1FA"/>
    <w:lvl w:ilvl="0" w:tplc="55700184">
      <w:start w:val="1"/>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0537BE1"/>
    <w:multiLevelType w:val="hybridMultilevel"/>
    <w:tmpl w:val="51BE3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D01D0F"/>
    <w:multiLevelType w:val="hybridMultilevel"/>
    <w:tmpl w:val="52BEDC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11F7F92"/>
    <w:multiLevelType w:val="hybridMultilevel"/>
    <w:tmpl w:val="BFA6D7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2B60606"/>
    <w:multiLevelType w:val="hybridMultilevel"/>
    <w:tmpl w:val="B6881F5C"/>
    <w:lvl w:ilvl="0" w:tplc="B66CE392">
      <w:start w:val="1"/>
      <w:numFmt w:val="bullet"/>
      <w:lvlText w:val=""/>
      <w:lvlJc w:val="left"/>
      <w:pPr>
        <w:ind w:left="720" w:hanging="360"/>
      </w:pPr>
      <w:rPr>
        <w:rFonts w:ascii="Wingdings" w:hAnsi="Wingdings" w:hint="default"/>
        <w:color w:val="000000" w:themeColor="text2"/>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4F53B1D"/>
    <w:multiLevelType w:val="hybridMultilevel"/>
    <w:tmpl w:val="EA901E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7EB3447"/>
    <w:multiLevelType w:val="hybridMultilevel"/>
    <w:tmpl w:val="78E2F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CB57FDB"/>
    <w:multiLevelType w:val="hybridMultilevel"/>
    <w:tmpl w:val="703AE82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CE7FE7"/>
    <w:multiLevelType w:val="hybridMultilevel"/>
    <w:tmpl w:val="CAA480A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EDE6EC1"/>
    <w:multiLevelType w:val="hybridMultilevel"/>
    <w:tmpl w:val="71183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10A3169"/>
    <w:multiLevelType w:val="hybridMultilevel"/>
    <w:tmpl w:val="AFA26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1B67F91"/>
    <w:multiLevelType w:val="hybridMultilevel"/>
    <w:tmpl w:val="40A674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583524A8"/>
    <w:multiLevelType w:val="hybridMultilevel"/>
    <w:tmpl w:val="03E00B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8C12AAB"/>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61682796"/>
    <w:multiLevelType w:val="hybridMultilevel"/>
    <w:tmpl w:val="FBB049A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17631E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635569C"/>
    <w:multiLevelType w:val="hybridMultilevel"/>
    <w:tmpl w:val="AD808B8E"/>
    <w:lvl w:ilvl="0" w:tplc="9B2C4D08">
      <w:start w:val="1"/>
      <w:numFmt w:val="bullet"/>
      <w:lvlText w:val=""/>
      <w:lvlJc w:val="left"/>
      <w:pPr>
        <w:ind w:left="720" w:hanging="360"/>
      </w:pPr>
      <w:rPr>
        <w:rFonts w:ascii="Wingdings 2" w:hAnsi="Wingdings 2" w:hint="default"/>
        <w:color w:val="000000" w:themeColor="text2"/>
        <w:sz w:val="16"/>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B54487A"/>
    <w:multiLevelType w:val="hybridMultilevel"/>
    <w:tmpl w:val="4254DD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E73018A"/>
    <w:multiLevelType w:val="hybridMultilevel"/>
    <w:tmpl w:val="2A0A3F24"/>
    <w:lvl w:ilvl="0" w:tplc="CCC2C45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EFF03E3"/>
    <w:multiLevelType w:val="multilevel"/>
    <w:tmpl w:val="AC92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078728C"/>
    <w:multiLevelType w:val="hybridMultilevel"/>
    <w:tmpl w:val="8AE60AF8"/>
    <w:lvl w:ilvl="0" w:tplc="A5A8CE32">
      <w:start w:val="1"/>
      <w:numFmt w:val="bullet"/>
      <w:lvlText w:val=""/>
      <w:lvlJc w:val="left"/>
      <w:pPr>
        <w:ind w:left="720" w:hanging="360"/>
      </w:pPr>
      <w:rPr>
        <w:rFonts w:ascii="Wingdings 2" w:hAnsi="Wingdings 2" w:hint="default"/>
        <w:color w:val="000000" w:themeColor="text2"/>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DA1CA0"/>
    <w:multiLevelType w:val="hybridMultilevel"/>
    <w:tmpl w:val="B71ADB5E"/>
    <w:lvl w:ilvl="0" w:tplc="A5A8CE32">
      <w:start w:val="1"/>
      <w:numFmt w:val="bullet"/>
      <w:lvlText w:val=""/>
      <w:lvlJc w:val="left"/>
      <w:pPr>
        <w:ind w:left="720" w:hanging="360"/>
      </w:pPr>
      <w:rPr>
        <w:rFonts w:ascii="Wingdings 2" w:hAnsi="Wingdings 2" w:hint="default"/>
        <w:color w:val="000000" w:themeColor="text2"/>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27C5248"/>
    <w:multiLevelType w:val="hybridMultilevel"/>
    <w:tmpl w:val="DC52B21E"/>
    <w:lvl w:ilvl="0" w:tplc="B66CE392">
      <w:start w:val="1"/>
      <w:numFmt w:val="bullet"/>
      <w:lvlText w:val=""/>
      <w:lvlJc w:val="left"/>
      <w:pPr>
        <w:ind w:left="720" w:hanging="360"/>
      </w:pPr>
      <w:rPr>
        <w:rFonts w:ascii="Wingdings" w:hAnsi="Wingdings" w:hint="default"/>
        <w:color w:val="000000" w:themeColor="text2"/>
        <w:sz w:val="22"/>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3030B8A"/>
    <w:multiLevelType w:val="hybridMultilevel"/>
    <w:tmpl w:val="C2664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35"/>
  </w:num>
  <w:num w:numId="3">
    <w:abstractNumId w:val="18"/>
  </w:num>
  <w:num w:numId="4">
    <w:abstractNumId w:val="30"/>
  </w:num>
  <w:num w:numId="5">
    <w:abstractNumId w:val="48"/>
  </w:num>
  <w:num w:numId="6">
    <w:abstractNumId w:val="4"/>
  </w:num>
  <w:num w:numId="7">
    <w:abstractNumId w:val="32"/>
  </w:num>
  <w:num w:numId="8">
    <w:abstractNumId w:val="50"/>
  </w:num>
  <w:num w:numId="9">
    <w:abstractNumId w:val="7"/>
  </w:num>
  <w:num w:numId="10">
    <w:abstractNumId w:val="49"/>
  </w:num>
  <w:num w:numId="11">
    <w:abstractNumId w:val="44"/>
  </w:num>
  <w:num w:numId="12">
    <w:abstractNumId w:val="20"/>
  </w:num>
  <w:num w:numId="13">
    <w:abstractNumId w:val="23"/>
  </w:num>
  <w:num w:numId="14">
    <w:abstractNumId w:val="16"/>
  </w:num>
  <w:num w:numId="15">
    <w:abstractNumId w:val="1"/>
  </w:num>
  <w:num w:numId="16">
    <w:abstractNumId w:val="38"/>
  </w:num>
  <w:num w:numId="17">
    <w:abstractNumId w:val="39"/>
  </w:num>
  <w:num w:numId="18">
    <w:abstractNumId w:val="40"/>
  </w:num>
  <w:num w:numId="19">
    <w:abstractNumId w:val="0"/>
  </w:num>
  <w:num w:numId="20">
    <w:abstractNumId w:val="46"/>
  </w:num>
  <w:num w:numId="21">
    <w:abstractNumId w:val="3"/>
  </w:num>
  <w:num w:numId="22">
    <w:abstractNumId w:val="22"/>
  </w:num>
  <w:num w:numId="23">
    <w:abstractNumId w:val="41"/>
  </w:num>
  <w:num w:numId="24">
    <w:abstractNumId w:val="45"/>
  </w:num>
  <w:num w:numId="25">
    <w:abstractNumId w:val="36"/>
  </w:num>
  <w:num w:numId="26">
    <w:abstractNumId w:val="6"/>
  </w:num>
  <w:num w:numId="27">
    <w:abstractNumId w:val="51"/>
  </w:num>
  <w:num w:numId="28">
    <w:abstractNumId w:val="2"/>
  </w:num>
  <w:num w:numId="29">
    <w:abstractNumId w:val="42"/>
  </w:num>
  <w:num w:numId="30">
    <w:abstractNumId w:val="34"/>
  </w:num>
  <w:num w:numId="31">
    <w:abstractNumId w:val="17"/>
  </w:num>
  <w:num w:numId="32">
    <w:abstractNumId w:val="31"/>
  </w:num>
  <w:num w:numId="33">
    <w:abstractNumId w:val="10"/>
  </w:num>
  <w:num w:numId="34">
    <w:abstractNumId w:val="13"/>
  </w:num>
  <w:num w:numId="35">
    <w:abstractNumId w:val="21"/>
  </w:num>
  <w:num w:numId="36">
    <w:abstractNumId w:val="19"/>
  </w:num>
  <w:num w:numId="37">
    <w:abstractNumId w:val="43"/>
  </w:num>
  <w:num w:numId="38">
    <w:abstractNumId w:val="33"/>
  </w:num>
  <w:num w:numId="39">
    <w:abstractNumId w:val="24"/>
  </w:num>
  <w:num w:numId="40">
    <w:abstractNumId w:val="27"/>
  </w:num>
  <w:num w:numId="41">
    <w:abstractNumId w:val="47"/>
  </w:num>
  <w:num w:numId="42">
    <w:abstractNumId w:val="37"/>
  </w:num>
  <w:num w:numId="43">
    <w:abstractNumId w:val="15"/>
  </w:num>
  <w:num w:numId="44">
    <w:abstractNumId w:val="26"/>
  </w:num>
  <w:num w:numId="45">
    <w:abstractNumId w:val="8"/>
  </w:num>
  <w:num w:numId="46">
    <w:abstractNumId w:val="14"/>
  </w:num>
  <w:num w:numId="47">
    <w:abstractNumId w:val="29"/>
  </w:num>
  <w:num w:numId="48">
    <w:abstractNumId w:val="28"/>
  </w:num>
  <w:num w:numId="49">
    <w:abstractNumId w:val="12"/>
  </w:num>
  <w:num w:numId="50">
    <w:abstractNumId w:val="9"/>
  </w:num>
  <w:num w:numId="51">
    <w:abstractNumId w:val="1"/>
  </w:num>
  <w:num w:numId="52">
    <w:abstractNumId w:val="1"/>
  </w:num>
  <w:num w:numId="53">
    <w:abstractNumId w:val="1"/>
  </w:num>
  <w:num w:numId="54">
    <w:abstractNumId w:val="25"/>
  </w:num>
  <w:num w:numId="55">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F6C"/>
    <w:rsid w:val="00006413"/>
    <w:rsid w:val="000268DB"/>
    <w:rsid w:val="00031FBD"/>
    <w:rsid w:val="00035724"/>
    <w:rsid w:val="00037B02"/>
    <w:rsid w:val="00046DC4"/>
    <w:rsid w:val="00051651"/>
    <w:rsid w:val="0007572A"/>
    <w:rsid w:val="000923D0"/>
    <w:rsid w:val="00097886"/>
    <w:rsid w:val="000B1EBC"/>
    <w:rsid w:val="000B571D"/>
    <w:rsid w:val="000C7A67"/>
    <w:rsid w:val="000E450E"/>
    <w:rsid w:val="000E45E5"/>
    <w:rsid w:val="000E5408"/>
    <w:rsid w:val="000F5AAD"/>
    <w:rsid w:val="000F6308"/>
    <w:rsid w:val="00101DEA"/>
    <w:rsid w:val="00117B81"/>
    <w:rsid w:val="001206B2"/>
    <w:rsid w:val="00123AF6"/>
    <w:rsid w:val="00124320"/>
    <w:rsid w:val="00126EA0"/>
    <w:rsid w:val="00130CA0"/>
    <w:rsid w:val="00164F6C"/>
    <w:rsid w:val="001652C5"/>
    <w:rsid w:val="00166194"/>
    <w:rsid w:val="001807E5"/>
    <w:rsid w:val="0018206A"/>
    <w:rsid w:val="001871A7"/>
    <w:rsid w:val="0019045F"/>
    <w:rsid w:val="00191FB6"/>
    <w:rsid w:val="00192BEF"/>
    <w:rsid w:val="001A4073"/>
    <w:rsid w:val="001A5AE6"/>
    <w:rsid w:val="001B4849"/>
    <w:rsid w:val="001B6F36"/>
    <w:rsid w:val="001C0AD0"/>
    <w:rsid w:val="001C2DF1"/>
    <w:rsid w:val="001C45C7"/>
    <w:rsid w:val="001D3190"/>
    <w:rsid w:val="001E6176"/>
    <w:rsid w:val="001F7E1F"/>
    <w:rsid w:val="00203325"/>
    <w:rsid w:val="00203E1D"/>
    <w:rsid w:val="00205D84"/>
    <w:rsid w:val="00212667"/>
    <w:rsid w:val="00212C0F"/>
    <w:rsid w:val="00217243"/>
    <w:rsid w:val="0023687C"/>
    <w:rsid w:val="00244C95"/>
    <w:rsid w:val="00245585"/>
    <w:rsid w:val="00264AE5"/>
    <w:rsid w:val="002711CE"/>
    <w:rsid w:val="00273412"/>
    <w:rsid w:val="00276F24"/>
    <w:rsid w:val="00282DCC"/>
    <w:rsid w:val="00282F67"/>
    <w:rsid w:val="00291FD6"/>
    <w:rsid w:val="00292603"/>
    <w:rsid w:val="002927AB"/>
    <w:rsid w:val="00295D27"/>
    <w:rsid w:val="002A0733"/>
    <w:rsid w:val="002A1F9F"/>
    <w:rsid w:val="002A351B"/>
    <w:rsid w:val="002B488D"/>
    <w:rsid w:val="002C0F65"/>
    <w:rsid w:val="002C34A9"/>
    <w:rsid w:val="002C670E"/>
    <w:rsid w:val="002D11A4"/>
    <w:rsid w:val="002D248F"/>
    <w:rsid w:val="002E161E"/>
    <w:rsid w:val="002E4292"/>
    <w:rsid w:val="002E545F"/>
    <w:rsid w:val="002F2C5C"/>
    <w:rsid w:val="002F40CD"/>
    <w:rsid w:val="002F464B"/>
    <w:rsid w:val="00302414"/>
    <w:rsid w:val="003029AB"/>
    <w:rsid w:val="00311DFF"/>
    <w:rsid w:val="003178A3"/>
    <w:rsid w:val="003245EE"/>
    <w:rsid w:val="00324E8A"/>
    <w:rsid w:val="00325ACC"/>
    <w:rsid w:val="0032687E"/>
    <w:rsid w:val="00335A8F"/>
    <w:rsid w:val="00344B97"/>
    <w:rsid w:val="0034792F"/>
    <w:rsid w:val="00347BDD"/>
    <w:rsid w:val="00372F70"/>
    <w:rsid w:val="003773F8"/>
    <w:rsid w:val="00383C79"/>
    <w:rsid w:val="00396865"/>
    <w:rsid w:val="00397D4D"/>
    <w:rsid w:val="003A1BDD"/>
    <w:rsid w:val="003A5D2F"/>
    <w:rsid w:val="003B1C1E"/>
    <w:rsid w:val="003B2272"/>
    <w:rsid w:val="003B26B6"/>
    <w:rsid w:val="003B7AB4"/>
    <w:rsid w:val="003C074A"/>
    <w:rsid w:val="003C0BBD"/>
    <w:rsid w:val="003D1F3B"/>
    <w:rsid w:val="003D29BD"/>
    <w:rsid w:val="003D7899"/>
    <w:rsid w:val="003E0263"/>
    <w:rsid w:val="003E602F"/>
    <w:rsid w:val="00405586"/>
    <w:rsid w:val="00430EF8"/>
    <w:rsid w:val="004425B9"/>
    <w:rsid w:val="004435EF"/>
    <w:rsid w:val="00451C06"/>
    <w:rsid w:val="004557A4"/>
    <w:rsid w:val="004634CA"/>
    <w:rsid w:val="0047428A"/>
    <w:rsid w:val="00485873"/>
    <w:rsid w:val="00487988"/>
    <w:rsid w:val="00491715"/>
    <w:rsid w:val="00491EA9"/>
    <w:rsid w:val="00495760"/>
    <w:rsid w:val="004A0EB5"/>
    <w:rsid w:val="004B071D"/>
    <w:rsid w:val="004C15AD"/>
    <w:rsid w:val="004C579A"/>
    <w:rsid w:val="004D382F"/>
    <w:rsid w:val="004E0185"/>
    <w:rsid w:val="004E19F0"/>
    <w:rsid w:val="004E7543"/>
    <w:rsid w:val="004F2D4F"/>
    <w:rsid w:val="00501983"/>
    <w:rsid w:val="005019A0"/>
    <w:rsid w:val="005078A5"/>
    <w:rsid w:val="00516D35"/>
    <w:rsid w:val="0052204F"/>
    <w:rsid w:val="00523544"/>
    <w:rsid w:val="00523FCA"/>
    <w:rsid w:val="00525257"/>
    <w:rsid w:val="00526DE9"/>
    <w:rsid w:val="00536F5A"/>
    <w:rsid w:val="00537A6B"/>
    <w:rsid w:val="00546364"/>
    <w:rsid w:val="00554B35"/>
    <w:rsid w:val="00556B51"/>
    <w:rsid w:val="0056273D"/>
    <w:rsid w:val="005666BA"/>
    <w:rsid w:val="0057161F"/>
    <w:rsid w:val="005734CF"/>
    <w:rsid w:val="00573B42"/>
    <w:rsid w:val="00580BFF"/>
    <w:rsid w:val="00591C5E"/>
    <w:rsid w:val="00597232"/>
    <w:rsid w:val="00597285"/>
    <w:rsid w:val="005B282E"/>
    <w:rsid w:val="005B4105"/>
    <w:rsid w:val="005C236F"/>
    <w:rsid w:val="005C2AE7"/>
    <w:rsid w:val="005D6BCE"/>
    <w:rsid w:val="005F2500"/>
    <w:rsid w:val="00611772"/>
    <w:rsid w:val="00615A4C"/>
    <w:rsid w:val="00617CF6"/>
    <w:rsid w:val="00622032"/>
    <w:rsid w:val="00624583"/>
    <w:rsid w:val="00627216"/>
    <w:rsid w:val="00632055"/>
    <w:rsid w:val="00633185"/>
    <w:rsid w:val="00633639"/>
    <w:rsid w:val="00635A37"/>
    <w:rsid w:val="006407E3"/>
    <w:rsid w:val="00640898"/>
    <w:rsid w:val="00642664"/>
    <w:rsid w:val="006472C0"/>
    <w:rsid w:val="00653683"/>
    <w:rsid w:val="006573B7"/>
    <w:rsid w:val="00664A45"/>
    <w:rsid w:val="00665B80"/>
    <w:rsid w:val="0066605E"/>
    <w:rsid w:val="006726FA"/>
    <w:rsid w:val="00681F2F"/>
    <w:rsid w:val="006832C2"/>
    <w:rsid w:val="0068464D"/>
    <w:rsid w:val="00685FD5"/>
    <w:rsid w:val="006921BD"/>
    <w:rsid w:val="00695520"/>
    <w:rsid w:val="006A2E09"/>
    <w:rsid w:val="006A55E0"/>
    <w:rsid w:val="006C4F27"/>
    <w:rsid w:val="006D0728"/>
    <w:rsid w:val="006D71AA"/>
    <w:rsid w:val="006D7F4A"/>
    <w:rsid w:val="006E2040"/>
    <w:rsid w:val="006E69B6"/>
    <w:rsid w:val="006F07CD"/>
    <w:rsid w:val="006F1582"/>
    <w:rsid w:val="006F3841"/>
    <w:rsid w:val="00702301"/>
    <w:rsid w:val="00711778"/>
    <w:rsid w:val="00715A92"/>
    <w:rsid w:val="00723516"/>
    <w:rsid w:val="00726C97"/>
    <w:rsid w:val="00735963"/>
    <w:rsid w:val="0073742F"/>
    <w:rsid w:val="00741A3F"/>
    <w:rsid w:val="0074518B"/>
    <w:rsid w:val="00745A3E"/>
    <w:rsid w:val="00754F12"/>
    <w:rsid w:val="00756A66"/>
    <w:rsid w:val="00762F9A"/>
    <w:rsid w:val="007676D5"/>
    <w:rsid w:val="0077144C"/>
    <w:rsid w:val="00771BEE"/>
    <w:rsid w:val="00773F70"/>
    <w:rsid w:val="00775A6C"/>
    <w:rsid w:val="00775E54"/>
    <w:rsid w:val="0078162B"/>
    <w:rsid w:val="00792F11"/>
    <w:rsid w:val="007A0A03"/>
    <w:rsid w:val="007A5F8A"/>
    <w:rsid w:val="007A6218"/>
    <w:rsid w:val="007A6284"/>
    <w:rsid w:val="007B2AD6"/>
    <w:rsid w:val="007B4237"/>
    <w:rsid w:val="007B542E"/>
    <w:rsid w:val="007C1848"/>
    <w:rsid w:val="007C4A1B"/>
    <w:rsid w:val="007C50F6"/>
    <w:rsid w:val="007F5AE8"/>
    <w:rsid w:val="00800E03"/>
    <w:rsid w:val="008037B8"/>
    <w:rsid w:val="00803B4D"/>
    <w:rsid w:val="00806318"/>
    <w:rsid w:val="008076C6"/>
    <w:rsid w:val="00824831"/>
    <w:rsid w:val="00826EFB"/>
    <w:rsid w:val="0083792C"/>
    <w:rsid w:val="00842C34"/>
    <w:rsid w:val="00845268"/>
    <w:rsid w:val="0085469A"/>
    <w:rsid w:val="00862835"/>
    <w:rsid w:val="00864BAE"/>
    <w:rsid w:val="008827D0"/>
    <w:rsid w:val="00886FAB"/>
    <w:rsid w:val="008A5ABB"/>
    <w:rsid w:val="008B0084"/>
    <w:rsid w:val="008B0365"/>
    <w:rsid w:val="008C4503"/>
    <w:rsid w:val="008C620E"/>
    <w:rsid w:val="008D6C0E"/>
    <w:rsid w:val="008E19B0"/>
    <w:rsid w:val="008E4E22"/>
    <w:rsid w:val="008F2EA2"/>
    <w:rsid w:val="008F5E43"/>
    <w:rsid w:val="00912CCC"/>
    <w:rsid w:val="009251BC"/>
    <w:rsid w:val="00933433"/>
    <w:rsid w:val="00943296"/>
    <w:rsid w:val="009443F2"/>
    <w:rsid w:val="009461BD"/>
    <w:rsid w:val="00952981"/>
    <w:rsid w:val="009619CB"/>
    <w:rsid w:val="009648B2"/>
    <w:rsid w:val="00965BE4"/>
    <w:rsid w:val="00974FC5"/>
    <w:rsid w:val="00982E7C"/>
    <w:rsid w:val="009970F3"/>
    <w:rsid w:val="00997AA1"/>
    <w:rsid w:val="009A7144"/>
    <w:rsid w:val="009A795D"/>
    <w:rsid w:val="009B2D6A"/>
    <w:rsid w:val="009B3D4E"/>
    <w:rsid w:val="009B6576"/>
    <w:rsid w:val="009C15A1"/>
    <w:rsid w:val="009C749C"/>
    <w:rsid w:val="009D4743"/>
    <w:rsid w:val="009E60AB"/>
    <w:rsid w:val="009E755B"/>
    <w:rsid w:val="009F57D6"/>
    <w:rsid w:val="009F6B50"/>
    <w:rsid w:val="00A050E7"/>
    <w:rsid w:val="00A07DFA"/>
    <w:rsid w:val="00A21616"/>
    <w:rsid w:val="00A25A1D"/>
    <w:rsid w:val="00A31D74"/>
    <w:rsid w:val="00A610D4"/>
    <w:rsid w:val="00A61278"/>
    <w:rsid w:val="00A74077"/>
    <w:rsid w:val="00A773B5"/>
    <w:rsid w:val="00A94EA3"/>
    <w:rsid w:val="00AA45A7"/>
    <w:rsid w:val="00AB2783"/>
    <w:rsid w:val="00AB4E26"/>
    <w:rsid w:val="00AB6674"/>
    <w:rsid w:val="00AB6E8F"/>
    <w:rsid w:val="00AB7B33"/>
    <w:rsid w:val="00AC0564"/>
    <w:rsid w:val="00AD152D"/>
    <w:rsid w:val="00AD3FA2"/>
    <w:rsid w:val="00AE0C36"/>
    <w:rsid w:val="00AE0F63"/>
    <w:rsid w:val="00AE2C11"/>
    <w:rsid w:val="00AE4E8A"/>
    <w:rsid w:val="00AE7987"/>
    <w:rsid w:val="00AF1DB3"/>
    <w:rsid w:val="00B049DC"/>
    <w:rsid w:val="00B11B82"/>
    <w:rsid w:val="00B1216F"/>
    <w:rsid w:val="00B2070D"/>
    <w:rsid w:val="00B25BEB"/>
    <w:rsid w:val="00B2651D"/>
    <w:rsid w:val="00B34ED2"/>
    <w:rsid w:val="00B35549"/>
    <w:rsid w:val="00B36E35"/>
    <w:rsid w:val="00B42080"/>
    <w:rsid w:val="00B42416"/>
    <w:rsid w:val="00B42D73"/>
    <w:rsid w:val="00B437EE"/>
    <w:rsid w:val="00B43B70"/>
    <w:rsid w:val="00B46028"/>
    <w:rsid w:val="00B4614B"/>
    <w:rsid w:val="00B46F66"/>
    <w:rsid w:val="00B51545"/>
    <w:rsid w:val="00B53B33"/>
    <w:rsid w:val="00B650A5"/>
    <w:rsid w:val="00B67B7F"/>
    <w:rsid w:val="00B7335B"/>
    <w:rsid w:val="00B820D2"/>
    <w:rsid w:val="00B8290B"/>
    <w:rsid w:val="00B83050"/>
    <w:rsid w:val="00B839FA"/>
    <w:rsid w:val="00B908A9"/>
    <w:rsid w:val="00BA080F"/>
    <w:rsid w:val="00BA3C74"/>
    <w:rsid w:val="00BB264B"/>
    <w:rsid w:val="00BB2E6A"/>
    <w:rsid w:val="00BB31F1"/>
    <w:rsid w:val="00BC267F"/>
    <w:rsid w:val="00BC472B"/>
    <w:rsid w:val="00BC4D05"/>
    <w:rsid w:val="00BC567C"/>
    <w:rsid w:val="00BC6A29"/>
    <w:rsid w:val="00BD7213"/>
    <w:rsid w:val="00BF4193"/>
    <w:rsid w:val="00BF64D7"/>
    <w:rsid w:val="00C062F2"/>
    <w:rsid w:val="00C07DB5"/>
    <w:rsid w:val="00C4780F"/>
    <w:rsid w:val="00C642D7"/>
    <w:rsid w:val="00C71629"/>
    <w:rsid w:val="00C864ED"/>
    <w:rsid w:val="00C971BE"/>
    <w:rsid w:val="00C978B9"/>
    <w:rsid w:val="00CA3E1D"/>
    <w:rsid w:val="00CA70E9"/>
    <w:rsid w:val="00CB20FD"/>
    <w:rsid w:val="00CB7614"/>
    <w:rsid w:val="00CE306B"/>
    <w:rsid w:val="00CE4E4C"/>
    <w:rsid w:val="00CF3748"/>
    <w:rsid w:val="00CF40AC"/>
    <w:rsid w:val="00D00720"/>
    <w:rsid w:val="00D00FC3"/>
    <w:rsid w:val="00D0125E"/>
    <w:rsid w:val="00D01B04"/>
    <w:rsid w:val="00D0403A"/>
    <w:rsid w:val="00D063B7"/>
    <w:rsid w:val="00D07729"/>
    <w:rsid w:val="00D1778F"/>
    <w:rsid w:val="00D23C0A"/>
    <w:rsid w:val="00D25E2C"/>
    <w:rsid w:val="00D30D59"/>
    <w:rsid w:val="00D37286"/>
    <w:rsid w:val="00D40914"/>
    <w:rsid w:val="00D41DA0"/>
    <w:rsid w:val="00D468CA"/>
    <w:rsid w:val="00D478E8"/>
    <w:rsid w:val="00D47CC0"/>
    <w:rsid w:val="00D56762"/>
    <w:rsid w:val="00D61830"/>
    <w:rsid w:val="00D648E8"/>
    <w:rsid w:val="00D75081"/>
    <w:rsid w:val="00D7565A"/>
    <w:rsid w:val="00D97FA8"/>
    <w:rsid w:val="00DA262F"/>
    <w:rsid w:val="00DA6615"/>
    <w:rsid w:val="00DB10D8"/>
    <w:rsid w:val="00DC6031"/>
    <w:rsid w:val="00DC6A18"/>
    <w:rsid w:val="00DE0B13"/>
    <w:rsid w:val="00DE1054"/>
    <w:rsid w:val="00DE2351"/>
    <w:rsid w:val="00DE67EB"/>
    <w:rsid w:val="00DF066D"/>
    <w:rsid w:val="00DF262C"/>
    <w:rsid w:val="00DF6CEE"/>
    <w:rsid w:val="00E03718"/>
    <w:rsid w:val="00E264A8"/>
    <w:rsid w:val="00E33427"/>
    <w:rsid w:val="00E33E83"/>
    <w:rsid w:val="00E343C6"/>
    <w:rsid w:val="00E438B1"/>
    <w:rsid w:val="00E51132"/>
    <w:rsid w:val="00E55B5A"/>
    <w:rsid w:val="00E56652"/>
    <w:rsid w:val="00E6145D"/>
    <w:rsid w:val="00E67366"/>
    <w:rsid w:val="00E76384"/>
    <w:rsid w:val="00E97129"/>
    <w:rsid w:val="00EA2152"/>
    <w:rsid w:val="00EA2CF1"/>
    <w:rsid w:val="00EA4171"/>
    <w:rsid w:val="00EB12D3"/>
    <w:rsid w:val="00EB29D5"/>
    <w:rsid w:val="00EB40EB"/>
    <w:rsid w:val="00EC5B31"/>
    <w:rsid w:val="00EC5D2F"/>
    <w:rsid w:val="00EC68AC"/>
    <w:rsid w:val="00EE1860"/>
    <w:rsid w:val="00EE36B1"/>
    <w:rsid w:val="00EF1B2A"/>
    <w:rsid w:val="00EF3207"/>
    <w:rsid w:val="00F00FB8"/>
    <w:rsid w:val="00F02CA8"/>
    <w:rsid w:val="00F06398"/>
    <w:rsid w:val="00F26BF1"/>
    <w:rsid w:val="00F357B4"/>
    <w:rsid w:val="00F37C81"/>
    <w:rsid w:val="00F44059"/>
    <w:rsid w:val="00F44276"/>
    <w:rsid w:val="00F558B1"/>
    <w:rsid w:val="00F6157F"/>
    <w:rsid w:val="00F70E1A"/>
    <w:rsid w:val="00F8626D"/>
    <w:rsid w:val="00F91173"/>
    <w:rsid w:val="00FA5AA0"/>
    <w:rsid w:val="00FB03E5"/>
    <w:rsid w:val="00FB305C"/>
    <w:rsid w:val="00FC16B2"/>
    <w:rsid w:val="00FC7F2D"/>
    <w:rsid w:val="00FD2CCD"/>
    <w:rsid w:val="00FE181D"/>
    <w:rsid w:val="00FE67E8"/>
    <w:rsid w:val="00FE6E65"/>
    <w:rsid w:val="00FF22E7"/>
    <w:rsid w:val="00FF5125"/>
    <w:rsid w:val="00FF6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800CB"/>
  <w15:docId w15:val="{5537F30B-42E4-4955-96D2-9CB5E79D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ocked="1" w:uiPriority="60"/>
    <w:lsdException w:name="Light List" w:uiPriority="61"/>
    <w:lsdException w:name="Light Grid" w:uiPriority="62"/>
    <w:lsdException w:name="Medium Shading 1" w:uiPriority="63"/>
    <w:lsdException w:name="Medium Shading 2" w:locked="1" w:uiPriority="64"/>
    <w:lsdException w:name="Medium List 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uiPriority="61"/>
    <w:lsdException w:name="Light Grid Accent 1" w:uiPriority="62"/>
    <w:lsdException w:name="Medium Shading 1 Accent 1" w:uiPriority="63"/>
    <w:lsdException w:name="Medium Shading 2 Accent 1" w:locked="1" w:uiPriority="64"/>
    <w:lsdException w:name="Medium List 1 Accent 1" w:uiPriority="65"/>
    <w:lsdException w:name="Revision" w:semiHidden="1"/>
    <w:lsdException w:name="List Paragraph" w:uiPriority="34" w:qFormat="1"/>
    <w:lsdException w:name="Quote" w:uiPriority="28"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uiPriority="61"/>
    <w:lsdException w:name="Light Grid Accent 2" w:uiPriority="62"/>
    <w:lsdException w:name="Medium Shading 1 Accent 2" w:uiPriority="63"/>
    <w:lsdException w:name="Medium Shading 2 Accent 2" w:locked="1" w:uiPriority="64"/>
    <w:lsdException w:name="Medium List 1 Accent 2"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uiPriority="61"/>
    <w:lsdException w:name="Light Grid Accent 3" w:uiPriority="62"/>
    <w:lsdException w:name="Medium Shading 1 Accent 3" w:uiPriority="63"/>
    <w:lsdException w:name="Medium Shading 2 Accent 3" w:locked="1" w:uiPriority="64"/>
    <w:lsdException w:name="Medium List 1 Accent 3"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uiPriority="61"/>
    <w:lsdException w:name="Light Grid Accent 4" w:uiPriority="62"/>
    <w:lsdException w:name="Medium Shading 1 Accent 4" w:uiPriority="63"/>
    <w:lsdException w:name="Medium Shading 2 Accent 4" w:locked="1" w:uiPriority="64"/>
    <w:lsdException w:name="Medium List 1 Accent 4"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uiPriority="61"/>
    <w:lsdException w:name="Light Grid Accent 5" w:uiPriority="62"/>
    <w:lsdException w:name="Medium Shading 1 Accent 5" w:uiPriority="63"/>
    <w:lsdException w:name="Medium Shading 2 Accent 5" w:locked="1" w:uiPriority="64"/>
    <w:lsdException w:name="Medium List 1 Accent 5"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uiPriority="61"/>
    <w:lsdException w:name="Light Grid Accent 6" w:uiPriority="62"/>
    <w:lsdException w:name="Medium Shading 1 Accent 6" w:uiPriority="63"/>
    <w:lsdException w:name="Medium Shading 2 Accent 6" w:locked="1" w:uiPriority="64"/>
    <w:lsdException w:name="Medium List 1 Accent 6"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93"/>
    <w:pPr>
      <w:spacing w:after="120" w:line="240" w:lineRule="auto"/>
    </w:pPr>
  </w:style>
  <w:style w:type="paragraph" w:styleId="Heading1">
    <w:name w:val="heading 1"/>
    <w:basedOn w:val="Normal"/>
    <w:next w:val="Normal"/>
    <w:link w:val="Heading1Char"/>
    <w:uiPriority w:val="4"/>
    <w:qFormat/>
    <w:rsid w:val="00F00FB8"/>
    <w:pPr>
      <w:keepNext/>
      <w:keepLines/>
      <w:spacing w:before="200" w:after="60"/>
      <w:outlineLvl w:val="0"/>
    </w:pPr>
    <w:rPr>
      <w:rFonts w:asciiTheme="majorHAnsi" w:eastAsiaTheme="majorEastAsia" w:hAnsiTheme="majorHAnsi" w:cstheme="majorBidi"/>
      <w:b/>
      <w:bCs/>
      <w:color w:val="000000" w:themeColor="background2"/>
      <w:sz w:val="32"/>
      <w:szCs w:val="28"/>
    </w:rPr>
  </w:style>
  <w:style w:type="paragraph" w:styleId="Heading2">
    <w:name w:val="heading 2"/>
    <w:basedOn w:val="Normal"/>
    <w:next w:val="Normal"/>
    <w:link w:val="Heading2Char"/>
    <w:uiPriority w:val="6"/>
    <w:qFormat/>
    <w:rsid w:val="00324E8A"/>
    <w:pPr>
      <w:keepNext/>
      <w:keepLines/>
      <w:spacing w:before="200" w:after="40"/>
      <w:outlineLvl w:val="1"/>
    </w:pPr>
    <w:rPr>
      <w:rFonts w:asciiTheme="majorHAnsi" w:eastAsiaTheme="majorEastAsia" w:hAnsiTheme="majorHAnsi" w:cstheme="majorBidi"/>
      <w:b/>
      <w:bCs/>
      <w:color w:val="000000" w:themeColor="background2"/>
      <w:sz w:val="28"/>
      <w:szCs w:val="32"/>
    </w:rPr>
  </w:style>
  <w:style w:type="paragraph" w:styleId="Heading3">
    <w:name w:val="heading 3"/>
    <w:basedOn w:val="Normal"/>
    <w:next w:val="Normal"/>
    <w:link w:val="Heading3Char"/>
    <w:uiPriority w:val="7"/>
    <w:qFormat/>
    <w:rsid w:val="00324E8A"/>
    <w:pPr>
      <w:keepNext/>
      <w:keepLines/>
      <w:spacing w:before="200" w:after="40"/>
      <w:outlineLvl w:val="2"/>
    </w:pPr>
    <w:rPr>
      <w:rFonts w:asciiTheme="majorHAnsi" w:eastAsiaTheme="majorEastAsia" w:hAnsiTheme="majorHAnsi" w:cstheme="majorBidi"/>
      <w:b/>
      <w:bCs/>
      <w:color w:val="000000" w:themeColor="text2"/>
      <w:sz w:val="26"/>
    </w:rPr>
  </w:style>
  <w:style w:type="paragraph" w:styleId="Heading4">
    <w:name w:val="heading 4"/>
    <w:basedOn w:val="Normal"/>
    <w:next w:val="Normal"/>
    <w:link w:val="Heading4Char"/>
    <w:uiPriority w:val="8"/>
    <w:unhideWhenUsed/>
    <w:qFormat/>
    <w:rsid w:val="008D6C0E"/>
    <w:pPr>
      <w:keepNext/>
      <w:keepLines/>
      <w:spacing w:before="200" w:after="0"/>
      <w:outlineLvl w:val="3"/>
    </w:pPr>
    <w:rPr>
      <w:rFonts w:asciiTheme="majorHAnsi" w:eastAsiaTheme="majorEastAsia" w:hAnsiTheme="majorHAnsi" w:cstheme="majorBidi"/>
      <w:b/>
      <w:bCs/>
      <w:iCs/>
      <w:color w:val="000000" w:themeColor="accent1"/>
      <w:sz w:val="24"/>
    </w:rPr>
  </w:style>
  <w:style w:type="paragraph" w:styleId="Heading5">
    <w:name w:val="heading 5"/>
    <w:basedOn w:val="Normal"/>
    <w:next w:val="Normal"/>
    <w:link w:val="Heading5Char"/>
    <w:uiPriority w:val="9"/>
    <w:unhideWhenUsed/>
    <w:qFormat/>
    <w:rsid w:val="008D6C0E"/>
    <w:pPr>
      <w:keepNext/>
      <w:keepLines/>
      <w:spacing w:before="200" w:after="0"/>
      <w:outlineLvl w:val="4"/>
    </w:pPr>
    <w:rPr>
      <w:rFonts w:asciiTheme="majorHAnsi" w:eastAsiaTheme="majorEastAsia" w:hAnsiTheme="majorHAnsi" w:cstheme="majorBidi"/>
      <w:color w:val="000000" w:themeColor="accent1" w:themeShade="7F"/>
      <w:sz w:val="24"/>
    </w:rPr>
  </w:style>
  <w:style w:type="paragraph" w:styleId="Heading6">
    <w:name w:val="heading 6"/>
    <w:basedOn w:val="Normal"/>
    <w:next w:val="Normal"/>
    <w:link w:val="Heading6Char"/>
    <w:uiPriority w:val="9"/>
    <w:unhideWhenUsed/>
    <w:qFormat/>
    <w:rsid w:val="008D6C0E"/>
    <w:pPr>
      <w:keepNext/>
      <w:keepLines/>
      <w:spacing w:before="200" w:after="0"/>
      <w:outlineLvl w:val="5"/>
    </w:pPr>
    <w:rPr>
      <w:rFonts w:asciiTheme="majorHAnsi" w:eastAsiaTheme="majorEastAsia" w:hAnsiTheme="majorHAnsi" w:cstheme="majorBidi"/>
      <w:i/>
      <w:iCs/>
      <w:color w:val="000000" w:themeColor="accent1" w:themeShade="7F"/>
      <w:sz w:val="24"/>
      <w:u w:val="single"/>
    </w:rPr>
  </w:style>
  <w:style w:type="paragraph" w:styleId="Heading7">
    <w:name w:val="heading 7"/>
    <w:basedOn w:val="Normal"/>
    <w:next w:val="Normal"/>
    <w:link w:val="Heading7Char"/>
    <w:uiPriority w:val="9"/>
    <w:unhideWhenUsed/>
    <w:qFormat/>
    <w:rsid w:val="00FF6E67"/>
    <w:pPr>
      <w:keepNext/>
      <w:keepLines/>
      <w:spacing w:before="20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rsid w:val="00BC47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47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F00FB8"/>
    <w:rPr>
      <w:rFonts w:asciiTheme="majorHAnsi" w:eastAsiaTheme="majorEastAsia" w:hAnsiTheme="majorHAnsi" w:cstheme="majorBidi"/>
      <w:b/>
      <w:bCs/>
      <w:color w:val="000000" w:themeColor="background2"/>
      <w:sz w:val="32"/>
      <w:szCs w:val="28"/>
    </w:rPr>
  </w:style>
  <w:style w:type="paragraph" w:styleId="Header">
    <w:name w:val="header"/>
    <w:basedOn w:val="Normal"/>
    <w:link w:val="HeaderChar"/>
    <w:uiPriority w:val="99"/>
    <w:unhideWhenUsed/>
    <w:rsid w:val="004B071D"/>
    <w:pPr>
      <w:tabs>
        <w:tab w:val="center" w:pos="4513"/>
        <w:tab w:val="right" w:pos="9026"/>
      </w:tabs>
      <w:spacing w:before="240" w:after="0"/>
    </w:pPr>
    <w:rPr>
      <w:noProof/>
      <w:lang w:eastAsia="en-AU"/>
    </w:rPr>
  </w:style>
  <w:style w:type="character" w:customStyle="1" w:styleId="HeaderChar">
    <w:name w:val="Header Char"/>
    <w:basedOn w:val="DefaultParagraphFont"/>
    <w:link w:val="Header"/>
    <w:uiPriority w:val="99"/>
    <w:rsid w:val="004B071D"/>
    <w:rPr>
      <w:noProof/>
      <w:lang w:eastAsia="en-AU"/>
    </w:rPr>
  </w:style>
  <w:style w:type="paragraph" w:styleId="Footer">
    <w:name w:val="footer"/>
    <w:basedOn w:val="Normal"/>
    <w:link w:val="FooterChar"/>
    <w:uiPriority w:val="99"/>
    <w:unhideWhenUsed/>
    <w:rsid w:val="00775A6C"/>
    <w:pPr>
      <w:tabs>
        <w:tab w:val="center" w:pos="4513"/>
        <w:tab w:val="right" w:pos="9026"/>
      </w:tabs>
      <w:spacing w:after="0"/>
    </w:pPr>
  </w:style>
  <w:style w:type="character" w:customStyle="1" w:styleId="FooterChar">
    <w:name w:val="Footer Char"/>
    <w:basedOn w:val="DefaultParagraphFont"/>
    <w:link w:val="Footer"/>
    <w:uiPriority w:val="99"/>
    <w:rsid w:val="00775A6C"/>
  </w:style>
  <w:style w:type="character" w:customStyle="1" w:styleId="Heading2Char">
    <w:name w:val="Heading 2 Char"/>
    <w:basedOn w:val="DefaultParagraphFont"/>
    <w:link w:val="Heading2"/>
    <w:uiPriority w:val="6"/>
    <w:rsid w:val="00324E8A"/>
    <w:rPr>
      <w:rFonts w:asciiTheme="majorHAnsi" w:eastAsiaTheme="majorEastAsia" w:hAnsiTheme="majorHAnsi" w:cstheme="majorBidi"/>
      <w:b/>
      <w:bCs/>
      <w:color w:val="000000" w:themeColor="background2"/>
      <w:sz w:val="28"/>
      <w:szCs w:val="32"/>
    </w:rPr>
  </w:style>
  <w:style w:type="character" w:customStyle="1" w:styleId="Heading3Char">
    <w:name w:val="Heading 3 Char"/>
    <w:basedOn w:val="DefaultParagraphFont"/>
    <w:link w:val="Heading3"/>
    <w:uiPriority w:val="7"/>
    <w:rsid w:val="00324E8A"/>
    <w:rPr>
      <w:rFonts w:asciiTheme="majorHAnsi" w:eastAsiaTheme="majorEastAsia" w:hAnsiTheme="majorHAnsi" w:cstheme="majorBidi"/>
      <w:b/>
      <w:bCs/>
      <w:color w:val="000000" w:themeColor="text2"/>
      <w:sz w:val="26"/>
    </w:rPr>
  </w:style>
  <w:style w:type="paragraph" w:styleId="ListParagraph">
    <w:name w:val="List Paragraph"/>
    <w:aliases w:val="List Paragraph1,Recommendation,#List Paragraph,L,List Paragraph11,Bullet Point,Bullet point,Bulletr List Paragraph,Bullets,Content descriptions,FooterText,List Bullet 1,List Paragraph2,List Paragraph21,Listeafsnit1,NFP GP Bulleted List,列"/>
    <w:basedOn w:val="Normal"/>
    <w:link w:val="ListParagraphChar"/>
    <w:uiPriority w:val="34"/>
    <w:qFormat/>
    <w:rsid w:val="00430EF8"/>
    <w:pPr>
      <w:ind w:left="720"/>
    </w:pPr>
  </w:style>
  <w:style w:type="paragraph" w:styleId="Quote">
    <w:name w:val="Quote"/>
    <w:basedOn w:val="Normal"/>
    <w:next w:val="Normal"/>
    <w:link w:val="QuoteChar"/>
    <w:uiPriority w:val="28"/>
    <w:qFormat/>
    <w:rsid w:val="00335A8F"/>
    <w:rPr>
      <w:i/>
      <w:iCs/>
      <w:color w:val="000000" w:themeColor="text1"/>
    </w:rPr>
  </w:style>
  <w:style w:type="character" w:customStyle="1" w:styleId="QuoteChar">
    <w:name w:val="Quote Char"/>
    <w:basedOn w:val="DefaultParagraphFont"/>
    <w:link w:val="Quote"/>
    <w:uiPriority w:val="28"/>
    <w:rsid w:val="006D7F4A"/>
    <w:rPr>
      <w:i/>
      <w:iCs/>
      <w:color w:val="000000" w:themeColor="text1"/>
      <w:sz w:val="24"/>
    </w:rPr>
  </w:style>
  <w:style w:type="paragraph" w:customStyle="1" w:styleId="Bullet1">
    <w:name w:val="Bullet 1"/>
    <w:basedOn w:val="Normal"/>
    <w:uiPriority w:val="34"/>
    <w:semiHidden/>
    <w:rsid w:val="00800E03"/>
    <w:pPr>
      <w:numPr>
        <w:numId w:val="6"/>
      </w:numPr>
    </w:pPr>
  </w:style>
  <w:style w:type="character" w:customStyle="1" w:styleId="Act">
    <w:name w:val="Act"/>
    <w:basedOn w:val="DefaultParagraphFont"/>
    <w:uiPriority w:val="23"/>
    <w:qFormat/>
    <w:rsid w:val="00335A8F"/>
    <w:rPr>
      <w:i/>
    </w:rPr>
  </w:style>
  <w:style w:type="paragraph" w:styleId="Title">
    <w:name w:val="Title"/>
    <w:basedOn w:val="Normal"/>
    <w:next w:val="Subtitle"/>
    <w:link w:val="TitleChar"/>
    <w:qFormat/>
    <w:rsid w:val="000F6308"/>
    <w:pPr>
      <w:spacing w:before="1600" w:after="300"/>
      <w:ind w:right="1088"/>
      <w:contextualSpacing/>
    </w:pPr>
    <w:rPr>
      <w:rFonts w:asciiTheme="majorHAnsi" w:eastAsiaTheme="majorEastAsia" w:hAnsiTheme="majorHAnsi" w:cstheme="majorBidi"/>
      <w:color w:val="000000" w:themeColor="background2"/>
      <w:spacing w:val="5"/>
      <w:kern w:val="28"/>
      <w:sz w:val="72"/>
      <w:szCs w:val="52"/>
    </w:rPr>
  </w:style>
  <w:style w:type="character" w:customStyle="1" w:styleId="TitleChar">
    <w:name w:val="Title Char"/>
    <w:basedOn w:val="DefaultParagraphFont"/>
    <w:link w:val="Title"/>
    <w:rsid w:val="000F6308"/>
    <w:rPr>
      <w:rFonts w:asciiTheme="majorHAnsi" w:eastAsiaTheme="majorEastAsia" w:hAnsiTheme="majorHAnsi" w:cstheme="majorBidi"/>
      <w:color w:val="000000" w:themeColor="background2"/>
      <w:spacing w:val="5"/>
      <w:kern w:val="28"/>
      <w:sz w:val="72"/>
      <w:szCs w:val="52"/>
    </w:rPr>
  </w:style>
  <w:style w:type="paragraph" w:styleId="Subtitle">
    <w:name w:val="Subtitle"/>
    <w:basedOn w:val="Normal"/>
    <w:next w:val="VersionandDate"/>
    <w:link w:val="SubtitleChar"/>
    <w:uiPriority w:val="12"/>
    <w:qFormat/>
    <w:rsid w:val="006472C0"/>
    <w:pPr>
      <w:numPr>
        <w:ilvl w:val="1"/>
      </w:numPr>
    </w:pPr>
    <w:rPr>
      <w:rFonts w:asciiTheme="majorHAnsi" w:eastAsiaTheme="majorEastAsia" w:hAnsiTheme="majorHAnsi" w:cstheme="majorBidi"/>
      <w:iCs/>
      <w:color w:val="000000" w:themeColor="accent1"/>
      <w:spacing w:val="15"/>
      <w:sz w:val="40"/>
      <w:szCs w:val="40"/>
    </w:rPr>
  </w:style>
  <w:style w:type="character" w:customStyle="1" w:styleId="SubtitleChar">
    <w:name w:val="Subtitle Char"/>
    <w:basedOn w:val="DefaultParagraphFont"/>
    <w:link w:val="Subtitle"/>
    <w:uiPriority w:val="12"/>
    <w:rsid w:val="006D7F4A"/>
    <w:rPr>
      <w:rFonts w:asciiTheme="majorHAnsi" w:eastAsiaTheme="majorEastAsia" w:hAnsiTheme="majorHAnsi" w:cstheme="majorBidi"/>
      <w:iCs/>
      <w:color w:val="000000" w:themeColor="accent1"/>
      <w:spacing w:val="15"/>
      <w:sz w:val="40"/>
      <w:szCs w:val="40"/>
    </w:rPr>
  </w:style>
  <w:style w:type="paragraph" w:styleId="BalloonText">
    <w:name w:val="Balloon Text"/>
    <w:basedOn w:val="Normal"/>
    <w:link w:val="BalloonTextChar"/>
    <w:uiPriority w:val="99"/>
    <w:semiHidden/>
    <w:unhideWhenUsed/>
    <w:rsid w:val="008B00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084"/>
    <w:rPr>
      <w:rFonts w:ascii="Tahoma" w:hAnsi="Tahoma" w:cs="Tahoma"/>
      <w:sz w:val="16"/>
      <w:szCs w:val="16"/>
    </w:rPr>
  </w:style>
  <w:style w:type="paragraph" w:customStyle="1" w:styleId="VersionandDate">
    <w:name w:val="Version and Date"/>
    <w:basedOn w:val="Normal"/>
    <w:next w:val="Normal"/>
    <w:uiPriority w:val="13"/>
    <w:qFormat/>
    <w:rsid w:val="006472C0"/>
    <w:rPr>
      <w:sz w:val="28"/>
      <w:szCs w:val="28"/>
    </w:rPr>
  </w:style>
  <w:style w:type="paragraph" w:customStyle="1" w:styleId="Covernote">
    <w:name w:val="Cover note"/>
    <w:basedOn w:val="Normal"/>
    <w:next w:val="Normal"/>
    <w:uiPriority w:val="14"/>
    <w:qFormat/>
    <w:rsid w:val="006472C0"/>
    <w:rPr>
      <w:i/>
    </w:rPr>
  </w:style>
  <w:style w:type="character" w:customStyle="1" w:styleId="Heading4Char">
    <w:name w:val="Heading 4 Char"/>
    <w:basedOn w:val="DefaultParagraphFont"/>
    <w:link w:val="Heading4"/>
    <w:uiPriority w:val="8"/>
    <w:rsid w:val="008D6C0E"/>
    <w:rPr>
      <w:rFonts w:asciiTheme="majorHAnsi" w:eastAsiaTheme="majorEastAsia" w:hAnsiTheme="majorHAnsi" w:cstheme="majorBidi"/>
      <w:b/>
      <w:bCs/>
      <w:iCs/>
      <w:color w:val="000000" w:themeColor="accent1"/>
      <w:sz w:val="24"/>
    </w:rPr>
  </w:style>
  <w:style w:type="table" w:styleId="TableGrid">
    <w:name w:val="Table Grid"/>
    <w:basedOn w:val="TableNormal"/>
    <w:rsid w:val="000B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BEE"/>
    <w:pPr>
      <w:autoSpaceDE w:val="0"/>
      <w:autoSpaceDN w:val="0"/>
      <w:adjustRightInd w:val="0"/>
      <w:spacing w:after="0" w:line="240" w:lineRule="auto"/>
    </w:pPr>
    <w:rPr>
      <w:rFonts w:ascii="Arial" w:hAnsi="Arial" w:cs="Arial"/>
      <w:color w:val="000000"/>
      <w:sz w:val="24"/>
      <w:szCs w:val="24"/>
    </w:rPr>
  </w:style>
  <w:style w:type="table" w:styleId="LightList-Accent6">
    <w:name w:val="Light List Accent 6"/>
    <w:basedOn w:val="TableNormal"/>
    <w:uiPriority w:val="61"/>
    <w:rsid w:val="00EC68AC"/>
    <w:pPr>
      <w:spacing w:before="40" w:after="4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accent6"/>
      </w:tcPr>
    </w:tblStylePr>
    <w:tblStylePr w:type="lastRow">
      <w:pPr>
        <w:wordWrap/>
        <w:spacing w:beforeLines="0" w:before="40" w:beforeAutospacing="0" w:afterLines="0" w:after="40" w:afterAutospacing="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2Horz">
      <w:tblPr/>
      <w:tcPr>
        <w:shd w:val="clear" w:color="auto" w:fill="DBDCDD" w:themeFill="accent4" w:themeFillTint="66"/>
      </w:tcPr>
    </w:tblStylePr>
  </w:style>
  <w:style w:type="table" w:styleId="LightList-Accent3">
    <w:name w:val="Light List Accent 3"/>
    <w:basedOn w:val="TableNormal"/>
    <w:uiPriority w:val="61"/>
    <w:rsid w:val="00842C34"/>
    <w:pPr>
      <w:spacing w:before="40" w:after="40" w:line="240" w:lineRule="auto"/>
    </w:pPr>
    <w:tblPr>
      <w:tblStyleRowBandSize w:val="1"/>
      <w:tblStyleColBandSize w:val="1"/>
      <w:tbl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tcBorders>
      </w:tcPr>
    </w:tblStylePr>
    <w:tblStylePr w:type="firstCol">
      <w:rPr>
        <w:b/>
        <w:bCs/>
      </w:rPr>
    </w:tblStylePr>
    <w:tblStylePr w:type="lastCol">
      <w:rPr>
        <w:b/>
        <w:bCs/>
      </w:rPr>
    </w:tblStylePr>
    <w:tblStylePr w:type="band1Vert">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1Horz">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2Horz">
      <w:tblPr/>
      <w:tcPr>
        <w:tc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l2br w:val="nil"/>
          <w:tr2bl w:val="nil"/>
        </w:tcBorders>
        <w:shd w:val="clear" w:color="auto" w:fill="A7A9AC" w:themeFill="accent4"/>
      </w:tcPr>
    </w:tblStylePr>
  </w:style>
  <w:style w:type="table" w:styleId="LightShading-Accent4">
    <w:name w:val="Light Shading Accent 4"/>
    <w:basedOn w:val="TableNormal"/>
    <w:uiPriority w:val="60"/>
    <w:locked/>
    <w:rsid w:val="00DC6A18"/>
    <w:pPr>
      <w:spacing w:after="0" w:line="240" w:lineRule="auto"/>
    </w:pPr>
    <w:rPr>
      <w:color w:val="7B7E82" w:themeColor="accent4" w:themeShade="BF"/>
    </w:rPr>
    <w:tblPr>
      <w:tblStyleRowBandSize w:val="1"/>
      <w:tblStyleColBandSize w:val="1"/>
      <w:tblBorders>
        <w:top w:val="single" w:sz="8" w:space="0" w:color="A7A9AC" w:themeColor="accent4"/>
        <w:bottom w:val="single" w:sz="8" w:space="0" w:color="A7A9AC" w:themeColor="accent4"/>
      </w:tblBorders>
    </w:tblPr>
    <w:tblStylePr w:type="fir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la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left w:val="nil"/>
          <w:right w:val="nil"/>
          <w:insideH w:val="nil"/>
          <w:insideV w:val="nil"/>
        </w:tcBorders>
        <w:shd w:val="clear" w:color="auto" w:fill="E9E9EA" w:themeFill="accent4" w:themeFillTint="3F"/>
      </w:tcPr>
    </w:tblStylePr>
  </w:style>
  <w:style w:type="character" w:styleId="Hyperlink">
    <w:name w:val="Hyperlink"/>
    <w:basedOn w:val="DefaultParagraphFont"/>
    <w:uiPriority w:val="99"/>
    <w:unhideWhenUsed/>
    <w:rsid w:val="00771BEE"/>
    <w:rPr>
      <w:color w:val="0000FF" w:themeColor="hyperlink"/>
      <w:u w:val="single"/>
    </w:rPr>
  </w:style>
  <w:style w:type="paragraph" w:styleId="ListBullet">
    <w:name w:val="List Bullet"/>
    <w:basedOn w:val="Normal"/>
    <w:uiPriority w:val="2"/>
    <w:qFormat/>
    <w:rsid w:val="001E6176"/>
    <w:pPr>
      <w:numPr>
        <w:numId w:val="15"/>
      </w:numPr>
      <w:contextualSpacing/>
    </w:pPr>
  </w:style>
  <w:style w:type="paragraph" w:styleId="ListBullet2">
    <w:name w:val="List Bullet 2"/>
    <w:basedOn w:val="ListBullet"/>
    <w:uiPriority w:val="3"/>
    <w:qFormat/>
    <w:rsid w:val="00FF6E67"/>
    <w:pPr>
      <w:tabs>
        <w:tab w:val="num" w:pos="1080"/>
      </w:tabs>
      <w:ind w:left="1083"/>
    </w:pPr>
  </w:style>
  <w:style w:type="character" w:styleId="Emphasis">
    <w:name w:val="Emphasis"/>
    <w:basedOn w:val="DefaultParagraphFont"/>
    <w:uiPriority w:val="20"/>
    <w:qFormat/>
    <w:rsid w:val="009E755B"/>
    <w:rPr>
      <w:i/>
      <w:iCs/>
    </w:rPr>
  </w:style>
  <w:style w:type="character" w:styleId="Strong">
    <w:name w:val="Strong"/>
    <w:basedOn w:val="DefaultParagraphFont"/>
    <w:uiPriority w:val="22"/>
    <w:qFormat/>
    <w:rsid w:val="003773F8"/>
    <w:rPr>
      <w:b/>
      <w:bCs/>
    </w:rPr>
  </w:style>
  <w:style w:type="table" w:styleId="MediumShading1">
    <w:name w:val="Medium Shading 1"/>
    <w:basedOn w:val="TableNormal"/>
    <w:uiPriority w:val="63"/>
    <w:rsid w:val="00842C34"/>
    <w:pPr>
      <w:spacing w:before="40" w:after="4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051651"/>
    <w:pPr>
      <w:outlineLvl w:val="9"/>
    </w:pPr>
    <w:rPr>
      <w:lang w:val="en-US" w:eastAsia="ja-JP"/>
    </w:rPr>
  </w:style>
  <w:style w:type="paragraph" w:styleId="TOC1">
    <w:name w:val="toc 1"/>
    <w:basedOn w:val="Normal"/>
    <w:next w:val="Normal"/>
    <w:autoRedefine/>
    <w:uiPriority w:val="39"/>
    <w:unhideWhenUsed/>
    <w:rsid w:val="00AC0564"/>
    <w:pPr>
      <w:tabs>
        <w:tab w:val="left" w:pos="709"/>
        <w:tab w:val="right" w:leader="dot" w:pos="9016"/>
      </w:tabs>
      <w:spacing w:after="100"/>
    </w:pPr>
    <w:rPr>
      <w:b/>
      <w:noProof/>
      <w:color w:val="000000" w:themeColor="text1"/>
    </w:rPr>
  </w:style>
  <w:style w:type="paragraph" w:styleId="TOC2">
    <w:name w:val="toc 2"/>
    <w:basedOn w:val="Normal"/>
    <w:next w:val="Normal"/>
    <w:autoRedefine/>
    <w:uiPriority w:val="39"/>
    <w:unhideWhenUsed/>
    <w:rsid w:val="00AC0564"/>
    <w:pPr>
      <w:tabs>
        <w:tab w:val="left" w:pos="709"/>
        <w:tab w:val="right" w:leader="dot" w:pos="9016"/>
      </w:tabs>
      <w:spacing w:after="100"/>
    </w:pPr>
    <w:rPr>
      <w:noProof/>
    </w:rPr>
  </w:style>
  <w:style w:type="paragraph" w:styleId="TOC4">
    <w:name w:val="toc 4"/>
    <w:basedOn w:val="Normal"/>
    <w:next w:val="Normal"/>
    <w:autoRedefine/>
    <w:uiPriority w:val="39"/>
    <w:unhideWhenUsed/>
    <w:rsid w:val="00485873"/>
    <w:pPr>
      <w:tabs>
        <w:tab w:val="right" w:leader="dot" w:pos="9016"/>
      </w:tabs>
      <w:spacing w:after="100"/>
    </w:pPr>
    <w:rPr>
      <w:i/>
    </w:rPr>
  </w:style>
  <w:style w:type="paragraph" w:styleId="TOC3">
    <w:name w:val="toc 3"/>
    <w:basedOn w:val="Normal"/>
    <w:next w:val="Normal"/>
    <w:autoRedefine/>
    <w:uiPriority w:val="39"/>
    <w:unhideWhenUsed/>
    <w:rsid w:val="007C4A1B"/>
    <w:pPr>
      <w:tabs>
        <w:tab w:val="left" w:pos="709"/>
        <w:tab w:val="right" w:leader="dot" w:pos="9016"/>
      </w:tabs>
      <w:spacing w:after="100"/>
    </w:pPr>
    <w:rPr>
      <w:i/>
      <w:noProof/>
    </w:rPr>
  </w:style>
  <w:style w:type="table" w:styleId="LightShading-Accent1">
    <w:name w:val="Light Shading Accent 1"/>
    <w:basedOn w:val="TableNormal"/>
    <w:uiPriority w:val="60"/>
    <w:locked/>
    <w:rsid w:val="004B071D"/>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
    <w:name w:val="Light Shading"/>
    <w:basedOn w:val="TableNormal"/>
    <w:uiPriority w:val="60"/>
    <w:locked/>
    <w:rsid w:val="00D23C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1">
    <w:name w:val="Light List Accent 1"/>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2">
    <w:name w:val="Light List Accent 2"/>
    <w:basedOn w:val="TableNormal"/>
    <w:uiPriority w:val="61"/>
    <w:rsid w:val="00AF1DB3"/>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58595B"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MediumShading1-Accent3">
    <w:name w:val="Medium Shading 1 Accent 3"/>
    <w:basedOn w:val="TableNormal"/>
    <w:uiPriority w:val="63"/>
    <w:rsid w:val="00842C34"/>
    <w:pPr>
      <w:spacing w:before="40" w:after="40" w:line="240" w:lineRule="auto"/>
    </w:pPr>
    <w:tblPr>
      <w:tblStyleRowBandSize w:val="1"/>
      <w:tblBorders>
        <w:top w:val="single" w:sz="8"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single" w:sz="8" w:space="0" w:color="9FA1A3"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locked/>
    <w:rsid w:val="00A07DFA"/>
    <w:pPr>
      <w:spacing w:after="0" w:line="240" w:lineRule="auto"/>
    </w:pPr>
    <w:rPr>
      <w:color w:val="FFFFFF" w:themeColor="background1"/>
    </w:rPr>
    <w:tblPr>
      <w:tblStyleRowBandSize w:val="1"/>
      <w:tblStyleColBandSize w:val="1"/>
    </w:tblPr>
    <w:tcPr>
      <w:shd w:val="clear" w:color="auto" w:fill="0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6" w:themeFillShade="BF"/>
      </w:tcPr>
    </w:tblStylePr>
    <w:tblStylePr w:type="band1Vert">
      <w:tblPr/>
      <w:tcPr>
        <w:tcBorders>
          <w:top w:val="nil"/>
          <w:left w:val="nil"/>
          <w:bottom w:val="nil"/>
          <w:right w:val="nil"/>
          <w:insideH w:val="nil"/>
          <w:insideV w:val="nil"/>
        </w:tcBorders>
        <w:shd w:val="clear" w:color="auto" w:fill="000000" w:themeFill="accent6" w:themeFillShade="BF"/>
      </w:tcPr>
    </w:tblStylePr>
    <w:tblStylePr w:type="band1Horz">
      <w:tblPr/>
      <w:tcPr>
        <w:tcBorders>
          <w:top w:val="nil"/>
          <w:left w:val="nil"/>
          <w:bottom w:val="nil"/>
          <w:right w:val="nil"/>
          <w:insideH w:val="nil"/>
          <w:insideV w:val="nil"/>
        </w:tcBorders>
        <w:shd w:val="clear" w:color="auto" w:fill="000000" w:themeFill="accent6" w:themeFillShade="BF"/>
      </w:tcPr>
    </w:tblStylePr>
  </w:style>
  <w:style w:type="paragraph" w:customStyle="1" w:styleId="OrganisationName">
    <w:name w:val="Organisation Name"/>
    <w:basedOn w:val="Normal"/>
    <w:next w:val="Title"/>
    <w:uiPriority w:val="10"/>
    <w:qFormat/>
    <w:rsid w:val="00396865"/>
    <w:pPr>
      <w:jc w:val="center"/>
    </w:pPr>
    <w:rPr>
      <w:b/>
      <w:sz w:val="36"/>
      <w:szCs w:val="36"/>
    </w:rPr>
  </w:style>
  <w:style w:type="paragraph" w:styleId="Caption">
    <w:name w:val="caption"/>
    <w:basedOn w:val="Normal"/>
    <w:next w:val="Normal"/>
    <w:uiPriority w:val="35"/>
    <w:unhideWhenUsed/>
    <w:rsid w:val="000F6308"/>
    <w:rPr>
      <w:bCs/>
      <w:color w:val="000000" w:themeColor="accent1"/>
      <w:szCs w:val="18"/>
    </w:rPr>
  </w:style>
  <w:style w:type="character" w:customStyle="1" w:styleId="Heading5Char">
    <w:name w:val="Heading 5 Char"/>
    <w:basedOn w:val="DefaultParagraphFont"/>
    <w:link w:val="Heading5"/>
    <w:uiPriority w:val="9"/>
    <w:rsid w:val="008D6C0E"/>
    <w:rPr>
      <w:rFonts w:asciiTheme="majorHAnsi" w:eastAsiaTheme="majorEastAsia" w:hAnsiTheme="majorHAnsi" w:cstheme="majorBidi"/>
      <w:color w:val="000000" w:themeColor="accent1" w:themeShade="7F"/>
      <w:sz w:val="24"/>
    </w:rPr>
  </w:style>
  <w:style w:type="character" w:customStyle="1" w:styleId="Heading6Char">
    <w:name w:val="Heading 6 Char"/>
    <w:basedOn w:val="DefaultParagraphFont"/>
    <w:link w:val="Heading6"/>
    <w:uiPriority w:val="9"/>
    <w:rsid w:val="008D6C0E"/>
    <w:rPr>
      <w:rFonts w:asciiTheme="majorHAnsi" w:eastAsiaTheme="majorEastAsia" w:hAnsiTheme="majorHAnsi" w:cstheme="majorBidi"/>
      <w:i/>
      <w:iCs/>
      <w:color w:val="000000" w:themeColor="accent1" w:themeShade="7F"/>
      <w:sz w:val="24"/>
      <w:u w:val="single"/>
    </w:rPr>
  </w:style>
  <w:style w:type="character" w:customStyle="1" w:styleId="Heading7Char">
    <w:name w:val="Heading 7 Char"/>
    <w:basedOn w:val="DefaultParagraphFont"/>
    <w:link w:val="Heading7"/>
    <w:uiPriority w:val="9"/>
    <w:rsid w:val="00FF6E67"/>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0F63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F6308"/>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741A3F"/>
    <w:rPr>
      <w:color w:val="808080"/>
    </w:rPr>
  </w:style>
  <w:style w:type="paragraph" w:styleId="NoSpacing">
    <w:name w:val="No Spacing"/>
    <w:basedOn w:val="Normal"/>
    <w:uiPriority w:val="1"/>
    <w:qFormat/>
    <w:rsid w:val="00FF6E67"/>
    <w:pPr>
      <w:spacing w:after="0"/>
    </w:pPr>
  </w:style>
  <w:style w:type="table" w:styleId="MediumShading1-Accent1">
    <w:name w:val="Medium Shading 1 Accent 1"/>
    <w:basedOn w:val="TableNormal"/>
    <w:uiPriority w:val="63"/>
    <w:rsid w:val="00842C34"/>
    <w:pPr>
      <w:spacing w:before="40" w:after="4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wordWrap/>
        <w:spacing w:beforeLines="0" w:before="40" w:beforeAutospacing="0" w:afterLines="0" w:after="40" w:afterAutospacing="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locked/>
    <w:rsid w:val="007A6284"/>
    <w:pPr>
      <w:spacing w:after="0" w:line="240" w:lineRule="auto"/>
    </w:pPr>
    <w:rPr>
      <w:color w:val="000000" w:themeColor="text1"/>
    </w:rPr>
    <w:tblPr>
      <w:tblStyleRowBandSize w:val="1"/>
      <w:tblStyleColBandSize w:val="1"/>
    </w:tblPr>
    <w:tcPr>
      <w:shd w:val="clear" w:color="auto" w:fill="E6E6E6"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6" w:themeFillTint="3F"/>
      </w:tcPr>
    </w:tblStylePr>
    <w:tblStylePr w:type="band1Horz">
      <w:tblPr/>
      <w:tcPr>
        <w:shd w:val="clear" w:color="auto" w:fill="CCCCCC" w:themeFill="accent6" w:themeFillTint="33"/>
      </w:tcPr>
    </w:tblStylePr>
  </w:style>
  <w:style w:type="table" w:styleId="LightList-Accent5">
    <w:name w:val="Light List Accent 5"/>
    <w:basedOn w:val="TableNormal"/>
    <w:uiPriority w:val="61"/>
    <w:rsid w:val="00EC68AC"/>
    <w:pPr>
      <w:spacing w:before="40" w:after="4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2Horz">
      <w:tblPr/>
      <w:tcPr>
        <w:shd w:val="clear" w:color="auto" w:fill="DBDCDD" w:themeFill="accent4" w:themeFillTint="66"/>
      </w:tcPr>
    </w:tblStylePr>
  </w:style>
  <w:style w:type="table" w:styleId="MediumGrid1">
    <w:name w:val="Medium Grid 1"/>
    <w:basedOn w:val="TableNormal"/>
    <w:uiPriority w:val="67"/>
    <w:locked/>
    <w:rsid w:val="007A62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locked/>
    <w:rsid w:val="007A6284"/>
    <w:pPr>
      <w:spacing w:after="0" w:line="240" w:lineRule="auto"/>
    </w:pPr>
    <w:rPr>
      <w:color w:val="000000" w:themeColor="accent6" w:themeShade="BF"/>
    </w:rPr>
    <w:tblPr>
      <w:tblStyleRowBandSize w:val="1"/>
      <w:tblStyleColBandSize w:val="1"/>
      <w:tblBorders>
        <w:top w:val="single" w:sz="8" w:space="0" w:color="000000" w:themeColor="accent6"/>
        <w:bottom w:val="single" w:sz="8" w:space="0" w:color="000000" w:themeColor="accent6"/>
      </w:tblBorders>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table" w:styleId="MediumShading1-Accent2">
    <w:name w:val="Medium Shading 1 Accent 2"/>
    <w:basedOn w:val="TableNormal"/>
    <w:uiPriority w:val="63"/>
    <w:rsid w:val="00842C34"/>
    <w:pPr>
      <w:spacing w:before="40" w:after="40" w:line="240" w:lineRule="auto"/>
    </w:pPr>
    <w:tblPr>
      <w:tblStyleRowBandSize w:val="1"/>
      <w:tblStyleColBandSize w:val="1"/>
      <w:tbl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single" w:sz="8" w:space="0" w:color="808285"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shd w:val="clear" w:color="auto" w:fill="58595B" w:themeFill="accent2"/>
      </w:tcPr>
    </w:tblStylePr>
    <w:tblStylePr w:type="lastRow">
      <w:pPr>
        <w:wordWrap/>
        <w:spacing w:beforeLines="0" w:before="40" w:beforeAutospacing="0" w:afterLines="0" w:after="400" w:afterAutospacing="0" w:line="240" w:lineRule="auto"/>
      </w:pPr>
      <w:rPr>
        <w:b/>
        <w:bCs/>
      </w:rPr>
      <w:tblPr/>
      <w:tcPr>
        <w:tcBorders>
          <w:top w:val="double" w:sz="6"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D5D6" w:themeFill="accent2" w:themeFillTint="3F"/>
      </w:tcPr>
    </w:tblStylePr>
    <w:tblStylePr w:type="band1Horz">
      <w:tblPr/>
      <w:tcPr>
        <w:tcBorders>
          <w:insideH w:val="nil"/>
          <w:insideV w:val="nil"/>
        </w:tcBorders>
        <w:shd w:val="clear" w:color="auto" w:fill="D5D5D6"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42C34"/>
    <w:pPr>
      <w:spacing w:after="0" w:line="240" w:lineRule="auto"/>
    </w:pPr>
    <w:tblPr>
      <w:tblStyleRowBandSize w:val="1"/>
      <w:tblStyleColBandSize w:val="1"/>
      <w:tbl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single" w:sz="8" w:space="0" w:color="BCBEC0" w:themeColor="accent4" w:themeTint="BF"/>
      </w:tblBorders>
    </w:tblPr>
    <w:tblStylePr w:type="firstRow">
      <w:pPr>
        <w:spacing w:before="0" w:after="0" w:line="240" w:lineRule="auto"/>
      </w:pPr>
      <w:rPr>
        <w:b/>
        <w:bCs/>
        <w:color w:val="FFFFFF" w:themeColor="background1"/>
      </w:rPr>
      <w:tblPr/>
      <w:tcPr>
        <w:tc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shd w:val="clear" w:color="auto" w:fill="A7A9AC" w:themeFill="accent4"/>
      </w:tcPr>
    </w:tblStylePr>
    <w:tblStylePr w:type="lastRow">
      <w:pPr>
        <w:spacing w:before="0" w:after="0" w:line="240" w:lineRule="auto"/>
      </w:pPr>
      <w:rPr>
        <w:b/>
        <w:bCs/>
      </w:rPr>
      <w:tblPr/>
      <w:tcPr>
        <w:tcBorders>
          <w:top w:val="double" w:sz="6"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9EA" w:themeFill="accent4" w:themeFillTint="3F"/>
      </w:tcPr>
    </w:tblStylePr>
    <w:tblStylePr w:type="band1Horz">
      <w:tblPr/>
      <w:tcPr>
        <w:tcBorders>
          <w:insideH w:val="nil"/>
          <w:insideV w:val="nil"/>
        </w:tcBorders>
        <w:shd w:val="clear" w:color="auto" w:fill="E9E9EA"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842C34"/>
    <w:pPr>
      <w:spacing w:after="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18" w:space="0" w:color="000000" w:themeColor="accent6"/>
          <w:right w:val="single" w:sz="8" w:space="0" w:color="000000" w:themeColor="accent6"/>
          <w:insideH w:val="nil"/>
          <w:insideV w:val="single" w:sz="8" w:space="0" w:color="0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insideH w:val="nil"/>
          <w:insideV w:val="single" w:sz="8" w:space="0" w:color="0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shd w:val="clear" w:color="auto" w:fill="C0C0C0" w:themeFill="accent6" w:themeFillTint="3F"/>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shd w:val="clear" w:color="auto" w:fill="C0C0C0" w:themeFill="accent6" w:themeFillTint="3F"/>
      </w:tcPr>
    </w:tblStylePr>
    <w:tblStylePr w:type="band2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tcPr>
    </w:tblStylePr>
  </w:style>
  <w:style w:type="table" w:styleId="MediumShading1-Accent5">
    <w:name w:val="Medium Shading 1 Accent 5"/>
    <w:basedOn w:val="TableNormal"/>
    <w:uiPriority w:val="63"/>
    <w:rsid w:val="00EC68AC"/>
    <w:pPr>
      <w:spacing w:before="40" w:after="4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cBorders>
        <w:shd w:val="clear" w:color="auto" w:fill="0000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C864ED"/>
    <w:pPr>
      <w:spacing w:before="40" w:after="40" w:line="240" w:lineRule="auto"/>
    </w:pPr>
    <w:tblPr>
      <w:tblStyleRowBandSize w:val="1"/>
      <w:tblStyleColBandSize w:val="1"/>
      <w:tbl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cBorders>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insideH w:val="nil"/>
          <w:insideV w:val="single" w:sz="8" w:space="0" w:color="808285" w:themeColor="accent3"/>
          <w:tl2br w:val="nil"/>
          <w:tr2bl w:val="nil"/>
        </w:tcBorders>
      </w:tcPr>
    </w:tblStylePr>
    <w:tblStylePr w:type="firstCol">
      <w:rPr>
        <w:b/>
        <w:bCs/>
      </w:rPr>
    </w:tblStylePr>
    <w:tblStylePr w:type="lastCol">
      <w:rPr>
        <w:b/>
        <w:bCs/>
      </w:rPr>
    </w:tblStylePr>
    <w:tblStylePr w:type="band1Vert">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1Horz">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2Horz">
      <w:tblPr/>
      <w:tcPr>
        <w:shd w:val="clear" w:color="auto" w:fill="A7A9AC" w:themeFill="accent4"/>
      </w:tcPr>
    </w:tblStylePr>
  </w:style>
  <w:style w:type="paragraph" w:styleId="Signature">
    <w:name w:val="Signature"/>
    <w:basedOn w:val="Normal"/>
    <w:link w:val="SignatureChar"/>
    <w:uiPriority w:val="99"/>
    <w:rsid w:val="00723516"/>
    <w:pPr>
      <w:pBdr>
        <w:top w:val="single" w:sz="4" w:space="1" w:color="auto"/>
      </w:pBdr>
      <w:spacing w:before="640" w:after="80"/>
    </w:pPr>
  </w:style>
  <w:style w:type="character" w:customStyle="1" w:styleId="SignatureChar">
    <w:name w:val="Signature Char"/>
    <w:basedOn w:val="DefaultParagraphFont"/>
    <w:link w:val="Signature"/>
    <w:uiPriority w:val="99"/>
    <w:rsid w:val="00723516"/>
  </w:style>
  <w:style w:type="paragraph" w:customStyle="1" w:styleId="Disclaimer">
    <w:name w:val="Disclaimer"/>
    <w:basedOn w:val="Normal"/>
    <w:uiPriority w:val="29"/>
    <w:qFormat/>
    <w:rsid w:val="00723516"/>
    <w:rPr>
      <w:i/>
    </w:rPr>
  </w:style>
  <w:style w:type="character" w:customStyle="1" w:styleId="ListParagraphChar">
    <w:name w:val="List Paragraph Char"/>
    <w:aliases w:val="List Paragraph1 Char,Recommendation Char,#List Paragraph Char,L Char,List Paragraph11 Char,Bullet Point Char,Bullet point Char,Bulletr List Paragraph Char,Bullets Char,Content descriptions Char,FooterText Char,List Bullet 1 Char"/>
    <w:basedOn w:val="DefaultParagraphFont"/>
    <w:link w:val="ListParagraph"/>
    <w:uiPriority w:val="34"/>
    <w:rsid w:val="00E55B5A"/>
  </w:style>
  <w:style w:type="character" w:styleId="CommentReference">
    <w:name w:val="annotation reference"/>
    <w:basedOn w:val="DefaultParagraphFont"/>
    <w:uiPriority w:val="99"/>
    <w:semiHidden/>
    <w:unhideWhenUsed/>
    <w:rsid w:val="000E45E5"/>
    <w:rPr>
      <w:sz w:val="16"/>
      <w:szCs w:val="16"/>
    </w:rPr>
  </w:style>
  <w:style w:type="paragraph" w:styleId="CommentText">
    <w:name w:val="annotation text"/>
    <w:basedOn w:val="Normal"/>
    <w:link w:val="CommentTextChar"/>
    <w:uiPriority w:val="99"/>
    <w:semiHidden/>
    <w:unhideWhenUsed/>
    <w:rsid w:val="000E45E5"/>
    <w:rPr>
      <w:sz w:val="20"/>
      <w:szCs w:val="20"/>
    </w:rPr>
  </w:style>
  <w:style w:type="character" w:customStyle="1" w:styleId="CommentTextChar">
    <w:name w:val="Comment Text Char"/>
    <w:basedOn w:val="DefaultParagraphFont"/>
    <w:link w:val="CommentText"/>
    <w:uiPriority w:val="99"/>
    <w:semiHidden/>
    <w:rsid w:val="000E45E5"/>
    <w:rPr>
      <w:sz w:val="20"/>
      <w:szCs w:val="20"/>
    </w:rPr>
  </w:style>
  <w:style w:type="paragraph" w:styleId="CommentSubject">
    <w:name w:val="annotation subject"/>
    <w:basedOn w:val="CommentText"/>
    <w:next w:val="CommentText"/>
    <w:link w:val="CommentSubjectChar"/>
    <w:uiPriority w:val="99"/>
    <w:semiHidden/>
    <w:unhideWhenUsed/>
    <w:rsid w:val="000E45E5"/>
    <w:rPr>
      <w:b/>
      <w:bCs/>
    </w:rPr>
  </w:style>
  <w:style w:type="character" w:customStyle="1" w:styleId="CommentSubjectChar">
    <w:name w:val="Comment Subject Char"/>
    <w:basedOn w:val="CommentTextChar"/>
    <w:link w:val="CommentSubject"/>
    <w:uiPriority w:val="99"/>
    <w:semiHidden/>
    <w:rsid w:val="000E45E5"/>
    <w:rPr>
      <w:b/>
      <w:bCs/>
      <w:sz w:val="20"/>
      <w:szCs w:val="20"/>
    </w:rPr>
  </w:style>
  <w:style w:type="paragraph" w:styleId="NormalWeb">
    <w:name w:val="Normal (Web)"/>
    <w:basedOn w:val="Normal"/>
    <w:uiPriority w:val="99"/>
    <w:semiHidden/>
    <w:unhideWhenUsed/>
    <w:rsid w:val="000E45E5"/>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536F5A"/>
    <w:pPr>
      <w:spacing w:after="0" w:line="240" w:lineRule="auto"/>
    </w:pPr>
  </w:style>
  <w:style w:type="character" w:customStyle="1" w:styleId="DotpointChar">
    <w:name w:val="Dot point Char"/>
    <w:basedOn w:val="DefaultParagraphFont"/>
    <w:link w:val="Dotpoint"/>
    <w:locked/>
    <w:rsid w:val="008076C6"/>
  </w:style>
  <w:style w:type="paragraph" w:customStyle="1" w:styleId="Dotpoint">
    <w:name w:val="Dot point"/>
    <w:basedOn w:val="Normal"/>
    <w:link w:val="DotpointChar"/>
    <w:rsid w:val="008076C6"/>
    <w:pPr>
      <w:numPr>
        <w:numId w:val="40"/>
      </w:numPr>
      <w:spacing w:after="240"/>
      <w:contextualSpacing/>
    </w:pPr>
  </w:style>
  <w:style w:type="character" w:styleId="IntenseReference">
    <w:name w:val="Intense Reference"/>
    <w:basedOn w:val="DefaultParagraphFont"/>
    <w:uiPriority w:val="32"/>
    <w:qFormat/>
    <w:rsid w:val="008076C6"/>
    <w:rPr>
      <w:b/>
      <w:bCs/>
      <w:i/>
      <w:iCs/>
      <w:smallCaps/>
      <w:strike w:val="0"/>
      <w:dstrike w:val="0"/>
      <w:color w:val="ED7D31"/>
      <w:spacing w:val="5"/>
      <w:u w:val="none"/>
      <w:effect w:val="none"/>
    </w:rPr>
  </w:style>
  <w:style w:type="character" w:styleId="FollowedHyperlink">
    <w:name w:val="FollowedHyperlink"/>
    <w:basedOn w:val="DefaultParagraphFont"/>
    <w:uiPriority w:val="99"/>
    <w:semiHidden/>
    <w:unhideWhenUsed/>
    <w:rsid w:val="00525257"/>
    <w:rPr>
      <w:color w:val="800080" w:themeColor="followedHyperlink"/>
      <w:u w:val="single"/>
    </w:rPr>
  </w:style>
  <w:style w:type="table" w:customStyle="1" w:styleId="TableGridLight1">
    <w:name w:val="Table Grid Light1"/>
    <w:basedOn w:val="TableNormal"/>
    <w:uiPriority w:val="40"/>
    <w:rsid w:val="00523FCA"/>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491EA9"/>
    <w:rPr>
      <w:color w:val="605E5C"/>
      <w:shd w:val="clear" w:color="auto" w:fill="E1DFDD"/>
    </w:rPr>
  </w:style>
  <w:style w:type="paragraph" w:customStyle="1" w:styleId="NumberLevel1">
    <w:name w:val="Number Level 1"/>
    <w:aliases w:val="N1,hea Level 1,Numberanswer Level 1,N,indentl 1,Number Levquoteel 1,Level 1,Number leg2 1,answerer Level 1,leg5er Level 1,We woulNumber Level 1"/>
    <w:basedOn w:val="Normal"/>
    <w:link w:val="NumberLevel1CharChar"/>
    <w:uiPriority w:val="1"/>
    <w:qFormat/>
    <w:rsid w:val="00664A45"/>
    <w:pPr>
      <w:numPr>
        <w:numId w:val="49"/>
      </w:numPr>
      <w:spacing w:before="140" w:after="140" w:line="280" w:lineRule="atLeast"/>
    </w:pPr>
    <w:rPr>
      <w:rFonts w:ascii="Arial" w:eastAsia="Times New Roman" w:hAnsi="Arial" w:cs="Arial"/>
      <w:lang w:eastAsia="en-AU"/>
    </w:rPr>
  </w:style>
  <w:style w:type="paragraph" w:customStyle="1" w:styleId="NumberLevel2">
    <w:name w:val="Number Level 2"/>
    <w:aliases w:val="N2,authorising the Number Level 2"/>
    <w:basedOn w:val="Normal"/>
    <w:link w:val="NumberLevel2CharChar"/>
    <w:uiPriority w:val="1"/>
    <w:qFormat/>
    <w:rsid w:val="00664A45"/>
    <w:pPr>
      <w:numPr>
        <w:ilvl w:val="1"/>
        <w:numId w:val="49"/>
      </w:numPr>
      <w:spacing w:before="140" w:after="140" w:line="280" w:lineRule="atLeast"/>
      <w:ind w:left="709"/>
    </w:pPr>
    <w:rPr>
      <w:rFonts w:ascii="Arial" w:eastAsia="Times New Roman" w:hAnsi="Arial" w:cs="Arial"/>
      <w:lang w:eastAsia="en-AU"/>
    </w:rPr>
  </w:style>
  <w:style w:type="paragraph" w:customStyle="1" w:styleId="NumberLevel3">
    <w:name w:val="Number Level 3"/>
    <w:aliases w:val="N3"/>
    <w:basedOn w:val="Normal"/>
    <w:uiPriority w:val="1"/>
    <w:qFormat/>
    <w:rsid w:val="00664A45"/>
    <w:pPr>
      <w:numPr>
        <w:ilvl w:val="2"/>
        <w:numId w:val="49"/>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664A45"/>
    <w:pPr>
      <w:numPr>
        <w:ilvl w:val="3"/>
        <w:numId w:val="49"/>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rsid w:val="00664A45"/>
    <w:pPr>
      <w:numPr>
        <w:ilvl w:val="4"/>
        <w:numId w:val="49"/>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rsid w:val="00664A45"/>
    <w:pPr>
      <w:numPr>
        <w:ilvl w:val="5"/>
      </w:numPr>
    </w:pPr>
  </w:style>
  <w:style w:type="paragraph" w:customStyle="1" w:styleId="NumberLevel7">
    <w:name w:val="Number Level 7"/>
    <w:aliases w:val="N7"/>
    <w:basedOn w:val="NumberLevel6"/>
    <w:uiPriority w:val="1"/>
    <w:rsid w:val="00664A45"/>
    <w:pPr>
      <w:numPr>
        <w:ilvl w:val="6"/>
      </w:numPr>
    </w:pPr>
  </w:style>
  <w:style w:type="paragraph" w:customStyle="1" w:styleId="NumberLevel8">
    <w:name w:val="Number Level 8"/>
    <w:aliases w:val="N8"/>
    <w:basedOn w:val="NumberLevel7"/>
    <w:uiPriority w:val="1"/>
    <w:rsid w:val="00664A45"/>
    <w:pPr>
      <w:numPr>
        <w:ilvl w:val="7"/>
      </w:numPr>
    </w:pPr>
  </w:style>
  <w:style w:type="paragraph" w:customStyle="1" w:styleId="NumberLevel9">
    <w:name w:val="Number Level 9"/>
    <w:aliases w:val="N9"/>
    <w:basedOn w:val="NumberLevel8"/>
    <w:uiPriority w:val="1"/>
    <w:rsid w:val="00664A45"/>
    <w:pPr>
      <w:numPr>
        <w:ilvl w:val="8"/>
      </w:numPr>
    </w:pPr>
  </w:style>
  <w:style w:type="character" w:customStyle="1" w:styleId="NumberLevel1CharChar">
    <w:name w:val="Number Level 1 Char Char"/>
    <w:link w:val="NumberLevel1"/>
    <w:uiPriority w:val="1"/>
    <w:locked/>
    <w:rsid w:val="00664A45"/>
    <w:rPr>
      <w:rFonts w:ascii="Arial" w:eastAsia="Times New Roman" w:hAnsi="Arial" w:cs="Arial"/>
      <w:lang w:eastAsia="en-AU"/>
    </w:rPr>
  </w:style>
  <w:style w:type="character" w:customStyle="1" w:styleId="NumberLevel2CharChar">
    <w:name w:val="Number Level 2 Char Char"/>
    <w:basedOn w:val="DefaultParagraphFont"/>
    <w:link w:val="NumberLevel2"/>
    <w:locked/>
    <w:rsid w:val="00664A45"/>
    <w:rPr>
      <w:rFonts w:ascii="Arial" w:eastAsia="Times New Roman" w:hAnsi="Arial" w:cs="Arial"/>
      <w:lang w:eastAsia="en-AU"/>
    </w:rPr>
  </w:style>
  <w:style w:type="paragraph" w:customStyle="1" w:styleId="TablePlainParagraph">
    <w:name w:val="Table: Plain Paragraph"/>
    <w:aliases w:val="Table PP"/>
    <w:basedOn w:val="Normal"/>
    <w:uiPriority w:val="11"/>
    <w:qFormat/>
    <w:rsid w:val="00664A45"/>
    <w:pPr>
      <w:spacing w:before="60" w:after="60" w:line="240" w:lineRule="atLeast"/>
    </w:pPr>
    <w:rPr>
      <w:rFonts w:ascii="Arial" w:eastAsia="Times New Roman" w:hAnsi="Arial" w:cs="Arial"/>
      <w:sz w:val="20"/>
      <w:lang w:eastAsia="en-AU"/>
    </w:rPr>
  </w:style>
  <w:style w:type="paragraph" w:customStyle="1" w:styleId="TableHeading2">
    <w:name w:val="Table: Heading 2"/>
    <w:basedOn w:val="Normal"/>
    <w:next w:val="TablePlainParagraph"/>
    <w:uiPriority w:val="12"/>
    <w:rsid w:val="00664A45"/>
    <w:pPr>
      <w:keepNext/>
      <w:keepLines/>
      <w:spacing w:before="60" w:after="0" w:line="240" w:lineRule="atLeast"/>
    </w:pPr>
    <w:rPr>
      <w:rFonts w:ascii="Arial" w:eastAsia="Times New Roman" w:hAnsi="Arial" w:cs="Arial"/>
      <w:b/>
      <w:sz w:val="20"/>
      <w:lang w:eastAsia="en-AU"/>
    </w:rPr>
  </w:style>
  <w:style w:type="character" w:styleId="FootnoteReference">
    <w:name w:val="footnote reference"/>
    <w:aliases w:val="opcalrc,Footnotes refss,ftref,4_G,4_G Char Char Char Char Char,Footnotes refss Char Char Char Char Char,ftref Char Char Char Char Char,BVI fnr Char Char Char Char Char,BVI fnr Car Car Char Char Char Char Char,Ref,de nota al pie,註腳內容"/>
    <w:basedOn w:val="DefaultParagraphFont"/>
    <w:link w:val="4GCharCharCharChar"/>
    <w:uiPriority w:val="31"/>
    <w:rsid w:val="00664A45"/>
    <w:rPr>
      <w:rFonts w:ascii="Arial" w:hAnsi="Arial" w:cs="Arial"/>
      <w:vertAlign w:val="superscript"/>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Normal"/>
    <w:link w:val="FootnoteReference"/>
    <w:hidden/>
    <w:uiPriority w:val="31"/>
    <w:rsid w:val="00664A45"/>
    <w:pPr>
      <w:spacing w:after="160" w:line="240" w:lineRule="exact"/>
      <w:jc w:val="both"/>
    </w:pPr>
    <w:rPr>
      <w:rFonts w:ascii="Arial" w:hAnsi="Arial" w:cs="Arial"/>
      <w:vertAlign w:val="superscript"/>
    </w:rPr>
  </w:style>
  <w:style w:type="paragraph" w:customStyle="1" w:styleId="PlainParagraph">
    <w:name w:val="Plain Paragraph"/>
    <w:aliases w:val="PP"/>
    <w:basedOn w:val="Normal"/>
    <w:link w:val="PlainParagraphChar"/>
    <w:qFormat/>
    <w:rsid w:val="00AB7B33"/>
    <w:pPr>
      <w:spacing w:before="140" w:after="140" w:line="280" w:lineRule="atLeast"/>
    </w:pPr>
    <w:rPr>
      <w:rFonts w:ascii="Arial" w:eastAsia="Times New Roman" w:hAnsi="Arial" w:cs="Arial"/>
      <w:lang w:eastAsia="en-AU"/>
    </w:rPr>
  </w:style>
  <w:style w:type="character" w:customStyle="1" w:styleId="PlainParagraphChar">
    <w:name w:val="Plain Paragraph Char"/>
    <w:aliases w:val="PP Char"/>
    <w:basedOn w:val="DefaultParagraphFont"/>
    <w:link w:val="PlainParagraph"/>
    <w:rsid w:val="00AB7B33"/>
    <w:rPr>
      <w:rFonts w:ascii="Arial" w:eastAsia="Times New Roman" w:hAnsi="Arial" w:cs="Arial"/>
      <w:lang w:eastAsia="en-AU"/>
    </w:rPr>
  </w:style>
  <w:style w:type="paragraph" w:customStyle="1" w:styleId="paragraph">
    <w:name w:val="paragraph"/>
    <w:basedOn w:val="Normal"/>
    <w:rsid w:val="00A21616"/>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sub">
    <w:name w:val="paragraphsub"/>
    <w:basedOn w:val="Normal"/>
    <w:rsid w:val="00A21616"/>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6475">
      <w:bodyDiv w:val="1"/>
      <w:marLeft w:val="0"/>
      <w:marRight w:val="0"/>
      <w:marTop w:val="0"/>
      <w:marBottom w:val="0"/>
      <w:divBdr>
        <w:top w:val="none" w:sz="0" w:space="0" w:color="auto"/>
        <w:left w:val="none" w:sz="0" w:space="0" w:color="auto"/>
        <w:bottom w:val="none" w:sz="0" w:space="0" w:color="auto"/>
        <w:right w:val="none" w:sz="0" w:space="0" w:color="auto"/>
      </w:divBdr>
    </w:div>
    <w:div w:id="280690923">
      <w:bodyDiv w:val="1"/>
      <w:marLeft w:val="0"/>
      <w:marRight w:val="0"/>
      <w:marTop w:val="0"/>
      <w:marBottom w:val="0"/>
      <w:divBdr>
        <w:top w:val="none" w:sz="0" w:space="0" w:color="auto"/>
        <w:left w:val="none" w:sz="0" w:space="0" w:color="auto"/>
        <w:bottom w:val="none" w:sz="0" w:space="0" w:color="auto"/>
        <w:right w:val="none" w:sz="0" w:space="0" w:color="auto"/>
      </w:divBdr>
    </w:div>
    <w:div w:id="281301111">
      <w:bodyDiv w:val="1"/>
      <w:marLeft w:val="0"/>
      <w:marRight w:val="0"/>
      <w:marTop w:val="0"/>
      <w:marBottom w:val="0"/>
      <w:divBdr>
        <w:top w:val="none" w:sz="0" w:space="0" w:color="auto"/>
        <w:left w:val="none" w:sz="0" w:space="0" w:color="auto"/>
        <w:bottom w:val="none" w:sz="0" w:space="0" w:color="auto"/>
        <w:right w:val="none" w:sz="0" w:space="0" w:color="auto"/>
      </w:divBdr>
    </w:div>
    <w:div w:id="328218392">
      <w:bodyDiv w:val="1"/>
      <w:marLeft w:val="0"/>
      <w:marRight w:val="0"/>
      <w:marTop w:val="0"/>
      <w:marBottom w:val="0"/>
      <w:divBdr>
        <w:top w:val="none" w:sz="0" w:space="0" w:color="auto"/>
        <w:left w:val="none" w:sz="0" w:space="0" w:color="auto"/>
        <w:bottom w:val="none" w:sz="0" w:space="0" w:color="auto"/>
        <w:right w:val="none" w:sz="0" w:space="0" w:color="auto"/>
      </w:divBdr>
    </w:div>
    <w:div w:id="360084916">
      <w:bodyDiv w:val="1"/>
      <w:marLeft w:val="0"/>
      <w:marRight w:val="0"/>
      <w:marTop w:val="0"/>
      <w:marBottom w:val="0"/>
      <w:divBdr>
        <w:top w:val="none" w:sz="0" w:space="0" w:color="auto"/>
        <w:left w:val="none" w:sz="0" w:space="0" w:color="auto"/>
        <w:bottom w:val="none" w:sz="0" w:space="0" w:color="auto"/>
        <w:right w:val="none" w:sz="0" w:space="0" w:color="auto"/>
      </w:divBdr>
      <w:divsChild>
        <w:div w:id="1304192925">
          <w:marLeft w:val="0"/>
          <w:marRight w:val="0"/>
          <w:marTop w:val="0"/>
          <w:marBottom w:val="0"/>
          <w:divBdr>
            <w:top w:val="none" w:sz="0" w:space="0" w:color="auto"/>
            <w:left w:val="none" w:sz="0" w:space="0" w:color="auto"/>
            <w:bottom w:val="none" w:sz="0" w:space="0" w:color="auto"/>
            <w:right w:val="none" w:sz="0" w:space="0" w:color="auto"/>
          </w:divBdr>
          <w:divsChild>
            <w:div w:id="136385396">
              <w:marLeft w:val="0"/>
              <w:marRight w:val="0"/>
              <w:marTop w:val="0"/>
              <w:marBottom w:val="0"/>
              <w:divBdr>
                <w:top w:val="none" w:sz="0" w:space="0" w:color="auto"/>
                <w:left w:val="none" w:sz="0" w:space="0" w:color="auto"/>
                <w:bottom w:val="none" w:sz="0" w:space="0" w:color="auto"/>
                <w:right w:val="none" w:sz="0" w:space="0" w:color="auto"/>
              </w:divBdr>
              <w:divsChild>
                <w:div w:id="4670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91297">
      <w:bodyDiv w:val="1"/>
      <w:marLeft w:val="0"/>
      <w:marRight w:val="0"/>
      <w:marTop w:val="0"/>
      <w:marBottom w:val="0"/>
      <w:divBdr>
        <w:top w:val="none" w:sz="0" w:space="0" w:color="auto"/>
        <w:left w:val="none" w:sz="0" w:space="0" w:color="auto"/>
        <w:bottom w:val="none" w:sz="0" w:space="0" w:color="auto"/>
        <w:right w:val="none" w:sz="0" w:space="0" w:color="auto"/>
      </w:divBdr>
    </w:div>
    <w:div w:id="681978230">
      <w:bodyDiv w:val="1"/>
      <w:marLeft w:val="0"/>
      <w:marRight w:val="0"/>
      <w:marTop w:val="0"/>
      <w:marBottom w:val="0"/>
      <w:divBdr>
        <w:top w:val="none" w:sz="0" w:space="0" w:color="auto"/>
        <w:left w:val="none" w:sz="0" w:space="0" w:color="auto"/>
        <w:bottom w:val="none" w:sz="0" w:space="0" w:color="auto"/>
        <w:right w:val="none" w:sz="0" w:space="0" w:color="auto"/>
      </w:divBdr>
    </w:div>
    <w:div w:id="950629510">
      <w:bodyDiv w:val="1"/>
      <w:marLeft w:val="0"/>
      <w:marRight w:val="0"/>
      <w:marTop w:val="0"/>
      <w:marBottom w:val="0"/>
      <w:divBdr>
        <w:top w:val="none" w:sz="0" w:space="0" w:color="auto"/>
        <w:left w:val="none" w:sz="0" w:space="0" w:color="auto"/>
        <w:bottom w:val="none" w:sz="0" w:space="0" w:color="auto"/>
        <w:right w:val="none" w:sz="0" w:space="0" w:color="auto"/>
      </w:divBdr>
    </w:div>
    <w:div w:id="956373171">
      <w:bodyDiv w:val="1"/>
      <w:marLeft w:val="0"/>
      <w:marRight w:val="0"/>
      <w:marTop w:val="0"/>
      <w:marBottom w:val="0"/>
      <w:divBdr>
        <w:top w:val="none" w:sz="0" w:space="0" w:color="auto"/>
        <w:left w:val="none" w:sz="0" w:space="0" w:color="auto"/>
        <w:bottom w:val="none" w:sz="0" w:space="0" w:color="auto"/>
        <w:right w:val="none" w:sz="0" w:space="0" w:color="auto"/>
      </w:divBdr>
    </w:div>
    <w:div w:id="972637707">
      <w:bodyDiv w:val="1"/>
      <w:marLeft w:val="0"/>
      <w:marRight w:val="0"/>
      <w:marTop w:val="0"/>
      <w:marBottom w:val="0"/>
      <w:divBdr>
        <w:top w:val="none" w:sz="0" w:space="0" w:color="auto"/>
        <w:left w:val="none" w:sz="0" w:space="0" w:color="auto"/>
        <w:bottom w:val="none" w:sz="0" w:space="0" w:color="auto"/>
        <w:right w:val="none" w:sz="0" w:space="0" w:color="auto"/>
      </w:divBdr>
    </w:div>
    <w:div w:id="1043016096">
      <w:bodyDiv w:val="1"/>
      <w:marLeft w:val="0"/>
      <w:marRight w:val="0"/>
      <w:marTop w:val="0"/>
      <w:marBottom w:val="0"/>
      <w:divBdr>
        <w:top w:val="none" w:sz="0" w:space="0" w:color="auto"/>
        <w:left w:val="none" w:sz="0" w:space="0" w:color="auto"/>
        <w:bottom w:val="none" w:sz="0" w:space="0" w:color="auto"/>
        <w:right w:val="none" w:sz="0" w:space="0" w:color="auto"/>
      </w:divBdr>
      <w:divsChild>
        <w:div w:id="58333017">
          <w:marLeft w:val="0"/>
          <w:marRight w:val="0"/>
          <w:marTop w:val="0"/>
          <w:marBottom w:val="0"/>
          <w:divBdr>
            <w:top w:val="none" w:sz="0" w:space="0" w:color="auto"/>
            <w:left w:val="none" w:sz="0" w:space="0" w:color="auto"/>
            <w:bottom w:val="none" w:sz="0" w:space="0" w:color="auto"/>
            <w:right w:val="none" w:sz="0" w:space="0" w:color="auto"/>
          </w:divBdr>
        </w:div>
        <w:div w:id="93332197">
          <w:marLeft w:val="0"/>
          <w:marRight w:val="0"/>
          <w:marTop w:val="0"/>
          <w:marBottom w:val="0"/>
          <w:divBdr>
            <w:top w:val="none" w:sz="0" w:space="0" w:color="auto"/>
            <w:left w:val="none" w:sz="0" w:space="0" w:color="auto"/>
            <w:bottom w:val="none" w:sz="0" w:space="0" w:color="auto"/>
            <w:right w:val="none" w:sz="0" w:space="0" w:color="auto"/>
          </w:divBdr>
        </w:div>
        <w:div w:id="102238642">
          <w:marLeft w:val="0"/>
          <w:marRight w:val="0"/>
          <w:marTop w:val="0"/>
          <w:marBottom w:val="0"/>
          <w:divBdr>
            <w:top w:val="none" w:sz="0" w:space="0" w:color="auto"/>
            <w:left w:val="none" w:sz="0" w:space="0" w:color="auto"/>
            <w:bottom w:val="none" w:sz="0" w:space="0" w:color="auto"/>
            <w:right w:val="none" w:sz="0" w:space="0" w:color="auto"/>
          </w:divBdr>
        </w:div>
        <w:div w:id="114908513">
          <w:marLeft w:val="0"/>
          <w:marRight w:val="0"/>
          <w:marTop w:val="0"/>
          <w:marBottom w:val="0"/>
          <w:divBdr>
            <w:top w:val="none" w:sz="0" w:space="0" w:color="auto"/>
            <w:left w:val="none" w:sz="0" w:space="0" w:color="auto"/>
            <w:bottom w:val="none" w:sz="0" w:space="0" w:color="auto"/>
            <w:right w:val="none" w:sz="0" w:space="0" w:color="auto"/>
          </w:divBdr>
        </w:div>
        <w:div w:id="141435736">
          <w:marLeft w:val="0"/>
          <w:marRight w:val="0"/>
          <w:marTop w:val="0"/>
          <w:marBottom w:val="0"/>
          <w:divBdr>
            <w:top w:val="none" w:sz="0" w:space="0" w:color="auto"/>
            <w:left w:val="none" w:sz="0" w:space="0" w:color="auto"/>
            <w:bottom w:val="none" w:sz="0" w:space="0" w:color="auto"/>
            <w:right w:val="none" w:sz="0" w:space="0" w:color="auto"/>
          </w:divBdr>
        </w:div>
        <w:div w:id="157380261">
          <w:marLeft w:val="0"/>
          <w:marRight w:val="0"/>
          <w:marTop w:val="0"/>
          <w:marBottom w:val="0"/>
          <w:divBdr>
            <w:top w:val="none" w:sz="0" w:space="0" w:color="auto"/>
            <w:left w:val="none" w:sz="0" w:space="0" w:color="auto"/>
            <w:bottom w:val="none" w:sz="0" w:space="0" w:color="auto"/>
            <w:right w:val="none" w:sz="0" w:space="0" w:color="auto"/>
          </w:divBdr>
        </w:div>
        <w:div w:id="177156715">
          <w:marLeft w:val="0"/>
          <w:marRight w:val="0"/>
          <w:marTop w:val="0"/>
          <w:marBottom w:val="0"/>
          <w:divBdr>
            <w:top w:val="none" w:sz="0" w:space="0" w:color="auto"/>
            <w:left w:val="none" w:sz="0" w:space="0" w:color="auto"/>
            <w:bottom w:val="none" w:sz="0" w:space="0" w:color="auto"/>
            <w:right w:val="none" w:sz="0" w:space="0" w:color="auto"/>
          </w:divBdr>
        </w:div>
        <w:div w:id="213155157">
          <w:marLeft w:val="0"/>
          <w:marRight w:val="0"/>
          <w:marTop w:val="0"/>
          <w:marBottom w:val="0"/>
          <w:divBdr>
            <w:top w:val="none" w:sz="0" w:space="0" w:color="auto"/>
            <w:left w:val="none" w:sz="0" w:space="0" w:color="auto"/>
            <w:bottom w:val="none" w:sz="0" w:space="0" w:color="auto"/>
            <w:right w:val="none" w:sz="0" w:space="0" w:color="auto"/>
          </w:divBdr>
        </w:div>
        <w:div w:id="283970248">
          <w:marLeft w:val="0"/>
          <w:marRight w:val="0"/>
          <w:marTop w:val="0"/>
          <w:marBottom w:val="0"/>
          <w:divBdr>
            <w:top w:val="none" w:sz="0" w:space="0" w:color="auto"/>
            <w:left w:val="none" w:sz="0" w:space="0" w:color="auto"/>
            <w:bottom w:val="none" w:sz="0" w:space="0" w:color="auto"/>
            <w:right w:val="none" w:sz="0" w:space="0" w:color="auto"/>
          </w:divBdr>
        </w:div>
        <w:div w:id="322247939">
          <w:marLeft w:val="0"/>
          <w:marRight w:val="0"/>
          <w:marTop w:val="0"/>
          <w:marBottom w:val="0"/>
          <w:divBdr>
            <w:top w:val="none" w:sz="0" w:space="0" w:color="auto"/>
            <w:left w:val="none" w:sz="0" w:space="0" w:color="auto"/>
            <w:bottom w:val="none" w:sz="0" w:space="0" w:color="auto"/>
            <w:right w:val="none" w:sz="0" w:space="0" w:color="auto"/>
          </w:divBdr>
        </w:div>
        <w:div w:id="337512382">
          <w:marLeft w:val="0"/>
          <w:marRight w:val="0"/>
          <w:marTop w:val="0"/>
          <w:marBottom w:val="0"/>
          <w:divBdr>
            <w:top w:val="none" w:sz="0" w:space="0" w:color="auto"/>
            <w:left w:val="none" w:sz="0" w:space="0" w:color="auto"/>
            <w:bottom w:val="none" w:sz="0" w:space="0" w:color="auto"/>
            <w:right w:val="none" w:sz="0" w:space="0" w:color="auto"/>
          </w:divBdr>
        </w:div>
        <w:div w:id="412510324">
          <w:marLeft w:val="0"/>
          <w:marRight w:val="0"/>
          <w:marTop w:val="0"/>
          <w:marBottom w:val="0"/>
          <w:divBdr>
            <w:top w:val="none" w:sz="0" w:space="0" w:color="auto"/>
            <w:left w:val="none" w:sz="0" w:space="0" w:color="auto"/>
            <w:bottom w:val="none" w:sz="0" w:space="0" w:color="auto"/>
            <w:right w:val="none" w:sz="0" w:space="0" w:color="auto"/>
          </w:divBdr>
        </w:div>
        <w:div w:id="426776993">
          <w:marLeft w:val="0"/>
          <w:marRight w:val="0"/>
          <w:marTop w:val="0"/>
          <w:marBottom w:val="0"/>
          <w:divBdr>
            <w:top w:val="none" w:sz="0" w:space="0" w:color="auto"/>
            <w:left w:val="none" w:sz="0" w:space="0" w:color="auto"/>
            <w:bottom w:val="none" w:sz="0" w:space="0" w:color="auto"/>
            <w:right w:val="none" w:sz="0" w:space="0" w:color="auto"/>
          </w:divBdr>
        </w:div>
        <w:div w:id="437022254">
          <w:marLeft w:val="0"/>
          <w:marRight w:val="0"/>
          <w:marTop w:val="0"/>
          <w:marBottom w:val="0"/>
          <w:divBdr>
            <w:top w:val="none" w:sz="0" w:space="0" w:color="auto"/>
            <w:left w:val="none" w:sz="0" w:space="0" w:color="auto"/>
            <w:bottom w:val="none" w:sz="0" w:space="0" w:color="auto"/>
            <w:right w:val="none" w:sz="0" w:space="0" w:color="auto"/>
          </w:divBdr>
        </w:div>
        <w:div w:id="454064972">
          <w:marLeft w:val="0"/>
          <w:marRight w:val="0"/>
          <w:marTop w:val="0"/>
          <w:marBottom w:val="0"/>
          <w:divBdr>
            <w:top w:val="none" w:sz="0" w:space="0" w:color="auto"/>
            <w:left w:val="none" w:sz="0" w:space="0" w:color="auto"/>
            <w:bottom w:val="none" w:sz="0" w:space="0" w:color="auto"/>
            <w:right w:val="none" w:sz="0" w:space="0" w:color="auto"/>
          </w:divBdr>
        </w:div>
        <w:div w:id="485245922">
          <w:marLeft w:val="0"/>
          <w:marRight w:val="0"/>
          <w:marTop w:val="0"/>
          <w:marBottom w:val="0"/>
          <w:divBdr>
            <w:top w:val="none" w:sz="0" w:space="0" w:color="auto"/>
            <w:left w:val="none" w:sz="0" w:space="0" w:color="auto"/>
            <w:bottom w:val="none" w:sz="0" w:space="0" w:color="auto"/>
            <w:right w:val="none" w:sz="0" w:space="0" w:color="auto"/>
          </w:divBdr>
        </w:div>
        <w:div w:id="485585905">
          <w:marLeft w:val="0"/>
          <w:marRight w:val="0"/>
          <w:marTop w:val="0"/>
          <w:marBottom w:val="0"/>
          <w:divBdr>
            <w:top w:val="none" w:sz="0" w:space="0" w:color="auto"/>
            <w:left w:val="none" w:sz="0" w:space="0" w:color="auto"/>
            <w:bottom w:val="none" w:sz="0" w:space="0" w:color="auto"/>
            <w:right w:val="none" w:sz="0" w:space="0" w:color="auto"/>
          </w:divBdr>
        </w:div>
        <w:div w:id="505562633">
          <w:marLeft w:val="0"/>
          <w:marRight w:val="0"/>
          <w:marTop w:val="0"/>
          <w:marBottom w:val="0"/>
          <w:divBdr>
            <w:top w:val="none" w:sz="0" w:space="0" w:color="auto"/>
            <w:left w:val="none" w:sz="0" w:space="0" w:color="auto"/>
            <w:bottom w:val="none" w:sz="0" w:space="0" w:color="auto"/>
            <w:right w:val="none" w:sz="0" w:space="0" w:color="auto"/>
          </w:divBdr>
        </w:div>
        <w:div w:id="507330149">
          <w:marLeft w:val="0"/>
          <w:marRight w:val="0"/>
          <w:marTop w:val="0"/>
          <w:marBottom w:val="0"/>
          <w:divBdr>
            <w:top w:val="none" w:sz="0" w:space="0" w:color="auto"/>
            <w:left w:val="none" w:sz="0" w:space="0" w:color="auto"/>
            <w:bottom w:val="none" w:sz="0" w:space="0" w:color="auto"/>
            <w:right w:val="none" w:sz="0" w:space="0" w:color="auto"/>
          </w:divBdr>
        </w:div>
        <w:div w:id="542837332">
          <w:marLeft w:val="0"/>
          <w:marRight w:val="0"/>
          <w:marTop w:val="0"/>
          <w:marBottom w:val="0"/>
          <w:divBdr>
            <w:top w:val="none" w:sz="0" w:space="0" w:color="auto"/>
            <w:left w:val="none" w:sz="0" w:space="0" w:color="auto"/>
            <w:bottom w:val="none" w:sz="0" w:space="0" w:color="auto"/>
            <w:right w:val="none" w:sz="0" w:space="0" w:color="auto"/>
          </w:divBdr>
        </w:div>
        <w:div w:id="615255863">
          <w:marLeft w:val="0"/>
          <w:marRight w:val="0"/>
          <w:marTop w:val="0"/>
          <w:marBottom w:val="0"/>
          <w:divBdr>
            <w:top w:val="none" w:sz="0" w:space="0" w:color="auto"/>
            <w:left w:val="none" w:sz="0" w:space="0" w:color="auto"/>
            <w:bottom w:val="none" w:sz="0" w:space="0" w:color="auto"/>
            <w:right w:val="none" w:sz="0" w:space="0" w:color="auto"/>
          </w:divBdr>
        </w:div>
        <w:div w:id="654837276">
          <w:marLeft w:val="0"/>
          <w:marRight w:val="0"/>
          <w:marTop w:val="0"/>
          <w:marBottom w:val="0"/>
          <w:divBdr>
            <w:top w:val="none" w:sz="0" w:space="0" w:color="auto"/>
            <w:left w:val="none" w:sz="0" w:space="0" w:color="auto"/>
            <w:bottom w:val="none" w:sz="0" w:space="0" w:color="auto"/>
            <w:right w:val="none" w:sz="0" w:space="0" w:color="auto"/>
          </w:divBdr>
        </w:div>
        <w:div w:id="706611803">
          <w:marLeft w:val="0"/>
          <w:marRight w:val="0"/>
          <w:marTop w:val="0"/>
          <w:marBottom w:val="0"/>
          <w:divBdr>
            <w:top w:val="none" w:sz="0" w:space="0" w:color="auto"/>
            <w:left w:val="none" w:sz="0" w:space="0" w:color="auto"/>
            <w:bottom w:val="none" w:sz="0" w:space="0" w:color="auto"/>
            <w:right w:val="none" w:sz="0" w:space="0" w:color="auto"/>
          </w:divBdr>
        </w:div>
        <w:div w:id="713386910">
          <w:marLeft w:val="0"/>
          <w:marRight w:val="0"/>
          <w:marTop w:val="0"/>
          <w:marBottom w:val="0"/>
          <w:divBdr>
            <w:top w:val="none" w:sz="0" w:space="0" w:color="auto"/>
            <w:left w:val="none" w:sz="0" w:space="0" w:color="auto"/>
            <w:bottom w:val="none" w:sz="0" w:space="0" w:color="auto"/>
            <w:right w:val="none" w:sz="0" w:space="0" w:color="auto"/>
          </w:divBdr>
        </w:div>
        <w:div w:id="767118247">
          <w:marLeft w:val="0"/>
          <w:marRight w:val="0"/>
          <w:marTop w:val="0"/>
          <w:marBottom w:val="0"/>
          <w:divBdr>
            <w:top w:val="none" w:sz="0" w:space="0" w:color="auto"/>
            <w:left w:val="none" w:sz="0" w:space="0" w:color="auto"/>
            <w:bottom w:val="none" w:sz="0" w:space="0" w:color="auto"/>
            <w:right w:val="none" w:sz="0" w:space="0" w:color="auto"/>
          </w:divBdr>
        </w:div>
        <w:div w:id="795296335">
          <w:marLeft w:val="0"/>
          <w:marRight w:val="0"/>
          <w:marTop w:val="0"/>
          <w:marBottom w:val="0"/>
          <w:divBdr>
            <w:top w:val="none" w:sz="0" w:space="0" w:color="auto"/>
            <w:left w:val="none" w:sz="0" w:space="0" w:color="auto"/>
            <w:bottom w:val="none" w:sz="0" w:space="0" w:color="auto"/>
            <w:right w:val="none" w:sz="0" w:space="0" w:color="auto"/>
          </w:divBdr>
        </w:div>
        <w:div w:id="920455642">
          <w:marLeft w:val="0"/>
          <w:marRight w:val="0"/>
          <w:marTop w:val="0"/>
          <w:marBottom w:val="0"/>
          <w:divBdr>
            <w:top w:val="none" w:sz="0" w:space="0" w:color="auto"/>
            <w:left w:val="none" w:sz="0" w:space="0" w:color="auto"/>
            <w:bottom w:val="none" w:sz="0" w:space="0" w:color="auto"/>
            <w:right w:val="none" w:sz="0" w:space="0" w:color="auto"/>
          </w:divBdr>
        </w:div>
        <w:div w:id="981541785">
          <w:marLeft w:val="0"/>
          <w:marRight w:val="0"/>
          <w:marTop w:val="0"/>
          <w:marBottom w:val="0"/>
          <w:divBdr>
            <w:top w:val="none" w:sz="0" w:space="0" w:color="auto"/>
            <w:left w:val="none" w:sz="0" w:space="0" w:color="auto"/>
            <w:bottom w:val="none" w:sz="0" w:space="0" w:color="auto"/>
            <w:right w:val="none" w:sz="0" w:space="0" w:color="auto"/>
          </w:divBdr>
        </w:div>
        <w:div w:id="984237947">
          <w:marLeft w:val="0"/>
          <w:marRight w:val="0"/>
          <w:marTop w:val="0"/>
          <w:marBottom w:val="0"/>
          <w:divBdr>
            <w:top w:val="none" w:sz="0" w:space="0" w:color="auto"/>
            <w:left w:val="none" w:sz="0" w:space="0" w:color="auto"/>
            <w:bottom w:val="none" w:sz="0" w:space="0" w:color="auto"/>
            <w:right w:val="none" w:sz="0" w:space="0" w:color="auto"/>
          </w:divBdr>
        </w:div>
        <w:div w:id="1023361116">
          <w:marLeft w:val="0"/>
          <w:marRight w:val="0"/>
          <w:marTop w:val="0"/>
          <w:marBottom w:val="0"/>
          <w:divBdr>
            <w:top w:val="none" w:sz="0" w:space="0" w:color="auto"/>
            <w:left w:val="none" w:sz="0" w:space="0" w:color="auto"/>
            <w:bottom w:val="none" w:sz="0" w:space="0" w:color="auto"/>
            <w:right w:val="none" w:sz="0" w:space="0" w:color="auto"/>
          </w:divBdr>
        </w:div>
        <w:div w:id="1037586069">
          <w:marLeft w:val="0"/>
          <w:marRight w:val="0"/>
          <w:marTop w:val="0"/>
          <w:marBottom w:val="0"/>
          <w:divBdr>
            <w:top w:val="none" w:sz="0" w:space="0" w:color="auto"/>
            <w:left w:val="none" w:sz="0" w:space="0" w:color="auto"/>
            <w:bottom w:val="none" w:sz="0" w:space="0" w:color="auto"/>
            <w:right w:val="none" w:sz="0" w:space="0" w:color="auto"/>
          </w:divBdr>
        </w:div>
        <w:div w:id="1057162345">
          <w:marLeft w:val="0"/>
          <w:marRight w:val="0"/>
          <w:marTop w:val="0"/>
          <w:marBottom w:val="0"/>
          <w:divBdr>
            <w:top w:val="none" w:sz="0" w:space="0" w:color="auto"/>
            <w:left w:val="none" w:sz="0" w:space="0" w:color="auto"/>
            <w:bottom w:val="none" w:sz="0" w:space="0" w:color="auto"/>
            <w:right w:val="none" w:sz="0" w:space="0" w:color="auto"/>
          </w:divBdr>
        </w:div>
        <w:div w:id="1075474887">
          <w:marLeft w:val="0"/>
          <w:marRight w:val="0"/>
          <w:marTop w:val="0"/>
          <w:marBottom w:val="0"/>
          <w:divBdr>
            <w:top w:val="none" w:sz="0" w:space="0" w:color="auto"/>
            <w:left w:val="none" w:sz="0" w:space="0" w:color="auto"/>
            <w:bottom w:val="none" w:sz="0" w:space="0" w:color="auto"/>
            <w:right w:val="none" w:sz="0" w:space="0" w:color="auto"/>
          </w:divBdr>
        </w:div>
        <w:div w:id="1088228798">
          <w:marLeft w:val="0"/>
          <w:marRight w:val="0"/>
          <w:marTop w:val="0"/>
          <w:marBottom w:val="0"/>
          <w:divBdr>
            <w:top w:val="none" w:sz="0" w:space="0" w:color="auto"/>
            <w:left w:val="none" w:sz="0" w:space="0" w:color="auto"/>
            <w:bottom w:val="none" w:sz="0" w:space="0" w:color="auto"/>
            <w:right w:val="none" w:sz="0" w:space="0" w:color="auto"/>
          </w:divBdr>
        </w:div>
        <w:div w:id="1089232997">
          <w:marLeft w:val="0"/>
          <w:marRight w:val="0"/>
          <w:marTop w:val="0"/>
          <w:marBottom w:val="0"/>
          <w:divBdr>
            <w:top w:val="none" w:sz="0" w:space="0" w:color="auto"/>
            <w:left w:val="none" w:sz="0" w:space="0" w:color="auto"/>
            <w:bottom w:val="none" w:sz="0" w:space="0" w:color="auto"/>
            <w:right w:val="none" w:sz="0" w:space="0" w:color="auto"/>
          </w:divBdr>
        </w:div>
        <w:div w:id="1211040498">
          <w:marLeft w:val="0"/>
          <w:marRight w:val="0"/>
          <w:marTop w:val="0"/>
          <w:marBottom w:val="0"/>
          <w:divBdr>
            <w:top w:val="none" w:sz="0" w:space="0" w:color="auto"/>
            <w:left w:val="none" w:sz="0" w:space="0" w:color="auto"/>
            <w:bottom w:val="none" w:sz="0" w:space="0" w:color="auto"/>
            <w:right w:val="none" w:sz="0" w:space="0" w:color="auto"/>
          </w:divBdr>
        </w:div>
        <w:div w:id="1218204777">
          <w:marLeft w:val="0"/>
          <w:marRight w:val="0"/>
          <w:marTop w:val="0"/>
          <w:marBottom w:val="0"/>
          <w:divBdr>
            <w:top w:val="none" w:sz="0" w:space="0" w:color="auto"/>
            <w:left w:val="none" w:sz="0" w:space="0" w:color="auto"/>
            <w:bottom w:val="none" w:sz="0" w:space="0" w:color="auto"/>
            <w:right w:val="none" w:sz="0" w:space="0" w:color="auto"/>
          </w:divBdr>
        </w:div>
        <w:div w:id="1219633579">
          <w:marLeft w:val="0"/>
          <w:marRight w:val="0"/>
          <w:marTop w:val="0"/>
          <w:marBottom w:val="0"/>
          <w:divBdr>
            <w:top w:val="none" w:sz="0" w:space="0" w:color="auto"/>
            <w:left w:val="none" w:sz="0" w:space="0" w:color="auto"/>
            <w:bottom w:val="none" w:sz="0" w:space="0" w:color="auto"/>
            <w:right w:val="none" w:sz="0" w:space="0" w:color="auto"/>
          </w:divBdr>
        </w:div>
        <w:div w:id="1244686789">
          <w:marLeft w:val="0"/>
          <w:marRight w:val="0"/>
          <w:marTop w:val="0"/>
          <w:marBottom w:val="0"/>
          <w:divBdr>
            <w:top w:val="none" w:sz="0" w:space="0" w:color="auto"/>
            <w:left w:val="none" w:sz="0" w:space="0" w:color="auto"/>
            <w:bottom w:val="none" w:sz="0" w:space="0" w:color="auto"/>
            <w:right w:val="none" w:sz="0" w:space="0" w:color="auto"/>
          </w:divBdr>
        </w:div>
        <w:div w:id="1251162309">
          <w:marLeft w:val="0"/>
          <w:marRight w:val="0"/>
          <w:marTop w:val="0"/>
          <w:marBottom w:val="0"/>
          <w:divBdr>
            <w:top w:val="none" w:sz="0" w:space="0" w:color="auto"/>
            <w:left w:val="none" w:sz="0" w:space="0" w:color="auto"/>
            <w:bottom w:val="none" w:sz="0" w:space="0" w:color="auto"/>
            <w:right w:val="none" w:sz="0" w:space="0" w:color="auto"/>
          </w:divBdr>
        </w:div>
        <w:div w:id="1262254157">
          <w:marLeft w:val="0"/>
          <w:marRight w:val="0"/>
          <w:marTop w:val="0"/>
          <w:marBottom w:val="0"/>
          <w:divBdr>
            <w:top w:val="none" w:sz="0" w:space="0" w:color="auto"/>
            <w:left w:val="none" w:sz="0" w:space="0" w:color="auto"/>
            <w:bottom w:val="none" w:sz="0" w:space="0" w:color="auto"/>
            <w:right w:val="none" w:sz="0" w:space="0" w:color="auto"/>
          </w:divBdr>
        </w:div>
        <w:div w:id="1278172194">
          <w:marLeft w:val="0"/>
          <w:marRight w:val="0"/>
          <w:marTop w:val="0"/>
          <w:marBottom w:val="0"/>
          <w:divBdr>
            <w:top w:val="none" w:sz="0" w:space="0" w:color="auto"/>
            <w:left w:val="none" w:sz="0" w:space="0" w:color="auto"/>
            <w:bottom w:val="none" w:sz="0" w:space="0" w:color="auto"/>
            <w:right w:val="none" w:sz="0" w:space="0" w:color="auto"/>
          </w:divBdr>
        </w:div>
        <w:div w:id="1312061500">
          <w:marLeft w:val="0"/>
          <w:marRight w:val="0"/>
          <w:marTop w:val="0"/>
          <w:marBottom w:val="0"/>
          <w:divBdr>
            <w:top w:val="none" w:sz="0" w:space="0" w:color="auto"/>
            <w:left w:val="none" w:sz="0" w:space="0" w:color="auto"/>
            <w:bottom w:val="none" w:sz="0" w:space="0" w:color="auto"/>
            <w:right w:val="none" w:sz="0" w:space="0" w:color="auto"/>
          </w:divBdr>
        </w:div>
        <w:div w:id="1322391837">
          <w:marLeft w:val="0"/>
          <w:marRight w:val="0"/>
          <w:marTop w:val="0"/>
          <w:marBottom w:val="0"/>
          <w:divBdr>
            <w:top w:val="none" w:sz="0" w:space="0" w:color="auto"/>
            <w:left w:val="none" w:sz="0" w:space="0" w:color="auto"/>
            <w:bottom w:val="none" w:sz="0" w:space="0" w:color="auto"/>
            <w:right w:val="none" w:sz="0" w:space="0" w:color="auto"/>
          </w:divBdr>
        </w:div>
        <w:div w:id="1322543759">
          <w:marLeft w:val="0"/>
          <w:marRight w:val="0"/>
          <w:marTop w:val="0"/>
          <w:marBottom w:val="0"/>
          <w:divBdr>
            <w:top w:val="none" w:sz="0" w:space="0" w:color="auto"/>
            <w:left w:val="none" w:sz="0" w:space="0" w:color="auto"/>
            <w:bottom w:val="none" w:sz="0" w:space="0" w:color="auto"/>
            <w:right w:val="none" w:sz="0" w:space="0" w:color="auto"/>
          </w:divBdr>
        </w:div>
        <w:div w:id="1327242298">
          <w:marLeft w:val="0"/>
          <w:marRight w:val="0"/>
          <w:marTop w:val="0"/>
          <w:marBottom w:val="0"/>
          <w:divBdr>
            <w:top w:val="none" w:sz="0" w:space="0" w:color="auto"/>
            <w:left w:val="none" w:sz="0" w:space="0" w:color="auto"/>
            <w:bottom w:val="none" w:sz="0" w:space="0" w:color="auto"/>
            <w:right w:val="none" w:sz="0" w:space="0" w:color="auto"/>
          </w:divBdr>
        </w:div>
        <w:div w:id="1368025216">
          <w:marLeft w:val="0"/>
          <w:marRight w:val="0"/>
          <w:marTop w:val="0"/>
          <w:marBottom w:val="0"/>
          <w:divBdr>
            <w:top w:val="none" w:sz="0" w:space="0" w:color="auto"/>
            <w:left w:val="none" w:sz="0" w:space="0" w:color="auto"/>
            <w:bottom w:val="none" w:sz="0" w:space="0" w:color="auto"/>
            <w:right w:val="none" w:sz="0" w:space="0" w:color="auto"/>
          </w:divBdr>
        </w:div>
        <w:div w:id="1373311093">
          <w:marLeft w:val="0"/>
          <w:marRight w:val="0"/>
          <w:marTop w:val="0"/>
          <w:marBottom w:val="0"/>
          <w:divBdr>
            <w:top w:val="none" w:sz="0" w:space="0" w:color="auto"/>
            <w:left w:val="none" w:sz="0" w:space="0" w:color="auto"/>
            <w:bottom w:val="none" w:sz="0" w:space="0" w:color="auto"/>
            <w:right w:val="none" w:sz="0" w:space="0" w:color="auto"/>
          </w:divBdr>
        </w:div>
        <w:div w:id="1406683258">
          <w:marLeft w:val="0"/>
          <w:marRight w:val="0"/>
          <w:marTop w:val="0"/>
          <w:marBottom w:val="0"/>
          <w:divBdr>
            <w:top w:val="none" w:sz="0" w:space="0" w:color="auto"/>
            <w:left w:val="none" w:sz="0" w:space="0" w:color="auto"/>
            <w:bottom w:val="none" w:sz="0" w:space="0" w:color="auto"/>
            <w:right w:val="none" w:sz="0" w:space="0" w:color="auto"/>
          </w:divBdr>
        </w:div>
        <w:div w:id="1452281202">
          <w:marLeft w:val="0"/>
          <w:marRight w:val="0"/>
          <w:marTop w:val="0"/>
          <w:marBottom w:val="0"/>
          <w:divBdr>
            <w:top w:val="none" w:sz="0" w:space="0" w:color="auto"/>
            <w:left w:val="none" w:sz="0" w:space="0" w:color="auto"/>
            <w:bottom w:val="none" w:sz="0" w:space="0" w:color="auto"/>
            <w:right w:val="none" w:sz="0" w:space="0" w:color="auto"/>
          </w:divBdr>
        </w:div>
        <w:div w:id="1479302086">
          <w:marLeft w:val="0"/>
          <w:marRight w:val="0"/>
          <w:marTop w:val="0"/>
          <w:marBottom w:val="0"/>
          <w:divBdr>
            <w:top w:val="none" w:sz="0" w:space="0" w:color="auto"/>
            <w:left w:val="none" w:sz="0" w:space="0" w:color="auto"/>
            <w:bottom w:val="none" w:sz="0" w:space="0" w:color="auto"/>
            <w:right w:val="none" w:sz="0" w:space="0" w:color="auto"/>
          </w:divBdr>
        </w:div>
        <w:div w:id="1515150264">
          <w:marLeft w:val="0"/>
          <w:marRight w:val="0"/>
          <w:marTop w:val="0"/>
          <w:marBottom w:val="0"/>
          <w:divBdr>
            <w:top w:val="none" w:sz="0" w:space="0" w:color="auto"/>
            <w:left w:val="none" w:sz="0" w:space="0" w:color="auto"/>
            <w:bottom w:val="none" w:sz="0" w:space="0" w:color="auto"/>
            <w:right w:val="none" w:sz="0" w:space="0" w:color="auto"/>
          </w:divBdr>
        </w:div>
        <w:div w:id="1518814095">
          <w:marLeft w:val="0"/>
          <w:marRight w:val="0"/>
          <w:marTop w:val="0"/>
          <w:marBottom w:val="0"/>
          <w:divBdr>
            <w:top w:val="none" w:sz="0" w:space="0" w:color="auto"/>
            <w:left w:val="none" w:sz="0" w:space="0" w:color="auto"/>
            <w:bottom w:val="none" w:sz="0" w:space="0" w:color="auto"/>
            <w:right w:val="none" w:sz="0" w:space="0" w:color="auto"/>
          </w:divBdr>
        </w:div>
        <w:div w:id="1550071873">
          <w:marLeft w:val="0"/>
          <w:marRight w:val="0"/>
          <w:marTop w:val="0"/>
          <w:marBottom w:val="0"/>
          <w:divBdr>
            <w:top w:val="none" w:sz="0" w:space="0" w:color="auto"/>
            <w:left w:val="none" w:sz="0" w:space="0" w:color="auto"/>
            <w:bottom w:val="none" w:sz="0" w:space="0" w:color="auto"/>
            <w:right w:val="none" w:sz="0" w:space="0" w:color="auto"/>
          </w:divBdr>
        </w:div>
        <w:div w:id="1587348545">
          <w:marLeft w:val="0"/>
          <w:marRight w:val="0"/>
          <w:marTop w:val="0"/>
          <w:marBottom w:val="0"/>
          <w:divBdr>
            <w:top w:val="none" w:sz="0" w:space="0" w:color="auto"/>
            <w:left w:val="none" w:sz="0" w:space="0" w:color="auto"/>
            <w:bottom w:val="none" w:sz="0" w:space="0" w:color="auto"/>
            <w:right w:val="none" w:sz="0" w:space="0" w:color="auto"/>
          </w:divBdr>
        </w:div>
        <w:div w:id="1590577242">
          <w:marLeft w:val="0"/>
          <w:marRight w:val="0"/>
          <w:marTop w:val="0"/>
          <w:marBottom w:val="0"/>
          <w:divBdr>
            <w:top w:val="none" w:sz="0" w:space="0" w:color="auto"/>
            <w:left w:val="none" w:sz="0" w:space="0" w:color="auto"/>
            <w:bottom w:val="none" w:sz="0" w:space="0" w:color="auto"/>
            <w:right w:val="none" w:sz="0" w:space="0" w:color="auto"/>
          </w:divBdr>
        </w:div>
        <w:div w:id="1597136041">
          <w:marLeft w:val="0"/>
          <w:marRight w:val="0"/>
          <w:marTop w:val="0"/>
          <w:marBottom w:val="0"/>
          <w:divBdr>
            <w:top w:val="none" w:sz="0" w:space="0" w:color="auto"/>
            <w:left w:val="none" w:sz="0" w:space="0" w:color="auto"/>
            <w:bottom w:val="none" w:sz="0" w:space="0" w:color="auto"/>
            <w:right w:val="none" w:sz="0" w:space="0" w:color="auto"/>
          </w:divBdr>
        </w:div>
        <w:div w:id="1697534098">
          <w:marLeft w:val="0"/>
          <w:marRight w:val="0"/>
          <w:marTop w:val="0"/>
          <w:marBottom w:val="0"/>
          <w:divBdr>
            <w:top w:val="none" w:sz="0" w:space="0" w:color="auto"/>
            <w:left w:val="none" w:sz="0" w:space="0" w:color="auto"/>
            <w:bottom w:val="none" w:sz="0" w:space="0" w:color="auto"/>
            <w:right w:val="none" w:sz="0" w:space="0" w:color="auto"/>
          </w:divBdr>
        </w:div>
        <w:div w:id="1763067310">
          <w:marLeft w:val="0"/>
          <w:marRight w:val="0"/>
          <w:marTop w:val="0"/>
          <w:marBottom w:val="0"/>
          <w:divBdr>
            <w:top w:val="none" w:sz="0" w:space="0" w:color="auto"/>
            <w:left w:val="none" w:sz="0" w:space="0" w:color="auto"/>
            <w:bottom w:val="none" w:sz="0" w:space="0" w:color="auto"/>
            <w:right w:val="none" w:sz="0" w:space="0" w:color="auto"/>
          </w:divBdr>
        </w:div>
        <w:div w:id="1807576786">
          <w:marLeft w:val="0"/>
          <w:marRight w:val="0"/>
          <w:marTop w:val="0"/>
          <w:marBottom w:val="0"/>
          <w:divBdr>
            <w:top w:val="none" w:sz="0" w:space="0" w:color="auto"/>
            <w:left w:val="none" w:sz="0" w:space="0" w:color="auto"/>
            <w:bottom w:val="none" w:sz="0" w:space="0" w:color="auto"/>
            <w:right w:val="none" w:sz="0" w:space="0" w:color="auto"/>
          </w:divBdr>
        </w:div>
        <w:div w:id="1827210154">
          <w:marLeft w:val="0"/>
          <w:marRight w:val="0"/>
          <w:marTop w:val="0"/>
          <w:marBottom w:val="0"/>
          <w:divBdr>
            <w:top w:val="none" w:sz="0" w:space="0" w:color="auto"/>
            <w:left w:val="none" w:sz="0" w:space="0" w:color="auto"/>
            <w:bottom w:val="none" w:sz="0" w:space="0" w:color="auto"/>
            <w:right w:val="none" w:sz="0" w:space="0" w:color="auto"/>
          </w:divBdr>
        </w:div>
        <w:div w:id="1837837152">
          <w:marLeft w:val="0"/>
          <w:marRight w:val="0"/>
          <w:marTop w:val="0"/>
          <w:marBottom w:val="0"/>
          <w:divBdr>
            <w:top w:val="none" w:sz="0" w:space="0" w:color="auto"/>
            <w:left w:val="none" w:sz="0" w:space="0" w:color="auto"/>
            <w:bottom w:val="none" w:sz="0" w:space="0" w:color="auto"/>
            <w:right w:val="none" w:sz="0" w:space="0" w:color="auto"/>
          </w:divBdr>
        </w:div>
        <w:div w:id="1944266732">
          <w:marLeft w:val="0"/>
          <w:marRight w:val="0"/>
          <w:marTop w:val="0"/>
          <w:marBottom w:val="0"/>
          <w:divBdr>
            <w:top w:val="none" w:sz="0" w:space="0" w:color="auto"/>
            <w:left w:val="none" w:sz="0" w:space="0" w:color="auto"/>
            <w:bottom w:val="none" w:sz="0" w:space="0" w:color="auto"/>
            <w:right w:val="none" w:sz="0" w:space="0" w:color="auto"/>
          </w:divBdr>
        </w:div>
        <w:div w:id="1963539240">
          <w:marLeft w:val="0"/>
          <w:marRight w:val="0"/>
          <w:marTop w:val="0"/>
          <w:marBottom w:val="0"/>
          <w:divBdr>
            <w:top w:val="none" w:sz="0" w:space="0" w:color="auto"/>
            <w:left w:val="none" w:sz="0" w:space="0" w:color="auto"/>
            <w:bottom w:val="none" w:sz="0" w:space="0" w:color="auto"/>
            <w:right w:val="none" w:sz="0" w:space="0" w:color="auto"/>
          </w:divBdr>
        </w:div>
        <w:div w:id="1974208860">
          <w:marLeft w:val="0"/>
          <w:marRight w:val="0"/>
          <w:marTop w:val="0"/>
          <w:marBottom w:val="0"/>
          <w:divBdr>
            <w:top w:val="none" w:sz="0" w:space="0" w:color="auto"/>
            <w:left w:val="none" w:sz="0" w:space="0" w:color="auto"/>
            <w:bottom w:val="none" w:sz="0" w:space="0" w:color="auto"/>
            <w:right w:val="none" w:sz="0" w:space="0" w:color="auto"/>
          </w:divBdr>
        </w:div>
        <w:div w:id="2092583312">
          <w:marLeft w:val="0"/>
          <w:marRight w:val="0"/>
          <w:marTop w:val="0"/>
          <w:marBottom w:val="0"/>
          <w:divBdr>
            <w:top w:val="none" w:sz="0" w:space="0" w:color="auto"/>
            <w:left w:val="none" w:sz="0" w:space="0" w:color="auto"/>
            <w:bottom w:val="none" w:sz="0" w:space="0" w:color="auto"/>
            <w:right w:val="none" w:sz="0" w:space="0" w:color="auto"/>
          </w:divBdr>
        </w:div>
        <w:div w:id="2105110979">
          <w:marLeft w:val="0"/>
          <w:marRight w:val="0"/>
          <w:marTop w:val="0"/>
          <w:marBottom w:val="0"/>
          <w:divBdr>
            <w:top w:val="none" w:sz="0" w:space="0" w:color="auto"/>
            <w:left w:val="none" w:sz="0" w:space="0" w:color="auto"/>
            <w:bottom w:val="none" w:sz="0" w:space="0" w:color="auto"/>
            <w:right w:val="none" w:sz="0" w:space="0" w:color="auto"/>
          </w:divBdr>
        </w:div>
        <w:div w:id="2106262176">
          <w:marLeft w:val="0"/>
          <w:marRight w:val="0"/>
          <w:marTop w:val="0"/>
          <w:marBottom w:val="0"/>
          <w:divBdr>
            <w:top w:val="none" w:sz="0" w:space="0" w:color="auto"/>
            <w:left w:val="none" w:sz="0" w:space="0" w:color="auto"/>
            <w:bottom w:val="none" w:sz="0" w:space="0" w:color="auto"/>
            <w:right w:val="none" w:sz="0" w:space="0" w:color="auto"/>
          </w:divBdr>
        </w:div>
        <w:div w:id="2107534785">
          <w:marLeft w:val="0"/>
          <w:marRight w:val="0"/>
          <w:marTop w:val="0"/>
          <w:marBottom w:val="0"/>
          <w:divBdr>
            <w:top w:val="none" w:sz="0" w:space="0" w:color="auto"/>
            <w:left w:val="none" w:sz="0" w:space="0" w:color="auto"/>
            <w:bottom w:val="none" w:sz="0" w:space="0" w:color="auto"/>
            <w:right w:val="none" w:sz="0" w:space="0" w:color="auto"/>
          </w:divBdr>
        </w:div>
        <w:div w:id="2112505729">
          <w:marLeft w:val="0"/>
          <w:marRight w:val="0"/>
          <w:marTop w:val="0"/>
          <w:marBottom w:val="0"/>
          <w:divBdr>
            <w:top w:val="none" w:sz="0" w:space="0" w:color="auto"/>
            <w:left w:val="none" w:sz="0" w:space="0" w:color="auto"/>
            <w:bottom w:val="none" w:sz="0" w:space="0" w:color="auto"/>
            <w:right w:val="none" w:sz="0" w:space="0" w:color="auto"/>
          </w:divBdr>
        </w:div>
      </w:divsChild>
    </w:div>
    <w:div w:id="1077556468">
      <w:bodyDiv w:val="1"/>
      <w:marLeft w:val="0"/>
      <w:marRight w:val="0"/>
      <w:marTop w:val="0"/>
      <w:marBottom w:val="0"/>
      <w:divBdr>
        <w:top w:val="none" w:sz="0" w:space="0" w:color="auto"/>
        <w:left w:val="none" w:sz="0" w:space="0" w:color="auto"/>
        <w:bottom w:val="none" w:sz="0" w:space="0" w:color="auto"/>
        <w:right w:val="none" w:sz="0" w:space="0" w:color="auto"/>
      </w:divBdr>
    </w:div>
    <w:div w:id="1080442785">
      <w:bodyDiv w:val="1"/>
      <w:marLeft w:val="0"/>
      <w:marRight w:val="0"/>
      <w:marTop w:val="0"/>
      <w:marBottom w:val="0"/>
      <w:divBdr>
        <w:top w:val="none" w:sz="0" w:space="0" w:color="auto"/>
        <w:left w:val="none" w:sz="0" w:space="0" w:color="auto"/>
        <w:bottom w:val="none" w:sz="0" w:space="0" w:color="auto"/>
        <w:right w:val="none" w:sz="0" w:space="0" w:color="auto"/>
      </w:divBdr>
    </w:div>
    <w:div w:id="1206717164">
      <w:bodyDiv w:val="1"/>
      <w:marLeft w:val="0"/>
      <w:marRight w:val="0"/>
      <w:marTop w:val="0"/>
      <w:marBottom w:val="0"/>
      <w:divBdr>
        <w:top w:val="none" w:sz="0" w:space="0" w:color="auto"/>
        <w:left w:val="none" w:sz="0" w:space="0" w:color="auto"/>
        <w:bottom w:val="none" w:sz="0" w:space="0" w:color="auto"/>
        <w:right w:val="none" w:sz="0" w:space="0" w:color="auto"/>
      </w:divBdr>
      <w:divsChild>
        <w:div w:id="167214304">
          <w:marLeft w:val="0"/>
          <w:marRight w:val="0"/>
          <w:marTop w:val="0"/>
          <w:marBottom w:val="0"/>
          <w:divBdr>
            <w:top w:val="none" w:sz="0" w:space="0" w:color="auto"/>
            <w:left w:val="none" w:sz="0" w:space="0" w:color="auto"/>
            <w:bottom w:val="none" w:sz="0" w:space="0" w:color="auto"/>
            <w:right w:val="none" w:sz="0" w:space="0" w:color="auto"/>
          </w:divBdr>
        </w:div>
        <w:div w:id="178929447">
          <w:marLeft w:val="0"/>
          <w:marRight w:val="0"/>
          <w:marTop w:val="0"/>
          <w:marBottom w:val="0"/>
          <w:divBdr>
            <w:top w:val="none" w:sz="0" w:space="0" w:color="auto"/>
            <w:left w:val="none" w:sz="0" w:space="0" w:color="auto"/>
            <w:bottom w:val="none" w:sz="0" w:space="0" w:color="auto"/>
            <w:right w:val="none" w:sz="0" w:space="0" w:color="auto"/>
          </w:divBdr>
        </w:div>
        <w:div w:id="474837759">
          <w:marLeft w:val="0"/>
          <w:marRight w:val="0"/>
          <w:marTop w:val="0"/>
          <w:marBottom w:val="0"/>
          <w:divBdr>
            <w:top w:val="none" w:sz="0" w:space="0" w:color="auto"/>
            <w:left w:val="none" w:sz="0" w:space="0" w:color="auto"/>
            <w:bottom w:val="none" w:sz="0" w:space="0" w:color="auto"/>
            <w:right w:val="none" w:sz="0" w:space="0" w:color="auto"/>
          </w:divBdr>
        </w:div>
        <w:div w:id="692997394">
          <w:marLeft w:val="0"/>
          <w:marRight w:val="0"/>
          <w:marTop w:val="0"/>
          <w:marBottom w:val="0"/>
          <w:divBdr>
            <w:top w:val="none" w:sz="0" w:space="0" w:color="auto"/>
            <w:left w:val="none" w:sz="0" w:space="0" w:color="auto"/>
            <w:bottom w:val="none" w:sz="0" w:space="0" w:color="auto"/>
            <w:right w:val="none" w:sz="0" w:space="0" w:color="auto"/>
          </w:divBdr>
        </w:div>
        <w:div w:id="823619337">
          <w:marLeft w:val="0"/>
          <w:marRight w:val="0"/>
          <w:marTop w:val="0"/>
          <w:marBottom w:val="0"/>
          <w:divBdr>
            <w:top w:val="none" w:sz="0" w:space="0" w:color="auto"/>
            <w:left w:val="none" w:sz="0" w:space="0" w:color="auto"/>
            <w:bottom w:val="none" w:sz="0" w:space="0" w:color="auto"/>
            <w:right w:val="none" w:sz="0" w:space="0" w:color="auto"/>
          </w:divBdr>
        </w:div>
        <w:div w:id="1008949084">
          <w:marLeft w:val="0"/>
          <w:marRight w:val="0"/>
          <w:marTop w:val="0"/>
          <w:marBottom w:val="0"/>
          <w:divBdr>
            <w:top w:val="none" w:sz="0" w:space="0" w:color="auto"/>
            <w:left w:val="none" w:sz="0" w:space="0" w:color="auto"/>
            <w:bottom w:val="none" w:sz="0" w:space="0" w:color="auto"/>
            <w:right w:val="none" w:sz="0" w:space="0" w:color="auto"/>
          </w:divBdr>
        </w:div>
        <w:div w:id="1072699758">
          <w:marLeft w:val="0"/>
          <w:marRight w:val="0"/>
          <w:marTop w:val="0"/>
          <w:marBottom w:val="0"/>
          <w:divBdr>
            <w:top w:val="none" w:sz="0" w:space="0" w:color="auto"/>
            <w:left w:val="none" w:sz="0" w:space="0" w:color="auto"/>
            <w:bottom w:val="none" w:sz="0" w:space="0" w:color="auto"/>
            <w:right w:val="none" w:sz="0" w:space="0" w:color="auto"/>
          </w:divBdr>
        </w:div>
        <w:div w:id="1220701879">
          <w:marLeft w:val="0"/>
          <w:marRight w:val="0"/>
          <w:marTop w:val="0"/>
          <w:marBottom w:val="0"/>
          <w:divBdr>
            <w:top w:val="none" w:sz="0" w:space="0" w:color="auto"/>
            <w:left w:val="none" w:sz="0" w:space="0" w:color="auto"/>
            <w:bottom w:val="none" w:sz="0" w:space="0" w:color="auto"/>
            <w:right w:val="none" w:sz="0" w:space="0" w:color="auto"/>
          </w:divBdr>
        </w:div>
        <w:div w:id="1271358039">
          <w:marLeft w:val="0"/>
          <w:marRight w:val="0"/>
          <w:marTop w:val="0"/>
          <w:marBottom w:val="0"/>
          <w:divBdr>
            <w:top w:val="none" w:sz="0" w:space="0" w:color="auto"/>
            <w:left w:val="none" w:sz="0" w:space="0" w:color="auto"/>
            <w:bottom w:val="none" w:sz="0" w:space="0" w:color="auto"/>
            <w:right w:val="none" w:sz="0" w:space="0" w:color="auto"/>
          </w:divBdr>
        </w:div>
        <w:div w:id="1478690931">
          <w:marLeft w:val="0"/>
          <w:marRight w:val="0"/>
          <w:marTop w:val="0"/>
          <w:marBottom w:val="0"/>
          <w:divBdr>
            <w:top w:val="none" w:sz="0" w:space="0" w:color="auto"/>
            <w:left w:val="none" w:sz="0" w:space="0" w:color="auto"/>
            <w:bottom w:val="none" w:sz="0" w:space="0" w:color="auto"/>
            <w:right w:val="none" w:sz="0" w:space="0" w:color="auto"/>
          </w:divBdr>
        </w:div>
        <w:div w:id="1484271692">
          <w:marLeft w:val="0"/>
          <w:marRight w:val="0"/>
          <w:marTop w:val="0"/>
          <w:marBottom w:val="0"/>
          <w:divBdr>
            <w:top w:val="none" w:sz="0" w:space="0" w:color="auto"/>
            <w:left w:val="none" w:sz="0" w:space="0" w:color="auto"/>
            <w:bottom w:val="none" w:sz="0" w:space="0" w:color="auto"/>
            <w:right w:val="none" w:sz="0" w:space="0" w:color="auto"/>
          </w:divBdr>
        </w:div>
        <w:div w:id="1782412661">
          <w:marLeft w:val="0"/>
          <w:marRight w:val="0"/>
          <w:marTop w:val="0"/>
          <w:marBottom w:val="0"/>
          <w:divBdr>
            <w:top w:val="none" w:sz="0" w:space="0" w:color="auto"/>
            <w:left w:val="none" w:sz="0" w:space="0" w:color="auto"/>
            <w:bottom w:val="none" w:sz="0" w:space="0" w:color="auto"/>
            <w:right w:val="none" w:sz="0" w:space="0" w:color="auto"/>
          </w:divBdr>
        </w:div>
      </w:divsChild>
    </w:div>
    <w:div w:id="1221016194">
      <w:bodyDiv w:val="1"/>
      <w:marLeft w:val="0"/>
      <w:marRight w:val="0"/>
      <w:marTop w:val="0"/>
      <w:marBottom w:val="0"/>
      <w:divBdr>
        <w:top w:val="none" w:sz="0" w:space="0" w:color="auto"/>
        <w:left w:val="none" w:sz="0" w:space="0" w:color="auto"/>
        <w:bottom w:val="none" w:sz="0" w:space="0" w:color="auto"/>
        <w:right w:val="none" w:sz="0" w:space="0" w:color="auto"/>
      </w:divBdr>
    </w:div>
    <w:div w:id="1323658783">
      <w:bodyDiv w:val="1"/>
      <w:marLeft w:val="0"/>
      <w:marRight w:val="0"/>
      <w:marTop w:val="0"/>
      <w:marBottom w:val="0"/>
      <w:divBdr>
        <w:top w:val="none" w:sz="0" w:space="0" w:color="auto"/>
        <w:left w:val="none" w:sz="0" w:space="0" w:color="auto"/>
        <w:bottom w:val="none" w:sz="0" w:space="0" w:color="auto"/>
        <w:right w:val="none" w:sz="0" w:space="0" w:color="auto"/>
      </w:divBdr>
    </w:div>
    <w:div w:id="1519808141">
      <w:bodyDiv w:val="1"/>
      <w:marLeft w:val="0"/>
      <w:marRight w:val="0"/>
      <w:marTop w:val="0"/>
      <w:marBottom w:val="0"/>
      <w:divBdr>
        <w:top w:val="none" w:sz="0" w:space="0" w:color="auto"/>
        <w:left w:val="none" w:sz="0" w:space="0" w:color="auto"/>
        <w:bottom w:val="none" w:sz="0" w:space="0" w:color="auto"/>
        <w:right w:val="none" w:sz="0" w:space="0" w:color="auto"/>
      </w:divBdr>
    </w:div>
    <w:div w:id="1546065037">
      <w:bodyDiv w:val="1"/>
      <w:marLeft w:val="0"/>
      <w:marRight w:val="0"/>
      <w:marTop w:val="0"/>
      <w:marBottom w:val="0"/>
      <w:divBdr>
        <w:top w:val="none" w:sz="0" w:space="0" w:color="auto"/>
        <w:left w:val="none" w:sz="0" w:space="0" w:color="auto"/>
        <w:bottom w:val="none" w:sz="0" w:space="0" w:color="auto"/>
        <w:right w:val="none" w:sz="0" w:space="0" w:color="auto"/>
      </w:divBdr>
    </w:div>
    <w:div w:id="1547567978">
      <w:bodyDiv w:val="1"/>
      <w:marLeft w:val="0"/>
      <w:marRight w:val="0"/>
      <w:marTop w:val="0"/>
      <w:marBottom w:val="0"/>
      <w:divBdr>
        <w:top w:val="none" w:sz="0" w:space="0" w:color="auto"/>
        <w:left w:val="none" w:sz="0" w:space="0" w:color="auto"/>
        <w:bottom w:val="none" w:sz="0" w:space="0" w:color="auto"/>
        <w:right w:val="none" w:sz="0" w:space="0" w:color="auto"/>
      </w:divBdr>
    </w:div>
    <w:div w:id="1572038580">
      <w:bodyDiv w:val="1"/>
      <w:marLeft w:val="0"/>
      <w:marRight w:val="0"/>
      <w:marTop w:val="0"/>
      <w:marBottom w:val="0"/>
      <w:divBdr>
        <w:top w:val="none" w:sz="0" w:space="0" w:color="auto"/>
        <w:left w:val="none" w:sz="0" w:space="0" w:color="auto"/>
        <w:bottom w:val="none" w:sz="0" w:space="0" w:color="auto"/>
        <w:right w:val="none" w:sz="0" w:space="0" w:color="auto"/>
      </w:divBdr>
      <w:divsChild>
        <w:div w:id="70927959">
          <w:marLeft w:val="0"/>
          <w:marRight w:val="0"/>
          <w:marTop w:val="0"/>
          <w:marBottom w:val="0"/>
          <w:divBdr>
            <w:top w:val="none" w:sz="0" w:space="0" w:color="auto"/>
            <w:left w:val="none" w:sz="0" w:space="0" w:color="auto"/>
            <w:bottom w:val="none" w:sz="0" w:space="0" w:color="auto"/>
            <w:right w:val="none" w:sz="0" w:space="0" w:color="auto"/>
          </w:divBdr>
        </w:div>
        <w:div w:id="124273699">
          <w:marLeft w:val="0"/>
          <w:marRight w:val="0"/>
          <w:marTop w:val="0"/>
          <w:marBottom w:val="0"/>
          <w:divBdr>
            <w:top w:val="none" w:sz="0" w:space="0" w:color="auto"/>
            <w:left w:val="none" w:sz="0" w:space="0" w:color="auto"/>
            <w:bottom w:val="none" w:sz="0" w:space="0" w:color="auto"/>
            <w:right w:val="none" w:sz="0" w:space="0" w:color="auto"/>
          </w:divBdr>
        </w:div>
        <w:div w:id="136338566">
          <w:marLeft w:val="0"/>
          <w:marRight w:val="0"/>
          <w:marTop w:val="0"/>
          <w:marBottom w:val="0"/>
          <w:divBdr>
            <w:top w:val="none" w:sz="0" w:space="0" w:color="auto"/>
            <w:left w:val="none" w:sz="0" w:space="0" w:color="auto"/>
            <w:bottom w:val="none" w:sz="0" w:space="0" w:color="auto"/>
            <w:right w:val="none" w:sz="0" w:space="0" w:color="auto"/>
          </w:divBdr>
        </w:div>
        <w:div w:id="159588465">
          <w:marLeft w:val="0"/>
          <w:marRight w:val="0"/>
          <w:marTop w:val="0"/>
          <w:marBottom w:val="0"/>
          <w:divBdr>
            <w:top w:val="none" w:sz="0" w:space="0" w:color="auto"/>
            <w:left w:val="none" w:sz="0" w:space="0" w:color="auto"/>
            <w:bottom w:val="none" w:sz="0" w:space="0" w:color="auto"/>
            <w:right w:val="none" w:sz="0" w:space="0" w:color="auto"/>
          </w:divBdr>
        </w:div>
        <w:div w:id="165092299">
          <w:marLeft w:val="0"/>
          <w:marRight w:val="0"/>
          <w:marTop w:val="0"/>
          <w:marBottom w:val="0"/>
          <w:divBdr>
            <w:top w:val="none" w:sz="0" w:space="0" w:color="auto"/>
            <w:left w:val="none" w:sz="0" w:space="0" w:color="auto"/>
            <w:bottom w:val="none" w:sz="0" w:space="0" w:color="auto"/>
            <w:right w:val="none" w:sz="0" w:space="0" w:color="auto"/>
          </w:divBdr>
        </w:div>
        <w:div w:id="207961855">
          <w:marLeft w:val="0"/>
          <w:marRight w:val="0"/>
          <w:marTop w:val="0"/>
          <w:marBottom w:val="0"/>
          <w:divBdr>
            <w:top w:val="none" w:sz="0" w:space="0" w:color="auto"/>
            <w:left w:val="none" w:sz="0" w:space="0" w:color="auto"/>
            <w:bottom w:val="none" w:sz="0" w:space="0" w:color="auto"/>
            <w:right w:val="none" w:sz="0" w:space="0" w:color="auto"/>
          </w:divBdr>
        </w:div>
        <w:div w:id="226305188">
          <w:marLeft w:val="0"/>
          <w:marRight w:val="0"/>
          <w:marTop w:val="0"/>
          <w:marBottom w:val="0"/>
          <w:divBdr>
            <w:top w:val="none" w:sz="0" w:space="0" w:color="auto"/>
            <w:left w:val="none" w:sz="0" w:space="0" w:color="auto"/>
            <w:bottom w:val="none" w:sz="0" w:space="0" w:color="auto"/>
            <w:right w:val="none" w:sz="0" w:space="0" w:color="auto"/>
          </w:divBdr>
        </w:div>
        <w:div w:id="231736622">
          <w:marLeft w:val="0"/>
          <w:marRight w:val="0"/>
          <w:marTop w:val="0"/>
          <w:marBottom w:val="0"/>
          <w:divBdr>
            <w:top w:val="none" w:sz="0" w:space="0" w:color="auto"/>
            <w:left w:val="none" w:sz="0" w:space="0" w:color="auto"/>
            <w:bottom w:val="none" w:sz="0" w:space="0" w:color="auto"/>
            <w:right w:val="none" w:sz="0" w:space="0" w:color="auto"/>
          </w:divBdr>
        </w:div>
        <w:div w:id="324623999">
          <w:marLeft w:val="0"/>
          <w:marRight w:val="0"/>
          <w:marTop w:val="0"/>
          <w:marBottom w:val="0"/>
          <w:divBdr>
            <w:top w:val="none" w:sz="0" w:space="0" w:color="auto"/>
            <w:left w:val="none" w:sz="0" w:space="0" w:color="auto"/>
            <w:bottom w:val="none" w:sz="0" w:space="0" w:color="auto"/>
            <w:right w:val="none" w:sz="0" w:space="0" w:color="auto"/>
          </w:divBdr>
        </w:div>
        <w:div w:id="332537735">
          <w:marLeft w:val="0"/>
          <w:marRight w:val="0"/>
          <w:marTop w:val="0"/>
          <w:marBottom w:val="0"/>
          <w:divBdr>
            <w:top w:val="none" w:sz="0" w:space="0" w:color="auto"/>
            <w:left w:val="none" w:sz="0" w:space="0" w:color="auto"/>
            <w:bottom w:val="none" w:sz="0" w:space="0" w:color="auto"/>
            <w:right w:val="none" w:sz="0" w:space="0" w:color="auto"/>
          </w:divBdr>
        </w:div>
        <w:div w:id="340742080">
          <w:marLeft w:val="0"/>
          <w:marRight w:val="0"/>
          <w:marTop w:val="0"/>
          <w:marBottom w:val="0"/>
          <w:divBdr>
            <w:top w:val="none" w:sz="0" w:space="0" w:color="auto"/>
            <w:left w:val="none" w:sz="0" w:space="0" w:color="auto"/>
            <w:bottom w:val="none" w:sz="0" w:space="0" w:color="auto"/>
            <w:right w:val="none" w:sz="0" w:space="0" w:color="auto"/>
          </w:divBdr>
        </w:div>
        <w:div w:id="365107429">
          <w:marLeft w:val="0"/>
          <w:marRight w:val="0"/>
          <w:marTop w:val="0"/>
          <w:marBottom w:val="0"/>
          <w:divBdr>
            <w:top w:val="none" w:sz="0" w:space="0" w:color="auto"/>
            <w:left w:val="none" w:sz="0" w:space="0" w:color="auto"/>
            <w:bottom w:val="none" w:sz="0" w:space="0" w:color="auto"/>
            <w:right w:val="none" w:sz="0" w:space="0" w:color="auto"/>
          </w:divBdr>
        </w:div>
        <w:div w:id="368143844">
          <w:marLeft w:val="0"/>
          <w:marRight w:val="0"/>
          <w:marTop w:val="0"/>
          <w:marBottom w:val="0"/>
          <w:divBdr>
            <w:top w:val="none" w:sz="0" w:space="0" w:color="auto"/>
            <w:left w:val="none" w:sz="0" w:space="0" w:color="auto"/>
            <w:bottom w:val="none" w:sz="0" w:space="0" w:color="auto"/>
            <w:right w:val="none" w:sz="0" w:space="0" w:color="auto"/>
          </w:divBdr>
        </w:div>
        <w:div w:id="384985535">
          <w:marLeft w:val="0"/>
          <w:marRight w:val="0"/>
          <w:marTop w:val="0"/>
          <w:marBottom w:val="0"/>
          <w:divBdr>
            <w:top w:val="none" w:sz="0" w:space="0" w:color="auto"/>
            <w:left w:val="none" w:sz="0" w:space="0" w:color="auto"/>
            <w:bottom w:val="none" w:sz="0" w:space="0" w:color="auto"/>
            <w:right w:val="none" w:sz="0" w:space="0" w:color="auto"/>
          </w:divBdr>
        </w:div>
        <w:div w:id="416097189">
          <w:marLeft w:val="0"/>
          <w:marRight w:val="0"/>
          <w:marTop w:val="0"/>
          <w:marBottom w:val="0"/>
          <w:divBdr>
            <w:top w:val="none" w:sz="0" w:space="0" w:color="auto"/>
            <w:left w:val="none" w:sz="0" w:space="0" w:color="auto"/>
            <w:bottom w:val="none" w:sz="0" w:space="0" w:color="auto"/>
            <w:right w:val="none" w:sz="0" w:space="0" w:color="auto"/>
          </w:divBdr>
        </w:div>
        <w:div w:id="417412227">
          <w:marLeft w:val="0"/>
          <w:marRight w:val="0"/>
          <w:marTop w:val="0"/>
          <w:marBottom w:val="0"/>
          <w:divBdr>
            <w:top w:val="none" w:sz="0" w:space="0" w:color="auto"/>
            <w:left w:val="none" w:sz="0" w:space="0" w:color="auto"/>
            <w:bottom w:val="none" w:sz="0" w:space="0" w:color="auto"/>
            <w:right w:val="none" w:sz="0" w:space="0" w:color="auto"/>
          </w:divBdr>
        </w:div>
        <w:div w:id="444160275">
          <w:marLeft w:val="0"/>
          <w:marRight w:val="0"/>
          <w:marTop w:val="0"/>
          <w:marBottom w:val="0"/>
          <w:divBdr>
            <w:top w:val="none" w:sz="0" w:space="0" w:color="auto"/>
            <w:left w:val="none" w:sz="0" w:space="0" w:color="auto"/>
            <w:bottom w:val="none" w:sz="0" w:space="0" w:color="auto"/>
            <w:right w:val="none" w:sz="0" w:space="0" w:color="auto"/>
          </w:divBdr>
        </w:div>
        <w:div w:id="607201387">
          <w:marLeft w:val="0"/>
          <w:marRight w:val="0"/>
          <w:marTop w:val="0"/>
          <w:marBottom w:val="0"/>
          <w:divBdr>
            <w:top w:val="none" w:sz="0" w:space="0" w:color="auto"/>
            <w:left w:val="none" w:sz="0" w:space="0" w:color="auto"/>
            <w:bottom w:val="none" w:sz="0" w:space="0" w:color="auto"/>
            <w:right w:val="none" w:sz="0" w:space="0" w:color="auto"/>
          </w:divBdr>
        </w:div>
        <w:div w:id="630021188">
          <w:marLeft w:val="0"/>
          <w:marRight w:val="0"/>
          <w:marTop w:val="0"/>
          <w:marBottom w:val="0"/>
          <w:divBdr>
            <w:top w:val="none" w:sz="0" w:space="0" w:color="auto"/>
            <w:left w:val="none" w:sz="0" w:space="0" w:color="auto"/>
            <w:bottom w:val="none" w:sz="0" w:space="0" w:color="auto"/>
            <w:right w:val="none" w:sz="0" w:space="0" w:color="auto"/>
          </w:divBdr>
        </w:div>
        <w:div w:id="665061394">
          <w:marLeft w:val="0"/>
          <w:marRight w:val="0"/>
          <w:marTop w:val="0"/>
          <w:marBottom w:val="0"/>
          <w:divBdr>
            <w:top w:val="none" w:sz="0" w:space="0" w:color="auto"/>
            <w:left w:val="none" w:sz="0" w:space="0" w:color="auto"/>
            <w:bottom w:val="none" w:sz="0" w:space="0" w:color="auto"/>
            <w:right w:val="none" w:sz="0" w:space="0" w:color="auto"/>
          </w:divBdr>
        </w:div>
        <w:div w:id="666833046">
          <w:marLeft w:val="0"/>
          <w:marRight w:val="0"/>
          <w:marTop w:val="0"/>
          <w:marBottom w:val="0"/>
          <w:divBdr>
            <w:top w:val="none" w:sz="0" w:space="0" w:color="auto"/>
            <w:left w:val="none" w:sz="0" w:space="0" w:color="auto"/>
            <w:bottom w:val="none" w:sz="0" w:space="0" w:color="auto"/>
            <w:right w:val="none" w:sz="0" w:space="0" w:color="auto"/>
          </w:divBdr>
        </w:div>
        <w:div w:id="671219950">
          <w:marLeft w:val="0"/>
          <w:marRight w:val="0"/>
          <w:marTop w:val="0"/>
          <w:marBottom w:val="0"/>
          <w:divBdr>
            <w:top w:val="none" w:sz="0" w:space="0" w:color="auto"/>
            <w:left w:val="none" w:sz="0" w:space="0" w:color="auto"/>
            <w:bottom w:val="none" w:sz="0" w:space="0" w:color="auto"/>
            <w:right w:val="none" w:sz="0" w:space="0" w:color="auto"/>
          </w:divBdr>
        </w:div>
        <w:div w:id="760416749">
          <w:marLeft w:val="0"/>
          <w:marRight w:val="0"/>
          <w:marTop w:val="0"/>
          <w:marBottom w:val="0"/>
          <w:divBdr>
            <w:top w:val="none" w:sz="0" w:space="0" w:color="auto"/>
            <w:left w:val="none" w:sz="0" w:space="0" w:color="auto"/>
            <w:bottom w:val="none" w:sz="0" w:space="0" w:color="auto"/>
            <w:right w:val="none" w:sz="0" w:space="0" w:color="auto"/>
          </w:divBdr>
        </w:div>
        <w:div w:id="764686877">
          <w:marLeft w:val="0"/>
          <w:marRight w:val="0"/>
          <w:marTop w:val="0"/>
          <w:marBottom w:val="0"/>
          <w:divBdr>
            <w:top w:val="none" w:sz="0" w:space="0" w:color="auto"/>
            <w:left w:val="none" w:sz="0" w:space="0" w:color="auto"/>
            <w:bottom w:val="none" w:sz="0" w:space="0" w:color="auto"/>
            <w:right w:val="none" w:sz="0" w:space="0" w:color="auto"/>
          </w:divBdr>
        </w:div>
        <w:div w:id="801774842">
          <w:marLeft w:val="0"/>
          <w:marRight w:val="0"/>
          <w:marTop w:val="0"/>
          <w:marBottom w:val="0"/>
          <w:divBdr>
            <w:top w:val="none" w:sz="0" w:space="0" w:color="auto"/>
            <w:left w:val="none" w:sz="0" w:space="0" w:color="auto"/>
            <w:bottom w:val="none" w:sz="0" w:space="0" w:color="auto"/>
            <w:right w:val="none" w:sz="0" w:space="0" w:color="auto"/>
          </w:divBdr>
        </w:div>
        <w:div w:id="815607671">
          <w:marLeft w:val="0"/>
          <w:marRight w:val="0"/>
          <w:marTop w:val="0"/>
          <w:marBottom w:val="0"/>
          <w:divBdr>
            <w:top w:val="none" w:sz="0" w:space="0" w:color="auto"/>
            <w:left w:val="none" w:sz="0" w:space="0" w:color="auto"/>
            <w:bottom w:val="none" w:sz="0" w:space="0" w:color="auto"/>
            <w:right w:val="none" w:sz="0" w:space="0" w:color="auto"/>
          </w:divBdr>
        </w:div>
        <w:div w:id="861941576">
          <w:marLeft w:val="0"/>
          <w:marRight w:val="0"/>
          <w:marTop w:val="0"/>
          <w:marBottom w:val="0"/>
          <w:divBdr>
            <w:top w:val="none" w:sz="0" w:space="0" w:color="auto"/>
            <w:left w:val="none" w:sz="0" w:space="0" w:color="auto"/>
            <w:bottom w:val="none" w:sz="0" w:space="0" w:color="auto"/>
            <w:right w:val="none" w:sz="0" w:space="0" w:color="auto"/>
          </w:divBdr>
        </w:div>
        <w:div w:id="866018665">
          <w:marLeft w:val="0"/>
          <w:marRight w:val="0"/>
          <w:marTop w:val="0"/>
          <w:marBottom w:val="0"/>
          <w:divBdr>
            <w:top w:val="none" w:sz="0" w:space="0" w:color="auto"/>
            <w:left w:val="none" w:sz="0" w:space="0" w:color="auto"/>
            <w:bottom w:val="none" w:sz="0" w:space="0" w:color="auto"/>
            <w:right w:val="none" w:sz="0" w:space="0" w:color="auto"/>
          </w:divBdr>
        </w:div>
        <w:div w:id="869494316">
          <w:marLeft w:val="0"/>
          <w:marRight w:val="0"/>
          <w:marTop w:val="0"/>
          <w:marBottom w:val="0"/>
          <w:divBdr>
            <w:top w:val="none" w:sz="0" w:space="0" w:color="auto"/>
            <w:left w:val="none" w:sz="0" w:space="0" w:color="auto"/>
            <w:bottom w:val="none" w:sz="0" w:space="0" w:color="auto"/>
            <w:right w:val="none" w:sz="0" w:space="0" w:color="auto"/>
          </w:divBdr>
        </w:div>
        <w:div w:id="873231975">
          <w:marLeft w:val="0"/>
          <w:marRight w:val="0"/>
          <w:marTop w:val="0"/>
          <w:marBottom w:val="0"/>
          <w:divBdr>
            <w:top w:val="none" w:sz="0" w:space="0" w:color="auto"/>
            <w:left w:val="none" w:sz="0" w:space="0" w:color="auto"/>
            <w:bottom w:val="none" w:sz="0" w:space="0" w:color="auto"/>
            <w:right w:val="none" w:sz="0" w:space="0" w:color="auto"/>
          </w:divBdr>
        </w:div>
        <w:div w:id="892497950">
          <w:marLeft w:val="0"/>
          <w:marRight w:val="0"/>
          <w:marTop w:val="0"/>
          <w:marBottom w:val="0"/>
          <w:divBdr>
            <w:top w:val="none" w:sz="0" w:space="0" w:color="auto"/>
            <w:left w:val="none" w:sz="0" w:space="0" w:color="auto"/>
            <w:bottom w:val="none" w:sz="0" w:space="0" w:color="auto"/>
            <w:right w:val="none" w:sz="0" w:space="0" w:color="auto"/>
          </w:divBdr>
        </w:div>
        <w:div w:id="950553525">
          <w:marLeft w:val="0"/>
          <w:marRight w:val="0"/>
          <w:marTop w:val="0"/>
          <w:marBottom w:val="0"/>
          <w:divBdr>
            <w:top w:val="none" w:sz="0" w:space="0" w:color="auto"/>
            <w:left w:val="none" w:sz="0" w:space="0" w:color="auto"/>
            <w:bottom w:val="none" w:sz="0" w:space="0" w:color="auto"/>
            <w:right w:val="none" w:sz="0" w:space="0" w:color="auto"/>
          </w:divBdr>
        </w:div>
        <w:div w:id="1005598864">
          <w:marLeft w:val="0"/>
          <w:marRight w:val="0"/>
          <w:marTop w:val="0"/>
          <w:marBottom w:val="0"/>
          <w:divBdr>
            <w:top w:val="none" w:sz="0" w:space="0" w:color="auto"/>
            <w:left w:val="none" w:sz="0" w:space="0" w:color="auto"/>
            <w:bottom w:val="none" w:sz="0" w:space="0" w:color="auto"/>
            <w:right w:val="none" w:sz="0" w:space="0" w:color="auto"/>
          </w:divBdr>
        </w:div>
        <w:div w:id="1017461181">
          <w:marLeft w:val="0"/>
          <w:marRight w:val="0"/>
          <w:marTop w:val="0"/>
          <w:marBottom w:val="0"/>
          <w:divBdr>
            <w:top w:val="none" w:sz="0" w:space="0" w:color="auto"/>
            <w:left w:val="none" w:sz="0" w:space="0" w:color="auto"/>
            <w:bottom w:val="none" w:sz="0" w:space="0" w:color="auto"/>
            <w:right w:val="none" w:sz="0" w:space="0" w:color="auto"/>
          </w:divBdr>
        </w:div>
        <w:div w:id="1044063206">
          <w:marLeft w:val="0"/>
          <w:marRight w:val="0"/>
          <w:marTop w:val="0"/>
          <w:marBottom w:val="0"/>
          <w:divBdr>
            <w:top w:val="none" w:sz="0" w:space="0" w:color="auto"/>
            <w:left w:val="none" w:sz="0" w:space="0" w:color="auto"/>
            <w:bottom w:val="none" w:sz="0" w:space="0" w:color="auto"/>
            <w:right w:val="none" w:sz="0" w:space="0" w:color="auto"/>
          </w:divBdr>
        </w:div>
        <w:div w:id="1132285364">
          <w:marLeft w:val="0"/>
          <w:marRight w:val="0"/>
          <w:marTop w:val="0"/>
          <w:marBottom w:val="0"/>
          <w:divBdr>
            <w:top w:val="none" w:sz="0" w:space="0" w:color="auto"/>
            <w:left w:val="none" w:sz="0" w:space="0" w:color="auto"/>
            <w:bottom w:val="none" w:sz="0" w:space="0" w:color="auto"/>
            <w:right w:val="none" w:sz="0" w:space="0" w:color="auto"/>
          </w:divBdr>
        </w:div>
        <w:div w:id="1191452186">
          <w:marLeft w:val="0"/>
          <w:marRight w:val="0"/>
          <w:marTop w:val="0"/>
          <w:marBottom w:val="0"/>
          <w:divBdr>
            <w:top w:val="none" w:sz="0" w:space="0" w:color="auto"/>
            <w:left w:val="none" w:sz="0" w:space="0" w:color="auto"/>
            <w:bottom w:val="none" w:sz="0" w:space="0" w:color="auto"/>
            <w:right w:val="none" w:sz="0" w:space="0" w:color="auto"/>
          </w:divBdr>
        </w:div>
        <w:div w:id="1319842775">
          <w:marLeft w:val="0"/>
          <w:marRight w:val="0"/>
          <w:marTop w:val="0"/>
          <w:marBottom w:val="0"/>
          <w:divBdr>
            <w:top w:val="none" w:sz="0" w:space="0" w:color="auto"/>
            <w:left w:val="none" w:sz="0" w:space="0" w:color="auto"/>
            <w:bottom w:val="none" w:sz="0" w:space="0" w:color="auto"/>
            <w:right w:val="none" w:sz="0" w:space="0" w:color="auto"/>
          </w:divBdr>
        </w:div>
        <w:div w:id="1359812545">
          <w:marLeft w:val="0"/>
          <w:marRight w:val="0"/>
          <w:marTop w:val="0"/>
          <w:marBottom w:val="0"/>
          <w:divBdr>
            <w:top w:val="none" w:sz="0" w:space="0" w:color="auto"/>
            <w:left w:val="none" w:sz="0" w:space="0" w:color="auto"/>
            <w:bottom w:val="none" w:sz="0" w:space="0" w:color="auto"/>
            <w:right w:val="none" w:sz="0" w:space="0" w:color="auto"/>
          </w:divBdr>
        </w:div>
        <w:div w:id="1363093167">
          <w:marLeft w:val="0"/>
          <w:marRight w:val="0"/>
          <w:marTop w:val="0"/>
          <w:marBottom w:val="0"/>
          <w:divBdr>
            <w:top w:val="none" w:sz="0" w:space="0" w:color="auto"/>
            <w:left w:val="none" w:sz="0" w:space="0" w:color="auto"/>
            <w:bottom w:val="none" w:sz="0" w:space="0" w:color="auto"/>
            <w:right w:val="none" w:sz="0" w:space="0" w:color="auto"/>
          </w:divBdr>
        </w:div>
        <w:div w:id="1381786889">
          <w:marLeft w:val="0"/>
          <w:marRight w:val="0"/>
          <w:marTop w:val="0"/>
          <w:marBottom w:val="0"/>
          <w:divBdr>
            <w:top w:val="none" w:sz="0" w:space="0" w:color="auto"/>
            <w:left w:val="none" w:sz="0" w:space="0" w:color="auto"/>
            <w:bottom w:val="none" w:sz="0" w:space="0" w:color="auto"/>
            <w:right w:val="none" w:sz="0" w:space="0" w:color="auto"/>
          </w:divBdr>
        </w:div>
        <w:div w:id="1400133298">
          <w:marLeft w:val="0"/>
          <w:marRight w:val="0"/>
          <w:marTop w:val="0"/>
          <w:marBottom w:val="0"/>
          <w:divBdr>
            <w:top w:val="none" w:sz="0" w:space="0" w:color="auto"/>
            <w:left w:val="none" w:sz="0" w:space="0" w:color="auto"/>
            <w:bottom w:val="none" w:sz="0" w:space="0" w:color="auto"/>
            <w:right w:val="none" w:sz="0" w:space="0" w:color="auto"/>
          </w:divBdr>
        </w:div>
        <w:div w:id="1401978808">
          <w:marLeft w:val="0"/>
          <w:marRight w:val="0"/>
          <w:marTop w:val="0"/>
          <w:marBottom w:val="0"/>
          <w:divBdr>
            <w:top w:val="none" w:sz="0" w:space="0" w:color="auto"/>
            <w:left w:val="none" w:sz="0" w:space="0" w:color="auto"/>
            <w:bottom w:val="none" w:sz="0" w:space="0" w:color="auto"/>
            <w:right w:val="none" w:sz="0" w:space="0" w:color="auto"/>
          </w:divBdr>
        </w:div>
        <w:div w:id="1473212992">
          <w:marLeft w:val="0"/>
          <w:marRight w:val="0"/>
          <w:marTop w:val="0"/>
          <w:marBottom w:val="0"/>
          <w:divBdr>
            <w:top w:val="none" w:sz="0" w:space="0" w:color="auto"/>
            <w:left w:val="none" w:sz="0" w:space="0" w:color="auto"/>
            <w:bottom w:val="none" w:sz="0" w:space="0" w:color="auto"/>
            <w:right w:val="none" w:sz="0" w:space="0" w:color="auto"/>
          </w:divBdr>
        </w:div>
        <w:div w:id="1474953759">
          <w:marLeft w:val="0"/>
          <w:marRight w:val="0"/>
          <w:marTop w:val="0"/>
          <w:marBottom w:val="0"/>
          <w:divBdr>
            <w:top w:val="none" w:sz="0" w:space="0" w:color="auto"/>
            <w:left w:val="none" w:sz="0" w:space="0" w:color="auto"/>
            <w:bottom w:val="none" w:sz="0" w:space="0" w:color="auto"/>
            <w:right w:val="none" w:sz="0" w:space="0" w:color="auto"/>
          </w:divBdr>
        </w:div>
        <w:div w:id="1479569960">
          <w:marLeft w:val="0"/>
          <w:marRight w:val="0"/>
          <w:marTop w:val="0"/>
          <w:marBottom w:val="0"/>
          <w:divBdr>
            <w:top w:val="none" w:sz="0" w:space="0" w:color="auto"/>
            <w:left w:val="none" w:sz="0" w:space="0" w:color="auto"/>
            <w:bottom w:val="none" w:sz="0" w:space="0" w:color="auto"/>
            <w:right w:val="none" w:sz="0" w:space="0" w:color="auto"/>
          </w:divBdr>
        </w:div>
        <w:div w:id="1521821317">
          <w:marLeft w:val="0"/>
          <w:marRight w:val="0"/>
          <w:marTop w:val="0"/>
          <w:marBottom w:val="0"/>
          <w:divBdr>
            <w:top w:val="none" w:sz="0" w:space="0" w:color="auto"/>
            <w:left w:val="none" w:sz="0" w:space="0" w:color="auto"/>
            <w:bottom w:val="none" w:sz="0" w:space="0" w:color="auto"/>
            <w:right w:val="none" w:sz="0" w:space="0" w:color="auto"/>
          </w:divBdr>
        </w:div>
        <w:div w:id="1575973278">
          <w:marLeft w:val="0"/>
          <w:marRight w:val="0"/>
          <w:marTop w:val="0"/>
          <w:marBottom w:val="0"/>
          <w:divBdr>
            <w:top w:val="none" w:sz="0" w:space="0" w:color="auto"/>
            <w:left w:val="none" w:sz="0" w:space="0" w:color="auto"/>
            <w:bottom w:val="none" w:sz="0" w:space="0" w:color="auto"/>
            <w:right w:val="none" w:sz="0" w:space="0" w:color="auto"/>
          </w:divBdr>
        </w:div>
        <w:div w:id="1599555292">
          <w:marLeft w:val="0"/>
          <w:marRight w:val="0"/>
          <w:marTop w:val="0"/>
          <w:marBottom w:val="0"/>
          <w:divBdr>
            <w:top w:val="none" w:sz="0" w:space="0" w:color="auto"/>
            <w:left w:val="none" w:sz="0" w:space="0" w:color="auto"/>
            <w:bottom w:val="none" w:sz="0" w:space="0" w:color="auto"/>
            <w:right w:val="none" w:sz="0" w:space="0" w:color="auto"/>
          </w:divBdr>
        </w:div>
        <w:div w:id="1634479706">
          <w:marLeft w:val="0"/>
          <w:marRight w:val="0"/>
          <w:marTop w:val="0"/>
          <w:marBottom w:val="0"/>
          <w:divBdr>
            <w:top w:val="none" w:sz="0" w:space="0" w:color="auto"/>
            <w:left w:val="none" w:sz="0" w:space="0" w:color="auto"/>
            <w:bottom w:val="none" w:sz="0" w:space="0" w:color="auto"/>
            <w:right w:val="none" w:sz="0" w:space="0" w:color="auto"/>
          </w:divBdr>
        </w:div>
        <w:div w:id="1663464691">
          <w:marLeft w:val="0"/>
          <w:marRight w:val="0"/>
          <w:marTop w:val="0"/>
          <w:marBottom w:val="0"/>
          <w:divBdr>
            <w:top w:val="none" w:sz="0" w:space="0" w:color="auto"/>
            <w:left w:val="none" w:sz="0" w:space="0" w:color="auto"/>
            <w:bottom w:val="none" w:sz="0" w:space="0" w:color="auto"/>
            <w:right w:val="none" w:sz="0" w:space="0" w:color="auto"/>
          </w:divBdr>
        </w:div>
        <w:div w:id="1679842654">
          <w:marLeft w:val="0"/>
          <w:marRight w:val="0"/>
          <w:marTop w:val="0"/>
          <w:marBottom w:val="0"/>
          <w:divBdr>
            <w:top w:val="none" w:sz="0" w:space="0" w:color="auto"/>
            <w:left w:val="none" w:sz="0" w:space="0" w:color="auto"/>
            <w:bottom w:val="none" w:sz="0" w:space="0" w:color="auto"/>
            <w:right w:val="none" w:sz="0" w:space="0" w:color="auto"/>
          </w:divBdr>
        </w:div>
        <w:div w:id="1727290667">
          <w:marLeft w:val="0"/>
          <w:marRight w:val="0"/>
          <w:marTop w:val="0"/>
          <w:marBottom w:val="0"/>
          <w:divBdr>
            <w:top w:val="none" w:sz="0" w:space="0" w:color="auto"/>
            <w:left w:val="none" w:sz="0" w:space="0" w:color="auto"/>
            <w:bottom w:val="none" w:sz="0" w:space="0" w:color="auto"/>
            <w:right w:val="none" w:sz="0" w:space="0" w:color="auto"/>
          </w:divBdr>
        </w:div>
        <w:div w:id="1739866174">
          <w:marLeft w:val="0"/>
          <w:marRight w:val="0"/>
          <w:marTop w:val="0"/>
          <w:marBottom w:val="0"/>
          <w:divBdr>
            <w:top w:val="none" w:sz="0" w:space="0" w:color="auto"/>
            <w:left w:val="none" w:sz="0" w:space="0" w:color="auto"/>
            <w:bottom w:val="none" w:sz="0" w:space="0" w:color="auto"/>
            <w:right w:val="none" w:sz="0" w:space="0" w:color="auto"/>
          </w:divBdr>
        </w:div>
        <w:div w:id="1751585120">
          <w:marLeft w:val="0"/>
          <w:marRight w:val="0"/>
          <w:marTop w:val="0"/>
          <w:marBottom w:val="0"/>
          <w:divBdr>
            <w:top w:val="none" w:sz="0" w:space="0" w:color="auto"/>
            <w:left w:val="none" w:sz="0" w:space="0" w:color="auto"/>
            <w:bottom w:val="none" w:sz="0" w:space="0" w:color="auto"/>
            <w:right w:val="none" w:sz="0" w:space="0" w:color="auto"/>
          </w:divBdr>
        </w:div>
        <w:div w:id="1820226454">
          <w:marLeft w:val="0"/>
          <w:marRight w:val="0"/>
          <w:marTop w:val="0"/>
          <w:marBottom w:val="0"/>
          <w:divBdr>
            <w:top w:val="none" w:sz="0" w:space="0" w:color="auto"/>
            <w:left w:val="none" w:sz="0" w:space="0" w:color="auto"/>
            <w:bottom w:val="none" w:sz="0" w:space="0" w:color="auto"/>
            <w:right w:val="none" w:sz="0" w:space="0" w:color="auto"/>
          </w:divBdr>
        </w:div>
        <w:div w:id="1837500189">
          <w:marLeft w:val="0"/>
          <w:marRight w:val="0"/>
          <w:marTop w:val="0"/>
          <w:marBottom w:val="0"/>
          <w:divBdr>
            <w:top w:val="none" w:sz="0" w:space="0" w:color="auto"/>
            <w:left w:val="none" w:sz="0" w:space="0" w:color="auto"/>
            <w:bottom w:val="none" w:sz="0" w:space="0" w:color="auto"/>
            <w:right w:val="none" w:sz="0" w:space="0" w:color="auto"/>
          </w:divBdr>
        </w:div>
        <w:div w:id="1844932970">
          <w:marLeft w:val="0"/>
          <w:marRight w:val="0"/>
          <w:marTop w:val="0"/>
          <w:marBottom w:val="0"/>
          <w:divBdr>
            <w:top w:val="none" w:sz="0" w:space="0" w:color="auto"/>
            <w:left w:val="none" w:sz="0" w:space="0" w:color="auto"/>
            <w:bottom w:val="none" w:sz="0" w:space="0" w:color="auto"/>
            <w:right w:val="none" w:sz="0" w:space="0" w:color="auto"/>
          </w:divBdr>
        </w:div>
        <w:div w:id="1869023786">
          <w:marLeft w:val="0"/>
          <w:marRight w:val="0"/>
          <w:marTop w:val="0"/>
          <w:marBottom w:val="0"/>
          <w:divBdr>
            <w:top w:val="none" w:sz="0" w:space="0" w:color="auto"/>
            <w:left w:val="none" w:sz="0" w:space="0" w:color="auto"/>
            <w:bottom w:val="none" w:sz="0" w:space="0" w:color="auto"/>
            <w:right w:val="none" w:sz="0" w:space="0" w:color="auto"/>
          </w:divBdr>
        </w:div>
        <w:div w:id="1870100993">
          <w:marLeft w:val="0"/>
          <w:marRight w:val="0"/>
          <w:marTop w:val="0"/>
          <w:marBottom w:val="0"/>
          <w:divBdr>
            <w:top w:val="none" w:sz="0" w:space="0" w:color="auto"/>
            <w:left w:val="none" w:sz="0" w:space="0" w:color="auto"/>
            <w:bottom w:val="none" w:sz="0" w:space="0" w:color="auto"/>
            <w:right w:val="none" w:sz="0" w:space="0" w:color="auto"/>
          </w:divBdr>
        </w:div>
        <w:div w:id="1893299054">
          <w:marLeft w:val="0"/>
          <w:marRight w:val="0"/>
          <w:marTop w:val="0"/>
          <w:marBottom w:val="0"/>
          <w:divBdr>
            <w:top w:val="none" w:sz="0" w:space="0" w:color="auto"/>
            <w:left w:val="none" w:sz="0" w:space="0" w:color="auto"/>
            <w:bottom w:val="none" w:sz="0" w:space="0" w:color="auto"/>
            <w:right w:val="none" w:sz="0" w:space="0" w:color="auto"/>
          </w:divBdr>
        </w:div>
        <w:div w:id="1918055270">
          <w:marLeft w:val="0"/>
          <w:marRight w:val="0"/>
          <w:marTop w:val="0"/>
          <w:marBottom w:val="0"/>
          <w:divBdr>
            <w:top w:val="none" w:sz="0" w:space="0" w:color="auto"/>
            <w:left w:val="none" w:sz="0" w:space="0" w:color="auto"/>
            <w:bottom w:val="none" w:sz="0" w:space="0" w:color="auto"/>
            <w:right w:val="none" w:sz="0" w:space="0" w:color="auto"/>
          </w:divBdr>
        </w:div>
        <w:div w:id="1919561764">
          <w:marLeft w:val="0"/>
          <w:marRight w:val="0"/>
          <w:marTop w:val="0"/>
          <w:marBottom w:val="0"/>
          <w:divBdr>
            <w:top w:val="none" w:sz="0" w:space="0" w:color="auto"/>
            <w:left w:val="none" w:sz="0" w:space="0" w:color="auto"/>
            <w:bottom w:val="none" w:sz="0" w:space="0" w:color="auto"/>
            <w:right w:val="none" w:sz="0" w:space="0" w:color="auto"/>
          </w:divBdr>
        </w:div>
        <w:div w:id="1956519654">
          <w:marLeft w:val="0"/>
          <w:marRight w:val="0"/>
          <w:marTop w:val="0"/>
          <w:marBottom w:val="0"/>
          <w:divBdr>
            <w:top w:val="none" w:sz="0" w:space="0" w:color="auto"/>
            <w:left w:val="none" w:sz="0" w:space="0" w:color="auto"/>
            <w:bottom w:val="none" w:sz="0" w:space="0" w:color="auto"/>
            <w:right w:val="none" w:sz="0" w:space="0" w:color="auto"/>
          </w:divBdr>
        </w:div>
        <w:div w:id="1959682340">
          <w:marLeft w:val="0"/>
          <w:marRight w:val="0"/>
          <w:marTop w:val="0"/>
          <w:marBottom w:val="0"/>
          <w:divBdr>
            <w:top w:val="none" w:sz="0" w:space="0" w:color="auto"/>
            <w:left w:val="none" w:sz="0" w:space="0" w:color="auto"/>
            <w:bottom w:val="none" w:sz="0" w:space="0" w:color="auto"/>
            <w:right w:val="none" w:sz="0" w:space="0" w:color="auto"/>
          </w:divBdr>
        </w:div>
        <w:div w:id="1966037167">
          <w:marLeft w:val="0"/>
          <w:marRight w:val="0"/>
          <w:marTop w:val="0"/>
          <w:marBottom w:val="0"/>
          <w:divBdr>
            <w:top w:val="none" w:sz="0" w:space="0" w:color="auto"/>
            <w:left w:val="none" w:sz="0" w:space="0" w:color="auto"/>
            <w:bottom w:val="none" w:sz="0" w:space="0" w:color="auto"/>
            <w:right w:val="none" w:sz="0" w:space="0" w:color="auto"/>
          </w:divBdr>
        </w:div>
        <w:div w:id="1998875874">
          <w:marLeft w:val="0"/>
          <w:marRight w:val="0"/>
          <w:marTop w:val="0"/>
          <w:marBottom w:val="0"/>
          <w:divBdr>
            <w:top w:val="none" w:sz="0" w:space="0" w:color="auto"/>
            <w:left w:val="none" w:sz="0" w:space="0" w:color="auto"/>
            <w:bottom w:val="none" w:sz="0" w:space="0" w:color="auto"/>
            <w:right w:val="none" w:sz="0" w:space="0" w:color="auto"/>
          </w:divBdr>
        </w:div>
        <w:div w:id="2085686116">
          <w:marLeft w:val="0"/>
          <w:marRight w:val="0"/>
          <w:marTop w:val="0"/>
          <w:marBottom w:val="0"/>
          <w:divBdr>
            <w:top w:val="none" w:sz="0" w:space="0" w:color="auto"/>
            <w:left w:val="none" w:sz="0" w:space="0" w:color="auto"/>
            <w:bottom w:val="none" w:sz="0" w:space="0" w:color="auto"/>
            <w:right w:val="none" w:sz="0" w:space="0" w:color="auto"/>
          </w:divBdr>
        </w:div>
        <w:div w:id="2086679037">
          <w:marLeft w:val="0"/>
          <w:marRight w:val="0"/>
          <w:marTop w:val="0"/>
          <w:marBottom w:val="0"/>
          <w:divBdr>
            <w:top w:val="none" w:sz="0" w:space="0" w:color="auto"/>
            <w:left w:val="none" w:sz="0" w:space="0" w:color="auto"/>
            <w:bottom w:val="none" w:sz="0" w:space="0" w:color="auto"/>
            <w:right w:val="none" w:sz="0" w:space="0" w:color="auto"/>
          </w:divBdr>
        </w:div>
        <w:div w:id="2112506477">
          <w:marLeft w:val="0"/>
          <w:marRight w:val="0"/>
          <w:marTop w:val="0"/>
          <w:marBottom w:val="0"/>
          <w:divBdr>
            <w:top w:val="none" w:sz="0" w:space="0" w:color="auto"/>
            <w:left w:val="none" w:sz="0" w:space="0" w:color="auto"/>
            <w:bottom w:val="none" w:sz="0" w:space="0" w:color="auto"/>
            <w:right w:val="none" w:sz="0" w:space="0" w:color="auto"/>
          </w:divBdr>
        </w:div>
      </w:divsChild>
    </w:div>
    <w:div w:id="1869831451">
      <w:bodyDiv w:val="1"/>
      <w:marLeft w:val="0"/>
      <w:marRight w:val="0"/>
      <w:marTop w:val="0"/>
      <w:marBottom w:val="0"/>
      <w:divBdr>
        <w:top w:val="none" w:sz="0" w:space="0" w:color="auto"/>
        <w:left w:val="none" w:sz="0" w:space="0" w:color="auto"/>
        <w:bottom w:val="none" w:sz="0" w:space="0" w:color="auto"/>
        <w:right w:val="none" w:sz="0" w:space="0" w:color="auto"/>
      </w:divBdr>
    </w:div>
    <w:div w:id="1944417280">
      <w:bodyDiv w:val="1"/>
      <w:marLeft w:val="0"/>
      <w:marRight w:val="0"/>
      <w:marTop w:val="0"/>
      <w:marBottom w:val="0"/>
      <w:divBdr>
        <w:top w:val="none" w:sz="0" w:space="0" w:color="auto"/>
        <w:left w:val="none" w:sz="0" w:space="0" w:color="auto"/>
        <w:bottom w:val="none" w:sz="0" w:space="0" w:color="auto"/>
        <w:right w:val="none" w:sz="0" w:space="0" w:color="auto"/>
      </w:divBdr>
    </w:div>
    <w:div w:id="1973948323">
      <w:bodyDiv w:val="1"/>
      <w:marLeft w:val="0"/>
      <w:marRight w:val="0"/>
      <w:marTop w:val="0"/>
      <w:marBottom w:val="0"/>
      <w:divBdr>
        <w:top w:val="none" w:sz="0" w:space="0" w:color="auto"/>
        <w:left w:val="none" w:sz="0" w:space="0" w:color="auto"/>
        <w:bottom w:val="none" w:sz="0" w:space="0" w:color="auto"/>
        <w:right w:val="none" w:sz="0" w:space="0" w:color="auto"/>
      </w:divBdr>
    </w:div>
    <w:div w:id="2076118841">
      <w:bodyDiv w:val="1"/>
      <w:marLeft w:val="0"/>
      <w:marRight w:val="0"/>
      <w:marTop w:val="0"/>
      <w:marBottom w:val="0"/>
      <w:divBdr>
        <w:top w:val="none" w:sz="0" w:space="0" w:color="auto"/>
        <w:left w:val="none" w:sz="0" w:space="0" w:color="auto"/>
        <w:bottom w:val="none" w:sz="0" w:space="0" w:color="auto"/>
        <w:right w:val="none" w:sz="0" w:space="0" w:color="auto"/>
      </w:divBdr>
    </w:div>
    <w:div w:id="2111779008">
      <w:bodyDiv w:val="1"/>
      <w:marLeft w:val="0"/>
      <w:marRight w:val="0"/>
      <w:marTop w:val="0"/>
      <w:marBottom w:val="0"/>
      <w:divBdr>
        <w:top w:val="none" w:sz="0" w:space="0" w:color="auto"/>
        <w:left w:val="none" w:sz="0" w:space="0" w:color="auto"/>
        <w:bottom w:val="none" w:sz="0" w:space="0" w:color="auto"/>
        <w:right w:val="none" w:sz="0" w:space="0" w:color="auto"/>
      </w:divBdr>
    </w:div>
    <w:div w:id="214383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3.xml"/><Relationship Id="rId26" Type="http://schemas.openxmlformats.org/officeDocument/2006/relationships/hyperlink" Target="http://www.ihpa.gov.au" TargetMode="External"/><Relationship Id="rId3" Type="http://schemas.openxmlformats.org/officeDocument/2006/relationships/customXml" Target="../customXml/item3.xml"/><Relationship Id="rId21" Type="http://schemas.openxmlformats.org/officeDocument/2006/relationships/hyperlink" Target="mailto:olga.liavas@ihacpa.gov.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austlii.edu.au/au/legis/cth/consol_act/acpa199734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jpeg"/><Relationship Id="rId29" Type="http://schemas.openxmlformats.org/officeDocument/2006/relationships/hyperlink" Target="mailto:julia.hume@ihacp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ustlii.edu.au/au/legis/cth/consol_act/aca199757/"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austlii.edu.au/au/legis/cth/consol_act/acpa1997343/" TargetMode="External"/><Relationship Id="rId28" Type="http://schemas.openxmlformats.org/officeDocument/2006/relationships/hyperlink" Target="https://www.oaic.gov.au/privacy/privacy-complaints"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austlii.edu.au/au/legis/cth/consol_act/aca199757/" TargetMode="External"/><Relationship Id="rId27" Type="http://schemas.openxmlformats.org/officeDocument/2006/relationships/hyperlink" Target="http://www.oaic.gov.au" TargetMode="External"/><Relationship Id="rId30" Type="http://schemas.openxmlformats.org/officeDocument/2006/relationships/hyperlink" Target="mailto:olga.liavas@ihacp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IHPA black palette">
      <a:dk1>
        <a:sysClr val="windowText" lastClr="000000"/>
      </a:dk1>
      <a:lt1>
        <a:sysClr val="window" lastClr="FFFFFF"/>
      </a:lt1>
      <a:dk2>
        <a:srgbClr val="000000"/>
      </a:dk2>
      <a:lt2>
        <a:srgbClr val="000000"/>
      </a:lt2>
      <a:accent1>
        <a:srgbClr val="000000"/>
      </a:accent1>
      <a:accent2>
        <a:srgbClr val="58595B"/>
      </a:accent2>
      <a:accent3>
        <a:srgbClr val="808285"/>
      </a:accent3>
      <a:accent4>
        <a:srgbClr val="A7A9AC"/>
      </a:accent4>
      <a:accent5>
        <a:srgbClr val="000000"/>
      </a:accent5>
      <a:accent6>
        <a:srgbClr val="0000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692D4B0C5BA1448D345F86658A20DC" ma:contentTypeVersion="1" ma:contentTypeDescription="Create a new document." ma:contentTypeScope="" ma:versionID="6336667fabb44cfbcad1b42b49deb3b4">
  <xsd:schema xmlns:xsd="http://www.w3.org/2001/XMLSchema" xmlns:xs="http://www.w3.org/2001/XMLSchema" xmlns:p="http://schemas.microsoft.com/office/2006/metadata/properties" xmlns:ns2="3c47d42e-f518-41fa-9aa3-38f206fc8815" targetNamespace="http://schemas.microsoft.com/office/2006/metadata/properties" ma:root="true" ma:fieldsID="a620089b89f598631383d21facc12c31" ns2:_="">
    <xsd:import namespace="3c47d42e-f518-41fa-9aa3-38f206fc8815"/>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7d42e-f518-41fa-9aa3-38f206fc8815" elementFormDefault="qualified">
    <xsd:import namespace="http://schemas.microsoft.com/office/2006/documentManagement/types"/>
    <xsd:import namespace="http://schemas.microsoft.com/office/infopath/2007/PartnerControls"/>
    <xsd:element name="Document_x0020_Type" ma:index="8" nillable="true" ma:displayName="Category" ma:format="Dropdown" ma:internalName="Document_x0020_Type">
      <xsd:simpleType>
        <xsd:restriction base="dms:Choice">
          <xsd:enumeration value="Business Continuity Management (BCM) and Disaster Recovery"/>
          <xsd:enumeration value="Compliance"/>
          <xsd:enumeration value="Data Security and Release"/>
          <xsd:enumeration value="Disclosure"/>
          <xsd:enumeration value="Fraud control and anti-corruption"/>
          <xsd:enumeration value="IHPA Tactical Risk Management Guide"/>
          <xsd:enumeration value="Privacy"/>
          <xsd:enumeration value="Risk"/>
          <xsd:enumeration value="Secur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3c47d42e-f518-41fa-9aa3-38f206fc8815">Privacy</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 D O C U M E N T S ! 4 6 9 9 4 5 6 4 . 4 < / d o c u m e n t i d >  
     < s e n d e r i d > M E L I G A < / s e n d e r i d >  
     < s e n d e r e m a i l > M E L I S S A . G A N G E M I @ A G S . G O V . A U < / s e n d e r e m a i l >  
     < l a s t m o d i f i e d > 2 0 2 3 - 0 3 - 0 1 T 1 6 : 3 3 : 0 0 . 0 0 0 0 0 0 0 + 1 1 : 0 0 < / l a s t m o d i f i e d >  
     < d a t a b a s e > D O C U M E N T S < / d a t a b a s e >  
 < / p r o p e r t i e s > 
</file>

<file path=customXml/itemProps1.xml><?xml version="1.0" encoding="utf-8"?>
<ds:datastoreItem xmlns:ds="http://schemas.openxmlformats.org/officeDocument/2006/customXml" ds:itemID="{3298A55A-4B10-45C6-A196-78C25A8F6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7d42e-f518-41fa-9aa3-38f206fc8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B32B8-B913-4709-B8C1-395E42607039}">
  <ds:schemaRefs>
    <ds:schemaRef ds:uri="http://schemas.microsoft.com/sharepoint/v3/contenttype/forms"/>
  </ds:schemaRefs>
</ds:datastoreItem>
</file>

<file path=customXml/itemProps3.xml><?xml version="1.0" encoding="utf-8"?>
<ds:datastoreItem xmlns:ds="http://schemas.openxmlformats.org/officeDocument/2006/customXml" ds:itemID="{BB6EE3CE-C4C7-4704-8D17-B6A9DEFDDDB6}">
  <ds:schemaRefs>
    <ds:schemaRef ds:uri="http://schemas.microsoft.com/office/2006/metadata/properties"/>
    <ds:schemaRef ds:uri="http://schemas.microsoft.com/office/infopath/2007/PartnerControls"/>
    <ds:schemaRef ds:uri="3c47d42e-f518-41fa-9aa3-38f206fc8815"/>
  </ds:schemaRefs>
</ds:datastoreItem>
</file>

<file path=customXml/itemProps4.xml><?xml version="1.0" encoding="utf-8"?>
<ds:datastoreItem xmlns:ds="http://schemas.openxmlformats.org/officeDocument/2006/customXml" ds:itemID="{37BE0F22-6424-420D-926F-1CAD0E409576}">
  <ds:schemaRefs>
    <ds:schemaRef ds:uri="http://schemas.openxmlformats.org/officeDocument/2006/bibliography"/>
  </ds:schemaRefs>
</ds:datastoreItem>
</file>

<file path=customXml/itemProps5.xml><?xml version="1.0" encoding="utf-8"?>
<ds:datastoreItem xmlns:ds="http://schemas.openxmlformats.org/officeDocument/2006/customXml" ds:itemID="{6CFBB72C-63CE-499F-A364-06860E468B9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4731</Words>
  <Characters>26969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Privacy Policy</vt:lpstr>
    </vt:vector>
  </TitlesOfParts>
  <Company>Dept Health And Ageing</Company>
  <LinksUpToDate>false</LinksUpToDate>
  <CharactersWithSpaces>31637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
  <dc:creator>SMITH, Katie</dc:creator>
  <cp:keywords/>
  <dc:description/>
  <cp:lastModifiedBy>SMITH, Katie</cp:lastModifiedBy>
  <cp:revision>4</cp:revision>
  <cp:lastPrinted>2023-03-15T00:07:00Z</cp:lastPrinted>
  <dcterms:created xsi:type="dcterms:W3CDTF">2023-03-28T06:19:00Z</dcterms:created>
  <dcterms:modified xsi:type="dcterms:W3CDTF">2023-04-06T00:05:00Z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0x01010034692D4B0C5BA1448D345F86658A20DC</vt:lpwstr>
  </property>
  <property fmtid="{D5CDD505-2E9C-101B-9397-08002B2CF9AE}" pid="3" name="checkforsharepointfields">
    <vt:lpwstr>True</vt:lpwstr>
  </property>
  <property fmtid="{D5CDD505-2E9C-101B-9397-08002B2CF9AE}" pid="4" name="Template Filename">
    <vt:lpwstr/>
  </property>
  <property fmtid="{D5CDD505-2E9C-101B-9397-08002B2CF9AE}" pid="5" name="ObjectiveRef">
    <vt:lpwstr>Removed</vt:lpwstr>
  </property>
  <property fmtid="{D5CDD505-2E9C-101B-9397-08002B2CF9AE}" pid="6" name="LeadingLawyers">
    <vt:lpwstr>Removed</vt:lpwstr>
  </property>
  <property fmtid="{D5CDD505-2E9C-101B-9397-08002B2CF9AE}" pid="7" name="WSFooter">
    <vt:lpwstr>40415136</vt:lpwstr>
  </property>
</Properties>
</file>