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E333F5" w14:textId="17C73644" w:rsidR="00C415F5" w:rsidRPr="00585810" w:rsidRDefault="00D141FD" w:rsidP="008659C2">
      <w:pPr>
        <w:pStyle w:val="CoverTitle"/>
        <w:rPr>
          <w:sz w:val="60"/>
          <w:szCs w:val="60"/>
        </w:rPr>
      </w:pPr>
      <w:bookmarkStart w:id="0" w:name="_top"/>
      <w:bookmarkStart w:id="1" w:name="_Toc45809571"/>
      <w:bookmarkStart w:id="2" w:name="_Toc49953728"/>
      <w:bookmarkStart w:id="3" w:name="_Toc49954238"/>
      <w:bookmarkStart w:id="4" w:name="_Toc50446166"/>
      <w:bookmarkStart w:id="5" w:name="_GoBack"/>
      <w:bookmarkEnd w:id="0"/>
      <w:bookmarkEnd w:id="5"/>
      <w:r w:rsidRPr="00585810">
        <w:rPr>
          <w:noProof/>
          <w:sz w:val="60"/>
          <w:szCs w:val="60"/>
          <w:lang w:eastAsia="en-AU" w:bidi="ar-SA"/>
        </w:rPr>
        <w:drawing>
          <wp:anchor distT="0" distB="0" distL="114300" distR="114300" simplePos="0" relativeHeight="251628544" behindDoc="1" locked="0" layoutInCell="1" allowOverlap="1" wp14:anchorId="571A6831" wp14:editId="1C1E2B1E">
            <wp:simplePos x="0" y="0"/>
            <wp:positionH relativeFrom="column">
              <wp:posOffset>-904875</wp:posOffset>
            </wp:positionH>
            <wp:positionV relativeFrom="page">
              <wp:posOffset>9525</wp:posOffset>
            </wp:positionV>
            <wp:extent cx="7629525" cy="10687050"/>
            <wp:effectExtent l="0" t="0" r="9525" b="0"/>
            <wp:wrapNone/>
            <wp:docPr id="2" name="Pictur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29525" cy="10687050"/>
                    </a:xfrm>
                    <a:prstGeom prst="rect">
                      <a:avLst/>
                    </a:prstGeom>
                    <a:ln>
                      <a:noFill/>
                    </a:ln>
                  </pic:spPr>
                </pic:pic>
              </a:graphicData>
            </a:graphic>
            <wp14:sizeRelH relativeFrom="margin">
              <wp14:pctWidth>0</wp14:pctWidth>
            </wp14:sizeRelH>
            <wp14:sizeRelV relativeFrom="margin">
              <wp14:pctHeight>0</wp14:pctHeight>
            </wp14:sizeRelV>
          </wp:anchor>
        </w:drawing>
      </w:r>
      <w:bookmarkStart w:id="6" w:name="Cover"/>
      <w:bookmarkEnd w:id="1"/>
      <w:bookmarkEnd w:id="2"/>
      <w:bookmarkEnd w:id="3"/>
      <w:bookmarkEnd w:id="4"/>
      <w:bookmarkEnd w:id="6"/>
      <w:r w:rsidR="00585810" w:rsidRPr="00585810">
        <w:rPr>
          <w:sz w:val="60"/>
          <w:szCs w:val="60"/>
        </w:rPr>
        <w:t>Pricing Framework for</w:t>
      </w:r>
      <w:r w:rsidR="00585810">
        <w:rPr>
          <w:sz w:val="60"/>
          <w:szCs w:val="60"/>
        </w:rPr>
        <w:t> </w:t>
      </w:r>
      <w:r w:rsidR="00585810" w:rsidRPr="00585810">
        <w:rPr>
          <w:sz w:val="60"/>
          <w:szCs w:val="60"/>
        </w:rPr>
        <w:t>Australian Public Hospital</w:t>
      </w:r>
      <w:r w:rsidR="00585810">
        <w:rPr>
          <w:sz w:val="60"/>
          <w:szCs w:val="60"/>
        </w:rPr>
        <w:t> </w:t>
      </w:r>
      <w:r w:rsidR="00585810" w:rsidRPr="00585810">
        <w:rPr>
          <w:sz w:val="60"/>
          <w:szCs w:val="60"/>
        </w:rPr>
        <w:t>Services</w:t>
      </w:r>
    </w:p>
    <w:p w14:paraId="134D3003" w14:textId="77777777" w:rsidR="00C415F5" w:rsidRPr="00585810" w:rsidRDefault="00603DEC" w:rsidP="008659C2">
      <w:pPr>
        <w:pStyle w:val="CoverYear"/>
        <w:rPr>
          <w:b/>
          <w:sz w:val="60"/>
          <w:szCs w:val="60"/>
        </w:rPr>
      </w:pPr>
      <w:bookmarkStart w:id="7" w:name="_Toc45809572"/>
      <w:bookmarkStart w:id="8" w:name="_Toc49953729"/>
      <w:bookmarkStart w:id="9" w:name="_Toc49954239"/>
      <w:bookmarkStart w:id="10" w:name="_Toc50446167"/>
      <w:r w:rsidRPr="00585810">
        <w:rPr>
          <w:sz w:val="60"/>
          <w:szCs w:val="60"/>
        </w:rPr>
        <w:t>202</w:t>
      </w:r>
      <w:r w:rsidR="008A071B" w:rsidRPr="00585810">
        <w:rPr>
          <w:sz w:val="60"/>
          <w:szCs w:val="60"/>
        </w:rPr>
        <w:t>1</w:t>
      </w:r>
      <w:r w:rsidRPr="00585810">
        <w:rPr>
          <w:sz w:val="60"/>
          <w:szCs w:val="60"/>
        </w:rPr>
        <w:t>–2</w:t>
      </w:r>
      <w:r w:rsidR="008A071B" w:rsidRPr="00585810">
        <w:rPr>
          <w:sz w:val="60"/>
          <w:szCs w:val="60"/>
        </w:rPr>
        <w:t>2</w:t>
      </w:r>
      <w:bookmarkEnd w:id="7"/>
      <w:bookmarkEnd w:id="8"/>
      <w:bookmarkEnd w:id="9"/>
      <w:bookmarkEnd w:id="10"/>
    </w:p>
    <w:p w14:paraId="13379166" w14:textId="36B74278" w:rsidR="00C415F5" w:rsidRPr="0065414C" w:rsidRDefault="00585810" w:rsidP="00D141FD">
      <w:pPr>
        <w:spacing w:before="85"/>
        <w:ind w:left="1417" w:hanging="1418"/>
        <w:rPr>
          <w:rFonts w:cs="Arial"/>
          <w:sz w:val="36"/>
        </w:rPr>
      </w:pPr>
      <w:r>
        <w:rPr>
          <w:rFonts w:cs="Arial"/>
          <w:color w:val="7EC352"/>
          <w:sz w:val="36"/>
        </w:rPr>
        <w:t>March</w:t>
      </w:r>
      <w:r w:rsidR="00603DEC" w:rsidRPr="0065414C">
        <w:rPr>
          <w:rFonts w:cs="Arial"/>
          <w:color w:val="7EC352"/>
          <w:sz w:val="36"/>
        </w:rPr>
        <w:t xml:space="preserve"> 20</w:t>
      </w:r>
      <w:r w:rsidR="008A071B" w:rsidRPr="0065414C">
        <w:rPr>
          <w:rFonts w:cs="Arial"/>
          <w:color w:val="7EC352"/>
          <w:sz w:val="36"/>
        </w:rPr>
        <w:t>2</w:t>
      </w:r>
      <w:r>
        <w:rPr>
          <w:rFonts w:cs="Arial"/>
          <w:color w:val="7EC352"/>
          <w:sz w:val="36"/>
        </w:rPr>
        <w:t>1</w:t>
      </w:r>
    </w:p>
    <w:p w14:paraId="55D1B345" w14:textId="6A266AFF" w:rsidR="00C415F5" w:rsidRPr="0065414C" w:rsidRDefault="00603DEC" w:rsidP="001C5C18">
      <w:pPr>
        <w:spacing w:before="480"/>
        <w:ind w:left="1424" w:hanging="1418"/>
        <w:rPr>
          <w:rFonts w:cs="Arial"/>
          <w:sz w:val="20"/>
        </w:rPr>
      </w:pPr>
      <w:r w:rsidRPr="0065414C">
        <w:rPr>
          <w:rFonts w:cs="Arial"/>
          <w:color w:val="FFFFFF"/>
          <w:sz w:val="20"/>
        </w:rPr>
        <w:t>Independent Hospital Pricing Authority</w:t>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rPr>
        <w:tab/>
      </w:r>
      <w:r w:rsidR="001C5C18">
        <w:rPr>
          <w:rFonts w:cs="Arial"/>
          <w:noProof/>
          <w:sz w:val="36"/>
          <w:lang w:eastAsia="en-AU" w:bidi="ar-SA"/>
        </w:rPr>
        <w:drawing>
          <wp:inline distT="0" distB="0" distL="0" distR="0" wp14:anchorId="4FE0ABA3" wp14:editId="79256EAB">
            <wp:extent cx="667385" cy="1011555"/>
            <wp:effectExtent l="0" t="0" r="0" b="0"/>
            <wp:docPr id="26" name="Picture 26"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68D74743" w14:textId="77777777" w:rsidR="00C415F5" w:rsidRPr="0065414C" w:rsidRDefault="00C415F5">
      <w:pPr>
        <w:rPr>
          <w:rFonts w:cs="Arial"/>
          <w:sz w:val="20"/>
        </w:rPr>
        <w:sectPr w:rsidR="00C415F5" w:rsidRPr="0065414C" w:rsidSect="001A4606">
          <w:headerReference w:type="default" r:id="rId10"/>
          <w:type w:val="continuous"/>
          <w:pgSz w:w="11910" w:h="16840"/>
          <w:pgMar w:top="9498" w:right="1440" w:bottom="1440" w:left="1440" w:header="0" w:footer="720" w:gutter="0"/>
          <w:cols w:space="720"/>
          <w:docGrid w:linePitch="299"/>
        </w:sectPr>
      </w:pPr>
    </w:p>
    <w:p w14:paraId="25D5D671" w14:textId="7D022C5E" w:rsidR="00AB028F" w:rsidRDefault="00585810" w:rsidP="00AB028F">
      <w:pPr>
        <w:pStyle w:val="BodyText"/>
        <w:ind w:right="4210"/>
        <w:rPr>
          <w:rFonts w:eastAsia="Futura PT Bold" w:cs="Arial"/>
          <w:b/>
          <w:bCs/>
          <w:color w:val="003E2D"/>
          <w:sz w:val="22"/>
        </w:rPr>
      </w:pPr>
      <w:r>
        <w:rPr>
          <w:rFonts w:eastAsia="Futura PT Bold" w:cs="Arial"/>
          <w:b/>
          <w:bCs/>
          <w:color w:val="003E2D"/>
          <w:sz w:val="22"/>
        </w:rPr>
        <w:lastRenderedPageBreak/>
        <w:t>Pricing Framework for Australian Public Hospital Services 2021</w:t>
      </w:r>
      <w:r w:rsidR="00D7198C">
        <w:rPr>
          <w:rFonts w:eastAsia="Futura PT Bold" w:cs="Arial"/>
          <w:b/>
          <w:bCs/>
          <w:color w:val="003E2D"/>
          <w:sz w:val="22"/>
        </w:rPr>
        <w:t>–</w:t>
      </w:r>
      <w:r>
        <w:rPr>
          <w:rFonts w:eastAsia="Futura PT Bold" w:cs="Arial"/>
          <w:b/>
          <w:bCs/>
          <w:color w:val="003E2D"/>
          <w:sz w:val="22"/>
        </w:rPr>
        <w:t>22</w:t>
      </w:r>
    </w:p>
    <w:p w14:paraId="702DA873" w14:textId="3CFDDC5D" w:rsidR="00585810" w:rsidRPr="0065414C" w:rsidRDefault="00585810" w:rsidP="00AB028F">
      <w:pPr>
        <w:pStyle w:val="BodyText"/>
        <w:ind w:right="4210"/>
        <w:rPr>
          <w:rFonts w:eastAsia="Futura PT Bold" w:cs="Arial"/>
          <w:b/>
          <w:bCs/>
          <w:color w:val="003E2D"/>
          <w:sz w:val="22"/>
        </w:rPr>
      </w:pPr>
      <w:r>
        <w:rPr>
          <w:rFonts w:eastAsia="Futura PT Bold" w:cs="Arial"/>
          <w:b/>
          <w:bCs/>
          <w:color w:val="003E2D"/>
          <w:sz w:val="22"/>
        </w:rPr>
        <w:t>March 2021</w:t>
      </w:r>
    </w:p>
    <w:p w14:paraId="1790859E" w14:textId="0ACD7CD4" w:rsidR="00603DEC" w:rsidRPr="0065414C" w:rsidRDefault="00603DEC" w:rsidP="00AB028F">
      <w:pPr>
        <w:pStyle w:val="BodyText"/>
        <w:rPr>
          <w:rFonts w:cs="Arial"/>
        </w:rPr>
      </w:pPr>
      <w:r w:rsidRPr="0065414C">
        <w:rPr>
          <w:rFonts w:cs="Arial"/>
        </w:rPr>
        <w:t>© Independent Hospital Pricing Authority 20</w:t>
      </w:r>
      <w:r w:rsidR="00AB028F" w:rsidRPr="0065414C">
        <w:rPr>
          <w:rFonts w:cs="Arial"/>
        </w:rPr>
        <w:t>2</w:t>
      </w:r>
      <w:r w:rsidR="000410D1">
        <w:rPr>
          <w:rFonts w:cs="Arial"/>
        </w:rPr>
        <w:t>1</w:t>
      </w:r>
    </w:p>
    <w:p w14:paraId="7A40693C" w14:textId="3834B87C" w:rsidR="001C5C18" w:rsidRDefault="000410D1" w:rsidP="00392586">
      <w:pPr>
        <w:pStyle w:val="BodyText"/>
        <w:ind w:right="4210"/>
        <w:rPr>
          <w:rFonts w:cs="Arial"/>
          <w:noProof/>
          <w:sz w:val="22"/>
          <w:lang w:eastAsia="en-AU" w:bidi="ar-SA"/>
        </w:rPr>
      </w:pPr>
      <w:r w:rsidRPr="000410D1">
        <w:rPr>
          <w:rFonts w:cs="Arial"/>
        </w:rPr>
        <w:t>This publication is available for your use under a Creative Commons BY Attribution 3.0 Australia licence, with the exception of the Independent Hospital Pricing Authority logo, photographs, images, signatures and where otherwise stated. The full licence terms are available from the Creative Commons website.</w:t>
      </w:r>
      <w:r w:rsidR="001C5C18" w:rsidRPr="001C5C18">
        <w:rPr>
          <w:rFonts w:cs="Arial"/>
          <w:noProof/>
          <w:sz w:val="22"/>
          <w:lang w:eastAsia="en-AU" w:bidi="ar-SA"/>
        </w:rPr>
        <w:t xml:space="preserve"> </w:t>
      </w:r>
    </w:p>
    <w:p w14:paraId="1E62CCB3" w14:textId="39B1EF91" w:rsidR="00C415F5" w:rsidRPr="0065414C" w:rsidRDefault="001C5C18" w:rsidP="00392586">
      <w:pPr>
        <w:pStyle w:val="BodyText"/>
        <w:ind w:right="4210"/>
        <w:rPr>
          <w:rFonts w:cs="Arial"/>
        </w:rPr>
      </w:pPr>
      <w:r w:rsidRPr="0065414C">
        <w:rPr>
          <w:rFonts w:cs="Arial"/>
          <w:noProof/>
          <w:sz w:val="22"/>
          <w:lang w:eastAsia="en-AU" w:bidi="ar-SA"/>
        </w:rPr>
        <w:drawing>
          <wp:inline distT="0" distB="0" distL="0" distR="0" wp14:anchorId="0C095366" wp14:editId="5CD12DDE">
            <wp:extent cx="1175004" cy="411480"/>
            <wp:effectExtent l="0" t="0" r="6350" b="7620"/>
            <wp:docPr id="4" name="Picture 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3.0 Australia licence"/>
                    <pic:cNvPicPr/>
                  </pic:nvPicPr>
                  <pic:blipFill>
                    <a:blip r:embed="rId11">
                      <a:extLst>
                        <a:ext uri="{28A0092B-C50C-407E-A947-70E740481C1C}">
                          <a14:useLocalDpi xmlns:a14="http://schemas.microsoft.com/office/drawing/2010/main" val="0"/>
                        </a:ext>
                      </a:extLst>
                    </a:blip>
                    <a:stretch>
                      <a:fillRect/>
                    </a:stretch>
                  </pic:blipFill>
                  <pic:spPr>
                    <a:xfrm>
                      <a:off x="0" y="0"/>
                      <a:ext cx="1175004" cy="411480"/>
                    </a:xfrm>
                    <a:prstGeom prst="rect">
                      <a:avLst/>
                    </a:prstGeom>
                  </pic:spPr>
                </pic:pic>
              </a:graphicData>
            </a:graphic>
          </wp:inline>
        </w:drawing>
      </w:r>
    </w:p>
    <w:p w14:paraId="4F53C1BF" w14:textId="6D283297" w:rsidR="00C415F5" w:rsidRPr="0065414C" w:rsidRDefault="000410D1" w:rsidP="00392586">
      <w:pPr>
        <w:pStyle w:val="BodyText"/>
        <w:ind w:right="4210"/>
        <w:rPr>
          <w:rFonts w:cs="Arial"/>
        </w:rPr>
      </w:pPr>
      <w:r w:rsidRPr="000410D1">
        <w:rPr>
          <w:rFonts w:cs="Arial"/>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p>
    <w:p w14:paraId="5B3CAA9B" w14:textId="77777777" w:rsidR="00C415F5" w:rsidRPr="0065414C" w:rsidRDefault="00AB028F" w:rsidP="00392586">
      <w:pPr>
        <w:spacing w:before="166" w:line="256" w:lineRule="auto"/>
        <w:ind w:right="4210"/>
        <w:rPr>
          <w:rFonts w:cs="Arial"/>
          <w:i/>
          <w:sz w:val="19"/>
        </w:rPr>
      </w:pPr>
      <w:r w:rsidRPr="0065414C">
        <w:rPr>
          <w:rFonts w:cs="Arial"/>
          <w:i/>
          <w:color w:val="58595B"/>
          <w:sz w:val="19"/>
        </w:rPr>
        <w:t>Independent Hospital Pricing Authority material used 'as supplied'.</w:t>
      </w:r>
    </w:p>
    <w:p w14:paraId="4169DD91" w14:textId="012ECC84" w:rsidR="00AB028F" w:rsidRPr="0065414C" w:rsidRDefault="000410D1" w:rsidP="000410D1">
      <w:pPr>
        <w:spacing w:before="167"/>
        <w:ind w:right="4068"/>
        <w:rPr>
          <w:rFonts w:cs="Arial"/>
          <w:color w:val="58595B"/>
          <w:sz w:val="19"/>
          <w:szCs w:val="19"/>
        </w:rPr>
      </w:pPr>
      <w:r w:rsidRPr="000410D1">
        <w:rPr>
          <w:rFonts w:cs="Arial"/>
          <w:color w:val="58595B"/>
          <w:sz w:val="19"/>
          <w:szCs w:val="19"/>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r w:rsidR="00AB028F" w:rsidRPr="0065414C">
        <w:rPr>
          <w:rFonts w:cs="Arial"/>
          <w:color w:val="58595B"/>
          <w:sz w:val="19"/>
          <w:szCs w:val="19"/>
        </w:rPr>
        <w:t>:</w:t>
      </w:r>
    </w:p>
    <w:p w14:paraId="1565D4AD" w14:textId="77777777" w:rsidR="00C415F5" w:rsidRPr="0065414C" w:rsidRDefault="00603DEC" w:rsidP="00392586">
      <w:pPr>
        <w:spacing w:before="167"/>
        <w:ind w:right="4210"/>
        <w:rPr>
          <w:rFonts w:cs="Arial"/>
          <w:i/>
          <w:sz w:val="19"/>
        </w:rPr>
      </w:pPr>
      <w:r w:rsidRPr="0065414C">
        <w:rPr>
          <w:rFonts w:cs="Arial"/>
          <w:i/>
          <w:color w:val="58595B"/>
          <w:sz w:val="19"/>
        </w:rPr>
        <w:t>Source: The Independent Hospital Pricing Authority</w:t>
      </w:r>
    </w:p>
    <w:p w14:paraId="7E9CB1E2" w14:textId="77777777" w:rsidR="00C415F5" w:rsidRPr="0065414C" w:rsidRDefault="00C415F5">
      <w:pPr>
        <w:rPr>
          <w:rFonts w:cs="Arial"/>
          <w:sz w:val="19"/>
        </w:rPr>
        <w:sectPr w:rsidR="00C415F5" w:rsidRPr="0065414C" w:rsidSect="00392586">
          <w:headerReference w:type="default" r:id="rId12"/>
          <w:pgSz w:w="11910" w:h="16840"/>
          <w:pgMar w:top="7797" w:right="1440" w:bottom="1440" w:left="1440" w:header="0" w:footer="0" w:gutter="0"/>
          <w:cols w:space="720"/>
          <w:docGrid w:linePitch="299"/>
        </w:sectPr>
      </w:pPr>
    </w:p>
    <w:p w14:paraId="31B51F71" w14:textId="23347761" w:rsidR="00697D4D" w:rsidRPr="00697D4D" w:rsidRDefault="00603DEC" w:rsidP="00697D4D">
      <w:pPr>
        <w:pStyle w:val="Heading1"/>
        <w:spacing w:before="0" w:after="480"/>
        <w:rPr>
          <w:rFonts w:cs="Arial"/>
          <w:noProof/>
        </w:rPr>
      </w:pPr>
      <w:bookmarkStart w:id="11" w:name="Table_of_contents"/>
      <w:bookmarkStart w:id="12" w:name="_Toc45809573"/>
      <w:bookmarkStart w:id="13" w:name="_Toc49953730"/>
      <w:bookmarkStart w:id="14" w:name="_Toc49954240"/>
      <w:bookmarkStart w:id="15" w:name="_Toc50446168"/>
      <w:bookmarkStart w:id="16" w:name="_Toc58930027"/>
      <w:bookmarkStart w:id="17" w:name="_Toc58930489"/>
      <w:bookmarkEnd w:id="11"/>
      <w:r w:rsidRPr="0065414C">
        <w:rPr>
          <w:rFonts w:cs="Arial"/>
        </w:rPr>
        <w:lastRenderedPageBreak/>
        <w:t>Table of contents</w:t>
      </w:r>
      <w:bookmarkEnd w:id="12"/>
      <w:bookmarkEnd w:id="13"/>
      <w:bookmarkEnd w:id="14"/>
      <w:bookmarkEnd w:id="15"/>
      <w:bookmarkEnd w:id="16"/>
      <w:bookmarkEnd w:id="17"/>
      <w:r w:rsidR="00ED389B">
        <w:rPr>
          <w:rFonts w:cs="Arial"/>
        </w:rPr>
        <w:fldChar w:fldCharType="begin"/>
      </w:r>
      <w:r w:rsidR="00ED389B">
        <w:rPr>
          <w:rFonts w:cs="Arial"/>
        </w:rPr>
        <w:instrText xml:space="preserve"> TOC \o "2-3" \h \z \t "Heading 1,1" </w:instrText>
      </w:r>
      <w:r w:rsidR="00ED389B">
        <w:rPr>
          <w:rFonts w:cs="Arial"/>
        </w:rPr>
        <w:fldChar w:fldCharType="separate"/>
      </w:r>
    </w:p>
    <w:p w14:paraId="0C8408D2" w14:textId="3ED7767A"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490" w:history="1">
        <w:r w:rsidR="00697D4D" w:rsidRPr="00B73343">
          <w:rPr>
            <w:rStyle w:val="Hyperlink"/>
            <w:rFonts w:cs="Arial"/>
            <w:noProof/>
          </w:rPr>
          <w:t>Introduction</w:t>
        </w:r>
        <w:r w:rsidR="00697D4D">
          <w:rPr>
            <w:noProof/>
            <w:webHidden/>
          </w:rPr>
          <w:tab/>
        </w:r>
        <w:r w:rsidR="00697D4D">
          <w:rPr>
            <w:noProof/>
            <w:webHidden/>
          </w:rPr>
          <w:fldChar w:fldCharType="begin"/>
        </w:r>
        <w:r w:rsidR="00697D4D">
          <w:rPr>
            <w:noProof/>
            <w:webHidden/>
          </w:rPr>
          <w:instrText xml:space="preserve"> PAGEREF _Toc58930490 \h </w:instrText>
        </w:r>
        <w:r w:rsidR="00697D4D">
          <w:rPr>
            <w:noProof/>
            <w:webHidden/>
          </w:rPr>
        </w:r>
        <w:r w:rsidR="00697D4D">
          <w:rPr>
            <w:noProof/>
            <w:webHidden/>
          </w:rPr>
          <w:fldChar w:fldCharType="separate"/>
        </w:r>
        <w:r w:rsidR="00D3691D">
          <w:rPr>
            <w:noProof/>
            <w:webHidden/>
          </w:rPr>
          <w:t>3</w:t>
        </w:r>
        <w:r w:rsidR="00697D4D">
          <w:rPr>
            <w:noProof/>
            <w:webHidden/>
          </w:rPr>
          <w:fldChar w:fldCharType="end"/>
        </w:r>
      </w:hyperlink>
    </w:p>
    <w:p w14:paraId="405320CD" w14:textId="729A9ADF"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491" w:history="1">
        <w:r w:rsidR="00697D4D" w:rsidRPr="00B73343">
          <w:rPr>
            <w:rStyle w:val="Hyperlink"/>
            <w:rFonts w:cs="Arial"/>
            <w:noProof/>
          </w:rPr>
          <w:t>Addendum to the National Health Reform Agreement 2020–2025</w:t>
        </w:r>
        <w:r w:rsidR="00697D4D">
          <w:rPr>
            <w:noProof/>
            <w:webHidden/>
          </w:rPr>
          <w:tab/>
        </w:r>
        <w:r w:rsidR="00697D4D">
          <w:rPr>
            <w:noProof/>
            <w:webHidden/>
          </w:rPr>
          <w:fldChar w:fldCharType="begin"/>
        </w:r>
        <w:r w:rsidR="00697D4D">
          <w:rPr>
            <w:noProof/>
            <w:webHidden/>
          </w:rPr>
          <w:instrText xml:space="preserve"> PAGEREF _Toc58930491 \h </w:instrText>
        </w:r>
        <w:r w:rsidR="00697D4D">
          <w:rPr>
            <w:noProof/>
            <w:webHidden/>
          </w:rPr>
        </w:r>
        <w:r w:rsidR="00697D4D">
          <w:rPr>
            <w:noProof/>
            <w:webHidden/>
          </w:rPr>
          <w:fldChar w:fldCharType="separate"/>
        </w:r>
        <w:r w:rsidR="00D3691D">
          <w:rPr>
            <w:noProof/>
            <w:webHidden/>
          </w:rPr>
          <w:t>5</w:t>
        </w:r>
        <w:r w:rsidR="00697D4D">
          <w:rPr>
            <w:noProof/>
            <w:webHidden/>
          </w:rPr>
          <w:fldChar w:fldCharType="end"/>
        </w:r>
      </w:hyperlink>
    </w:p>
    <w:p w14:paraId="5582AB2D" w14:textId="695CFE80"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496" w:history="1">
        <w:r w:rsidR="00697D4D" w:rsidRPr="00B73343">
          <w:rPr>
            <w:rStyle w:val="Hyperlink"/>
            <w:rFonts w:cs="Arial"/>
            <w:noProof/>
          </w:rPr>
          <w:t>Impact of COVID-19</w:t>
        </w:r>
        <w:r w:rsidR="00697D4D">
          <w:rPr>
            <w:noProof/>
            <w:webHidden/>
          </w:rPr>
          <w:tab/>
        </w:r>
        <w:r w:rsidR="00697D4D">
          <w:rPr>
            <w:noProof/>
            <w:webHidden/>
          </w:rPr>
          <w:fldChar w:fldCharType="begin"/>
        </w:r>
        <w:r w:rsidR="00697D4D">
          <w:rPr>
            <w:noProof/>
            <w:webHidden/>
          </w:rPr>
          <w:instrText xml:space="preserve"> PAGEREF _Toc58930496 \h </w:instrText>
        </w:r>
        <w:r w:rsidR="00697D4D">
          <w:rPr>
            <w:noProof/>
            <w:webHidden/>
          </w:rPr>
        </w:r>
        <w:r w:rsidR="00697D4D">
          <w:rPr>
            <w:noProof/>
            <w:webHidden/>
          </w:rPr>
          <w:fldChar w:fldCharType="separate"/>
        </w:r>
        <w:r w:rsidR="00D3691D">
          <w:rPr>
            <w:noProof/>
            <w:webHidden/>
          </w:rPr>
          <w:t>9</w:t>
        </w:r>
        <w:r w:rsidR="00697D4D">
          <w:rPr>
            <w:noProof/>
            <w:webHidden/>
          </w:rPr>
          <w:fldChar w:fldCharType="end"/>
        </w:r>
      </w:hyperlink>
    </w:p>
    <w:p w14:paraId="0E81D11B" w14:textId="61F9C56B"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498" w:history="1">
        <w:r w:rsidR="00697D4D" w:rsidRPr="00B73343">
          <w:rPr>
            <w:rStyle w:val="Hyperlink"/>
            <w:rFonts w:cs="Arial"/>
            <w:noProof/>
          </w:rPr>
          <w:t>The Pricing Guidelines</w:t>
        </w:r>
        <w:r w:rsidR="00697D4D">
          <w:rPr>
            <w:noProof/>
            <w:webHidden/>
          </w:rPr>
          <w:tab/>
        </w:r>
        <w:r w:rsidR="00697D4D">
          <w:rPr>
            <w:noProof/>
            <w:webHidden/>
          </w:rPr>
          <w:fldChar w:fldCharType="begin"/>
        </w:r>
        <w:r w:rsidR="00697D4D">
          <w:rPr>
            <w:noProof/>
            <w:webHidden/>
          </w:rPr>
          <w:instrText xml:space="preserve"> PAGEREF _Toc58930498 \h </w:instrText>
        </w:r>
        <w:r w:rsidR="00697D4D">
          <w:rPr>
            <w:noProof/>
            <w:webHidden/>
          </w:rPr>
        </w:r>
        <w:r w:rsidR="00697D4D">
          <w:rPr>
            <w:noProof/>
            <w:webHidden/>
          </w:rPr>
          <w:fldChar w:fldCharType="separate"/>
        </w:r>
        <w:r w:rsidR="00D3691D">
          <w:rPr>
            <w:noProof/>
            <w:webHidden/>
          </w:rPr>
          <w:t>11</w:t>
        </w:r>
        <w:r w:rsidR="00697D4D">
          <w:rPr>
            <w:noProof/>
            <w:webHidden/>
          </w:rPr>
          <w:fldChar w:fldCharType="end"/>
        </w:r>
      </w:hyperlink>
    </w:p>
    <w:p w14:paraId="253FC384" w14:textId="32E2EFD2"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499" w:history="1">
        <w:r w:rsidR="00697D4D" w:rsidRPr="00B73343">
          <w:rPr>
            <w:rStyle w:val="Hyperlink"/>
            <w:rFonts w:cs="Arial"/>
            <w:noProof/>
          </w:rPr>
          <w:t>Scope of public hospital services</w:t>
        </w:r>
        <w:r w:rsidR="00697D4D">
          <w:rPr>
            <w:noProof/>
            <w:webHidden/>
          </w:rPr>
          <w:tab/>
        </w:r>
        <w:r w:rsidR="00697D4D">
          <w:rPr>
            <w:noProof/>
            <w:webHidden/>
          </w:rPr>
          <w:fldChar w:fldCharType="begin"/>
        </w:r>
        <w:r w:rsidR="00697D4D">
          <w:rPr>
            <w:noProof/>
            <w:webHidden/>
          </w:rPr>
          <w:instrText xml:space="preserve"> PAGEREF _Toc58930499 \h </w:instrText>
        </w:r>
        <w:r w:rsidR="00697D4D">
          <w:rPr>
            <w:noProof/>
            <w:webHidden/>
          </w:rPr>
        </w:r>
        <w:r w:rsidR="00697D4D">
          <w:rPr>
            <w:noProof/>
            <w:webHidden/>
          </w:rPr>
          <w:fldChar w:fldCharType="separate"/>
        </w:r>
        <w:r w:rsidR="00D3691D">
          <w:rPr>
            <w:noProof/>
            <w:webHidden/>
          </w:rPr>
          <w:t>15</w:t>
        </w:r>
        <w:r w:rsidR="00697D4D">
          <w:rPr>
            <w:noProof/>
            <w:webHidden/>
          </w:rPr>
          <w:fldChar w:fldCharType="end"/>
        </w:r>
      </w:hyperlink>
    </w:p>
    <w:p w14:paraId="17BFF14C" w14:textId="7888CAF8"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501" w:history="1">
        <w:r w:rsidR="00697D4D" w:rsidRPr="00B73343">
          <w:rPr>
            <w:rStyle w:val="Hyperlink"/>
            <w:rFonts w:cs="Arial"/>
            <w:noProof/>
          </w:rPr>
          <w:t>Classifications used to describe and price public hospital services</w:t>
        </w:r>
        <w:r w:rsidR="00697D4D">
          <w:rPr>
            <w:noProof/>
            <w:webHidden/>
          </w:rPr>
          <w:tab/>
        </w:r>
        <w:r w:rsidR="00697D4D">
          <w:rPr>
            <w:noProof/>
            <w:webHidden/>
          </w:rPr>
          <w:fldChar w:fldCharType="begin"/>
        </w:r>
        <w:r w:rsidR="00697D4D">
          <w:rPr>
            <w:noProof/>
            <w:webHidden/>
          </w:rPr>
          <w:instrText xml:space="preserve"> PAGEREF _Toc58930501 \h </w:instrText>
        </w:r>
        <w:r w:rsidR="00697D4D">
          <w:rPr>
            <w:noProof/>
            <w:webHidden/>
          </w:rPr>
        </w:r>
        <w:r w:rsidR="00697D4D">
          <w:rPr>
            <w:noProof/>
            <w:webHidden/>
          </w:rPr>
          <w:fldChar w:fldCharType="separate"/>
        </w:r>
        <w:r w:rsidR="00D3691D">
          <w:rPr>
            <w:noProof/>
            <w:webHidden/>
          </w:rPr>
          <w:t>17</w:t>
        </w:r>
        <w:r w:rsidR="00697D4D">
          <w:rPr>
            <w:noProof/>
            <w:webHidden/>
          </w:rPr>
          <w:fldChar w:fldCharType="end"/>
        </w:r>
      </w:hyperlink>
    </w:p>
    <w:p w14:paraId="44BFE12E" w14:textId="227E566E"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512" w:history="1">
        <w:r w:rsidR="00697D4D" w:rsidRPr="00B73343">
          <w:rPr>
            <w:rStyle w:val="Hyperlink"/>
            <w:rFonts w:cs="Arial"/>
            <w:noProof/>
          </w:rPr>
          <w:t>Setting the national efficient price for activity based funded public hospitals</w:t>
        </w:r>
        <w:r w:rsidR="00697D4D">
          <w:rPr>
            <w:noProof/>
            <w:webHidden/>
          </w:rPr>
          <w:tab/>
        </w:r>
        <w:r w:rsidR="00697D4D">
          <w:rPr>
            <w:noProof/>
            <w:webHidden/>
          </w:rPr>
          <w:fldChar w:fldCharType="begin"/>
        </w:r>
        <w:r w:rsidR="00697D4D">
          <w:rPr>
            <w:noProof/>
            <w:webHidden/>
          </w:rPr>
          <w:instrText xml:space="preserve"> PAGEREF _Toc58930512 \h </w:instrText>
        </w:r>
        <w:r w:rsidR="00697D4D">
          <w:rPr>
            <w:noProof/>
            <w:webHidden/>
          </w:rPr>
        </w:r>
        <w:r w:rsidR="00697D4D">
          <w:rPr>
            <w:noProof/>
            <w:webHidden/>
          </w:rPr>
          <w:fldChar w:fldCharType="separate"/>
        </w:r>
        <w:r w:rsidR="00D3691D">
          <w:rPr>
            <w:noProof/>
            <w:webHidden/>
          </w:rPr>
          <w:t>23</w:t>
        </w:r>
        <w:r w:rsidR="00697D4D">
          <w:rPr>
            <w:noProof/>
            <w:webHidden/>
          </w:rPr>
          <w:fldChar w:fldCharType="end"/>
        </w:r>
      </w:hyperlink>
    </w:p>
    <w:p w14:paraId="3801AB7E" w14:textId="2B240239"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518" w:history="1">
        <w:r w:rsidR="00697D4D" w:rsidRPr="00B73343">
          <w:rPr>
            <w:rStyle w:val="Hyperlink"/>
            <w:rFonts w:cs="Arial"/>
            <w:noProof/>
          </w:rPr>
          <w:t>Data collection</w:t>
        </w:r>
        <w:r w:rsidR="00697D4D">
          <w:rPr>
            <w:noProof/>
            <w:webHidden/>
          </w:rPr>
          <w:tab/>
        </w:r>
        <w:r w:rsidR="00697D4D">
          <w:rPr>
            <w:noProof/>
            <w:webHidden/>
          </w:rPr>
          <w:fldChar w:fldCharType="begin"/>
        </w:r>
        <w:r w:rsidR="00697D4D">
          <w:rPr>
            <w:noProof/>
            <w:webHidden/>
          </w:rPr>
          <w:instrText xml:space="preserve"> PAGEREF _Toc58930518 \h </w:instrText>
        </w:r>
        <w:r w:rsidR="00697D4D">
          <w:rPr>
            <w:noProof/>
            <w:webHidden/>
          </w:rPr>
        </w:r>
        <w:r w:rsidR="00697D4D">
          <w:rPr>
            <w:noProof/>
            <w:webHidden/>
          </w:rPr>
          <w:fldChar w:fldCharType="separate"/>
        </w:r>
        <w:r w:rsidR="00D3691D">
          <w:rPr>
            <w:noProof/>
            <w:webHidden/>
          </w:rPr>
          <w:t>28</w:t>
        </w:r>
        <w:r w:rsidR="00697D4D">
          <w:rPr>
            <w:noProof/>
            <w:webHidden/>
          </w:rPr>
          <w:fldChar w:fldCharType="end"/>
        </w:r>
      </w:hyperlink>
    </w:p>
    <w:p w14:paraId="752C6881" w14:textId="40E539C6" w:rsidR="00697D4D" w:rsidRDefault="004A6F49">
      <w:pPr>
        <w:pStyle w:val="TOC1"/>
        <w:tabs>
          <w:tab w:val="left" w:pos="717"/>
        </w:tabs>
        <w:rPr>
          <w:rFonts w:asciiTheme="minorHAnsi" w:eastAsiaTheme="minorEastAsia" w:hAnsiTheme="minorHAnsi" w:cstheme="minorBidi"/>
          <w:b w:val="0"/>
          <w:noProof/>
          <w:color w:val="auto"/>
          <w:sz w:val="22"/>
          <w:szCs w:val="22"/>
          <w:lang w:val="en-PH" w:eastAsia="en-PH" w:bidi="ar-SA"/>
        </w:rPr>
      </w:pPr>
      <w:hyperlink w:anchor="_Toc58930520" w:history="1">
        <w:r w:rsidR="00697D4D" w:rsidRPr="00B73343">
          <w:rPr>
            <w:rStyle w:val="Hyperlink"/>
            <w:rFonts w:cs="Arial"/>
            <w:noProof/>
          </w:rPr>
          <w:t>Treatment of other Commonwealth programs</w:t>
        </w:r>
        <w:r w:rsidR="00697D4D">
          <w:rPr>
            <w:noProof/>
            <w:webHidden/>
          </w:rPr>
          <w:tab/>
        </w:r>
        <w:r w:rsidR="00697D4D">
          <w:rPr>
            <w:noProof/>
            <w:webHidden/>
          </w:rPr>
          <w:fldChar w:fldCharType="begin"/>
        </w:r>
        <w:r w:rsidR="00697D4D">
          <w:rPr>
            <w:noProof/>
            <w:webHidden/>
          </w:rPr>
          <w:instrText xml:space="preserve"> PAGEREF _Toc58930520 \h </w:instrText>
        </w:r>
        <w:r w:rsidR="00697D4D">
          <w:rPr>
            <w:noProof/>
            <w:webHidden/>
          </w:rPr>
        </w:r>
        <w:r w:rsidR="00697D4D">
          <w:rPr>
            <w:noProof/>
            <w:webHidden/>
          </w:rPr>
          <w:fldChar w:fldCharType="separate"/>
        </w:r>
        <w:r w:rsidR="00D3691D">
          <w:rPr>
            <w:noProof/>
            <w:webHidden/>
          </w:rPr>
          <w:t>30</w:t>
        </w:r>
        <w:r w:rsidR="00697D4D">
          <w:rPr>
            <w:noProof/>
            <w:webHidden/>
          </w:rPr>
          <w:fldChar w:fldCharType="end"/>
        </w:r>
      </w:hyperlink>
    </w:p>
    <w:p w14:paraId="43B22349" w14:textId="4C933E6E" w:rsidR="00697D4D" w:rsidRDefault="004A6F49">
      <w:pPr>
        <w:pStyle w:val="TOC1"/>
        <w:tabs>
          <w:tab w:val="left" w:pos="964"/>
        </w:tabs>
        <w:rPr>
          <w:rFonts w:asciiTheme="minorHAnsi" w:eastAsiaTheme="minorEastAsia" w:hAnsiTheme="minorHAnsi" w:cstheme="minorBidi"/>
          <w:b w:val="0"/>
          <w:noProof/>
          <w:color w:val="auto"/>
          <w:sz w:val="22"/>
          <w:szCs w:val="22"/>
          <w:lang w:val="en-PH" w:eastAsia="en-PH" w:bidi="ar-SA"/>
        </w:rPr>
      </w:pPr>
      <w:hyperlink w:anchor="_Toc58930521" w:history="1">
        <w:r w:rsidR="00697D4D" w:rsidRPr="00B73343">
          <w:rPr>
            <w:rStyle w:val="Hyperlink"/>
            <w:rFonts w:cs="Arial"/>
            <w:noProof/>
          </w:rPr>
          <w:t>Setting the national efficient cost</w:t>
        </w:r>
        <w:r w:rsidR="00697D4D">
          <w:rPr>
            <w:noProof/>
            <w:webHidden/>
          </w:rPr>
          <w:tab/>
        </w:r>
        <w:r w:rsidR="00697D4D">
          <w:rPr>
            <w:noProof/>
            <w:webHidden/>
          </w:rPr>
          <w:fldChar w:fldCharType="begin"/>
        </w:r>
        <w:r w:rsidR="00697D4D">
          <w:rPr>
            <w:noProof/>
            <w:webHidden/>
          </w:rPr>
          <w:instrText xml:space="preserve"> PAGEREF _Toc58930521 \h </w:instrText>
        </w:r>
        <w:r w:rsidR="00697D4D">
          <w:rPr>
            <w:noProof/>
            <w:webHidden/>
          </w:rPr>
        </w:r>
        <w:r w:rsidR="00697D4D">
          <w:rPr>
            <w:noProof/>
            <w:webHidden/>
          </w:rPr>
          <w:fldChar w:fldCharType="separate"/>
        </w:r>
        <w:r w:rsidR="00D3691D">
          <w:rPr>
            <w:noProof/>
            <w:webHidden/>
          </w:rPr>
          <w:t>32</w:t>
        </w:r>
        <w:r w:rsidR="00697D4D">
          <w:rPr>
            <w:noProof/>
            <w:webHidden/>
          </w:rPr>
          <w:fldChar w:fldCharType="end"/>
        </w:r>
      </w:hyperlink>
    </w:p>
    <w:p w14:paraId="41AC00E3" w14:textId="6BC6EC61" w:rsidR="00697D4D" w:rsidRDefault="004A6F49">
      <w:pPr>
        <w:pStyle w:val="TOC1"/>
        <w:tabs>
          <w:tab w:val="left" w:pos="964"/>
        </w:tabs>
        <w:rPr>
          <w:rFonts w:asciiTheme="minorHAnsi" w:eastAsiaTheme="minorEastAsia" w:hAnsiTheme="minorHAnsi" w:cstheme="minorBidi"/>
          <w:b w:val="0"/>
          <w:noProof/>
          <w:color w:val="auto"/>
          <w:sz w:val="22"/>
          <w:szCs w:val="22"/>
          <w:lang w:val="en-PH" w:eastAsia="en-PH" w:bidi="ar-SA"/>
        </w:rPr>
      </w:pPr>
      <w:hyperlink w:anchor="_Toc58930523" w:history="1">
        <w:r w:rsidR="00697D4D" w:rsidRPr="00B73343">
          <w:rPr>
            <w:rStyle w:val="Hyperlink"/>
            <w:rFonts w:cs="Arial"/>
            <w:noProof/>
          </w:rPr>
          <w:t>Alternat</w:t>
        </w:r>
        <w:r w:rsidR="001C5085">
          <w:rPr>
            <w:rStyle w:val="Hyperlink"/>
            <w:rFonts w:cs="Arial"/>
            <w:noProof/>
          </w:rPr>
          <w:t>ive</w:t>
        </w:r>
        <w:r w:rsidR="00697D4D" w:rsidRPr="00B73343">
          <w:rPr>
            <w:rStyle w:val="Hyperlink"/>
            <w:rFonts w:cs="Arial"/>
            <w:noProof/>
          </w:rPr>
          <w:t xml:space="preserve"> funding models</w:t>
        </w:r>
        <w:r w:rsidR="00697D4D">
          <w:rPr>
            <w:noProof/>
            <w:webHidden/>
          </w:rPr>
          <w:tab/>
        </w:r>
        <w:r w:rsidR="00697D4D">
          <w:rPr>
            <w:noProof/>
            <w:webHidden/>
          </w:rPr>
          <w:fldChar w:fldCharType="begin"/>
        </w:r>
        <w:r w:rsidR="00697D4D">
          <w:rPr>
            <w:noProof/>
            <w:webHidden/>
          </w:rPr>
          <w:instrText xml:space="preserve"> PAGEREF _Toc58930523 \h </w:instrText>
        </w:r>
        <w:r w:rsidR="00697D4D">
          <w:rPr>
            <w:noProof/>
            <w:webHidden/>
          </w:rPr>
        </w:r>
        <w:r w:rsidR="00697D4D">
          <w:rPr>
            <w:noProof/>
            <w:webHidden/>
          </w:rPr>
          <w:fldChar w:fldCharType="separate"/>
        </w:r>
        <w:r w:rsidR="00D3691D">
          <w:rPr>
            <w:noProof/>
            <w:webHidden/>
          </w:rPr>
          <w:t>34</w:t>
        </w:r>
        <w:r w:rsidR="00697D4D">
          <w:rPr>
            <w:noProof/>
            <w:webHidden/>
          </w:rPr>
          <w:fldChar w:fldCharType="end"/>
        </w:r>
      </w:hyperlink>
    </w:p>
    <w:p w14:paraId="5E0588F1" w14:textId="36D49451" w:rsidR="00697D4D" w:rsidRDefault="004A6F49">
      <w:pPr>
        <w:pStyle w:val="TOC1"/>
        <w:tabs>
          <w:tab w:val="left" w:pos="964"/>
        </w:tabs>
        <w:rPr>
          <w:rFonts w:asciiTheme="minorHAnsi" w:eastAsiaTheme="minorEastAsia" w:hAnsiTheme="minorHAnsi" w:cstheme="minorBidi"/>
          <w:b w:val="0"/>
          <w:noProof/>
          <w:color w:val="auto"/>
          <w:sz w:val="22"/>
          <w:szCs w:val="22"/>
          <w:lang w:val="en-PH" w:eastAsia="en-PH" w:bidi="ar-SA"/>
        </w:rPr>
      </w:pPr>
      <w:hyperlink w:anchor="_Toc58930529" w:history="1">
        <w:r w:rsidR="00697D4D" w:rsidRPr="00B73343">
          <w:rPr>
            <w:rStyle w:val="Hyperlink"/>
            <w:rFonts w:cs="Arial"/>
            <w:noProof/>
          </w:rPr>
          <w:t>Pricing and funding for safety and quality</w:t>
        </w:r>
        <w:r w:rsidR="00697D4D">
          <w:rPr>
            <w:noProof/>
            <w:webHidden/>
          </w:rPr>
          <w:tab/>
        </w:r>
        <w:r w:rsidR="00697D4D">
          <w:rPr>
            <w:noProof/>
            <w:webHidden/>
          </w:rPr>
          <w:fldChar w:fldCharType="begin"/>
        </w:r>
        <w:r w:rsidR="00697D4D">
          <w:rPr>
            <w:noProof/>
            <w:webHidden/>
          </w:rPr>
          <w:instrText xml:space="preserve"> PAGEREF _Toc58930529 \h </w:instrText>
        </w:r>
        <w:r w:rsidR="00697D4D">
          <w:rPr>
            <w:noProof/>
            <w:webHidden/>
          </w:rPr>
        </w:r>
        <w:r w:rsidR="00697D4D">
          <w:rPr>
            <w:noProof/>
            <w:webHidden/>
          </w:rPr>
          <w:fldChar w:fldCharType="separate"/>
        </w:r>
        <w:r w:rsidR="00D3691D">
          <w:rPr>
            <w:noProof/>
            <w:webHidden/>
          </w:rPr>
          <w:t>38</w:t>
        </w:r>
        <w:r w:rsidR="00697D4D">
          <w:rPr>
            <w:noProof/>
            <w:webHidden/>
          </w:rPr>
          <w:fldChar w:fldCharType="end"/>
        </w:r>
      </w:hyperlink>
    </w:p>
    <w:p w14:paraId="29C4BDAF" w14:textId="413974A9" w:rsidR="00580880" w:rsidRPr="00580880" w:rsidRDefault="00ED389B" w:rsidP="00ED389B">
      <w:pPr>
        <w:pStyle w:val="TOC2"/>
        <w:sectPr w:rsidR="00580880" w:rsidRPr="00580880" w:rsidSect="00603DEC">
          <w:headerReference w:type="default" r:id="rId13"/>
          <w:pgSz w:w="11910" w:h="16840"/>
          <w:pgMar w:top="1440" w:right="1440" w:bottom="1440" w:left="1440" w:header="0" w:footer="0" w:gutter="0"/>
          <w:cols w:space="720"/>
        </w:sectPr>
      </w:pPr>
      <w:r>
        <w:rPr>
          <w:rFonts w:cs="Arial"/>
        </w:rPr>
        <w:fldChar w:fldCharType="end"/>
      </w:r>
    </w:p>
    <w:p w14:paraId="7BAD9AD8" w14:textId="77777777" w:rsidR="00C415F5" w:rsidRPr="0065414C" w:rsidRDefault="00603DEC" w:rsidP="007B2BC7">
      <w:pPr>
        <w:pStyle w:val="Sectionheader"/>
        <w:spacing w:before="0" w:after="600"/>
      </w:pPr>
      <w:bookmarkStart w:id="18" w:name="Glossary"/>
      <w:bookmarkStart w:id="19" w:name="_bookmark0"/>
      <w:bookmarkStart w:id="20" w:name="_Toc49953731"/>
      <w:bookmarkEnd w:id="18"/>
      <w:bookmarkEnd w:id="19"/>
      <w:r w:rsidRPr="0065414C">
        <w:lastRenderedPageBreak/>
        <w:t>Glossary</w:t>
      </w:r>
      <w:bookmarkEnd w:id="20"/>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65414C" w14:paraId="799C1E92" w14:textId="77777777" w:rsidTr="00F73BE5">
        <w:trPr>
          <w:trHeight w:val="363"/>
        </w:trPr>
        <w:tc>
          <w:tcPr>
            <w:tcW w:w="1831" w:type="dxa"/>
          </w:tcPr>
          <w:p w14:paraId="4E1A3A1E" w14:textId="77777777" w:rsidR="00391CF0" w:rsidRPr="0065414C" w:rsidRDefault="00391CF0" w:rsidP="00391CF0">
            <w:pPr>
              <w:pStyle w:val="TableParagraph"/>
              <w:rPr>
                <w:rFonts w:cs="Arial"/>
                <w:b/>
                <w:bCs/>
              </w:rPr>
            </w:pPr>
            <w:r w:rsidRPr="0065414C">
              <w:rPr>
                <w:rFonts w:cs="Arial"/>
                <w:b/>
                <w:bCs/>
              </w:rPr>
              <w:t>ABF</w:t>
            </w:r>
          </w:p>
        </w:tc>
        <w:tc>
          <w:tcPr>
            <w:tcW w:w="7241" w:type="dxa"/>
          </w:tcPr>
          <w:p w14:paraId="5F346F3B" w14:textId="77777777" w:rsidR="00391CF0" w:rsidRPr="0065414C" w:rsidRDefault="00391CF0" w:rsidP="00391CF0">
            <w:pPr>
              <w:pStyle w:val="TableParagraph"/>
              <w:rPr>
                <w:rFonts w:cs="Arial"/>
              </w:rPr>
            </w:pPr>
            <w:r w:rsidRPr="0065414C">
              <w:rPr>
                <w:rFonts w:cs="Arial"/>
              </w:rPr>
              <w:t>Activity Based Funding</w:t>
            </w:r>
          </w:p>
        </w:tc>
      </w:tr>
      <w:tr w:rsidR="00391CF0" w:rsidRPr="0065414C" w14:paraId="6CE6D815" w14:textId="77777777" w:rsidTr="00395A1D">
        <w:trPr>
          <w:trHeight w:val="362"/>
        </w:trPr>
        <w:tc>
          <w:tcPr>
            <w:tcW w:w="1831" w:type="dxa"/>
          </w:tcPr>
          <w:p w14:paraId="754DB5B5" w14:textId="77777777" w:rsidR="00391CF0" w:rsidRPr="0065414C" w:rsidRDefault="00391CF0" w:rsidP="00391CF0">
            <w:pPr>
              <w:pStyle w:val="TableParagraph"/>
              <w:rPr>
                <w:rFonts w:cs="Arial"/>
                <w:b/>
                <w:bCs/>
              </w:rPr>
            </w:pPr>
            <w:r w:rsidRPr="0065414C">
              <w:rPr>
                <w:rFonts w:cs="Arial"/>
                <w:b/>
                <w:bCs/>
              </w:rPr>
              <w:t>ACHI</w:t>
            </w:r>
          </w:p>
        </w:tc>
        <w:tc>
          <w:tcPr>
            <w:tcW w:w="7241" w:type="dxa"/>
          </w:tcPr>
          <w:p w14:paraId="4140C588" w14:textId="77777777" w:rsidR="00391CF0" w:rsidRPr="0065414C" w:rsidRDefault="00391CF0" w:rsidP="00391CF0">
            <w:pPr>
              <w:pStyle w:val="TableParagraph"/>
              <w:rPr>
                <w:rFonts w:cs="Arial"/>
              </w:rPr>
            </w:pPr>
            <w:r w:rsidRPr="0065414C">
              <w:rPr>
                <w:rFonts w:cs="Arial"/>
              </w:rPr>
              <w:t>Australian Classification of Health Interventions</w:t>
            </w:r>
          </w:p>
        </w:tc>
      </w:tr>
      <w:tr w:rsidR="00391CF0" w:rsidRPr="0065414C" w14:paraId="1B46F0F2" w14:textId="77777777" w:rsidTr="00395A1D">
        <w:trPr>
          <w:trHeight w:val="362"/>
        </w:trPr>
        <w:tc>
          <w:tcPr>
            <w:tcW w:w="1831" w:type="dxa"/>
          </w:tcPr>
          <w:p w14:paraId="6EFC8A1F" w14:textId="77777777" w:rsidR="00391CF0" w:rsidRPr="0065414C" w:rsidRDefault="00391CF0" w:rsidP="00391CF0">
            <w:pPr>
              <w:pStyle w:val="TableParagraph"/>
              <w:rPr>
                <w:rFonts w:cs="Arial"/>
                <w:b/>
                <w:bCs/>
              </w:rPr>
            </w:pPr>
            <w:r w:rsidRPr="0065414C">
              <w:rPr>
                <w:rFonts w:cs="Arial"/>
                <w:b/>
                <w:bCs/>
              </w:rPr>
              <w:t>ACS</w:t>
            </w:r>
          </w:p>
        </w:tc>
        <w:tc>
          <w:tcPr>
            <w:tcW w:w="7241" w:type="dxa"/>
          </w:tcPr>
          <w:p w14:paraId="694BC810" w14:textId="77777777" w:rsidR="00391CF0" w:rsidRPr="0065414C" w:rsidRDefault="00391CF0" w:rsidP="00391CF0">
            <w:pPr>
              <w:pStyle w:val="TableParagraph"/>
              <w:rPr>
                <w:rFonts w:cs="Arial"/>
              </w:rPr>
            </w:pPr>
            <w:r w:rsidRPr="0065414C">
              <w:rPr>
                <w:rFonts w:cs="Arial"/>
              </w:rPr>
              <w:t>Australian Coding Standards</w:t>
            </w:r>
          </w:p>
        </w:tc>
      </w:tr>
      <w:tr w:rsidR="00391CF0" w:rsidRPr="0065414C" w14:paraId="1F261302" w14:textId="77777777" w:rsidTr="00395A1D">
        <w:trPr>
          <w:trHeight w:val="362"/>
        </w:trPr>
        <w:tc>
          <w:tcPr>
            <w:tcW w:w="1831" w:type="dxa"/>
          </w:tcPr>
          <w:p w14:paraId="0B96334F" w14:textId="77777777" w:rsidR="00391CF0" w:rsidRPr="0065414C" w:rsidRDefault="00391CF0" w:rsidP="00391CF0">
            <w:pPr>
              <w:pStyle w:val="TableParagraph"/>
              <w:rPr>
                <w:rFonts w:cs="Arial"/>
                <w:b/>
                <w:bCs/>
              </w:rPr>
            </w:pPr>
            <w:r w:rsidRPr="0065414C">
              <w:rPr>
                <w:rFonts w:cs="Arial"/>
                <w:b/>
                <w:bCs/>
              </w:rPr>
              <w:t>ADRG</w:t>
            </w:r>
          </w:p>
        </w:tc>
        <w:tc>
          <w:tcPr>
            <w:tcW w:w="7241" w:type="dxa"/>
          </w:tcPr>
          <w:p w14:paraId="1C3B0471" w14:textId="77777777" w:rsidR="00391CF0" w:rsidRPr="0065414C" w:rsidRDefault="00391CF0" w:rsidP="00391CF0">
            <w:pPr>
              <w:pStyle w:val="TableParagraph"/>
              <w:rPr>
                <w:rFonts w:cs="Arial"/>
              </w:rPr>
            </w:pPr>
            <w:r w:rsidRPr="0065414C">
              <w:rPr>
                <w:rFonts w:cs="Arial"/>
                <w:szCs w:val="22"/>
              </w:rPr>
              <w:t>Adjacent Diagnoses Related Group</w:t>
            </w:r>
          </w:p>
        </w:tc>
      </w:tr>
      <w:tr w:rsidR="00391CF0" w:rsidRPr="0065414C" w14:paraId="7DC76AB4" w14:textId="77777777" w:rsidTr="00395A1D">
        <w:trPr>
          <w:trHeight w:val="362"/>
        </w:trPr>
        <w:tc>
          <w:tcPr>
            <w:tcW w:w="1831" w:type="dxa"/>
          </w:tcPr>
          <w:p w14:paraId="12B3F0CC" w14:textId="77777777" w:rsidR="00391CF0" w:rsidRPr="0065414C" w:rsidRDefault="00391CF0" w:rsidP="00391CF0">
            <w:pPr>
              <w:pStyle w:val="TableParagraph"/>
              <w:rPr>
                <w:rFonts w:cs="Arial"/>
                <w:b/>
                <w:bCs/>
              </w:rPr>
            </w:pPr>
            <w:r w:rsidRPr="0065414C">
              <w:rPr>
                <w:rFonts w:cs="Arial"/>
                <w:b/>
                <w:bCs/>
              </w:rPr>
              <w:t>AECC</w:t>
            </w:r>
          </w:p>
        </w:tc>
        <w:tc>
          <w:tcPr>
            <w:tcW w:w="7241" w:type="dxa"/>
          </w:tcPr>
          <w:p w14:paraId="1C297703" w14:textId="77777777" w:rsidR="00391CF0" w:rsidRPr="0065414C" w:rsidRDefault="00391CF0" w:rsidP="00391CF0">
            <w:pPr>
              <w:pStyle w:val="TableParagraph"/>
              <w:rPr>
                <w:rFonts w:cs="Arial"/>
              </w:rPr>
            </w:pPr>
            <w:r w:rsidRPr="0065414C">
              <w:rPr>
                <w:rFonts w:cs="Arial"/>
              </w:rPr>
              <w:t>Australian Emergency Care Classification</w:t>
            </w:r>
          </w:p>
        </w:tc>
      </w:tr>
      <w:tr w:rsidR="00391CF0" w:rsidRPr="0065414C" w14:paraId="582CA42B" w14:textId="77777777" w:rsidTr="00395A1D">
        <w:trPr>
          <w:trHeight w:val="362"/>
        </w:trPr>
        <w:tc>
          <w:tcPr>
            <w:tcW w:w="1831" w:type="dxa"/>
          </w:tcPr>
          <w:p w14:paraId="66557991" w14:textId="77777777" w:rsidR="00391CF0" w:rsidRPr="0065414C" w:rsidRDefault="00391CF0" w:rsidP="00391CF0">
            <w:pPr>
              <w:pStyle w:val="TableParagraph"/>
              <w:rPr>
                <w:rFonts w:cs="Arial"/>
                <w:b/>
                <w:bCs/>
              </w:rPr>
            </w:pPr>
            <w:r w:rsidRPr="0065414C">
              <w:rPr>
                <w:rFonts w:cs="Arial"/>
                <w:b/>
                <w:bCs/>
              </w:rPr>
              <w:t>AHMAC</w:t>
            </w:r>
          </w:p>
        </w:tc>
        <w:tc>
          <w:tcPr>
            <w:tcW w:w="7241" w:type="dxa"/>
          </w:tcPr>
          <w:p w14:paraId="7825AB61" w14:textId="77777777" w:rsidR="00391CF0" w:rsidRPr="0065414C" w:rsidRDefault="00391CF0" w:rsidP="00391CF0">
            <w:pPr>
              <w:pStyle w:val="TableParagraph"/>
              <w:rPr>
                <w:rFonts w:cs="Arial"/>
              </w:rPr>
            </w:pPr>
            <w:r w:rsidRPr="0065414C">
              <w:rPr>
                <w:rFonts w:cs="Arial"/>
                <w:szCs w:val="22"/>
              </w:rPr>
              <w:t>Australian Health Ministers Advisory Council</w:t>
            </w:r>
          </w:p>
        </w:tc>
      </w:tr>
      <w:tr w:rsidR="00391CF0" w:rsidRPr="0065414C" w14:paraId="3456C608" w14:textId="77777777" w:rsidTr="00395A1D">
        <w:trPr>
          <w:trHeight w:val="362"/>
        </w:trPr>
        <w:tc>
          <w:tcPr>
            <w:tcW w:w="1831" w:type="dxa"/>
          </w:tcPr>
          <w:p w14:paraId="43A2F03F" w14:textId="77777777" w:rsidR="00391CF0" w:rsidRPr="0065414C" w:rsidRDefault="00391CF0" w:rsidP="00391CF0">
            <w:pPr>
              <w:pStyle w:val="TableParagraph"/>
              <w:rPr>
                <w:rFonts w:cs="Arial"/>
                <w:b/>
                <w:bCs/>
              </w:rPr>
            </w:pPr>
            <w:r w:rsidRPr="0065414C">
              <w:rPr>
                <w:rFonts w:cs="Arial"/>
                <w:b/>
                <w:bCs/>
              </w:rPr>
              <w:t>AMHCC</w:t>
            </w:r>
          </w:p>
        </w:tc>
        <w:tc>
          <w:tcPr>
            <w:tcW w:w="7241" w:type="dxa"/>
          </w:tcPr>
          <w:p w14:paraId="5CE76692" w14:textId="77777777" w:rsidR="00391CF0" w:rsidRPr="0065414C" w:rsidRDefault="00391CF0" w:rsidP="00391CF0">
            <w:pPr>
              <w:pStyle w:val="TableParagraph"/>
              <w:rPr>
                <w:rFonts w:cs="Arial"/>
              </w:rPr>
            </w:pPr>
            <w:r w:rsidRPr="0065414C">
              <w:rPr>
                <w:rFonts w:cs="Arial"/>
              </w:rPr>
              <w:t>Australian Mental Health Care Classification</w:t>
            </w:r>
          </w:p>
        </w:tc>
      </w:tr>
      <w:tr w:rsidR="00391CF0" w:rsidRPr="0065414C" w14:paraId="48EE085D" w14:textId="77777777" w:rsidTr="00395A1D">
        <w:trPr>
          <w:trHeight w:val="362"/>
        </w:trPr>
        <w:tc>
          <w:tcPr>
            <w:tcW w:w="1831" w:type="dxa"/>
          </w:tcPr>
          <w:p w14:paraId="7FF7F652" w14:textId="77777777" w:rsidR="00391CF0" w:rsidRPr="0065414C" w:rsidRDefault="00391CF0" w:rsidP="00391CF0">
            <w:pPr>
              <w:pStyle w:val="TableParagraph"/>
              <w:rPr>
                <w:rFonts w:cs="Arial"/>
                <w:b/>
                <w:bCs/>
              </w:rPr>
            </w:pPr>
            <w:r w:rsidRPr="0065414C">
              <w:rPr>
                <w:rFonts w:cs="Arial"/>
                <w:b/>
                <w:bCs/>
              </w:rPr>
              <w:t>ANACC</w:t>
            </w:r>
          </w:p>
        </w:tc>
        <w:tc>
          <w:tcPr>
            <w:tcW w:w="7241" w:type="dxa"/>
          </w:tcPr>
          <w:p w14:paraId="66B1AAB0" w14:textId="77777777" w:rsidR="00391CF0" w:rsidRPr="0065414C" w:rsidRDefault="00391CF0" w:rsidP="00391CF0">
            <w:pPr>
              <w:pStyle w:val="TableParagraph"/>
              <w:rPr>
                <w:rFonts w:cs="Arial"/>
              </w:rPr>
            </w:pPr>
            <w:r w:rsidRPr="0065414C">
              <w:rPr>
                <w:rFonts w:cs="Arial"/>
              </w:rPr>
              <w:t>Australian Non-Admitted Care Classification</w:t>
            </w:r>
          </w:p>
        </w:tc>
      </w:tr>
      <w:tr w:rsidR="00391CF0" w:rsidRPr="0065414C" w14:paraId="32A040A1" w14:textId="77777777" w:rsidTr="00395A1D">
        <w:trPr>
          <w:trHeight w:val="362"/>
        </w:trPr>
        <w:tc>
          <w:tcPr>
            <w:tcW w:w="1831" w:type="dxa"/>
          </w:tcPr>
          <w:p w14:paraId="6EC3BD3C" w14:textId="77777777" w:rsidR="00391CF0" w:rsidRPr="0065414C" w:rsidRDefault="00391CF0" w:rsidP="00391CF0">
            <w:pPr>
              <w:pStyle w:val="TableParagraph"/>
              <w:rPr>
                <w:rFonts w:cs="Arial"/>
                <w:b/>
                <w:bCs/>
              </w:rPr>
            </w:pPr>
            <w:r w:rsidRPr="0065414C">
              <w:rPr>
                <w:rFonts w:cs="Arial"/>
                <w:b/>
                <w:bCs/>
              </w:rPr>
              <w:t>AN-SNAP</w:t>
            </w:r>
          </w:p>
        </w:tc>
        <w:tc>
          <w:tcPr>
            <w:tcW w:w="7241" w:type="dxa"/>
          </w:tcPr>
          <w:p w14:paraId="663FA4C0" w14:textId="2A079AF3" w:rsidR="00391CF0" w:rsidRPr="0065414C" w:rsidRDefault="00391CF0" w:rsidP="00391CF0">
            <w:pPr>
              <w:pStyle w:val="TableParagraph"/>
              <w:rPr>
                <w:rFonts w:cs="Arial"/>
              </w:rPr>
            </w:pPr>
            <w:r w:rsidRPr="0065414C">
              <w:rPr>
                <w:rFonts w:cs="Arial"/>
              </w:rPr>
              <w:t xml:space="preserve">Australian National Subacute and Non-Acute Patient </w:t>
            </w:r>
            <w:r w:rsidR="00D7198C">
              <w:rPr>
                <w:rFonts w:cs="Arial"/>
              </w:rPr>
              <w:t>C</w:t>
            </w:r>
            <w:r w:rsidR="00D7198C" w:rsidRPr="0065414C">
              <w:rPr>
                <w:rFonts w:cs="Arial"/>
              </w:rPr>
              <w:t>lassification</w:t>
            </w:r>
          </w:p>
        </w:tc>
      </w:tr>
      <w:tr w:rsidR="00391CF0" w:rsidRPr="0065414C" w14:paraId="52EFB8D4" w14:textId="77777777" w:rsidTr="00395A1D">
        <w:trPr>
          <w:trHeight w:val="362"/>
        </w:trPr>
        <w:tc>
          <w:tcPr>
            <w:tcW w:w="1831" w:type="dxa"/>
          </w:tcPr>
          <w:p w14:paraId="48DC2306" w14:textId="77777777" w:rsidR="00391CF0" w:rsidRPr="0065414C" w:rsidRDefault="00391CF0" w:rsidP="00391CF0">
            <w:pPr>
              <w:pStyle w:val="TableParagraph"/>
              <w:rPr>
                <w:rFonts w:cs="Arial"/>
                <w:b/>
                <w:bCs/>
              </w:rPr>
            </w:pPr>
            <w:r w:rsidRPr="0065414C">
              <w:rPr>
                <w:rFonts w:cs="Arial"/>
                <w:b/>
                <w:bCs/>
              </w:rPr>
              <w:t>AR-DRG</w:t>
            </w:r>
          </w:p>
        </w:tc>
        <w:tc>
          <w:tcPr>
            <w:tcW w:w="7241" w:type="dxa"/>
          </w:tcPr>
          <w:p w14:paraId="40388268" w14:textId="77777777" w:rsidR="00391CF0" w:rsidRPr="0065414C" w:rsidRDefault="00391CF0" w:rsidP="00391CF0">
            <w:pPr>
              <w:pStyle w:val="TableParagraph"/>
              <w:rPr>
                <w:rFonts w:cs="Arial"/>
              </w:rPr>
            </w:pPr>
            <w:r w:rsidRPr="0065414C">
              <w:rPr>
                <w:rFonts w:cs="Arial"/>
              </w:rPr>
              <w:t>Australian Refined Diagnosis Related Group</w:t>
            </w:r>
          </w:p>
        </w:tc>
      </w:tr>
      <w:tr w:rsidR="00391CF0" w:rsidRPr="0065414C" w14:paraId="10F05CDF" w14:textId="77777777" w:rsidTr="00395A1D">
        <w:trPr>
          <w:trHeight w:val="362"/>
        </w:trPr>
        <w:tc>
          <w:tcPr>
            <w:tcW w:w="1831" w:type="dxa"/>
          </w:tcPr>
          <w:p w14:paraId="5192902E" w14:textId="77777777" w:rsidR="00391CF0" w:rsidRPr="0065414C" w:rsidRDefault="00391CF0" w:rsidP="00391CF0">
            <w:pPr>
              <w:pStyle w:val="TableParagraph"/>
              <w:rPr>
                <w:rFonts w:cs="Arial"/>
                <w:b/>
                <w:bCs/>
              </w:rPr>
            </w:pPr>
            <w:r w:rsidRPr="0065414C">
              <w:rPr>
                <w:rFonts w:cs="Arial"/>
                <w:b/>
                <w:bCs/>
              </w:rPr>
              <w:t>ATTC</w:t>
            </w:r>
          </w:p>
        </w:tc>
        <w:tc>
          <w:tcPr>
            <w:tcW w:w="7241" w:type="dxa"/>
          </w:tcPr>
          <w:p w14:paraId="7EB21584" w14:textId="77777777" w:rsidR="00391CF0" w:rsidRPr="0065414C" w:rsidRDefault="00391CF0" w:rsidP="00391CF0">
            <w:pPr>
              <w:pStyle w:val="TableParagraph"/>
              <w:rPr>
                <w:rFonts w:cs="Arial"/>
              </w:rPr>
            </w:pPr>
            <w:r w:rsidRPr="0065414C">
              <w:rPr>
                <w:rFonts w:cs="Arial"/>
              </w:rPr>
              <w:t>Australian Teaching and Training Classification</w:t>
            </w:r>
          </w:p>
        </w:tc>
      </w:tr>
      <w:tr w:rsidR="009A20F4" w:rsidRPr="0065414C" w14:paraId="5A61922B" w14:textId="77777777" w:rsidTr="00395A1D">
        <w:trPr>
          <w:trHeight w:val="362"/>
        </w:trPr>
        <w:tc>
          <w:tcPr>
            <w:tcW w:w="1831" w:type="dxa"/>
          </w:tcPr>
          <w:p w14:paraId="70278A7C" w14:textId="0E191929" w:rsidR="009A20F4" w:rsidRPr="0065414C" w:rsidRDefault="009A20F4" w:rsidP="00391CF0">
            <w:pPr>
              <w:pStyle w:val="TableParagraph"/>
              <w:rPr>
                <w:rFonts w:cs="Arial"/>
                <w:b/>
                <w:bCs/>
              </w:rPr>
            </w:pPr>
            <w:r w:rsidRPr="0065414C">
              <w:rPr>
                <w:rFonts w:cs="Arial"/>
                <w:b/>
                <w:bCs/>
              </w:rPr>
              <w:t>CHC</w:t>
            </w:r>
          </w:p>
        </w:tc>
        <w:tc>
          <w:tcPr>
            <w:tcW w:w="7241" w:type="dxa"/>
          </w:tcPr>
          <w:p w14:paraId="37F8AF15" w14:textId="7FDF0824" w:rsidR="009A20F4" w:rsidRPr="0065414C" w:rsidRDefault="009A20F4" w:rsidP="00391CF0">
            <w:pPr>
              <w:pStyle w:val="TableParagraph"/>
              <w:rPr>
                <w:rFonts w:cs="Arial"/>
              </w:rPr>
            </w:pPr>
            <w:r w:rsidRPr="0065414C">
              <w:rPr>
                <w:rFonts w:cs="Arial"/>
                <w:szCs w:val="22"/>
              </w:rPr>
              <w:t>Council of Australian Governments Health Council</w:t>
            </w:r>
          </w:p>
        </w:tc>
      </w:tr>
      <w:tr w:rsidR="009A20F4" w:rsidRPr="0065414C" w14:paraId="20399736" w14:textId="77777777" w:rsidTr="00395A1D">
        <w:trPr>
          <w:trHeight w:val="362"/>
        </w:trPr>
        <w:tc>
          <w:tcPr>
            <w:tcW w:w="1831" w:type="dxa"/>
          </w:tcPr>
          <w:p w14:paraId="6C3157C8" w14:textId="340006F0" w:rsidR="009A20F4" w:rsidRPr="0065414C" w:rsidRDefault="009A20F4" w:rsidP="00391CF0">
            <w:pPr>
              <w:pStyle w:val="TableParagraph"/>
              <w:rPr>
                <w:rFonts w:cs="Arial"/>
                <w:b/>
                <w:bCs/>
              </w:rPr>
            </w:pPr>
            <w:r w:rsidRPr="0065414C">
              <w:rPr>
                <w:rFonts w:cs="Arial"/>
                <w:b/>
                <w:bCs/>
              </w:rPr>
              <w:t>COVID-19</w:t>
            </w:r>
          </w:p>
        </w:tc>
        <w:tc>
          <w:tcPr>
            <w:tcW w:w="7241" w:type="dxa"/>
          </w:tcPr>
          <w:p w14:paraId="3C017D88" w14:textId="0AC73DCD" w:rsidR="009A20F4" w:rsidRPr="0065414C" w:rsidRDefault="009A20F4" w:rsidP="00391CF0">
            <w:pPr>
              <w:pStyle w:val="TableParagraph"/>
              <w:rPr>
                <w:rFonts w:cs="Arial"/>
              </w:rPr>
            </w:pPr>
            <w:r w:rsidRPr="0065414C">
              <w:rPr>
                <w:rFonts w:cs="Arial"/>
                <w:szCs w:val="22"/>
              </w:rPr>
              <w:t>Coronavirus Disease 2019</w:t>
            </w:r>
          </w:p>
        </w:tc>
      </w:tr>
      <w:tr w:rsidR="009A20F4" w:rsidRPr="0065414C" w14:paraId="15AD258D" w14:textId="77777777" w:rsidTr="00395A1D">
        <w:trPr>
          <w:trHeight w:val="362"/>
        </w:trPr>
        <w:tc>
          <w:tcPr>
            <w:tcW w:w="1831" w:type="dxa"/>
          </w:tcPr>
          <w:p w14:paraId="5C6AAD0F" w14:textId="7E8B30B1" w:rsidR="009A20F4" w:rsidRPr="0065414C" w:rsidRDefault="009A20F4" w:rsidP="00391CF0">
            <w:pPr>
              <w:pStyle w:val="TableParagraph"/>
              <w:rPr>
                <w:rFonts w:cs="Arial"/>
                <w:b/>
                <w:bCs/>
              </w:rPr>
            </w:pPr>
            <w:r w:rsidRPr="0065414C">
              <w:rPr>
                <w:rFonts w:cs="Arial"/>
                <w:b/>
                <w:bCs/>
              </w:rPr>
              <w:t>HAC</w:t>
            </w:r>
          </w:p>
        </w:tc>
        <w:tc>
          <w:tcPr>
            <w:tcW w:w="7241" w:type="dxa"/>
          </w:tcPr>
          <w:p w14:paraId="037E0C5E" w14:textId="44B0DDAE" w:rsidR="009A20F4" w:rsidRPr="0065414C" w:rsidRDefault="009A20F4" w:rsidP="00391CF0">
            <w:pPr>
              <w:pStyle w:val="TableParagraph"/>
              <w:rPr>
                <w:rFonts w:cs="Arial"/>
                <w:szCs w:val="22"/>
              </w:rPr>
            </w:pPr>
            <w:r w:rsidRPr="0065414C">
              <w:rPr>
                <w:rFonts w:cs="Arial"/>
              </w:rPr>
              <w:t>Hospital Acquired Complication</w:t>
            </w:r>
          </w:p>
        </w:tc>
      </w:tr>
      <w:tr w:rsidR="009A20F4" w:rsidRPr="0065414C" w14:paraId="0787A787" w14:textId="77777777" w:rsidTr="00395A1D">
        <w:trPr>
          <w:trHeight w:val="362"/>
        </w:trPr>
        <w:tc>
          <w:tcPr>
            <w:tcW w:w="1831" w:type="dxa"/>
          </w:tcPr>
          <w:p w14:paraId="2E865CED" w14:textId="26196EDE" w:rsidR="009A20F4" w:rsidRPr="0065414C" w:rsidRDefault="009A20F4" w:rsidP="00391CF0">
            <w:pPr>
              <w:pStyle w:val="TableParagraph"/>
              <w:rPr>
                <w:rFonts w:cs="Arial"/>
                <w:b/>
                <w:bCs/>
              </w:rPr>
            </w:pPr>
            <w:r w:rsidRPr="0065414C">
              <w:rPr>
                <w:rFonts w:cs="Arial"/>
                <w:b/>
                <w:bCs/>
              </w:rPr>
              <w:t>HCP</w:t>
            </w:r>
          </w:p>
        </w:tc>
        <w:tc>
          <w:tcPr>
            <w:tcW w:w="7241" w:type="dxa"/>
          </w:tcPr>
          <w:p w14:paraId="73A7CD9B" w14:textId="142BC07A" w:rsidR="009A20F4" w:rsidRPr="0065414C" w:rsidRDefault="009A20F4" w:rsidP="00391CF0">
            <w:pPr>
              <w:pStyle w:val="TableParagraph"/>
              <w:rPr>
                <w:rFonts w:cs="Arial"/>
                <w:i/>
                <w:iCs/>
              </w:rPr>
            </w:pPr>
            <w:r w:rsidRPr="0065414C">
              <w:rPr>
                <w:rFonts w:cs="Arial"/>
                <w:szCs w:val="22"/>
              </w:rPr>
              <w:t>Hospital Casemix Protocol</w:t>
            </w:r>
          </w:p>
        </w:tc>
      </w:tr>
      <w:tr w:rsidR="009A20F4" w:rsidRPr="0065414C" w14:paraId="779F5EC1" w14:textId="77777777" w:rsidTr="0034182F">
        <w:trPr>
          <w:trHeight w:val="567"/>
        </w:trPr>
        <w:tc>
          <w:tcPr>
            <w:tcW w:w="1831" w:type="dxa"/>
          </w:tcPr>
          <w:p w14:paraId="7A328F07" w14:textId="707801E9" w:rsidR="009A20F4" w:rsidRPr="0065414C" w:rsidRDefault="009A20F4" w:rsidP="00391CF0">
            <w:pPr>
              <w:pStyle w:val="TableParagraph"/>
              <w:rPr>
                <w:rFonts w:cs="Arial"/>
                <w:b/>
                <w:bCs/>
              </w:rPr>
            </w:pPr>
            <w:r w:rsidRPr="0065414C">
              <w:rPr>
                <w:rFonts w:cs="Arial"/>
                <w:b/>
                <w:bCs/>
              </w:rPr>
              <w:t>ICD-10-AM</w:t>
            </w:r>
          </w:p>
        </w:tc>
        <w:tc>
          <w:tcPr>
            <w:tcW w:w="7241" w:type="dxa"/>
          </w:tcPr>
          <w:p w14:paraId="00A5E719" w14:textId="3BBD7ECF" w:rsidR="009A20F4" w:rsidRPr="0065414C" w:rsidRDefault="009A20F4" w:rsidP="00391CF0">
            <w:pPr>
              <w:pStyle w:val="TableParagraph"/>
              <w:rPr>
                <w:rFonts w:cs="Arial"/>
              </w:rPr>
            </w:pPr>
            <w:r w:rsidRPr="0065414C">
              <w:rPr>
                <w:rFonts w:cs="Arial"/>
                <w:iCs/>
              </w:rPr>
              <w:t>International Statistical Classification of Diseases and Related Health Problems, Tenth Revision, Australian Modification</w:t>
            </w:r>
          </w:p>
        </w:tc>
      </w:tr>
      <w:tr w:rsidR="009A20F4" w:rsidRPr="0065414C" w14:paraId="34BE76B9" w14:textId="77777777" w:rsidTr="00395A1D">
        <w:trPr>
          <w:trHeight w:val="362"/>
        </w:trPr>
        <w:tc>
          <w:tcPr>
            <w:tcW w:w="1831" w:type="dxa"/>
          </w:tcPr>
          <w:p w14:paraId="3803068E" w14:textId="49B8C6E7" w:rsidR="009A20F4" w:rsidRPr="0065414C" w:rsidRDefault="009A20F4" w:rsidP="00391CF0">
            <w:pPr>
              <w:pStyle w:val="TableParagraph"/>
              <w:rPr>
                <w:rFonts w:cs="Arial"/>
                <w:b/>
                <w:bCs/>
              </w:rPr>
            </w:pPr>
            <w:r w:rsidRPr="0065414C">
              <w:rPr>
                <w:rFonts w:cs="Arial"/>
                <w:b/>
                <w:bCs/>
              </w:rPr>
              <w:t>ICD-11</w:t>
            </w:r>
          </w:p>
        </w:tc>
        <w:tc>
          <w:tcPr>
            <w:tcW w:w="7241" w:type="dxa"/>
          </w:tcPr>
          <w:p w14:paraId="671F3EF0" w14:textId="0F927B49" w:rsidR="009A20F4" w:rsidRPr="0065414C" w:rsidRDefault="009A20F4" w:rsidP="00391CF0">
            <w:pPr>
              <w:pStyle w:val="TableParagraph"/>
              <w:rPr>
                <w:rFonts w:cs="Arial"/>
              </w:rPr>
            </w:pPr>
            <w:r w:rsidRPr="0065414C">
              <w:rPr>
                <w:rFonts w:cs="Arial"/>
                <w:szCs w:val="22"/>
              </w:rPr>
              <w:t>International Classification of Diseases 11th Revision</w:t>
            </w:r>
          </w:p>
        </w:tc>
      </w:tr>
      <w:tr w:rsidR="009A20F4" w:rsidRPr="0065414C" w14:paraId="13BFEC83" w14:textId="77777777" w:rsidTr="00395A1D">
        <w:trPr>
          <w:trHeight w:val="362"/>
        </w:trPr>
        <w:tc>
          <w:tcPr>
            <w:tcW w:w="1831" w:type="dxa"/>
          </w:tcPr>
          <w:p w14:paraId="09DD6283" w14:textId="1BB270F2" w:rsidR="009A20F4" w:rsidRPr="0065414C" w:rsidRDefault="009A20F4" w:rsidP="00391CF0">
            <w:pPr>
              <w:pStyle w:val="TableParagraph"/>
              <w:rPr>
                <w:rFonts w:cs="Arial"/>
                <w:b/>
                <w:bCs/>
              </w:rPr>
            </w:pPr>
            <w:r w:rsidRPr="0065414C">
              <w:rPr>
                <w:rFonts w:cs="Arial"/>
                <w:b/>
                <w:bCs/>
              </w:rPr>
              <w:t>IHI</w:t>
            </w:r>
          </w:p>
        </w:tc>
        <w:tc>
          <w:tcPr>
            <w:tcW w:w="7241" w:type="dxa"/>
          </w:tcPr>
          <w:p w14:paraId="0D190420" w14:textId="4DEBF265" w:rsidR="009A20F4" w:rsidRPr="0065414C" w:rsidRDefault="009A20F4" w:rsidP="00391CF0">
            <w:pPr>
              <w:pStyle w:val="TableParagraph"/>
              <w:rPr>
                <w:rFonts w:cs="Arial"/>
              </w:rPr>
            </w:pPr>
            <w:r w:rsidRPr="0065414C">
              <w:rPr>
                <w:rFonts w:cs="Arial"/>
                <w:iCs/>
              </w:rPr>
              <w:t>Individual Healthcare Identifier</w:t>
            </w:r>
          </w:p>
        </w:tc>
      </w:tr>
      <w:tr w:rsidR="009A20F4" w:rsidRPr="0065414C" w14:paraId="230BB944" w14:textId="77777777" w:rsidTr="00395A1D">
        <w:trPr>
          <w:trHeight w:val="362"/>
        </w:trPr>
        <w:tc>
          <w:tcPr>
            <w:tcW w:w="1831" w:type="dxa"/>
          </w:tcPr>
          <w:p w14:paraId="44E1097F" w14:textId="0B85FB33" w:rsidR="009A20F4" w:rsidRPr="0065414C" w:rsidRDefault="009A20F4" w:rsidP="00391CF0">
            <w:pPr>
              <w:pStyle w:val="TableParagraph"/>
              <w:rPr>
                <w:rFonts w:cs="Arial"/>
                <w:b/>
                <w:bCs/>
              </w:rPr>
            </w:pPr>
            <w:r w:rsidRPr="0065414C">
              <w:rPr>
                <w:rFonts w:cs="Arial"/>
                <w:b/>
                <w:bCs/>
              </w:rPr>
              <w:t>IHPA</w:t>
            </w:r>
          </w:p>
        </w:tc>
        <w:tc>
          <w:tcPr>
            <w:tcW w:w="7241" w:type="dxa"/>
          </w:tcPr>
          <w:p w14:paraId="083637EA" w14:textId="314A0B50" w:rsidR="009A20F4" w:rsidRPr="0065414C" w:rsidRDefault="009A20F4" w:rsidP="00391CF0">
            <w:pPr>
              <w:pStyle w:val="TableParagraph"/>
              <w:rPr>
                <w:rFonts w:cs="Arial"/>
              </w:rPr>
            </w:pPr>
            <w:r w:rsidRPr="0065414C">
              <w:rPr>
                <w:rFonts w:cs="Arial"/>
              </w:rPr>
              <w:t>Independent Hospital Pricing Authority</w:t>
            </w:r>
          </w:p>
        </w:tc>
      </w:tr>
      <w:tr w:rsidR="009A20F4" w:rsidRPr="0065414C" w14:paraId="4476D831" w14:textId="77777777" w:rsidTr="00395A1D">
        <w:trPr>
          <w:trHeight w:val="362"/>
        </w:trPr>
        <w:tc>
          <w:tcPr>
            <w:tcW w:w="1831" w:type="dxa"/>
          </w:tcPr>
          <w:p w14:paraId="13CF3475" w14:textId="347199A5" w:rsidR="009A20F4" w:rsidRPr="0065414C" w:rsidRDefault="009A20F4" w:rsidP="00391CF0">
            <w:pPr>
              <w:pStyle w:val="TableParagraph"/>
              <w:rPr>
                <w:rFonts w:cs="Arial"/>
                <w:b/>
                <w:bCs/>
              </w:rPr>
            </w:pPr>
            <w:r w:rsidRPr="0065414C">
              <w:rPr>
                <w:rFonts w:cs="Arial"/>
                <w:b/>
                <w:bCs/>
              </w:rPr>
              <w:t>LHN</w:t>
            </w:r>
          </w:p>
        </w:tc>
        <w:tc>
          <w:tcPr>
            <w:tcW w:w="7241" w:type="dxa"/>
          </w:tcPr>
          <w:p w14:paraId="0F1C1C50" w14:textId="3AF4FE6C" w:rsidR="009A20F4" w:rsidRPr="0065414C" w:rsidRDefault="009A20F4" w:rsidP="00391CF0">
            <w:pPr>
              <w:pStyle w:val="TableParagraph"/>
              <w:rPr>
                <w:rFonts w:cs="Arial"/>
              </w:rPr>
            </w:pPr>
            <w:r w:rsidRPr="0065414C">
              <w:rPr>
                <w:rFonts w:cs="Arial"/>
              </w:rPr>
              <w:t>Local Hospital Network</w:t>
            </w:r>
          </w:p>
        </w:tc>
      </w:tr>
      <w:tr w:rsidR="009A20F4" w:rsidRPr="0065414C" w14:paraId="073F2E8A" w14:textId="77777777" w:rsidTr="00395A1D">
        <w:trPr>
          <w:trHeight w:val="362"/>
        </w:trPr>
        <w:tc>
          <w:tcPr>
            <w:tcW w:w="1831" w:type="dxa"/>
          </w:tcPr>
          <w:p w14:paraId="1E50B34F" w14:textId="6C9BD2A9" w:rsidR="009A20F4" w:rsidRPr="0065414C" w:rsidRDefault="009A20F4" w:rsidP="00391CF0">
            <w:pPr>
              <w:pStyle w:val="TableParagraph"/>
              <w:rPr>
                <w:rFonts w:cs="Arial"/>
                <w:b/>
                <w:bCs/>
              </w:rPr>
            </w:pPr>
            <w:r w:rsidRPr="0065414C">
              <w:rPr>
                <w:rFonts w:cs="Arial"/>
                <w:b/>
                <w:bCs/>
              </w:rPr>
              <w:t>MBS</w:t>
            </w:r>
          </w:p>
        </w:tc>
        <w:tc>
          <w:tcPr>
            <w:tcW w:w="7241" w:type="dxa"/>
          </w:tcPr>
          <w:p w14:paraId="18FB9992" w14:textId="25EF11E7" w:rsidR="009A20F4" w:rsidRPr="0065414C" w:rsidRDefault="009A20F4" w:rsidP="00391CF0">
            <w:pPr>
              <w:pStyle w:val="TableParagraph"/>
              <w:rPr>
                <w:rFonts w:cs="Arial"/>
              </w:rPr>
            </w:pPr>
            <w:r w:rsidRPr="0065414C">
              <w:rPr>
                <w:rFonts w:cs="Arial"/>
              </w:rPr>
              <w:t>Medicare Benefits Schedule</w:t>
            </w:r>
          </w:p>
        </w:tc>
      </w:tr>
      <w:tr w:rsidR="009A20F4" w:rsidRPr="0065414C" w14:paraId="179D28C4" w14:textId="77777777" w:rsidTr="00395A1D">
        <w:trPr>
          <w:trHeight w:val="362"/>
        </w:trPr>
        <w:tc>
          <w:tcPr>
            <w:tcW w:w="1831" w:type="dxa"/>
          </w:tcPr>
          <w:p w14:paraId="1DE915F6" w14:textId="79431279" w:rsidR="009A20F4" w:rsidRPr="0065414C" w:rsidRDefault="009A20F4" w:rsidP="00391CF0">
            <w:pPr>
              <w:pStyle w:val="TableParagraph"/>
              <w:rPr>
                <w:rFonts w:cs="Arial"/>
                <w:b/>
                <w:bCs/>
              </w:rPr>
            </w:pPr>
            <w:r w:rsidRPr="0065414C">
              <w:rPr>
                <w:rFonts w:cs="Arial"/>
                <w:b/>
                <w:bCs/>
              </w:rPr>
              <w:t>MBUs</w:t>
            </w:r>
          </w:p>
        </w:tc>
        <w:tc>
          <w:tcPr>
            <w:tcW w:w="7241" w:type="dxa"/>
          </w:tcPr>
          <w:p w14:paraId="11FC5031" w14:textId="3922B818" w:rsidR="009A20F4" w:rsidRPr="0065414C" w:rsidRDefault="009A20F4" w:rsidP="00391CF0">
            <w:pPr>
              <w:pStyle w:val="TableParagraph"/>
              <w:rPr>
                <w:rFonts w:cs="Arial"/>
              </w:rPr>
            </w:pPr>
            <w:r w:rsidRPr="0065414C">
              <w:rPr>
                <w:rFonts w:cs="Arial"/>
              </w:rPr>
              <w:t>Mother and Baby Units</w:t>
            </w:r>
          </w:p>
        </w:tc>
      </w:tr>
      <w:tr w:rsidR="009A20F4" w:rsidRPr="0065414C" w14:paraId="2ABBA07D" w14:textId="77777777" w:rsidTr="00395A1D">
        <w:trPr>
          <w:trHeight w:val="362"/>
        </w:trPr>
        <w:tc>
          <w:tcPr>
            <w:tcW w:w="1831" w:type="dxa"/>
          </w:tcPr>
          <w:p w14:paraId="0331AD31" w14:textId="23A9E996" w:rsidR="009A20F4" w:rsidRPr="0065414C" w:rsidRDefault="009A20F4" w:rsidP="00391CF0">
            <w:pPr>
              <w:pStyle w:val="TableParagraph"/>
              <w:rPr>
                <w:rFonts w:cs="Arial"/>
                <w:b/>
                <w:bCs/>
              </w:rPr>
            </w:pPr>
            <w:r w:rsidRPr="0065414C">
              <w:rPr>
                <w:rFonts w:cs="Arial"/>
                <w:b/>
                <w:bCs/>
              </w:rPr>
              <w:t>MHPoC</w:t>
            </w:r>
          </w:p>
        </w:tc>
        <w:tc>
          <w:tcPr>
            <w:tcW w:w="7241" w:type="dxa"/>
          </w:tcPr>
          <w:p w14:paraId="23CDD6F1" w14:textId="791F99BC" w:rsidR="009A20F4" w:rsidRPr="0065414C" w:rsidRDefault="009A20F4" w:rsidP="00391CF0">
            <w:pPr>
              <w:pStyle w:val="TableParagraph"/>
              <w:rPr>
                <w:rFonts w:cs="Arial"/>
              </w:rPr>
            </w:pPr>
            <w:r w:rsidRPr="0065414C">
              <w:rPr>
                <w:rFonts w:cs="Arial"/>
                <w:szCs w:val="22"/>
              </w:rPr>
              <w:t>Mental Health Phase of Care</w:t>
            </w:r>
          </w:p>
        </w:tc>
      </w:tr>
      <w:tr w:rsidR="009A20F4" w:rsidRPr="0065414C" w14:paraId="293F7A7E" w14:textId="77777777" w:rsidTr="00395A1D">
        <w:trPr>
          <w:trHeight w:val="362"/>
        </w:trPr>
        <w:tc>
          <w:tcPr>
            <w:tcW w:w="1831" w:type="dxa"/>
          </w:tcPr>
          <w:p w14:paraId="7B08AA15" w14:textId="2A5E3D74" w:rsidR="009A20F4" w:rsidRPr="0065414C" w:rsidRDefault="009A20F4" w:rsidP="00391CF0">
            <w:pPr>
              <w:pStyle w:val="TableParagraph"/>
              <w:rPr>
                <w:rFonts w:cs="Arial"/>
                <w:b/>
                <w:bCs/>
              </w:rPr>
            </w:pPr>
            <w:r w:rsidRPr="0065414C">
              <w:rPr>
                <w:rFonts w:cs="Arial"/>
                <w:b/>
                <w:bCs/>
              </w:rPr>
              <w:t>NBP</w:t>
            </w:r>
          </w:p>
        </w:tc>
        <w:tc>
          <w:tcPr>
            <w:tcW w:w="7241" w:type="dxa"/>
          </w:tcPr>
          <w:p w14:paraId="1671DD32" w14:textId="48DA86AE" w:rsidR="009A20F4" w:rsidRPr="0065414C" w:rsidRDefault="009A20F4" w:rsidP="00391CF0">
            <w:pPr>
              <w:pStyle w:val="TableParagraph"/>
              <w:rPr>
                <w:rFonts w:cs="Arial"/>
              </w:rPr>
            </w:pPr>
            <w:r w:rsidRPr="0065414C">
              <w:rPr>
                <w:rFonts w:cs="Arial"/>
              </w:rPr>
              <w:t>National Benchmarking Portal</w:t>
            </w:r>
          </w:p>
        </w:tc>
      </w:tr>
      <w:tr w:rsidR="009A20F4" w:rsidRPr="0065414C" w14:paraId="7ACE2066" w14:textId="77777777" w:rsidTr="00395A1D">
        <w:trPr>
          <w:trHeight w:val="362"/>
        </w:trPr>
        <w:tc>
          <w:tcPr>
            <w:tcW w:w="1831" w:type="dxa"/>
          </w:tcPr>
          <w:p w14:paraId="034AF783" w14:textId="406C6435" w:rsidR="009A20F4" w:rsidRPr="0065414C" w:rsidRDefault="009A20F4" w:rsidP="00391CF0">
            <w:pPr>
              <w:pStyle w:val="TableParagraph"/>
              <w:rPr>
                <w:rFonts w:cs="Arial"/>
                <w:b/>
                <w:bCs/>
              </w:rPr>
            </w:pPr>
            <w:r w:rsidRPr="0065414C">
              <w:rPr>
                <w:rFonts w:cs="Arial"/>
                <w:b/>
                <w:bCs/>
              </w:rPr>
              <w:t>NEC</w:t>
            </w:r>
          </w:p>
        </w:tc>
        <w:tc>
          <w:tcPr>
            <w:tcW w:w="7241" w:type="dxa"/>
          </w:tcPr>
          <w:p w14:paraId="6E0617DB" w14:textId="3E69C77F" w:rsidR="009A20F4" w:rsidRPr="0065414C" w:rsidRDefault="009A20F4" w:rsidP="00391CF0">
            <w:pPr>
              <w:pStyle w:val="TableParagraph"/>
              <w:rPr>
                <w:rFonts w:cs="Arial"/>
              </w:rPr>
            </w:pPr>
            <w:r w:rsidRPr="0065414C">
              <w:rPr>
                <w:rFonts w:cs="Arial"/>
              </w:rPr>
              <w:t>National Efficient Cost</w:t>
            </w:r>
          </w:p>
        </w:tc>
      </w:tr>
      <w:tr w:rsidR="009A20F4" w:rsidRPr="0065414C" w14:paraId="64700825" w14:textId="77777777" w:rsidTr="00395A1D">
        <w:trPr>
          <w:trHeight w:val="362"/>
        </w:trPr>
        <w:tc>
          <w:tcPr>
            <w:tcW w:w="1831" w:type="dxa"/>
          </w:tcPr>
          <w:p w14:paraId="50BDD2ED" w14:textId="450B0EA3" w:rsidR="009A20F4" w:rsidRPr="0065414C" w:rsidRDefault="009A20F4" w:rsidP="00391CF0">
            <w:pPr>
              <w:pStyle w:val="TableParagraph"/>
              <w:rPr>
                <w:rFonts w:cs="Arial"/>
                <w:b/>
                <w:bCs/>
              </w:rPr>
            </w:pPr>
            <w:r w:rsidRPr="0065414C">
              <w:rPr>
                <w:rFonts w:cs="Arial"/>
                <w:b/>
                <w:bCs/>
              </w:rPr>
              <w:t>NEP</w:t>
            </w:r>
          </w:p>
        </w:tc>
        <w:tc>
          <w:tcPr>
            <w:tcW w:w="7241" w:type="dxa"/>
          </w:tcPr>
          <w:p w14:paraId="1D51C144" w14:textId="50363E9F" w:rsidR="009A20F4" w:rsidRPr="0065414C" w:rsidRDefault="009A20F4" w:rsidP="00391CF0">
            <w:pPr>
              <w:pStyle w:val="TableParagraph"/>
              <w:rPr>
                <w:rFonts w:cs="Arial"/>
              </w:rPr>
            </w:pPr>
            <w:r w:rsidRPr="0065414C">
              <w:rPr>
                <w:rFonts w:cs="Arial"/>
              </w:rPr>
              <w:t>National Efficient Price</w:t>
            </w:r>
          </w:p>
        </w:tc>
      </w:tr>
      <w:tr w:rsidR="009A20F4" w:rsidRPr="0065414C" w14:paraId="20EC545C" w14:textId="77777777" w:rsidTr="00395A1D">
        <w:trPr>
          <w:trHeight w:val="362"/>
        </w:trPr>
        <w:tc>
          <w:tcPr>
            <w:tcW w:w="1831" w:type="dxa"/>
          </w:tcPr>
          <w:p w14:paraId="38F5675B" w14:textId="3192ABD8" w:rsidR="009A20F4" w:rsidRPr="0065414C" w:rsidRDefault="009A20F4" w:rsidP="00391CF0">
            <w:pPr>
              <w:pStyle w:val="TableParagraph"/>
              <w:rPr>
                <w:rFonts w:cs="Arial"/>
                <w:b/>
                <w:bCs/>
              </w:rPr>
            </w:pPr>
            <w:r w:rsidRPr="0065414C">
              <w:rPr>
                <w:rFonts w:cs="Arial"/>
                <w:b/>
                <w:bCs/>
              </w:rPr>
              <w:t>NHCDC</w:t>
            </w:r>
          </w:p>
        </w:tc>
        <w:tc>
          <w:tcPr>
            <w:tcW w:w="7241" w:type="dxa"/>
          </w:tcPr>
          <w:p w14:paraId="398AE7D3" w14:textId="76776ED2" w:rsidR="009A20F4" w:rsidRPr="0065414C" w:rsidRDefault="009A20F4" w:rsidP="00391CF0">
            <w:pPr>
              <w:pStyle w:val="TableParagraph"/>
              <w:rPr>
                <w:rFonts w:cs="Arial"/>
              </w:rPr>
            </w:pPr>
            <w:r w:rsidRPr="0065414C">
              <w:rPr>
                <w:rFonts w:cs="Arial"/>
              </w:rPr>
              <w:t>National Hospital Cost Data Collection</w:t>
            </w:r>
          </w:p>
        </w:tc>
      </w:tr>
      <w:tr w:rsidR="009A20F4" w:rsidRPr="0065414C" w14:paraId="77285419" w14:textId="77777777" w:rsidTr="00395A1D">
        <w:trPr>
          <w:trHeight w:val="362"/>
        </w:trPr>
        <w:tc>
          <w:tcPr>
            <w:tcW w:w="1831" w:type="dxa"/>
          </w:tcPr>
          <w:p w14:paraId="256D0492" w14:textId="568B6416" w:rsidR="009A20F4" w:rsidRPr="0065414C" w:rsidRDefault="009A20F4" w:rsidP="00391CF0">
            <w:pPr>
              <w:pStyle w:val="TableParagraph"/>
              <w:rPr>
                <w:rFonts w:cs="Arial"/>
                <w:b/>
                <w:bCs/>
              </w:rPr>
            </w:pPr>
            <w:r w:rsidRPr="0065414C">
              <w:rPr>
                <w:rFonts w:cs="Arial"/>
                <w:b/>
                <w:bCs/>
              </w:rPr>
              <w:t>NHRA</w:t>
            </w:r>
          </w:p>
        </w:tc>
        <w:tc>
          <w:tcPr>
            <w:tcW w:w="7241" w:type="dxa"/>
          </w:tcPr>
          <w:p w14:paraId="625522E3" w14:textId="51966678" w:rsidR="009A20F4" w:rsidRPr="0065414C" w:rsidRDefault="009A20F4" w:rsidP="00391CF0">
            <w:pPr>
              <w:pStyle w:val="TableParagraph"/>
              <w:rPr>
                <w:rFonts w:cs="Arial"/>
              </w:rPr>
            </w:pPr>
            <w:r w:rsidRPr="0065414C">
              <w:rPr>
                <w:rFonts w:cs="Arial"/>
              </w:rPr>
              <w:t>National Health Reform Agreement</w:t>
            </w:r>
          </w:p>
        </w:tc>
      </w:tr>
      <w:tr w:rsidR="009A20F4" w:rsidRPr="0065414C" w14:paraId="6DD86038" w14:textId="77777777" w:rsidTr="00395A1D">
        <w:trPr>
          <w:trHeight w:val="362"/>
        </w:trPr>
        <w:tc>
          <w:tcPr>
            <w:tcW w:w="1831" w:type="dxa"/>
          </w:tcPr>
          <w:p w14:paraId="612F4A07" w14:textId="3A199918" w:rsidR="009A20F4" w:rsidRPr="0065414C" w:rsidRDefault="009A20F4" w:rsidP="00391CF0">
            <w:pPr>
              <w:pStyle w:val="TableParagraph"/>
              <w:rPr>
                <w:rFonts w:cs="Arial"/>
                <w:b/>
                <w:bCs/>
              </w:rPr>
            </w:pPr>
            <w:r w:rsidRPr="0065414C">
              <w:rPr>
                <w:rFonts w:cs="Arial"/>
                <w:b/>
                <w:bCs/>
              </w:rPr>
              <w:t>NWAU</w:t>
            </w:r>
          </w:p>
        </w:tc>
        <w:tc>
          <w:tcPr>
            <w:tcW w:w="7241" w:type="dxa"/>
          </w:tcPr>
          <w:p w14:paraId="6E37CDA0" w14:textId="0A583EAC" w:rsidR="009A20F4" w:rsidRPr="0065414C" w:rsidRDefault="009A20F4" w:rsidP="00391CF0">
            <w:pPr>
              <w:pStyle w:val="TableParagraph"/>
              <w:rPr>
                <w:rFonts w:cs="Arial"/>
              </w:rPr>
            </w:pPr>
            <w:r w:rsidRPr="0065414C">
              <w:rPr>
                <w:rFonts w:cs="Arial"/>
              </w:rPr>
              <w:t>National Weighted Activity Unit</w:t>
            </w:r>
          </w:p>
        </w:tc>
      </w:tr>
      <w:tr w:rsidR="009A20F4" w:rsidRPr="0065414C" w14:paraId="4ABC1868" w14:textId="77777777" w:rsidTr="00395A1D">
        <w:trPr>
          <w:trHeight w:val="362"/>
        </w:trPr>
        <w:tc>
          <w:tcPr>
            <w:tcW w:w="1831" w:type="dxa"/>
          </w:tcPr>
          <w:p w14:paraId="20F0302B" w14:textId="331CA0F6" w:rsidR="009A20F4" w:rsidRPr="0065414C" w:rsidRDefault="009A20F4" w:rsidP="00391CF0">
            <w:pPr>
              <w:pStyle w:val="TableParagraph"/>
              <w:rPr>
                <w:rFonts w:cs="Arial"/>
                <w:b/>
                <w:bCs/>
              </w:rPr>
            </w:pPr>
            <w:r w:rsidRPr="0065414C">
              <w:rPr>
                <w:rFonts w:cs="Arial"/>
                <w:b/>
                <w:bCs/>
              </w:rPr>
              <w:t>The Addendum</w:t>
            </w:r>
          </w:p>
        </w:tc>
        <w:tc>
          <w:tcPr>
            <w:tcW w:w="7241" w:type="dxa"/>
          </w:tcPr>
          <w:p w14:paraId="3974A3C9" w14:textId="7C7B50E0" w:rsidR="009A20F4" w:rsidRPr="0065414C" w:rsidRDefault="009A20F4" w:rsidP="00391CF0">
            <w:pPr>
              <w:pStyle w:val="TableParagraph"/>
              <w:rPr>
                <w:rFonts w:cs="Arial"/>
              </w:rPr>
            </w:pPr>
            <w:r w:rsidRPr="0065414C">
              <w:rPr>
                <w:rFonts w:cs="Arial"/>
              </w:rPr>
              <w:t>Addendum to the National Health Reform Agreement</w:t>
            </w:r>
          </w:p>
        </w:tc>
      </w:tr>
      <w:tr w:rsidR="009A20F4" w:rsidRPr="0065414C" w14:paraId="0B43FB6F" w14:textId="77777777" w:rsidTr="00395A1D">
        <w:trPr>
          <w:trHeight w:val="362"/>
        </w:trPr>
        <w:tc>
          <w:tcPr>
            <w:tcW w:w="1831" w:type="dxa"/>
          </w:tcPr>
          <w:p w14:paraId="2D012513" w14:textId="3FCD7483" w:rsidR="009A20F4" w:rsidRPr="0065414C" w:rsidRDefault="009A20F4" w:rsidP="00391CF0">
            <w:pPr>
              <w:pStyle w:val="TableParagraph"/>
              <w:rPr>
                <w:rFonts w:cs="Arial"/>
                <w:b/>
                <w:bCs/>
              </w:rPr>
            </w:pPr>
            <w:r w:rsidRPr="0065414C">
              <w:rPr>
                <w:rFonts w:cs="Arial"/>
                <w:b/>
                <w:bCs/>
              </w:rPr>
              <w:t xml:space="preserve">The </w:t>
            </w:r>
            <w:r>
              <w:rPr>
                <w:rFonts w:cs="Arial"/>
                <w:b/>
                <w:bCs/>
              </w:rPr>
              <w:t>Administrator</w:t>
            </w:r>
          </w:p>
        </w:tc>
        <w:tc>
          <w:tcPr>
            <w:tcW w:w="7241" w:type="dxa"/>
          </w:tcPr>
          <w:p w14:paraId="1FF814D5" w14:textId="01F5133B" w:rsidR="009A20F4" w:rsidRPr="0065414C" w:rsidRDefault="009A20F4" w:rsidP="00391CF0">
            <w:pPr>
              <w:pStyle w:val="TableParagraph"/>
              <w:rPr>
                <w:rFonts w:cs="Arial"/>
              </w:rPr>
            </w:pPr>
            <w:r w:rsidRPr="009A20F4">
              <w:rPr>
                <w:rFonts w:cs="Arial"/>
              </w:rPr>
              <w:t>Administrator of the National Health Funding Pool</w:t>
            </w:r>
          </w:p>
        </w:tc>
      </w:tr>
      <w:tr w:rsidR="009A20F4" w:rsidRPr="0065414C" w14:paraId="10038463" w14:textId="77777777" w:rsidTr="00395A1D">
        <w:trPr>
          <w:trHeight w:val="298"/>
        </w:trPr>
        <w:tc>
          <w:tcPr>
            <w:tcW w:w="1831" w:type="dxa"/>
          </w:tcPr>
          <w:p w14:paraId="4A1192D0" w14:textId="0E1D3272" w:rsidR="009A20F4" w:rsidRPr="0065414C" w:rsidRDefault="009A20F4" w:rsidP="009A20F4">
            <w:pPr>
              <w:pStyle w:val="TableParagraph"/>
              <w:rPr>
                <w:rFonts w:cs="Arial"/>
                <w:b/>
                <w:bCs/>
              </w:rPr>
            </w:pPr>
            <w:r w:rsidRPr="0065414C">
              <w:rPr>
                <w:rFonts w:cs="Arial"/>
                <w:b/>
                <w:bCs/>
              </w:rPr>
              <w:t>The Commission</w:t>
            </w:r>
          </w:p>
        </w:tc>
        <w:tc>
          <w:tcPr>
            <w:tcW w:w="7241" w:type="dxa"/>
          </w:tcPr>
          <w:p w14:paraId="1F3A05F6" w14:textId="1124EC69" w:rsidR="009A20F4" w:rsidRPr="0065414C" w:rsidRDefault="009A20F4" w:rsidP="009A20F4">
            <w:pPr>
              <w:pStyle w:val="TableParagraph"/>
              <w:rPr>
                <w:rFonts w:cs="Arial"/>
              </w:rPr>
            </w:pPr>
            <w:r w:rsidRPr="0065414C">
              <w:rPr>
                <w:rFonts w:cs="Arial"/>
              </w:rPr>
              <w:t>Australian Commission on Safety and Quality in Health Care</w:t>
            </w:r>
          </w:p>
        </w:tc>
      </w:tr>
      <w:tr w:rsidR="009A20F4" w:rsidRPr="0065414C" w14:paraId="00235273" w14:textId="77777777" w:rsidTr="00395A1D">
        <w:trPr>
          <w:trHeight w:val="298"/>
        </w:trPr>
        <w:tc>
          <w:tcPr>
            <w:tcW w:w="1831" w:type="dxa"/>
          </w:tcPr>
          <w:p w14:paraId="71FA9185" w14:textId="24F09425" w:rsidR="009A20F4" w:rsidRPr="0065414C" w:rsidRDefault="009A20F4" w:rsidP="00391CF0">
            <w:pPr>
              <w:pStyle w:val="TableParagraph"/>
              <w:rPr>
                <w:rFonts w:cs="Arial"/>
                <w:b/>
                <w:bCs/>
              </w:rPr>
            </w:pPr>
          </w:p>
        </w:tc>
        <w:tc>
          <w:tcPr>
            <w:tcW w:w="7241" w:type="dxa"/>
          </w:tcPr>
          <w:p w14:paraId="34AD8710" w14:textId="6AADB473" w:rsidR="009A20F4" w:rsidRPr="0065414C" w:rsidRDefault="009A20F4" w:rsidP="00391CF0">
            <w:pPr>
              <w:pStyle w:val="TableParagraph"/>
              <w:rPr>
                <w:rFonts w:cs="Arial"/>
              </w:rPr>
            </w:pPr>
          </w:p>
        </w:tc>
      </w:tr>
    </w:tbl>
    <w:p w14:paraId="661EACE3" w14:textId="77777777" w:rsidR="00C415F5" w:rsidRPr="0065414C" w:rsidRDefault="00C415F5">
      <w:pPr>
        <w:spacing w:line="216" w:lineRule="exact"/>
        <w:rPr>
          <w:rFonts w:cs="Arial"/>
          <w:sz w:val="19"/>
        </w:rPr>
        <w:sectPr w:rsidR="00C415F5" w:rsidRPr="0065414C" w:rsidSect="00603DEC">
          <w:headerReference w:type="default" r:id="rId14"/>
          <w:footerReference w:type="default" r:id="rId15"/>
          <w:pgSz w:w="11910" w:h="16840"/>
          <w:pgMar w:top="1440" w:right="1440" w:bottom="1440" w:left="1440" w:header="0" w:footer="656" w:gutter="0"/>
          <w:pgNumType w:start="1"/>
          <w:cols w:space="720"/>
        </w:sectPr>
      </w:pPr>
    </w:p>
    <w:p w14:paraId="41DB79A0" w14:textId="77777777" w:rsidR="008613E1" w:rsidRPr="0065414C" w:rsidRDefault="008613E1" w:rsidP="003B4291">
      <w:pPr>
        <w:pStyle w:val="SectionNumber"/>
      </w:pPr>
      <w:bookmarkStart w:id="21" w:name="_Introduction"/>
      <w:bookmarkStart w:id="22" w:name="_Toc49953732"/>
      <w:bookmarkStart w:id="23" w:name="_Toc50465707"/>
      <w:bookmarkEnd w:id="21"/>
      <w:r w:rsidRPr="0065414C">
        <w:rPr>
          <w:lang w:bidi="ar-SA"/>
        </w:rPr>
        <w:lastRenderedPageBreak/>
        <w:drawing>
          <wp:anchor distT="0" distB="0" distL="114300" distR="114300" simplePos="0" relativeHeight="251635712" behindDoc="1" locked="0" layoutInCell="1" allowOverlap="1" wp14:anchorId="5F4A4A5D" wp14:editId="4013BFDB">
            <wp:simplePos x="0" y="0"/>
            <wp:positionH relativeFrom="margin">
              <wp:posOffset>-914400</wp:posOffset>
            </wp:positionH>
            <wp:positionV relativeFrom="page">
              <wp:posOffset>954157</wp:posOffset>
            </wp:positionV>
            <wp:extent cx="5462270" cy="3578225"/>
            <wp:effectExtent l="0" t="0" r="0" b="0"/>
            <wp:wrapNone/>
            <wp:docPr id="5" name="Picture 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65414C">
        <w:t>1</w:t>
      </w:r>
      <w:bookmarkEnd w:id="22"/>
      <w:bookmarkEnd w:id="23"/>
    </w:p>
    <w:p w14:paraId="1BD5CC57" w14:textId="77777777" w:rsidR="008613E1" w:rsidRPr="0065414C" w:rsidRDefault="008613E1" w:rsidP="003B4291">
      <w:pPr>
        <w:pStyle w:val="Sectionheader"/>
        <w:sectPr w:rsidR="008613E1" w:rsidRPr="0065414C" w:rsidSect="008613E1">
          <w:headerReference w:type="default" r:id="rId17"/>
          <w:footerReference w:type="default" r:id="rId18"/>
          <w:pgSz w:w="11910" w:h="16840"/>
          <w:pgMar w:top="3970" w:right="1440" w:bottom="1440" w:left="1440" w:header="0" w:footer="656" w:gutter="0"/>
          <w:cols w:space="720"/>
        </w:sectPr>
      </w:pPr>
      <w:bookmarkStart w:id="24" w:name="_Toc49953733"/>
      <w:r w:rsidRPr="0065414C">
        <w:t>Introduction</w:t>
      </w:r>
      <w:bookmarkEnd w:id="24"/>
    </w:p>
    <w:p w14:paraId="740CD794" w14:textId="77777777" w:rsidR="00C415F5" w:rsidRPr="0065414C" w:rsidRDefault="008613E1" w:rsidP="00F62597">
      <w:pPr>
        <w:pStyle w:val="Heading1"/>
        <w:ind w:left="227"/>
        <w:rPr>
          <w:rFonts w:cs="Arial"/>
        </w:rPr>
      </w:pPr>
      <w:bookmarkStart w:id="25" w:name="_Toc45809577"/>
      <w:bookmarkStart w:id="26" w:name="_Toc49953734"/>
      <w:bookmarkStart w:id="27" w:name="_Toc58930490"/>
      <w:r w:rsidRPr="0065414C">
        <w:rPr>
          <w:rFonts w:cs="Arial"/>
          <w:noProof/>
          <w:color w:val="FFFFFF" w:themeColor="background1"/>
          <w:lang w:eastAsia="en-AU" w:bidi="ar-SA"/>
        </w:rPr>
        <w:lastRenderedPageBreak/>
        <w:drawing>
          <wp:anchor distT="0" distB="0" distL="114300" distR="114300" simplePos="0" relativeHeight="251640832" behindDoc="1" locked="0" layoutInCell="1" allowOverlap="1" wp14:anchorId="50B407E1" wp14:editId="259F1BFB">
            <wp:simplePos x="0" y="0"/>
            <wp:positionH relativeFrom="column">
              <wp:posOffset>-914400</wp:posOffset>
            </wp:positionH>
            <wp:positionV relativeFrom="page">
              <wp:posOffset>658826</wp:posOffset>
            </wp:positionV>
            <wp:extent cx="1685925" cy="946150"/>
            <wp:effectExtent l="0" t="0" r="0" b="0"/>
            <wp:wrapNone/>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65414C">
        <w:rPr>
          <w:rFonts w:cs="Arial"/>
          <w:color w:val="FFFFFF" w:themeColor="background1"/>
        </w:rPr>
        <w:t>1</w:t>
      </w:r>
      <w:r w:rsidRPr="0065414C">
        <w:rPr>
          <w:rFonts w:cs="Arial"/>
          <w:color w:val="FFFFFF" w:themeColor="background1"/>
        </w:rPr>
        <w:tab/>
      </w:r>
      <w:r w:rsidRPr="0065414C">
        <w:rPr>
          <w:rFonts w:cs="Arial"/>
        </w:rPr>
        <w:tab/>
      </w:r>
      <w:r w:rsidR="00603DEC" w:rsidRPr="0065414C">
        <w:rPr>
          <w:rFonts w:cs="Arial"/>
        </w:rPr>
        <w:t>Introduction</w:t>
      </w:r>
      <w:bookmarkEnd w:id="25"/>
      <w:bookmarkEnd w:id="26"/>
      <w:bookmarkEnd w:id="27"/>
    </w:p>
    <w:p w14:paraId="2BB74EE4" w14:textId="77777777" w:rsidR="00C415F5" w:rsidRPr="0065414C" w:rsidRDefault="00C415F5" w:rsidP="003932A6">
      <w:pPr>
        <w:pStyle w:val="BodyText"/>
        <w:rPr>
          <w:rFonts w:cs="Arial"/>
        </w:rPr>
      </w:pPr>
    </w:p>
    <w:p w14:paraId="325A39B3" w14:textId="77777777" w:rsidR="00C415F5" w:rsidRPr="0065414C" w:rsidRDefault="00C415F5">
      <w:pPr>
        <w:rPr>
          <w:rFonts w:cs="Arial"/>
          <w:sz w:val="15"/>
        </w:rPr>
        <w:sectPr w:rsidR="00C415F5" w:rsidRPr="0065414C" w:rsidSect="001142D0">
          <w:pgSz w:w="11910" w:h="16840"/>
          <w:pgMar w:top="1440" w:right="1440" w:bottom="1440" w:left="1440" w:header="0" w:footer="656" w:gutter="0"/>
          <w:cols w:space="720"/>
        </w:sectPr>
      </w:pPr>
    </w:p>
    <w:p w14:paraId="672A0BC6" w14:textId="7EBF55D7" w:rsidR="00BC7AFE" w:rsidRPr="00BC7AFE" w:rsidRDefault="00BC7AFE" w:rsidP="00BC7AFE">
      <w:pPr>
        <w:pStyle w:val="BodyText"/>
        <w:rPr>
          <w:rFonts w:cs="Arial"/>
        </w:rPr>
      </w:pPr>
      <w:r w:rsidRPr="00BC7AFE">
        <w:rPr>
          <w:rFonts w:cs="Arial"/>
        </w:rPr>
        <w:t>The Pricing Framework for Australian Public Hospital Services is the key strategic document underpinning the national efficient price (NEP) and national efficient cost (NEC) Determinations for the financial year. Ordinarily, the Pricing Framework for Australian Public Hospital Services</w:t>
      </w:r>
      <w:r w:rsidR="00C93E72">
        <w:rPr>
          <w:rFonts w:cs="Arial"/>
        </w:rPr>
        <w:t xml:space="preserve"> (the Pricing Framework)</w:t>
      </w:r>
      <w:r w:rsidRPr="00BC7AFE">
        <w:rPr>
          <w:rFonts w:cs="Arial"/>
        </w:rPr>
        <w:t xml:space="preserve"> is released prior to the NEP and NEC which are released in early March. </w:t>
      </w:r>
    </w:p>
    <w:p w14:paraId="53128957" w14:textId="0A36F82A" w:rsidR="00BC7AFE" w:rsidRPr="00BC7AFE" w:rsidRDefault="00BC7AFE" w:rsidP="00BC7AFE">
      <w:pPr>
        <w:pStyle w:val="BodyText"/>
        <w:rPr>
          <w:rFonts w:cs="Arial"/>
        </w:rPr>
      </w:pPr>
      <w:r w:rsidRPr="00BC7AFE">
        <w:rPr>
          <w:rFonts w:cs="Arial"/>
        </w:rPr>
        <w:t>This year the Pricing Framework is being released alongside the NEP and NEC Determinations. This is to ensure the Independent Hospital Pricing Authority’s (IHPA) consultation in developing the Pricing Framework included feedback on the Addendum to the National Health Reform Agreement 2020–25 (the</w:t>
      </w:r>
      <w:r w:rsidR="00AB4EFE">
        <w:rPr>
          <w:rFonts w:cs="Arial"/>
        </w:rPr>
        <w:t> </w:t>
      </w:r>
      <w:r w:rsidRPr="00BC7AFE">
        <w:rPr>
          <w:rFonts w:cs="Arial"/>
        </w:rPr>
        <w:t>Addendum). The adjusted timeline for release has also allowed IHPA to conduct early consultation on the emerging issues resulting from the COVID-</w:t>
      </w:r>
      <w:r w:rsidR="00AB4EFE">
        <w:rPr>
          <w:rFonts w:cs="Arial"/>
        </w:rPr>
        <w:t>‍</w:t>
      </w:r>
      <w:r w:rsidRPr="00BC7AFE">
        <w:rPr>
          <w:rFonts w:cs="Arial"/>
        </w:rPr>
        <w:t>19</w:t>
      </w:r>
      <w:r w:rsidR="00AB4EFE">
        <w:rPr>
          <w:rFonts w:cs="Arial"/>
        </w:rPr>
        <w:t> </w:t>
      </w:r>
      <w:r w:rsidRPr="00BC7AFE">
        <w:rPr>
          <w:rFonts w:cs="Arial"/>
        </w:rPr>
        <w:t>pandemic.</w:t>
      </w:r>
    </w:p>
    <w:p w14:paraId="092BA35A" w14:textId="50273AB2" w:rsidR="00BC7AFE" w:rsidRPr="00BC7AFE" w:rsidRDefault="00BC7AFE" w:rsidP="00BC7AFE">
      <w:pPr>
        <w:pStyle w:val="BodyText"/>
        <w:rPr>
          <w:rFonts w:cs="Arial"/>
        </w:rPr>
      </w:pPr>
      <w:r w:rsidRPr="00BC7AFE">
        <w:rPr>
          <w:rFonts w:cs="Arial"/>
        </w:rPr>
        <w:t xml:space="preserve">The Addendum </w:t>
      </w:r>
      <w:r w:rsidR="00F9765E">
        <w:rPr>
          <w:rFonts w:cs="Arial"/>
        </w:rPr>
        <w:t>reaffirms</w:t>
      </w:r>
      <w:r w:rsidRPr="00BC7AFE">
        <w:rPr>
          <w:rFonts w:cs="Arial"/>
        </w:rPr>
        <w:t xml:space="preserve"> IHPA’s primary function as an independent, national agency responsible for calculating and determining the NEP for public hospital services in Australia. The Addendum has</w:t>
      </w:r>
      <w:r w:rsidR="00AB4EFE">
        <w:rPr>
          <w:rFonts w:cs="Arial"/>
        </w:rPr>
        <w:t> </w:t>
      </w:r>
      <w:r w:rsidRPr="00BC7AFE">
        <w:rPr>
          <w:rFonts w:cs="Arial"/>
        </w:rPr>
        <w:t>implications for IHPA’s functions, including</w:t>
      </w:r>
      <w:r w:rsidR="00AB4EFE">
        <w:rPr>
          <w:rFonts w:cs="Arial"/>
        </w:rPr>
        <w:t> </w:t>
      </w:r>
      <w:r w:rsidRPr="00BC7AFE">
        <w:rPr>
          <w:rFonts w:cs="Arial"/>
        </w:rPr>
        <w:t>determining pricing arrangements for</w:t>
      </w:r>
      <w:r w:rsidR="00AB4EFE">
        <w:rPr>
          <w:rFonts w:cs="Arial"/>
        </w:rPr>
        <w:t> </w:t>
      </w:r>
      <w:r w:rsidRPr="00BC7AFE">
        <w:rPr>
          <w:rFonts w:cs="Arial"/>
        </w:rPr>
        <w:t>private patients in public hospitals, avoidable</w:t>
      </w:r>
      <w:r w:rsidR="00AB4EFE">
        <w:rPr>
          <w:rFonts w:cs="Arial"/>
        </w:rPr>
        <w:t> </w:t>
      </w:r>
      <w:r w:rsidRPr="00BC7AFE">
        <w:rPr>
          <w:rFonts w:cs="Arial"/>
        </w:rPr>
        <w:t>hospital readmissions and innovative funding models</w:t>
      </w:r>
      <w:r w:rsidR="00EC6FDC">
        <w:rPr>
          <w:rFonts w:cs="Arial"/>
        </w:rPr>
        <w:t>,</w:t>
      </w:r>
      <w:r w:rsidRPr="00BC7AFE">
        <w:rPr>
          <w:rFonts w:cs="Arial"/>
        </w:rPr>
        <w:t xml:space="preserve"> which will be addressed in this</w:t>
      </w:r>
      <w:r w:rsidR="00AB4EFE">
        <w:rPr>
          <w:rFonts w:cs="Arial"/>
        </w:rPr>
        <w:t> </w:t>
      </w:r>
      <w:r w:rsidRPr="00BC7AFE">
        <w:rPr>
          <w:rFonts w:cs="Arial"/>
        </w:rPr>
        <w:t>Pricing</w:t>
      </w:r>
      <w:r w:rsidR="00AB4EFE">
        <w:rPr>
          <w:rFonts w:cs="Arial"/>
        </w:rPr>
        <w:t> </w:t>
      </w:r>
      <w:r w:rsidRPr="00BC7AFE">
        <w:rPr>
          <w:rFonts w:cs="Arial"/>
        </w:rPr>
        <w:t xml:space="preserve">Framework. </w:t>
      </w:r>
    </w:p>
    <w:p w14:paraId="60D1D7D1" w14:textId="0D43C422" w:rsidR="00BC7AFE" w:rsidRPr="00BC7AFE" w:rsidRDefault="00BC7AFE" w:rsidP="00BC7AFE">
      <w:pPr>
        <w:pStyle w:val="BodyText"/>
        <w:rPr>
          <w:rFonts w:cs="Arial"/>
        </w:rPr>
      </w:pPr>
      <w:r w:rsidRPr="00BC7AFE">
        <w:rPr>
          <w:rFonts w:cs="Arial"/>
        </w:rPr>
        <w:t>IHPA released the Consultation Paper on the Pricing Framework for Australian Public Hospital Services 2021–22 (the Consultation Paper) for a 30-day public comment period on 9 September 2020. The Consultation Paper set out the key issues for consideration in preparation of the Pricing Framework</w:t>
      </w:r>
      <w:r w:rsidR="00C93E72">
        <w:rPr>
          <w:rFonts w:cs="Arial"/>
        </w:rPr>
        <w:t xml:space="preserve">. The Pricing Framework has been </w:t>
      </w:r>
      <w:r w:rsidRPr="00BC7AFE">
        <w:rPr>
          <w:rFonts w:cs="Arial"/>
        </w:rPr>
        <w:t>informed by stakeholder feedback</w:t>
      </w:r>
      <w:r w:rsidR="00C93E72">
        <w:rPr>
          <w:rFonts w:cs="Arial"/>
        </w:rPr>
        <w:t xml:space="preserve"> on the Consultation Paper</w:t>
      </w:r>
      <w:r w:rsidRPr="00BC7AFE">
        <w:rPr>
          <w:rFonts w:cs="Arial"/>
        </w:rPr>
        <w:t>.</w:t>
      </w:r>
    </w:p>
    <w:p w14:paraId="6D514809" w14:textId="7EFADCD9" w:rsidR="00BC7AFE" w:rsidRPr="00BC7AFE" w:rsidRDefault="00BC7AFE" w:rsidP="00BC7AFE">
      <w:pPr>
        <w:pStyle w:val="BodyText"/>
        <w:rPr>
          <w:rFonts w:cs="Arial"/>
        </w:rPr>
      </w:pPr>
      <w:r>
        <w:rPr>
          <w:rFonts w:cs="Arial"/>
        </w:rPr>
        <w:br w:type="column"/>
      </w:r>
      <w:r w:rsidRPr="00BC7AFE">
        <w:rPr>
          <w:rFonts w:cs="Arial"/>
        </w:rPr>
        <w:t>IHPA received 35 submissions to the Consultation Paper including responses from seven jurisdictions (the Australian Capital Territory was in caretaker at the time of Consultation Paper’s release and was unable to provide a submission). These submissions are available on the IHPA website. A Consultation Report on their content, including commentary regarding how IHPA reached its decisions for 2021–22 can also be found on IHPA’s website.</w:t>
      </w:r>
    </w:p>
    <w:p w14:paraId="62457CAD" w14:textId="4F76F251" w:rsidR="00BC7AFE" w:rsidRPr="00BC7AFE" w:rsidRDefault="00BC7AFE" w:rsidP="00BC7AFE">
      <w:pPr>
        <w:pStyle w:val="BodyText"/>
        <w:rPr>
          <w:rFonts w:cs="Arial"/>
        </w:rPr>
      </w:pPr>
      <w:r w:rsidRPr="00BC7AFE">
        <w:rPr>
          <w:rFonts w:cs="Arial"/>
        </w:rPr>
        <w:t>Stakeholders provided valuable feedback around</w:t>
      </w:r>
      <w:r w:rsidR="00AB4EFE">
        <w:rPr>
          <w:rFonts w:cs="Arial"/>
        </w:rPr>
        <w:t> </w:t>
      </w:r>
      <w:r w:rsidRPr="00BC7AFE">
        <w:rPr>
          <w:rFonts w:cs="Arial"/>
        </w:rPr>
        <w:t>the impact that COVID-19 has had on service</w:t>
      </w:r>
      <w:r w:rsidR="00AB4EFE">
        <w:rPr>
          <w:rFonts w:cs="Arial"/>
        </w:rPr>
        <w:t> </w:t>
      </w:r>
      <w:r w:rsidRPr="00BC7AFE">
        <w:rPr>
          <w:rFonts w:cs="Arial"/>
        </w:rPr>
        <w:t>delivery, activity levels and models of care. Stakeholders noted that COVID-19 had led to an initial reduction in activity levels as a result of suspension of elective surgery and some other</w:t>
      </w:r>
      <w:r w:rsidR="00AB4EFE">
        <w:rPr>
          <w:rFonts w:cs="Arial"/>
        </w:rPr>
        <w:t> </w:t>
      </w:r>
      <w:r w:rsidRPr="00BC7AFE">
        <w:rPr>
          <w:rFonts w:cs="Arial"/>
        </w:rPr>
        <w:t xml:space="preserve">services. States and territories reported an increase in telehealth and other virtual health care activities as the pandemic progressed. </w:t>
      </w:r>
    </w:p>
    <w:p w14:paraId="1ECCD8FC" w14:textId="2071CC09" w:rsidR="00BC7AFE" w:rsidRPr="00BC7AFE" w:rsidRDefault="00BC7AFE" w:rsidP="00BC7AFE">
      <w:pPr>
        <w:pStyle w:val="BodyText"/>
        <w:rPr>
          <w:rFonts w:cs="Arial"/>
        </w:rPr>
      </w:pPr>
      <w:r w:rsidRPr="00BC7AFE">
        <w:rPr>
          <w:rFonts w:cs="Arial"/>
        </w:rPr>
        <w:t xml:space="preserve">Stakeholders provided feedback on progress towards pricing public hospitals services using new classifications, including the Australian Emergency Care Classification and the Australian Mental Health Care Classification. </w:t>
      </w:r>
      <w:r w:rsidR="00C93E72">
        <w:rPr>
          <w:rFonts w:cs="Arial"/>
        </w:rPr>
        <w:t>S</w:t>
      </w:r>
      <w:r w:rsidRPr="00BC7AFE">
        <w:rPr>
          <w:rFonts w:cs="Arial"/>
        </w:rPr>
        <w:t xml:space="preserve">takeholders </w:t>
      </w:r>
      <w:r w:rsidR="00C93E72">
        <w:rPr>
          <w:rFonts w:cs="Arial"/>
        </w:rPr>
        <w:t xml:space="preserve">also </w:t>
      </w:r>
      <w:r w:rsidRPr="00BC7AFE">
        <w:rPr>
          <w:rFonts w:cs="Arial"/>
        </w:rPr>
        <w:t>provided feedback on IHPA’s proposed pricing model for avoidable hospital</w:t>
      </w:r>
      <w:r w:rsidR="00AB4EFE">
        <w:rPr>
          <w:rFonts w:cs="Arial"/>
        </w:rPr>
        <w:t> </w:t>
      </w:r>
      <w:r w:rsidRPr="00BC7AFE">
        <w:rPr>
          <w:rFonts w:cs="Arial"/>
        </w:rPr>
        <w:t xml:space="preserve">readmissions. </w:t>
      </w:r>
    </w:p>
    <w:p w14:paraId="60DB1889" w14:textId="76E46A6B" w:rsidR="00C415F5" w:rsidRPr="001C054E" w:rsidRDefault="00BC7AFE" w:rsidP="00BC7AFE">
      <w:pPr>
        <w:pStyle w:val="BodyText"/>
      </w:pPr>
      <w:r w:rsidRPr="00BC7AFE">
        <w:rPr>
          <w:rFonts w:cs="Arial"/>
        </w:rPr>
        <w:t>I</w:t>
      </w:r>
      <w:r w:rsidRPr="001C054E">
        <w:t>HPA will continue to work with jurisdictions through its Jurisdictional and Technical Advisory Committees to understand how COVID-19 is impacting activity levels and costs and to implement changes resulting from the Addendum</w:t>
      </w:r>
      <w:r w:rsidR="00AB4EFE" w:rsidRPr="001C054E">
        <w:t>.</w:t>
      </w:r>
    </w:p>
    <w:p w14:paraId="50491B68" w14:textId="77777777" w:rsidR="00C415F5" w:rsidRPr="0065414C" w:rsidRDefault="00C415F5">
      <w:pPr>
        <w:rPr>
          <w:rFonts w:cs="Arial"/>
          <w:sz w:val="12"/>
        </w:rPr>
        <w:sectPr w:rsidR="00C415F5" w:rsidRPr="0065414C" w:rsidSect="00277AD9">
          <w:type w:val="continuous"/>
          <w:pgSz w:w="11910" w:h="16840"/>
          <w:pgMar w:top="1440" w:right="1440" w:bottom="1440" w:left="1440" w:header="720" w:footer="720" w:gutter="0"/>
          <w:cols w:num="2" w:space="340"/>
        </w:sectPr>
      </w:pPr>
    </w:p>
    <w:p w14:paraId="1FAD443E" w14:textId="77777777" w:rsidR="00F62597" w:rsidRPr="005B7291" w:rsidRDefault="00F62597" w:rsidP="005B7291">
      <w:pPr>
        <w:pStyle w:val="SectionNumber"/>
        <w:rPr>
          <w:color w:val="003E2D" w:themeColor="text2"/>
        </w:rPr>
      </w:pPr>
      <w:bookmarkStart w:id="28" w:name="_bookmark3"/>
      <w:bookmarkStart w:id="29" w:name="_2_The_Pricing"/>
      <w:bookmarkStart w:id="30" w:name="_Toc49953735"/>
      <w:bookmarkEnd w:id="28"/>
      <w:bookmarkEnd w:id="29"/>
      <w:r w:rsidRPr="005B7291">
        <w:rPr>
          <w:color w:val="003E2D" w:themeColor="text2"/>
          <w:lang w:bidi="ar-SA"/>
        </w:rPr>
        <w:lastRenderedPageBreak/>
        <w:drawing>
          <wp:anchor distT="0" distB="0" distL="114300" distR="114300" simplePos="0" relativeHeight="251646976" behindDoc="1" locked="0" layoutInCell="1" allowOverlap="1" wp14:anchorId="4435E8DE" wp14:editId="63337492">
            <wp:simplePos x="0" y="0"/>
            <wp:positionH relativeFrom="margin">
              <wp:posOffset>-914400</wp:posOffset>
            </wp:positionH>
            <wp:positionV relativeFrom="page">
              <wp:posOffset>954536</wp:posOffset>
            </wp:positionV>
            <wp:extent cx="5462270" cy="3577466"/>
            <wp:effectExtent l="0" t="0" r="0" b="0"/>
            <wp:wrapNone/>
            <wp:docPr id="7" name="Picture 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5B7291">
        <w:rPr>
          <w:color w:val="003E2D" w:themeColor="text2"/>
        </w:rPr>
        <w:t>2</w:t>
      </w:r>
      <w:bookmarkEnd w:id="30"/>
    </w:p>
    <w:p w14:paraId="551FC1BC" w14:textId="77777777" w:rsidR="00F62597" w:rsidRPr="0065414C" w:rsidRDefault="00437BB3" w:rsidP="005B7291">
      <w:pPr>
        <w:pStyle w:val="Sectionheader"/>
        <w:sectPr w:rsidR="00F62597" w:rsidRPr="0065414C" w:rsidSect="008613E1">
          <w:headerReference w:type="default" r:id="rId21"/>
          <w:footerReference w:type="default" r:id="rId22"/>
          <w:pgSz w:w="11910" w:h="16840"/>
          <w:pgMar w:top="3970" w:right="1440" w:bottom="1440" w:left="1440" w:header="0" w:footer="656" w:gutter="0"/>
          <w:cols w:space="720"/>
        </w:sectPr>
      </w:pPr>
      <w:bookmarkStart w:id="31" w:name="_Toc49953736"/>
      <w:r w:rsidRPr="0065414C">
        <w:t>Addendum to the National Health Reform Agreement 2020–2025</w:t>
      </w:r>
      <w:bookmarkEnd w:id="31"/>
    </w:p>
    <w:p w14:paraId="3E582084" w14:textId="77777777" w:rsidR="00C415F5" w:rsidRPr="0065414C" w:rsidRDefault="00F62597" w:rsidP="000800FF">
      <w:pPr>
        <w:pStyle w:val="Heading1"/>
        <w:ind w:left="1418" w:hanging="1191"/>
        <w:rPr>
          <w:rFonts w:cs="Arial"/>
        </w:rPr>
      </w:pPr>
      <w:bookmarkStart w:id="32" w:name="_Toc45809580"/>
      <w:bookmarkStart w:id="33" w:name="_Toc49953737"/>
      <w:bookmarkStart w:id="34" w:name="_Toc58930491"/>
      <w:r w:rsidRPr="0065414C">
        <w:rPr>
          <w:rFonts w:cs="Arial"/>
          <w:noProof/>
          <w:color w:val="FFFFFF" w:themeColor="background1"/>
          <w:lang w:eastAsia="en-AU" w:bidi="ar-SA"/>
        </w:rPr>
        <w:lastRenderedPageBreak/>
        <w:drawing>
          <wp:anchor distT="0" distB="0" distL="114300" distR="114300" simplePos="0" relativeHeight="251650048" behindDoc="1" locked="0" layoutInCell="1" allowOverlap="1" wp14:anchorId="480C02C5" wp14:editId="0FD31177">
            <wp:simplePos x="0" y="0"/>
            <wp:positionH relativeFrom="column">
              <wp:posOffset>-914150</wp:posOffset>
            </wp:positionH>
            <wp:positionV relativeFrom="page">
              <wp:posOffset>652007</wp:posOffset>
            </wp:positionV>
            <wp:extent cx="1685424" cy="946150"/>
            <wp:effectExtent l="0" t="0" r="0" b="0"/>
            <wp:wrapNone/>
            <wp:docPr id="8" name="Pictur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65414C">
        <w:rPr>
          <w:rFonts w:cs="Arial"/>
        </w:rPr>
        <w:t>2</w:t>
      </w:r>
      <w:r w:rsidR="00603DEC" w:rsidRPr="0065414C">
        <w:rPr>
          <w:rFonts w:cs="Arial"/>
        </w:rPr>
        <w:tab/>
      </w:r>
      <w:r w:rsidRPr="0065414C">
        <w:rPr>
          <w:rFonts w:cs="Arial"/>
        </w:rPr>
        <w:tab/>
      </w:r>
      <w:bookmarkStart w:id="35" w:name="_Toc48838691"/>
      <w:bookmarkEnd w:id="32"/>
      <w:r w:rsidR="00437BB3" w:rsidRPr="0065414C">
        <w:rPr>
          <w:rFonts w:cs="Arial"/>
        </w:rPr>
        <w:t>Addendum to the National Health Reform Agreement 2020–2025</w:t>
      </w:r>
      <w:bookmarkEnd w:id="33"/>
      <w:bookmarkEnd w:id="34"/>
      <w:bookmarkEnd w:id="35"/>
    </w:p>
    <w:p w14:paraId="55E42BE9" w14:textId="77777777" w:rsidR="003932A6" w:rsidRPr="0065414C" w:rsidRDefault="003932A6" w:rsidP="003932A6">
      <w:pPr>
        <w:pStyle w:val="BodyText"/>
        <w:rPr>
          <w:rFonts w:cs="Arial"/>
        </w:rPr>
        <w:sectPr w:rsidR="003932A6" w:rsidRPr="0065414C" w:rsidSect="001142D0">
          <w:headerReference w:type="default" r:id="rId24"/>
          <w:pgSz w:w="11910" w:h="16840"/>
          <w:pgMar w:top="1440" w:right="1440" w:bottom="1440" w:left="1440" w:header="0" w:footer="656" w:gutter="0"/>
          <w:cols w:space="720"/>
        </w:sectPr>
      </w:pPr>
    </w:p>
    <w:p w14:paraId="2D75802F" w14:textId="665B8BF3" w:rsidR="00391CF0" w:rsidRPr="0065414C" w:rsidRDefault="00DE1D27" w:rsidP="00B9422E">
      <w:pPr>
        <w:pStyle w:val="BodyText"/>
        <w:spacing w:before="0"/>
        <w:rPr>
          <w:rFonts w:cs="Arial"/>
        </w:rPr>
      </w:pPr>
      <w:r w:rsidRPr="00DE1D27">
        <w:rPr>
          <w:rFonts w:cs="Arial"/>
        </w:rPr>
        <w:t xml:space="preserve">In May 2020, the Commonwealth and all state and territory governments signed the </w:t>
      </w:r>
      <w:hyperlink r:id="rId25" w:history="1">
        <w:r w:rsidRPr="00DE1D27">
          <w:rPr>
            <w:rStyle w:val="Hyperlink"/>
            <w:rFonts w:cs="Arial"/>
          </w:rPr>
          <w:t>Addendum to the National Health Reform Agreement 2020–‍2025</w:t>
        </w:r>
      </w:hyperlink>
      <w:r w:rsidRPr="00DE1D27">
        <w:rPr>
          <w:rFonts w:cs="Arial"/>
        </w:rPr>
        <w:t xml:space="preserve"> (the Addendum). The Addendum has a range of policy implications for IHPA and the national pricing model, however the below key points remain from the previous iteration of the National Health Reform Agreement (NHRA)</w:t>
      </w:r>
      <w:r w:rsidR="00842063" w:rsidRPr="0065414C">
        <w:rPr>
          <w:rFonts w:cs="Arial"/>
        </w:rPr>
        <w:t>:</w:t>
      </w:r>
    </w:p>
    <w:p w14:paraId="0FC34C31" w14:textId="77777777" w:rsidR="00391CF0" w:rsidRPr="0065414C" w:rsidRDefault="00842063" w:rsidP="00391CF0">
      <w:pPr>
        <w:pStyle w:val="ListParagraph"/>
        <w:rPr>
          <w:rFonts w:cs="Arial"/>
        </w:rPr>
      </w:pPr>
      <w:r w:rsidRPr="0065414C">
        <w:rPr>
          <w:rFonts w:cs="Arial"/>
        </w:rPr>
        <w:t>The national bodies (including IHPA) and their functions remain independent</w:t>
      </w:r>
    </w:p>
    <w:p w14:paraId="524EA15B" w14:textId="77777777" w:rsidR="00391CF0" w:rsidRPr="0065414C" w:rsidRDefault="00842063" w:rsidP="00391CF0">
      <w:pPr>
        <w:pStyle w:val="ListParagraph"/>
        <w:rPr>
          <w:rFonts w:cs="Arial"/>
        </w:rPr>
      </w:pPr>
      <w:r w:rsidRPr="0065414C">
        <w:rPr>
          <w:rFonts w:cs="Arial"/>
        </w:rPr>
        <w:t>Activity based funding (ABF) remains the basis for Commonwealth funding except where ABF is not appropriate or practical</w:t>
      </w:r>
    </w:p>
    <w:p w14:paraId="2D910AAF" w14:textId="6C931D5D" w:rsidR="00391CF0" w:rsidRPr="0065414C" w:rsidRDefault="00842063" w:rsidP="00391CF0">
      <w:pPr>
        <w:pStyle w:val="ListParagraph"/>
        <w:rPr>
          <w:rFonts w:cs="Arial"/>
        </w:rPr>
      </w:pPr>
      <w:r w:rsidRPr="0065414C">
        <w:rPr>
          <w:rFonts w:cs="Arial"/>
        </w:rPr>
        <w:t xml:space="preserve">The 6.5 per cent </w:t>
      </w:r>
      <w:r w:rsidR="009170A3">
        <w:rPr>
          <w:rFonts w:cs="Arial"/>
        </w:rPr>
        <w:t xml:space="preserve">Commonwealth </w:t>
      </w:r>
      <w:r w:rsidRPr="0065414C">
        <w:rPr>
          <w:rFonts w:cs="Arial"/>
        </w:rPr>
        <w:t>funding cap remains in place</w:t>
      </w:r>
    </w:p>
    <w:p w14:paraId="3053A142" w14:textId="0259DDB4" w:rsidR="00391CF0" w:rsidRPr="0065414C" w:rsidRDefault="00842063" w:rsidP="00391CF0">
      <w:pPr>
        <w:pStyle w:val="ListParagraph"/>
        <w:rPr>
          <w:rFonts w:cs="Arial"/>
        </w:rPr>
      </w:pPr>
      <w:r w:rsidRPr="0065414C">
        <w:rPr>
          <w:rFonts w:cs="Arial"/>
        </w:rPr>
        <w:t>The pricing approach for safety and quality in relation to both sentinel events and hospital acquired complications has been retained.</w:t>
      </w:r>
    </w:p>
    <w:p w14:paraId="135E37F9" w14:textId="20860D8C" w:rsidR="00391CF0" w:rsidRPr="0065414C" w:rsidRDefault="00DE1D27" w:rsidP="00391CF0">
      <w:pPr>
        <w:pStyle w:val="BodyText"/>
        <w:rPr>
          <w:rFonts w:cs="Arial"/>
        </w:rPr>
      </w:pPr>
      <w:r w:rsidRPr="00DE1D27">
        <w:rPr>
          <w:rFonts w:cs="Arial"/>
        </w:rPr>
        <w:t>Significant changes arising from the Addendum and IHPA’s approach to implementing new arrangements are outlined below.</w:t>
      </w:r>
    </w:p>
    <w:p w14:paraId="2095FA84" w14:textId="07EBFBE1" w:rsidR="00C415F5" w:rsidRPr="0065414C" w:rsidRDefault="00DE1D27" w:rsidP="00391CF0">
      <w:pPr>
        <w:pStyle w:val="BodyText"/>
        <w:rPr>
          <w:rFonts w:cs="Arial"/>
        </w:rPr>
      </w:pPr>
      <w:r w:rsidRPr="00DE1D27">
        <w:rPr>
          <w:rFonts w:cs="Arial"/>
        </w:rPr>
        <w:t xml:space="preserve">Note: Unless otherwise stated, all references to ‘the Addendum’ in this Pricing Framework refer to the </w:t>
      </w:r>
      <w:hyperlink r:id="rId26" w:history="1">
        <w:r w:rsidRPr="00DE1D27">
          <w:rPr>
            <w:rStyle w:val="Hyperlink"/>
            <w:rFonts w:cs="Arial"/>
          </w:rPr>
          <w:t>Addendum to the National Health Reform Agreement 2020–25</w:t>
        </w:r>
      </w:hyperlink>
      <w:r w:rsidRPr="00DE1D27">
        <w:rPr>
          <w:rFonts w:cs="Arial"/>
        </w:rPr>
        <w:t>.</w:t>
      </w:r>
    </w:p>
    <w:p w14:paraId="34B85021" w14:textId="5D56E12E" w:rsidR="00DE2ED2" w:rsidRPr="0065414C" w:rsidRDefault="00AB4EFE" w:rsidP="00AB4EFE">
      <w:pPr>
        <w:pStyle w:val="Heading2"/>
        <w:spacing w:before="0"/>
        <w:rPr>
          <w:rFonts w:cs="Arial"/>
        </w:rPr>
      </w:pPr>
      <w:bookmarkStart w:id="36" w:name="_Toc49953738"/>
      <w:r>
        <w:rPr>
          <w:rFonts w:cs="Arial"/>
        </w:rPr>
        <w:br w:type="column"/>
      </w:r>
      <w:bookmarkStart w:id="37" w:name="_Toc58930492"/>
      <w:r w:rsidR="00DE2ED2" w:rsidRPr="0065414C">
        <w:rPr>
          <w:rFonts w:cs="Arial"/>
        </w:rPr>
        <w:t xml:space="preserve">2.1. </w:t>
      </w:r>
      <w:r w:rsidR="00391CF0" w:rsidRPr="0065414C">
        <w:rPr>
          <w:rFonts w:cs="Arial"/>
        </w:rPr>
        <w:t xml:space="preserve">Working with Australian </w:t>
      </w:r>
      <w:r w:rsidR="004A2E5F">
        <w:rPr>
          <w:rFonts w:cs="Arial"/>
        </w:rPr>
        <w:t>G</w:t>
      </w:r>
      <w:r w:rsidR="00391CF0" w:rsidRPr="0065414C">
        <w:rPr>
          <w:rFonts w:cs="Arial"/>
        </w:rPr>
        <w:t>overnments</w:t>
      </w:r>
      <w:bookmarkEnd w:id="36"/>
      <w:bookmarkEnd w:id="37"/>
    </w:p>
    <w:p w14:paraId="1DE6C1FB" w14:textId="043986F6" w:rsidR="00391CF0" w:rsidRPr="0065414C" w:rsidRDefault="00983BD0" w:rsidP="00391CF0">
      <w:pPr>
        <w:pStyle w:val="BodyText"/>
        <w:rPr>
          <w:rFonts w:cs="Arial"/>
        </w:rPr>
      </w:pPr>
      <w:r w:rsidRPr="0065414C">
        <w:rPr>
          <w:rFonts w:cs="Arial"/>
        </w:rPr>
        <w:t>The Addendum has clauses outlining new arrangements for the national funding bodies, and measures to strengthen the links between IHPA, the Australian Health Ministers</w:t>
      </w:r>
      <w:r w:rsidR="007B7DDF">
        <w:rPr>
          <w:rFonts w:cs="Arial"/>
        </w:rPr>
        <w:t>’</w:t>
      </w:r>
      <w:r w:rsidRPr="0065414C">
        <w:rPr>
          <w:rFonts w:cs="Arial"/>
        </w:rPr>
        <w:t xml:space="preserve"> Advisory Council (AHMAC) and the Council of Australian Governments Health Council (CHC</w:t>
      </w:r>
      <w:r w:rsidR="00391CF0" w:rsidRPr="0065414C">
        <w:rPr>
          <w:rFonts w:cs="Arial"/>
        </w:rPr>
        <w:t>)</w:t>
      </w:r>
      <w:r w:rsidR="00391CF0" w:rsidRPr="0065414C">
        <w:rPr>
          <w:rStyle w:val="FootnoteReference"/>
          <w:rFonts w:cs="Arial"/>
        </w:rPr>
        <w:footnoteReference w:id="1"/>
      </w:r>
      <w:r w:rsidR="00391CF0" w:rsidRPr="0065414C">
        <w:rPr>
          <w:rFonts w:cs="Arial"/>
        </w:rPr>
        <w:t>. These</w:t>
      </w:r>
      <w:r w:rsidR="00AB4EFE">
        <w:rPr>
          <w:rFonts w:cs="Arial"/>
        </w:rPr>
        <w:t> </w:t>
      </w:r>
      <w:r w:rsidR="00391CF0" w:rsidRPr="0065414C">
        <w:rPr>
          <w:rFonts w:cs="Arial"/>
        </w:rPr>
        <w:t>measures include:</w:t>
      </w:r>
    </w:p>
    <w:p w14:paraId="38AC724E" w14:textId="4687DFDA" w:rsidR="00391CF0" w:rsidRPr="0065414C" w:rsidRDefault="00842063" w:rsidP="00391CF0">
      <w:pPr>
        <w:pStyle w:val="ListParagraph"/>
        <w:rPr>
          <w:rFonts w:cs="Arial"/>
        </w:rPr>
      </w:pPr>
      <w:r w:rsidRPr="0065414C">
        <w:rPr>
          <w:rFonts w:cs="Arial"/>
        </w:rPr>
        <w:t xml:space="preserve">Clause B10, which </w:t>
      </w:r>
      <w:r w:rsidR="00C93E72">
        <w:rPr>
          <w:rFonts w:cs="Arial"/>
        </w:rPr>
        <w:t>outlines</w:t>
      </w:r>
      <w:r w:rsidR="00C93E72" w:rsidRPr="0065414C">
        <w:rPr>
          <w:rFonts w:cs="Arial"/>
        </w:rPr>
        <w:t xml:space="preserve"> </w:t>
      </w:r>
      <w:r w:rsidRPr="0065414C">
        <w:rPr>
          <w:rFonts w:cs="Arial"/>
        </w:rPr>
        <w:t>that IHPA will consult with CHC on changes that materially impact the application of the national funding model</w:t>
      </w:r>
    </w:p>
    <w:p w14:paraId="4AA9F60C" w14:textId="5DA86D44" w:rsidR="00391CF0" w:rsidRPr="0065414C" w:rsidRDefault="00842063" w:rsidP="00391CF0">
      <w:pPr>
        <w:pStyle w:val="ListParagraph"/>
        <w:rPr>
          <w:rFonts w:cs="Arial"/>
        </w:rPr>
      </w:pPr>
      <w:r w:rsidRPr="0065414C">
        <w:rPr>
          <w:rFonts w:cs="Arial"/>
        </w:rPr>
        <w:t xml:space="preserve">Clauses B37–B40 outline a requirement that IHPA must provide a </w:t>
      </w:r>
      <w:r w:rsidR="00E31D9D">
        <w:rPr>
          <w:rFonts w:cs="Arial"/>
        </w:rPr>
        <w:t>S</w:t>
      </w:r>
      <w:r w:rsidRPr="00E31D9D">
        <w:rPr>
          <w:rFonts w:cs="Arial"/>
        </w:rPr>
        <w:t xml:space="preserve">tatement of </w:t>
      </w:r>
      <w:r w:rsidR="00E31D9D">
        <w:rPr>
          <w:rFonts w:cs="Arial"/>
        </w:rPr>
        <w:t>I</w:t>
      </w:r>
      <w:r w:rsidRPr="00E31D9D">
        <w:rPr>
          <w:rFonts w:cs="Arial"/>
        </w:rPr>
        <w:t>mpact</w:t>
      </w:r>
      <w:r w:rsidRPr="0065414C">
        <w:rPr>
          <w:rFonts w:cs="Arial"/>
        </w:rPr>
        <w:t xml:space="preserve"> to the Commonwealth, states and territories (via CHC) when material changes are proposed to the national funding model. This includes changes that will have a major impact on any one party or materially redistribute activity between service streams. The </w:t>
      </w:r>
      <w:r w:rsidR="00E31D9D">
        <w:rPr>
          <w:rFonts w:cs="Arial"/>
        </w:rPr>
        <w:t>S</w:t>
      </w:r>
      <w:r w:rsidRPr="00E31D9D">
        <w:rPr>
          <w:rFonts w:cs="Arial"/>
        </w:rPr>
        <w:t xml:space="preserve">tatement of </w:t>
      </w:r>
      <w:r w:rsidR="00E31D9D">
        <w:rPr>
          <w:rFonts w:cs="Arial"/>
        </w:rPr>
        <w:t>I</w:t>
      </w:r>
      <w:r w:rsidRPr="00E31D9D">
        <w:rPr>
          <w:rFonts w:cs="Arial"/>
        </w:rPr>
        <w:t>mpact</w:t>
      </w:r>
      <w:r w:rsidRPr="0065414C">
        <w:rPr>
          <w:rFonts w:cs="Arial"/>
        </w:rPr>
        <w:t xml:space="preserve"> must be timely in relation to the matter raised and:</w:t>
      </w:r>
    </w:p>
    <w:p w14:paraId="755110C9" w14:textId="511CBC1E" w:rsidR="00391CF0" w:rsidRPr="0065414C" w:rsidRDefault="00B05EF1" w:rsidP="00391CF0">
      <w:pPr>
        <w:pStyle w:val="ListL2"/>
        <w:rPr>
          <w:rFonts w:cs="Arial"/>
        </w:rPr>
      </w:pPr>
      <w:r>
        <w:rPr>
          <w:rFonts w:cs="Arial"/>
        </w:rPr>
        <w:t>i</w:t>
      </w:r>
      <w:r w:rsidR="00842063" w:rsidRPr="0065414C">
        <w:rPr>
          <w:rFonts w:cs="Arial"/>
        </w:rPr>
        <w:t>nclude a risk assessment of the proposed changes or adjustments</w:t>
      </w:r>
    </w:p>
    <w:p w14:paraId="41FDD479" w14:textId="0A08C170" w:rsidR="00391CF0" w:rsidRPr="0065414C" w:rsidRDefault="00B05EF1" w:rsidP="00391CF0">
      <w:pPr>
        <w:pStyle w:val="ListL2"/>
        <w:rPr>
          <w:rFonts w:cs="Arial"/>
        </w:rPr>
      </w:pPr>
      <w:r>
        <w:rPr>
          <w:rFonts w:cs="Arial"/>
        </w:rPr>
        <w:t>o</w:t>
      </w:r>
      <w:r w:rsidR="00842063" w:rsidRPr="0065414C">
        <w:rPr>
          <w:rFonts w:cs="Arial"/>
        </w:rPr>
        <w:t>utline appropriate transition arrangements</w:t>
      </w:r>
    </w:p>
    <w:p w14:paraId="41CCFDB3" w14:textId="0C348843" w:rsidR="00391CF0" w:rsidRPr="0065414C" w:rsidRDefault="00B05EF1" w:rsidP="00391CF0">
      <w:pPr>
        <w:pStyle w:val="ListL2"/>
        <w:rPr>
          <w:rFonts w:cs="Arial"/>
        </w:rPr>
      </w:pPr>
      <w:r>
        <w:rPr>
          <w:rFonts w:cs="Arial"/>
        </w:rPr>
        <w:t>b</w:t>
      </w:r>
      <w:r w:rsidR="00842063" w:rsidRPr="0065414C">
        <w:rPr>
          <w:rFonts w:cs="Arial"/>
        </w:rPr>
        <w:t>e informed by consultation with the</w:t>
      </w:r>
      <w:r w:rsidR="00AB4EFE">
        <w:rPr>
          <w:rFonts w:cs="Arial"/>
        </w:rPr>
        <w:t> </w:t>
      </w:r>
      <w:r w:rsidR="00842063" w:rsidRPr="0065414C">
        <w:rPr>
          <w:rFonts w:cs="Arial"/>
        </w:rPr>
        <w:t>parties</w:t>
      </w:r>
    </w:p>
    <w:p w14:paraId="702D8A66" w14:textId="0AC67C12" w:rsidR="00391CF0" w:rsidRPr="0065414C" w:rsidRDefault="00B05EF1" w:rsidP="00391CF0">
      <w:pPr>
        <w:pStyle w:val="ListL2"/>
        <w:rPr>
          <w:rFonts w:cs="Arial"/>
        </w:rPr>
      </w:pPr>
      <w:r>
        <w:rPr>
          <w:rFonts w:cs="Arial"/>
        </w:rPr>
        <w:t>h</w:t>
      </w:r>
      <w:r w:rsidR="00842063" w:rsidRPr="0065414C">
        <w:rPr>
          <w:rFonts w:cs="Arial"/>
        </w:rPr>
        <w:t>ave input from the Administrator of the National Health Funding Pool</w:t>
      </w:r>
      <w:r w:rsidR="00626152" w:rsidRPr="0065414C">
        <w:rPr>
          <w:rFonts w:cs="Arial"/>
        </w:rPr>
        <w:t>.</w:t>
      </w:r>
    </w:p>
    <w:p w14:paraId="4FD0D4FB" w14:textId="6E204F57" w:rsidR="00DE2ED2" w:rsidRPr="0065414C" w:rsidRDefault="00DE2ED2" w:rsidP="00011A81">
      <w:pPr>
        <w:pStyle w:val="Heading2"/>
        <w:rPr>
          <w:rFonts w:cs="Arial"/>
        </w:rPr>
      </w:pPr>
      <w:r w:rsidRPr="0065414C">
        <w:rPr>
          <w:rFonts w:cs="Arial"/>
        </w:rPr>
        <w:br w:type="column"/>
      </w:r>
      <w:bookmarkStart w:id="38" w:name="_Toc49953739"/>
      <w:bookmarkStart w:id="39" w:name="_Toc58930493"/>
      <w:r w:rsidRPr="0065414C">
        <w:rPr>
          <w:rFonts w:cs="Arial"/>
        </w:rPr>
        <w:lastRenderedPageBreak/>
        <w:t xml:space="preserve">2.2. </w:t>
      </w:r>
      <w:r w:rsidR="00391CF0" w:rsidRPr="0065414C">
        <w:rPr>
          <w:rFonts w:cs="Arial"/>
        </w:rPr>
        <w:t>Shadow pricing periods</w:t>
      </w:r>
      <w:bookmarkEnd w:id="38"/>
      <w:bookmarkEnd w:id="39"/>
    </w:p>
    <w:p w14:paraId="1EB3E984" w14:textId="4C49F801" w:rsidR="00173326" w:rsidRPr="00173326" w:rsidRDefault="00173326" w:rsidP="00173326">
      <w:pPr>
        <w:pStyle w:val="BodyText"/>
        <w:rPr>
          <w:rFonts w:cs="Arial"/>
        </w:rPr>
      </w:pPr>
      <w:r w:rsidRPr="00173326">
        <w:rPr>
          <w:rFonts w:cs="Arial"/>
        </w:rPr>
        <w:t>Clause A42 of the Addendum outlines transitional arrangements when developing new ABF classification systems or costing methodologies. Those transitional arrangements are to last two years or a period agreed with the Commonwealth and a majority of states and territories, and</w:t>
      </w:r>
      <w:r w:rsidR="00AB4EFE">
        <w:rPr>
          <w:rFonts w:cs="Arial"/>
        </w:rPr>
        <w:t> </w:t>
      </w:r>
      <w:r w:rsidRPr="00173326">
        <w:rPr>
          <w:rFonts w:cs="Arial"/>
        </w:rPr>
        <w:t>include shadow pricing classification system changes or where pricing is based on a costing</w:t>
      </w:r>
      <w:r w:rsidR="00AB4EFE">
        <w:rPr>
          <w:rFonts w:cs="Arial"/>
        </w:rPr>
        <w:t> </w:t>
      </w:r>
      <w:r w:rsidRPr="00173326">
        <w:rPr>
          <w:rFonts w:cs="Arial"/>
        </w:rPr>
        <w:t>study. Where states and territories participate fully in shadow pricing and provide their best available data, there will be no retrospective adjustments to funding (except as a</w:t>
      </w:r>
      <w:r w:rsidR="00AB4EFE">
        <w:rPr>
          <w:rFonts w:cs="Arial"/>
        </w:rPr>
        <w:t> </w:t>
      </w:r>
      <w:r w:rsidRPr="00173326">
        <w:rPr>
          <w:rFonts w:cs="Arial"/>
        </w:rPr>
        <w:t>result of service volume reconciliations).</w:t>
      </w:r>
    </w:p>
    <w:p w14:paraId="77123508" w14:textId="4EC1012C" w:rsidR="00173326" w:rsidRPr="00173326" w:rsidRDefault="00173326" w:rsidP="00173326">
      <w:pPr>
        <w:pStyle w:val="BodyText"/>
        <w:rPr>
          <w:rFonts w:cs="Arial"/>
        </w:rPr>
      </w:pPr>
      <w:r w:rsidRPr="00173326">
        <w:rPr>
          <w:rFonts w:cs="Arial"/>
        </w:rPr>
        <w:t>Other changes to the Addendum include a requirement that IHPA develop business rules and a process around retrospective adjustments. That includes ensuring the 45-day consultation period with jurisdictions prior to any decision on retrospective adjustments being made. It also notes the above requirement for the provision of</w:t>
      </w:r>
      <w:r w:rsidR="00AB4EFE">
        <w:rPr>
          <w:rFonts w:cs="Arial"/>
        </w:rPr>
        <w:t> </w:t>
      </w:r>
      <w:r w:rsidRPr="00173326">
        <w:rPr>
          <w:rFonts w:cs="Arial"/>
        </w:rPr>
        <w:t>a</w:t>
      </w:r>
      <w:r w:rsidR="00AB4EFE">
        <w:rPr>
          <w:rFonts w:cs="Arial"/>
        </w:rPr>
        <w:t> </w:t>
      </w:r>
      <w:r w:rsidRPr="00173326">
        <w:rPr>
          <w:rFonts w:cs="Arial"/>
        </w:rPr>
        <w:t>Statement of Impact from IHPA to all impacted</w:t>
      </w:r>
      <w:r w:rsidR="00AB4EFE">
        <w:rPr>
          <w:rFonts w:cs="Arial"/>
        </w:rPr>
        <w:t> </w:t>
      </w:r>
      <w:r w:rsidRPr="00173326">
        <w:rPr>
          <w:rFonts w:cs="Arial"/>
        </w:rPr>
        <w:t xml:space="preserve">parties. </w:t>
      </w:r>
    </w:p>
    <w:p w14:paraId="2476B578" w14:textId="081825EB" w:rsidR="00173326" w:rsidRDefault="00173326" w:rsidP="00173326">
      <w:pPr>
        <w:pStyle w:val="BodyText"/>
        <w:rPr>
          <w:rFonts w:cs="Arial"/>
        </w:rPr>
      </w:pPr>
      <w:r w:rsidRPr="0065414C">
        <w:rPr>
          <w:rFonts w:cs="Arial"/>
          <w:noProof/>
          <w:lang w:eastAsia="en-AU" w:bidi="ar-SA"/>
        </w:rPr>
        <mc:AlternateContent>
          <mc:Choice Requires="wps">
            <w:drawing>
              <wp:anchor distT="0" distB="0" distL="0" distR="0" simplePos="0" relativeHeight="251728896" behindDoc="1" locked="0" layoutInCell="1" allowOverlap="1" wp14:anchorId="6EB1C84C" wp14:editId="289E8B2C">
                <wp:simplePos x="0" y="0"/>
                <wp:positionH relativeFrom="margin">
                  <wp:posOffset>17780</wp:posOffset>
                </wp:positionH>
                <wp:positionV relativeFrom="paragraph">
                  <wp:posOffset>832485</wp:posOffset>
                </wp:positionV>
                <wp:extent cx="2743200" cy="3009900"/>
                <wp:effectExtent l="0" t="0" r="19050" b="19050"/>
                <wp:wrapTopAndBottom/>
                <wp:docPr id="72" name="Text Box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00990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1F93C55" w14:textId="42D25CCF" w:rsidR="00C93E72" w:rsidRPr="005470B1" w:rsidRDefault="00C93E72" w:rsidP="00173326">
                            <w:pPr>
                              <w:pStyle w:val="Questionheading"/>
                              <w:ind w:left="284" w:right="283"/>
                            </w:pPr>
                            <w:r>
                              <w:t>IHPA’s decision</w:t>
                            </w:r>
                          </w:p>
                          <w:p w14:paraId="35A3FC6B" w14:textId="7E9ACC32" w:rsidR="00C93E72" w:rsidRDefault="00C93E72" w:rsidP="00173326">
                            <w:pPr>
                              <w:pStyle w:val="BodyText"/>
                              <w:ind w:left="284" w:right="283"/>
                            </w:pPr>
                            <w:r w:rsidRPr="00173326">
                              <w:t>IHPA has consulted with all jurisdictions to</w:t>
                            </w:r>
                            <w:r>
                              <w:t> </w:t>
                            </w:r>
                            <w:r w:rsidRPr="00173326">
                              <w:t>seek feedback on the interpretation of these new clauses. IHPA developed the ‘Alterations to the National Pricing Model Framework’ (the Alterations Framework) which addresses the new consultation requirements. The Alterations Framework sets out the processes by which IHPA will seek guidance from the jurisdictions, IHPA’s</w:t>
                            </w:r>
                            <w:r>
                              <w:t> </w:t>
                            </w:r>
                            <w:r w:rsidRPr="00173326">
                              <w:t>policy around shadow pricing and</w:t>
                            </w:r>
                            <w:r>
                              <w:t> </w:t>
                            </w:r>
                            <w:r w:rsidRPr="00173326">
                              <w:t>when IHPA will conduct additional consultation with CHC. The Alterations Framework includes the Statement of Impact, which IHPA utilise</w:t>
                            </w:r>
                            <w:r>
                              <w:t>d</w:t>
                            </w:r>
                            <w:r w:rsidRPr="00173326">
                              <w:t xml:space="preserve"> to consult on</w:t>
                            </w:r>
                            <w:r>
                              <w:t> </w:t>
                            </w:r>
                            <w:r w:rsidRPr="00173326">
                              <w:t>the draft National Efficient Price Determination 2021–22.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B1C84C" id="_x0000_t202" coordsize="21600,21600" o:spt="202" path="m,l,21600r21600,l21600,xe">
                <v:stroke joinstyle="miter"/>
                <v:path gradientshapeok="t" o:connecttype="rect"/>
              </v:shapetype>
              <v:shape id="_x0000_s1026" type="#_x0000_t202" style="position:absolute;margin-left:1.4pt;margin-top:65.55pt;width:3in;height:237pt;z-index:-2515875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X81vgIAAI4FAAAOAAAAZHJzL2Uyb0RvYy54bWysVNuO2jAQfa/Uf7D8ns2FAAnasAICVaXt&#10;RdrtB5jEIVYTO7UNybbaf+/YJizbfamq8hDGt+NzZo7n9m5oG3SiUjHBMxzeBBhRXoiS8UOGvz3u&#10;vAQjpQkvSSM4zfATVfhu+f7dbd8taCRq0ZRUIgDhatF3Ga617ha+r4qatkTdiI5yWKyEbImGoTz4&#10;pSQ9oLeNHwXBzO+FLDspCqoUzOZuES8tflXRQn+pKkU1ajIM3LT9Svvdm6+/vCWLgyRdzYozDfIP&#10;LFrCOFx6gcqJJugo2RuolhVSKFHpm0K0vqgqVlCrAdSEwR9qHmrSUasFkqO6S5rU/4MtPp++SsTK&#10;DM8jjDhpoUaPdNBoLQYUpVYTDO+VNurMglX1axMmk3y+m3nrOE28eLKeeGmcrL1wHiXrabRazbbx&#10;s8mub0/Z837fqYW90JTHhg8d3K4HuAzMYy9T3b0ovivExaYm/EBXUoq+pqQE0aEFvDrqcJQB2fef&#10;RAnkyVELCzRUsjWcIccI0KH4T5eCGx0FTEbzeAIuwqiAtUkQpCkMHOnxeCeV/kBFi0yQYQmOsvDk&#10;BJrc1nGLuY2LHWsa66qGoz7D6TSaOmGiYaVZNNusv+mmkehEwJl6iOye5tiCCjcXBubnDArzYGM3&#10;PxK8QNgcq2v0lml4VA1rM5xcoZgsbnlpyWnCGhdDgRp+Lu6bMqdBuk22SezF0WzrxUGee6vdJvZm&#10;u3A+zSf5ZpOHz4Z6GC9qVpaUG4XjQwrjvzPq+Um7J3B5Sq8kKXnYX9K1s79zoa62+a9pjOYb/19M&#10;aBzjvKOH/QAJMZ7ai/IJjCSFaxLQ1CCohfyJUQ8NIsPqx5FIilHzkYMZTTcZAzkG+zEgvICjUFmM&#10;XLjRruscO8kONSA7u3OxAsNWzFrphQVQNgN49Jb8uUGZrnI9trte2ujyNwAAAP//AwBQSwMEFAAG&#10;AAgAAAAhALfZvqvgAAAACQEAAA8AAABkcnMvZG93bnJldi54bWxMj8FOwzAQRO9I/IO1SNyonaaU&#10;KsSpEKjigFSVghDc3HhJIux1FLttyteznOA4M6uZt+Vy9E4ccIhdIA3ZRIFAqoPtqNHw+rK6WoCI&#10;yZA1LhBqOGGEZXV+VprChiM942GbGsElFAujoU2pL6SMdYvexEnokTj7DIM3ieXQSDuYI5d7J6dK&#10;zaU3HfFCa3q8b7H+2u69hpQWD049dkir9eb0sf6+yd/en7S+vBjvbkEkHNPfMfziMzpUzLQLe7JR&#10;OA1TBk9s51kGgvNZPmNnp2GurjOQVSn/f1D9AAAA//8DAFBLAQItABQABgAIAAAAIQC2gziS/gAA&#10;AOEBAAATAAAAAAAAAAAAAAAAAAAAAABbQ29udGVudF9UeXBlc10ueG1sUEsBAi0AFAAGAAgAAAAh&#10;ADj9If/WAAAAlAEAAAsAAAAAAAAAAAAAAAAALwEAAF9yZWxzLy5yZWxzUEsBAi0AFAAGAAgAAAAh&#10;APclfzW+AgAAjgUAAA4AAAAAAAAAAAAAAAAALgIAAGRycy9lMm9Eb2MueG1sUEsBAi0AFAAGAAgA&#10;AAAhALfZvqvgAAAACQEAAA8AAAAAAAAAAAAAAAAAGAUAAGRycy9kb3ducmV2LnhtbFBLBQYAAAAA&#10;BAAEAPMAAAAlBgAAAAA=&#10;" filled="f" strokecolor="#003e2d [3215]">
                <v:textbox inset="0,0,0,0">
                  <w:txbxContent>
                    <w:p w14:paraId="11F93C55" w14:textId="42D25CCF" w:rsidR="00C93E72" w:rsidRPr="005470B1" w:rsidRDefault="00C93E72" w:rsidP="00173326">
                      <w:pPr>
                        <w:pStyle w:val="Questionheading"/>
                        <w:ind w:left="284" w:right="283"/>
                      </w:pPr>
                      <w:r>
                        <w:t>IHPA’s decision</w:t>
                      </w:r>
                    </w:p>
                    <w:p w14:paraId="35A3FC6B" w14:textId="7E9ACC32" w:rsidR="00C93E72" w:rsidRDefault="00C93E72" w:rsidP="00173326">
                      <w:pPr>
                        <w:pStyle w:val="BodyText"/>
                        <w:ind w:left="284" w:right="283"/>
                      </w:pPr>
                      <w:r w:rsidRPr="00173326">
                        <w:t>IHPA has consulted with all jurisdictions to</w:t>
                      </w:r>
                      <w:r>
                        <w:t> </w:t>
                      </w:r>
                      <w:r w:rsidRPr="00173326">
                        <w:t>seek feedback on the interpretation of these new clauses. IHPA developed the ‘Alterations to the National Pricing Model Framework’ (the Alterations Framework) which addresses the new consultation requirements. The Alterations Framework sets out the processes by which IHPA will seek guidance from the jurisdictions, IHPA’s</w:t>
                      </w:r>
                      <w:r>
                        <w:t> </w:t>
                      </w:r>
                      <w:r w:rsidRPr="00173326">
                        <w:t>policy around shadow pricing and</w:t>
                      </w:r>
                      <w:r>
                        <w:t> </w:t>
                      </w:r>
                      <w:r w:rsidRPr="00173326">
                        <w:t>when IHPA will conduct additional consultation with CHC. The Alterations Framework includes the Statement of Impact, which IHPA utilise</w:t>
                      </w:r>
                      <w:r>
                        <w:t>d</w:t>
                      </w:r>
                      <w:r w:rsidRPr="00173326">
                        <w:t xml:space="preserve"> to consult on</w:t>
                      </w:r>
                      <w:r>
                        <w:t> </w:t>
                      </w:r>
                      <w:r w:rsidRPr="00173326">
                        <w:t>the draft National Efficient Price Determination 2021–22.</w:t>
                      </w:r>
                    </w:p>
                  </w:txbxContent>
                </v:textbox>
                <w10:wrap type="topAndBottom" anchorx="margin"/>
              </v:shape>
            </w:pict>
          </mc:Fallback>
        </mc:AlternateContent>
      </w:r>
      <w:r w:rsidRPr="00173326">
        <w:rPr>
          <w:rFonts w:cs="Arial"/>
        </w:rPr>
        <w:t>IHPA has consulted with jurisdictions to develop business rules and parameters for determining the significance and impact of classification and costing changes.</w:t>
      </w:r>
    </w:p>
    <w:p w14:paraId="0A55DF7E" w14:textId="4B12D11A" w:rsidR="00DE2ED2" w:rsidRPr="0065414C" w:rsidRDefault="00173326" w:rsidP="00011A81">
      <w:pPr>
        <w:pStyle w:val="Heading2"/>
        <w:rPr>
          <w:rFonts w:cs="Arial"/>
        </w:rPr>
      </w:pPr>
      <w:bookmarkStart w:id="40" w:name="_Toc49953740"/>
      <w:r>
        <w:rPr>
          <w:rFonts w:cs="Arial"/>
        </w:rPr>
        <w:br w:type="column"/>
      </w:r>
      <w:bookmarkStart w:id="41" w:name="_Toc58930494"/>
      <w:r w:rsidR="00DE2ED2" w:rsidRPr="0065414C">
        <w:rPr>
          <w:rFonts w:cs="Arial"/>
        </w:rPr>
        <w:t xml:space="preserve">2.3. </w:t>
      </w:r>
      <w:r w:rsidR="00391CF0" w:rsidRPr="0065414C">
        <w:rPr>
          <w:rFonts w:cs="Arial"/>
        </w:rPr>
        <w:t>New high cost, highly specialised therapies</w:t>
      </w:r>
      <w:bookmarkEnd w:id="40"/>
      <w:bookmarkEnd w:id="41"/>
    </w:p>
    <w:p w14:paraId="2B08E88A" w14:textId="47904319" w:rsidR="00173326" w:rsidRDefault="00173326" w:rsidP="00391CF0">
      <w:pPr>
        <w:pStyle w:val="BodyText"/>
        <w:rPr>
          <w:rFonts w:cs="Arial"/>
        </w:rPr>
      </w:pPr>
      <w:r w:rsidRPr="00173326">
        <w:rPr>
          <w:rFonts w:cs="Arial"/>
        </w:rPr>
        <w:t>Clauses C11 and C12 of the Addendum contain specific arrangements for new high cost, highly</w:t>
      </w:r>
      <w:r w:rsidR="00AB4EFE">
        <w:rPr>
          <w:rFonts w:cs="Arial"/>
        </w:rPr>
        <w:t> </w:t>
      </w:r>
      <w:r w:rsidRPr="00173326">
        <w:rPr>
          <w:rFonts w:cs="Arial"/>
        </w:rPr>
        <w:t>specialised therapies recommended for delivery in public hospitals by the Medical Services Advisory Committee.</w:t>
      </w:r>
    </w:p>
    <w:p w14:paraId="052E4A5C" w14:textId="0195DF84" w:rsidR="00391CF0" w:rsidRPr="0065414C" w:rsidRDefault="00842063" w:rsidP="00391CF0">
      <w:pPr>
        <w:pStyle w:val="BodyText"/>
        <w:rPr>
          <w:rFonts w:cs="Arial"/>
        </w:rPr>
      </w:pPr>
      <w:r w:rsidRPr="00F9765E">
        <w:rPr>
          <w:rFonts w:cs="Arial"/>
        </w:rPr>
        <w:t>These arrangements include</w:t>
      </w:r>
      <w:r w:rsidR="00F9765E" w:rsidRPr="00F9765E">
        <w:rPr>
          <w:rFonts w:cs="Arial"/>
        </w:rPr>
        <w:t xml:space="preserve"> the following</w:t>
      </w:r>
      <w:r w:rsidR="00983BD0" w:rsidRPr="00F9765E">
        <w:rPr>
          <w:rFonts w:cs="Arial"/>
        </w:rPr>
        <w:t>:</w:t>
      </w:r>
    </w:p>
    <w:p w14:paraId="5BE74C50" w14:textId="48C0562C" w:rsidR="00391CF0" w:rsidRPr="0065414C" w:rsidRDefault="00842063" w:rsidP="00391CF0">
      <w:pPr>
        <w:pStyle w:val="ListParagraph"/>
        <w:rPr>
          <w:rFonts w:cs="Arial"/>
        </w:rPr>
      </w:pPr>
      <w:r w:rsidRPr="0065414C">
        <w:rPr>
          <w:rFonts w:cs="Arial"/>
        </w:rPr>
        <w:t>The Commonwealth will provide a contribution of 50 per cent of the growth</w:t>
      </w:r>
      <w:r w:rsidR="007417A1">
        <w:rPr>
          <w:rFonts w:cs="Arial"/>
        </w:rPr>
        <w:t> </w:t>
      </w:r>
      <w:r w:rsidRPr="0065414C">
        <w:rPr>
          <w:rFonts w:cs="Arial"/>
        </w:rPr>
        <w:t>in</w:t>
      </w:r>
      <w:r w:rsidR="000F519D">
        <w:rPr>
          <w:rFonts w:cs="Arial"/>
        </w:rPr>
        <w:t> </w:t>
      </w:r>
      <w:r w:rsidRPr="0065414C">
        <w:rPr>
          <w:rFonts w:cs="Arial"/>
        </w:rPr>
        <w:t>the efficient price or cost (including</w:t>
      </w:r>
      <w:r w:rsidR="007417A1">
        <w:rPr>
          <w:rFonts w:cs="Arial"/>
        </w:rPr>
        <w:t> </w:t>
      </w:r>
      <w:r w:rsidRPr="0065414C">
        <w:rPr>
          <w:rFonts w:cs="Arial"/>
        </w:rPr>
        <w:t>ancillary services), instead</w:t>
      </w:r>
      <w:r w:rsidR="007417A1">
        <w:rPr>
          <w:rFonts w:cs="Arial"/>
        </w:rPr>
        <w:t> </w:t>
      </w:r>
      <w:r w:rsidRPr="0065414C">
        <w:rPr>
          <w:rFonts w:cs="Arial"/>
        </w:rPr>
        <w:t>of</w:t>
      </w:r>
      <w:r w:rsidR="007417A1">
        <w:rPr>
          <w:rFonts w:cs="Arial"/>
        </w:rPr>
        <w:t> </w:t>
      </w:r>
      <w:r w:rsidRPr="0065414C">
        <w:rPr>
          <w:rFonts w:cs="Arial"/>
        </w:rPr>
        <w:t>45 per cent</w:t>
      </w:r>
      <w:r w:rsidR="00860863">
        <w:rPr>
          <w:rFonts w:cs="Arial"/>
        </w:rPr>
        <w:t>.</w:t>
      </w:r>
    </w:p>
    <w:p w14:paraId="420640A8" w14:textId="3EDD7ECF" w:rsidR="001C5085" w:rsidRPr="001C5085" w:rsidRDefault="00842063" w:rsidP="001C5085">
      <w:pPr>
        <w:pStyle w:val="ListParagraph"/>
        <w:rPr>
          <w:rFonts w:cs="Arial"/>
        </w:rPr>
      </w:pPr>
      <w:r w:rsidRPr="0065414C">
        <w:rPr>
          <w:rFonts w:cs="Arial"/>
        </w:rPr>
        <w:t>They will be exempt from the national funding cap for a period of two years from the commencement of service delivery of</w:t>
      </w:r>
      <w:r w:rsidR="007417A1">
        <w:rPr>
          <w:rFonts w:cs="Arial"/>
        </w:rPr>
        <w:t> </w:t>
      </w:r>
      <w:r w:rsidRPr="0065414C">
        <w:rPr>
          <w:rFonts w:cs="Arial"/>
        </w:rPr>
        <w:t>the new treatment</w:t>
      </w:r>
      <w:r w:rsidR="00983BD0" w:rsidRPr="0065414C">
        <w:rPr>
          <w:rFonts w:cs="Arial"/>
        </w:rPr>
        <w:t>.</w:t>
      </w:r>
    </w:p>
    <w:p w14:paraId="4855B96F" w14:textId="7B51082E" w:rsidR="001C5085" w:rsidRPr="001C5085" w:rsidRDefault="001C5085" w:rsidP="001C5085">
      <w:pPr>
        <w:pStyle w:val="BodyText"/>
        <w:rPr>
          <w:rFonts w:cs="Arial"/>
        </w:rPr>
      </w:pPr>
      <w:r w:rsidRPr="001C5085">
        <w:rPr>
          <w:rFonts w:cs="Arial"/>
        </w:rPr>
        <w:t>The Medical Services Advisory Committee has recommended the following high cost therapies for delivery in public hospitals:</w:t>
      </w:r>
    </w:p>
    <w:p w14:paraId="6EB41A03" w14:textId="77777777" w:rsidR="001C5085" w:rsidRPr="001C5085" w:rsidRDefault="001C5085" w:rsidP="001C5085">
      <w:pPr>
        <w:pStyle w:val="ListParagraph"/>
        <w:rPr>
          <w:rFonts w:cs="Arial"/>
        </w:rPr>
      </w:pPr>
      <w:r w:rsidRPr="001C5085">
        <w:rPr>
          <w:rFonts w:cs="Arial"/>
        </w:rPr>
        <w:t>Kymriah® – for the treatment of acute lymphoblastic leukaemia in children and young adults.</w:t>
      </w:r>
    </w:p>
    <w:p w14:paraId="0E56E632" w14:textId="77777777" w:rsidR="001C5085" w:rsidRPr="001C5085" w:rsidRDefault="001C5085" w:rsidP="001C5085">
      <w:pPr>
        <w:pStyle w:val="ListParagraph"/>
        <w:rPr>
          <w:rFonts w:cs="Arial"/>
        </w:rPr>
      </w:pPr>
      <w:r w:rsidRPr="001C5085">
        <w:rPr>
          <w:rFonts w:cs="Arial"/>
        </w:rPr>
        <w:t>Kymriah® or Yescarta® – for the treatment of diffuse large B-cell lymphoma, primary mediastinal large B-cell lymphoma and transformed follicular lymphoma.</w:t>
      </w:r>
    </w:p>
    <w:p w14:paraId="36C9BE71" w14:textId="77777777" w:rsidR="001C5085" w:rsidRPr="001C5085" w:rsidRDefault="001C5085" w:rsidP="001C5085">
      <w:pPr>
        <w:pStyle w:val="ListParagraph"/>
        <w:rPr>
          <w:rFonts w:cs="Arial"/>
        </w:rPr>
      </w:pPr>
      <w:r w:rsidRPr="001C5085">
        <w:rPr>
          <w:rFonts w:cs="Arial"/>
        </w:rPr>
        <w:t>Qarziba® – for the treatment of high risk neuroblastoma.</w:t>
      </w:r>
    </w:p>
    <w:p w14:paraId="33D2FAAE" w14:textId="32F0B2B3" w:rsidR="001C5085" w:rsidRDefault="001C5085" w:rsidP="001C5085">
      <w:pPr>
        <w:pStyle w:val="ListParagraph"/>
        <w:rPr>
          <w:rFonts w:cs="Arial"/>
        </w:rPr>
      </w:pPr>
      <w:r w:rsidRPr="001C5085">
        <w:rPr>
          <w:rFonts w:cs="Arial"/>
        </w:rPr>
        <w:t xml:space="preserve">Luxturna™ – for the treatment of inherited retinal disease. </w:t>
      </w:r>
    </w:p>
    <w:p w14:paraId="57044029" w14:textId="3147803D" w:rsidR="001C5085" w:rsidRPr="001C5085" w:rsidRDefault="001C5085" w:rsidP="001C5085">
      <w:pPr>
        <w:pStyle w:val="BodyText"/>
        <w:rPr>
          <w:rFonts w:cs="Arial"/>
        </w:rPr>
      </w:pPr>
      <w:r>
        <w:rPr>
          <w:rFonts w:cs="Arial"/>
        </w:rPr>
        <w:t>The Commonwealth Government is establishing or has established Deeds of Agreement with the sponsors of each product.</w:t>
      </w:r>
    </w:p>
    <w:bookmarkStart w:id="42" w:name="_Toc49953741"/>
    <w:bookmarkStart w:id="43" w:name="_Toc58930495"/>
    <w:p w14:paraId="3356AEF6" w14:textId="177EBBD3" w:rsidR="00DE2ED2" w:rsidRPr="0065414C" w:rsidRDefault="001C5085" w:rsidP="00011A81">
      <w:pPr>
        <w:pStyle w:val="Heading2"/>
        <w:rPr>
          <w:rFonts w:cs="Arial"/>
        </w:rPr>
      </w:pPr>
      <w:r w:rsidRPr="0065414C">
        <w:rPr>
          <w:rFonts w:cs="Arial"/>
          <w:noProof/>
          <w:lang w:eastAsia="en-AU" w:bidi="ar-SA"/>
        </w:rPr>
        <w:lastRenderedPageBreak/>
        <mc:AlternateContent>
          <mc:Choice Requires="wps">
            <w:drawing>
              <wp:inline distT="0" distB="0" distL="0" distR="0" wp14:anchorId="5CD77884" wp14:editId="23C7CFC2">
                <wp:extent cx="2743200" cy="2682240"/>
                <wp:effectExtent l="0" t="0" r="19050" b="22860"/>
                <wp:docPr id="73" name="Text Box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68224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F04BC09" w14:textId="77777777" w:rsidR="00C93E72" w:rsidRPr="005470B1" w:rsidRDefault="00C93E72" w:rsidP="000F519D">
                            <w:pPr>
                              <w:pStyle w:val="Questionheading"/>
                              <w:ind w:left="284" w:right="283"/>
                            </w:pPr>
                            <w:r>
                              <w:t>IHPA’s decision</w:t>
                            </w:r>
                          </w:p>
                          <w:p w14:paraId="767B411B" w14:textId="77777777" w:rsidR="00C93E72" w:rsidRDefault="00C93E72" w:rsidP="000F519D">
                            <w:pPr>
                              <w:pStyle w:val="BodyText"/>
                              <w:ind w:left="284" w:right="283"/>
                            </w:pPr>
                            <w:r w:rsidRPr="000F519D">
                              <w:t xml:space="preserve">IHPA will work with jurisdictions to develop an approach for funding new high cost, highly specialised therapies. As part of this process, IHPA will review the </w:t>
                            </w:r>
                            <w:r w:rsidRPr="000F519D">
                              <w:rPr>
                                <w:i/>
                                <w:iCs/>
                              </w:rPr>
                              <w:t>Impact of New Health Technology Framework</w:t>
                            </w:r>
                            <w:r w:rsidRPr="000F519D">
                              <w:t xml:space="preserve"> to outline the process for incorporating new high cost, highly specialised treatments into the classification systems and the national pricing model.</w:t>
                            </w:r>
                            <w:r>
                              <w:t xml:space="preserve"> </w:t>
                            </w:r>
                          </w:p>
                          <w:p w14:paraId="03AE748C" w14:textId="5C3114D4" w:rsidR="00C93E72" w:rsidRDefault="00C93E72" w:rsidP="000F519D">
                            <w:pPr>
                              <w:pStyle w:val="BodyText"/>
                              <w:ind w:left="284" w:right="283"/>
                            </w:pPr>
                            <w:r w:rsidRPr="001C5085">
                              <w:t>IHPA will include expenditure amounts for Kymriah®, Yescarta®, Qarziba® and Luxturna™ in the National Effic</w:t>
                            </w:r>
                            <w:r>
                              <w:t>ient Cost Determination 2021–22</w:t>
                            </w:r>
                            <w:r w:rsidRPr="001C5085">
                              <w:t xml:space="preserve"> on the advice of states and territories.</w:t>
                            </w:r>
                          </w:p>
                        </w:txbxContent>
                      </wps:txbx>
                      <wps:bodyPr rot="0" vert="horz" wrap="square" lIns="0" tIns="0" rIns="0" bIns="0" anchor="t" anchorCtr="0" upright="1">
                        <a:noAutofit/>
                      </wps:bodyPr>
                    </wps:wsp>
                  </a:graphicData>
                </a:graphic>
              </wp:inline>
            </w:drawing>
          </mc:Choice>
          <mc:Fallback>
            <w:pict>
              <v:shape w14:anchorId="5CD77884" id="Text Box 29" o:spid="_x0000_s1027" type="#_x0000_t202" style="width:3in;height:21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3xIwQIAAJUFAAAOAAAAZHJzL2Uyb0RvYy54bWysVNuOmzAQfa/Uf7D8znIJSUi0ZJVAUlXa&#10;XqTdfoADJlg1NrWdwLbaf+/YhGy2+1JV5cGMb2fmzBzP7V3fcHSiSjMpUhzeBBhRUciSiUOKvz3u&#10;vAQjbYgoCZeCpviJany3ev/utmuXNJK15CVVCECEXnZtimtj2qXv66KmDdE3sqUCNiupGmJgqg5+&#10;qUgH6A33oyCY+Z1UZatkQbWG1XzYxCuHX1W0MF+qSlODeIohNuNG5ca9Hf3VLVkeFGlrVpzDIP8Q&#10;RUOYAKcXqJwYgo6KvYFqWKGklpW5KWTjy6piBXUcgE0Y/MHmoSYtdVwgObq9pEn/P9ji8+mrQqxM&#10;8XyCkSAN1OiR9gZtZI+iheME03ttLDu74Vj9ysJkks93M28TLxIvnmwm3iJONl44j5LNNFqvZ9v4&#10;2WbXd7fcfb9r9dI5tOVx5kML3k0PzkA8zplu72XxXSMhs5qIA10rJbuakhJIhw7w6uqAoy3Ivvsk&#10;SwieHI10QH2lGhsz5BgBOhT/6VJwy6OAxWgeT0BFGBWwF82SKIqdJCDo8XqrtPlAZYOskWIFinLw&#10;5AScBn7jEetNyB3j3KmKC9SleDGNpgMxyVlpN+0xp2+acYVOBJRp+sid4ccGWAxrYWC/QaCwDjIe&#10;1scALxAux/oavWEGHhVnTYqTKxSbxa0oXXCGMD7YwJWLc3HflHkRLLbJNom9OJptvTjIc2+9y2Jv&#10;tgvn03ySZ1kePtvQw3hZs7KkwjIcH1IY/51Qz096eAKXp/SKklaH/SVdO/ed1XV1zH8dxii+8f8i&#10;QquYQTum3/dO/k5bVlp7WT6BnpQcegX0NjBqqX5i1EGfSLH+cSSKYsQ/CtCkbSqjoUZjPxpEFHAV&#10;CozRYGZmaD7HVrFDDciD6oVcg24r5hT1EgVEbifw9h2Hc5+yzeV67k69dNPVbwAAAP//AwBQSwME&#10;FAAGAAgAAAAhAMdxcgDcAAAABQEAAA8AAABkcnMvZG93bnJldi54bWxMj0FLw0AQhe+C/2EZwZvd&#10;mBYtMZsiSvEgFFtF9LbNjklwdzZkp23qr3f0opdhHm94871yMQav9jikLpKBy0kGCqmOrqPGwMvz&#10;8mIOKrElZ30kNHDEBIvq9KS0hYsHWuN+w42SEEqFNdAy94XWqW4x2DSJPZJ4H3EIlkUOjXaDPUh4&#10;8DrPsisdbEfyobU93rVYf252wQDz/N5nDx3ScvV0fF99XU9f3x6NOT8bb29AMY78dww/+IIOlTBt&#10;445cUt6AFOHfKd5smovcypLnM9BVqf/TV98AAAD//wMAUEsBAi0AFAAGAAgAAAAhALaDOJL+AAAA&#10;4QEAABMAAAAAAAAAAAAAAAAAAAAAAFtDb250ZW50X1R5cGVzXS54bWxQSwECLQAUAAYACAAAACEA&#10;OP0h/9YAAACUAQAACwAAAAAAAAAAAAAAAAAvAQAAX3JlbHMvLnJlbHNQSwECLQAUAAYACAAAACEA&#10;dwt8SMECAACVBQAADgAAAAAAAAAAAAAAAAAuAgAAZHJzL2Uyb0RvYy54bWxQSwECLQAUAAYACAAA&#10;ACEAx3FyANwAAAAFAQAADwAAAAAAAAAAAAAAAAAbBQAAZHJzL2Rvd25yZXYueG1sUEsFBgAAAAAE&#10;AAQA8wAAACQGAAAAAA==&#10;" filled="f" strokecolor="#003e2d [3215]">
                <v:textbox inset="0,0,0,0">
                  <w:txbxContent>
                    <w:p w14:paraId="4F04BC09" w14:textId="77777777" w:rsidR="00C93E72" w:rsidRPr="005470B1" w:rsidRDefault="00C93E72" w:rsidP="000F519D">
                      <w:pPr>
                        <w:pStyle w:val="Questionheading"/>
                        <w:ind w:left="284" w:right="283"/>
                      </w:pPr>
                      <w:r>
                        <w:t>IHPA’s decision</w:t>
                      </w:r>
                    </w:p>
                    <w:p w14:paraId="767B411B" w14:textId="77777777" w:rsidR="00C93E72" w:rsidRDefault="00C93E72" w:rsidP="000F519D">
                      <w:pPr>
                        <w:pStyle w:val="BodyText"/>
                        <w:ind w:left="284" w:right="283"/>
                      </w:pPr>
                      <w:r w:rsidRPr="000F519D">
                        <w:t xml:space="preserve">IHPA will work with jurisdictions to develop an approach for funding new high cost, highly specialised therapies. As part of this process, IHPA will review the </w:t>
                      </w:r>
                      <w:r w:rsidRPr="000F519D">
                        <w:rPr>
                          <w:i/>
                          <w:iCs/>
                        </w:rPr>
                        <w:t>Impact of New Health Technology Framework</w:t>
                      </w:r>
                      <w:r w:rsidRPr="000F519D">
                        <w:t xml:space="preserve"> to outline the process for incorporating new high cost, highly specialised treatments into the classification systems and the national pricing model.</w:t>
                      </w:r>
                      <w:r>
                        <w:t xml:space="preserve"> </w:t>
                      </w:r>
                    </w:p>
                    <w:p w14:paraId="03AE748C" w14:textId="5C3114D4" w:rsidR="00C93E72" w:rsidRDefault="00C93E72" w:rsidP="000F519D">
                      <w:pPr>
                        <w:pStyle w:val="BodyText"/>
                        <w:ind w:left="284" w:right="283"/>
                      </w:pPr>
                      <w:r w:rsidRPr="001C5085">
                        <w:t>IHPA will include expenditure amounts for Kymriah®, Yescarta®, Qarziba® and Luxturna™ in the National Effic</w:t>
                      </w:r>
                      <w:r>
                        <w:t>ient Cost Determination 2021–22</w:t>
                      </w:r>
                      <w:r w:rsidRPr="001C5085">
                        <w:t xml:space="preserve"> on the advice of states and territories.</w:t>
                      </w:r>
                    </w:p>
                  </w:txbxContent>
                </v:textbox>
                <w10:anchorlock/>
              </v:shape>
            </w:pict>
          </mc:Fallback>
        </mc:AlternateContent>
      </w:r>
      <w:r w:rsidR="00F83C0F">
        <w:rPr>
          <w:rFonts w:cs="Arial"/>
        </w:rPr>
        <w:br w:type="column"/>
      </w:r>
      <w:r w:rsidR="00DE2ED2" w:rsidRPr="0065414C">
        <w:rPr>
          <w:rFonts w:cs="Arial"/>
        </w:rPr>
        <w:t>2.4. Other issues arising from the Addendum</w:t>
      </w:r>
      <w:bookmarkEnd w:id="42"/>
      <w:bookmarkEnd w:id="43"/>
    </w:p>
    <w:p w14:paraId="0741DF23" w14:textId="69BE248B" w:rsidR="00F83C0F" w:rsidRPr="00F83C0F" w:rsidRDefault="00F83C0F" w:rsidP="00F83C0F">
      <w:pPr>
        <w:pStyle w:val="BodyText"/>
        <w:rPr>
          <w:rFonts w:cs="Arial"/>
        </w:rPr>
      </w:pPr>
      <w:r w:rsidRPr="00F83C0F">
        <w:rPr>
          <w:rFonts w:cs="Arial"/>
        </w:rPr>
        <w:t>The Addendum sets parameters for how funding for private patients in public hospitals should be considered. Clause A13 states the parties agree to the principle that both the Commonwealth, state and territory funding models will be financially neutral with respect to all patients, regardless of whether they elect to be treated as</w:t>
      </w:r>
      <w:r w:rsidR="00101182">
        <w:rPr>
          <w:rFonts w:cs="Arial"/>
        </w:rPr>
        <w:t> </w:t>
      </w:r>
      <w:r w:rsidRPr="00F83C0F">
        <w:rPr>
          <w:rFonts w:cs="Arial"/>
        </w:rPr>
        <w:t>a private or public patient. Clause A44 specifies that in determining the cost weight for private</w:t>
      </w:r>
      <w:r w:rsidR="00101182">
        <w:rPr>
          <w:rFonts w:cs="Arial"/>
        </w:rPr>
        <w:t> </w:t>
      </w:r>
      <w:r w:rsidRPr="00F83C0F">
        <w:rPr>
          <w:rFonts w:cs="Arial"/>
        </w:rPr>
        <w:t>patients, IHPA will adjust the price to the extent required to achieve overall payment parity</w:t>
      </w:r>
      <w:r w:rsidR="00101182">
        <w:rPr>
          <w:rFonts w:cs="Arial"/>
        </w:rPr>
        <w:t> </w:t>
      </w:r>
      <w:r w:rsidRPr="00F83C0F">
        <w:rPr>
          <w:rFonts w:cs="Arial"/>
        </w:rPr>
        <w:t>between public and private patients in the relevant jurisdiction. These adjustments will take into account all hospital private patient revenue and will be subject to back-casting. This is discussed in detail in Chapter 7.</w:t>
      </w:r>
    </w:p>
    <w:p w14:paraId="7BEA0666" w14:textId="7F4049C8" w:rsidR="00DE2ED2" w:rsidRPr="0065414C" w:rsidRDefault="00F83C0F" w:rsidP="00F83C0F">
      <w:pPr>
        <w:pStyle w:val="BodyText"/>
        <w:rPr>
          <w:rFonts w:cs="Arial"/>
        </w:rPr>
        <w:sectPr w:rsidR="00DE2ED2" w:rsidRPr="0065414C" w:rsidSect="006D53C3">
          <w:type w:val="continuous"/>
          <w:pgSz w:w="11910" w:h="16840"/>
          <w:pgMar w:top="1440" w:right="1440" w:bottom="1440" w:left="1440" w:header="0" w:footer="656" w:gutter="0"/>
          <w:cols w:num="2" w:space="340"/>
        </w:sectPr>
      </w:pPr>
      <w:r w:rsidRPr="00F83C0F">
        <w:rPr>
          <w:rFonts w:cs="Arial"/>
        </w:rPr>
        <w:t>The Addendum also stipulates requirements for</w:t>
      </w:r>
      <w:r w:rsidR="00101182">
        <w:rPr>
          <w:rFonts w:cs="Arial"/>
        </w:rPr>
        <w:t> </w:t>
      </w:r>
      <w:r w:rsidRPr="00F83C0F">
        <w:rPr>
          <w:rFonts w:cs="Arial"/>
        </w:rPr>
        <w:t>a</w:t>
      </w:r>
      <w:r w:rsidR="00101182">
        <w:rPr>
          <w:rFonts w:cs="Arial"/>
        </w:rPr>
        <w:t> </w:t>
      </w:r>
      <w:r w:rsidRPr="00F83C0F">
        <w:rPr>
          <w:rFonts w:cs="Arial"/>
        </w:rPr>
        <w:t>pricing model for reducing avoidable hospital</w:t>
      </w:r>
      <w:r w:rsidR="00101182">
        <w:rPr>
          <w:rFonts w:cs="Arial"/>
        </w:rPr>
        <w:t> </w:t>
      </w:r>
      <w:r w:rsidRPr="00F83C0F">
        <w:rPr>
          <w:rFonts w:cs="Arial"/>
        </w:rPr>
        <w:t>readmissions. This is discussed in detail</w:t>
      </w:r>
      <w:r w:rsidR="00101182">
        <w:rPr>
          <w:rFonts w:cs="Arial"/>
        </w:rPr>
        <w:t> </w:t>
      </w:r>
      <w:r w:rsidRPr="00F83C0F">
        <w:rPr>
          <w:rFonts w:cs="Arial"/>
        </w:rPr>
        <w:t>in Chapter 12</w:t>
      </w:r>
      <w:r w:rsidR="00DE2ED2" w:rsidRPr="0065414C">
        <w:rPr>
          <w:rFonts w:cs="Arial"/>
        </w:rPr>
        <w:t>.</w:t>
      </w:r>
    </w:p>
    <w:p w14:paraId="5C046B58" w14:textId="19531CED" w:rsidR="00F83327" w:rsidRPr="0065414C" w:rsidRDefault="00F83327" w:rsidP="005B7291">
      <w:pPr>
        <w:pStyle w:val="SectionNumber"/>
      </w:pPr>
      <w:bookmarkStart w:id="44" w:name="_3_Scope_of"/>
      <w:bookmarkStart w:id="45" w:name="_Toc49953742"/>
      <w:bookmarkEnd w:id="44"/>
      <w:r w:rsidRPr="0065414C">
        <w:rPr>
          <w:lang w:bidi="ar-SA"/>
        </w:rPr>
        <w:lastRenderedPageBreak/>
        <w:drawing>
          <wp:anchor distT="0" distB="0" distL="114300" distR="114300" simplePos="0" relativeHeight="251658240" behindDoc="1" locked="0" layoutInCell="1" allowOverlap="1" wp14:anchorId="2F51CA2A" wp14:editId="6FC56F1E">
            <wp:simplePos x="0" y="0"/>
            <wp:positionH relativeFrom="margin">
              <wp:posOffset>-914400</wp:posOffset>
            </wp:positionH>
            <wp:positionV relativeFrom="page">
              <wp:posOffset>954157</wp:posOffset>
            </wp:positionV>
            <wp:extent cx="5462269" cy="3577466"/>
            <wp:effectExtent l="0" t="0" r="0" b="0"/>
            <wp:wrapNone/>
            <wp:docPr id="9" name="Picture 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65414C">
        <w:t>3</w:t>
      </w:r>
      <w:bookmarkEnd w:id="45"/>
    </w:p>
    <w:p w14:paraId="3096E536" w14:textId="77777777" w:rsidR="00F83327" w:rsidRPr="0065414C" w:rsidRDefault="00391CF0" w:rsidP="005B7291">
      <w:pPr>
        <w:pStyle w:val="Sectionheader"/>
        <w:sectPr w:rsidR="00F83327" w:rsidRPr="0065414C" w:rsidSect="008613E1">
          <w:headerReference w:type="default" r:id="rId28"/>
          <w:footerReference w:type="default" r:id="rId29"/>
          <w:pgSz w:w="11910" w:h="16840"/>
          <w:pgMar w:top="3970" w:right="1440" w:bottom="1440" w:left="1440" w:header="0" w:footer="656" w:gutter="0"/>
          <w:cols w:space="720"/>
        </w:sectPr>
      </w:pPr>
      <w:bookmarkStart w:id="46" w:name="_Toc49953743"/>
      <w:r w:rsidRPr="0065414C">
        <w:t>Impact of COVID-</w:t>
      </w:r>
      <w:r w:rsidR="00335888" w:rsidRPr="0065414C">
        <w:t>19</w:t>
      </w:r>
      <w:bookmarkEnd w:id="46"/>
    </w:p>
    <w:p w14:paraId="27E42515" w14:textId="77777777" w:rsidR="00C415F5" w:rsidRPr="0065414C" w:rsidRDefault="005907C8" w:rsidP="00335888">
      <w:pPr>
        <w:pStyle w:val="Heading1"/>
        <w:ind w:left="1418" w:right="99" w:hanging="1191"/>
        <w:rPr>
          <w:rFonts w:cs="Arial"/>
        </w:rPr>
      </w:pPr>
      <w:bookmarkStart w:id="47" w:name="_Toc45809587"/>
      <w:bookmarkStart w:id="48" w:name="_Toc49953744"/>
      <w:bookmarkStart w:id="49" w:name="_Toc58930496"/>
      <w:r w:rsidRPr="0065414C">
        <w:rPr>
          <w:rFonts w:cs="Arial"/>
          <w:noProof/>
          <w:color w:val="FFFFFF" w:themeColor="background1"/>
          <w:lang w:eastAsia="en-AU" w:bidi="ar-SA"/>
        </w:rPr>
        <w:lastRenderedPageBreak/>
        <w:drawing>
          <wp:anchor distT="0" distB="0" distL="114300" distR="114300" simplePos="0" relativeHeight="251634688" behindDoc="1" locked="0" layoutInCell="1" allowOverlap="1" wp14:anchorId="0444C524" wp14:editId="5D4BB7A4">
            <wp:simplePos x="0" y="0"/>
            <wp:positionH relativeFrom="column">
              <wp:posOffset>-914400</wp:posOffset>
            </wp:positionH>
            <wp:positionV relativeFrom="page">
              <wp:posOffset>667910</wp:posOffset>
            </wp:positionV>
            <wp:extent cx="1685424" cy="946149"/>
            <wp:effectExtent l="0" t="0" r="0" b="0"/>
            <wp:wrapNone/>
            <wp:docPr id="10" name="Pictur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65414C">
        <w:rPr>
          <w:rFonts w:cs="Arial"/>
          <w:color w:val="FFFFFF" w:themeColor="background1"/>
        </w:rPr>
        <w:t>3</w:t>
      </w:r>
      <w:r w:rsidR="00B23364" w:rsidRPr="0065414C">
        <w:rPr>
          <w:rFonts w:cs="Arial"/>
        </w:rPr>
        <w:tab/>
      </w:r>
      <w:r w:rsidR="00D32313" w:rsidRPr="0065414C">
        <w:rPr>
          <w:rFonts w:cs="Arial"/>
        </w:rPr>
        <w:tab/>
      </w:r>
      <w:r w:rsidR="00391CF0" w:rsidRPr="0065414C">
        <w:rPr>
          <w:rFonts w:cs="Arial"/>
        </w:rPr>
        <w:t>Impact of COVID-</w:t>
      </w:r>
      <w:r w:rsidR="00335888" w:rsidRPr="0065414C">
        <w:rPr>
          <w:rFonts w:cs="Arial"/>
        </w:rPr>
        <w:t>19</w:t>
      </w:r>
      <w:bookmarkEnd w:id="47"/>
      <w:bookmarkEnd w:id="48"/>
      <w:bookmarkEnd w:id="49"/>
    </w:p>
    <w:p w14:paraId="766F4FA5" w14:textId="50C85679" w:rsidR="00C415F5" w:rsidRPr="0065414C" w:rsidRDefault="00C415F5" w:rsidP="003932A6">
      <w:pPr>
        <w:pStyle w:val="BodyText"/>
        <w:rPr>
          <w:rFonts w:cs="Arial"/>
        </w:rPr>
      </w:pPr>
    </w:p>
    <w:p w14:paraId="274F75EA" w14:textId="77777777" w:rsidR="00C415F5" w:rsidRPr="0065414C" w:rsidRDefault="00C415F5">
      <w:pPr>
        <w:rPr>
          <w:rFonts w:cs="Arial"/>
          <w:sz w:val="20"/>
        </w:rPr>
        <w:sectPr w:rsidR="00C415F5" w:rsidRPr="0065414C" w:rsidSect="00342612">
          <w:headerReference w:type="default" r:id="rId31"/>
          <w:pgSz w:w="11910" w:h="16840"/>
          <w:pgMar w:top="1440" w:right="1440" w:bottom="1440" w:left="1440" w:header="0" w:footer="656" w:gutter="0"/>
          <w:cols w:space="720"/>
        </w:sectPr>
      </w:pPr>
    </w:p>
    <w:p w14:paraId="2E6B46FC" w14:textId="3A552F31" w:rsidR="00A00E05" w:rsidRPr="0065414C" w:rsidRDefault="007B17E8" w:rsidP="00A00E05">
      <w:pPr>
        <w:pStyle w:val="BodyText"/>
        <w:rPr>
          <w:rFonts w:cs="Arial"/>
        </w:rPr>
      </w:pPr>
      <w:r>
        <w:rPr>
          <w:rFonts w:cs="Arial"/>
        </w:rPr>
        <w:t>COVID-19</w:t>
      </w:r>
      <w:r w:rsidR="00D82327" w:rsidRPr="00D82327">
        <w:rPr>
          <w:rFonts w:cs="Arial"/>
        </w:rPr>
        <w:t xml:space="preserve"> has resulted in significant and potentially long lasting changes to models of care and service delivery in Australian public hospitals. It is important that these changes are adequately accounted for in the national pricing model as quickly as possible.</w:t>
      </w:r>
    </w:p>
    <w:bookmarkStart w:id="50" w:name="_Toc49953745"/>
    <w:bookmarkStart w:id="51" w:name="_Toc58930497"/>
    <w:p w14:paraId="648EF521" w14:textId="45CE70A6" w:rsidR="001B2C5D" w:rsidRPr="0065414C" w:rsidRDefault="00D82327" w:rsidP="00011A81">
      <w:pPr>
        <w:pStyle w:val="Heading2"/>
        <w:rPr>
          <w:rFonts w:cs="Arial"/>
        </w:rPr>
      </w:pPr>
      <w:r w:rsidRPr="0065414C">
        <w:rPr>
          <w:rFonts w:cs="Arial"/>
          <w:noProof/>
          <w:lang w:eastAsia="en-AU" w:bidi="ar-SA"/>
        </w:rPr>
        <mc:AlternateContent>
          <mc:Choice Requires="wps">
            <w:drawing>
              <wp:anchor distT="0" distB="0" distL="0" distR="0" simplePos="0" relativeHeight="251732992" behindDoc="1" locked="0" layoutInCell="1" allowOverlap="1" wp14:anchorId="0382AC88" wp14:editId="0C9E392B">
                <wp:simplePos x="0" y="0"/>
                <wp:positionH relativeFrom="margin">
                  <wp:posOffset>2968625</wp:posOffset>
                </wp:positionH>
                <wp:positionV relativeFrom="paragraph">
                  <wp:posOffset>179273</wp:posOffset>
                </wp:positionV>
                <wp:extent cx="2743200" cy="1947545"/>
                <wp:effectExtent l="0" t="0" r="19050" b="14605"/>
                <wp:wrapTopAndBottom/>
                <wp:docPr id="65" name="Text Box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947545"/>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3E2CBA" w14:textId="77777777" w:rsidR="00C93E72" w:rsidRPr="005470B1" w:rsidRDefault="00C93E72" w:rsidP="00D82327">
                            <w:pPr>
                              <w:pStyle w:val="Questionheading"/>
                              <w:ind w:left="284" w:right="283"/>
                            </w:pPr>
                            <w:r>
                              <w:t>IHPA’s decision</w:t>
                            </w:r>
                          </w:p>
                          <w:p w14:paraId="484685FB" w14:textId="75B49535" w:rsidR="00C93E72" w:rsidRDefault="00C93E72" w:rsidP="00D82327">
                            <w:pPr>
                              <w:pStyle w:val="BodyText"/>
                              <w:ind w:left="284" w:right="283"/>
                            </w:pPr>
                            <w:r w:rsidRPr="00D82327">
                              <w:t>While jurisdictions identified a number of areas for consideration, there is currently no</w:t>
                            </w:r>
                            <w:r>
                              <w:t> </w:t>
                            </w:r>
                            <w:r w:rsidRPr="00D82327">
                              <w:t>data to support changes to the national pricing model for NEP21. IHPA will continue</w:t>
                            </w:r>
                            <w:r>
                              <w:t> </w:t>
                            </w:r>
                            <w:r w:rsidRPr="00D82327">
                              <w:t>to finalise the collection and review of 2019–20 activity based funding activity data and will receive the National Hospital Cost Data Collection for this period in early</w:t>
                            </w:r>
                            <w:r>
                              <w:t> </w:t>
                            </w:r>
                            <w:r w:rsidRPr="00D82327">
                              <w:t>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2AC88" id="_x0000_s1028" type="#_x0000_t202" style="position:absolute;margin-left:233.75pt;margin-top:14.1pt;width:3in;height:153.35pt;z-index:-2515834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gQFwgIAAJUFAAAOAAAAZHJzL2Uyb0RvYy54bWysVNuOmzAQfa/Uf7D8zhIIJCRaskogqSpt&#10;L9JuP8ABE6wam9pOYFvtv3dsQjbbfamq8mDGtzNzZo7n9q5vODpRpZkUKQ5uJhhRUciSiUOKvz3u&#10;vAQjbYgoCZeCpviJany3ev/utmuXNJS15CVVCECEXnZtimtj2qXv66KmDdE3sqUCNiupGmJgqg5+&#10;qUgH6A33w8lk5ndSla2SBdUaVvNhE68cflXRwnypKk0N4imG2IwblRv3dvRXt2R5UKStWXEOg/xD&#10;FA1hApxeoHJiCDoq9gaqYYWSWlbmppCNL6uKFdRxADbB5A82DzVpqeMCydHtJU36/8EWn09fFWJl&#10;imcxRoI0UKNH2hu0kT0KF44TTO+1sezshmP1KwuSaT7fzbxNtEi8aLqZeoso2XjBPEw2cbhez7bR&#10;s82u7265+37X6qVzaMvjzIcWvJsenIF4nDPd3sviu0ZCZjURB7pWSnY1JSWQDhzg1dUBR1uQffdJ&#10;lhA8ORrpgPpKNTZmyDECdCj+06XglkcBi+E8moKKMCpgL1hE8ziKz0GP11ulzQcqG2SNFCtQlIMn&#10;J+A08BuPWG9C7hjnTlVcoC7FiziMB2KSs9Ju2mNO3zTjCp0IKNP0oTvDjw2wGNaCif0GgcI6yHhY&#10;d0uQ1QuEy7G+Rm+YgUfFWZPi5ArFZnErShecIYwPNkBxcS7umzIvJottsk0iLwpnWy+a5Lm33mWR&#10;N9sF8zif5lmWB8829CBa1qwsqbAMx4cURH8n1POTHp7A5Sm9oqTVYX9J185950JdHfNfhzGKb/y/&#10;iNAqZtCO6fe9k39o4ay09rJ8Aj0pOfQK6G1g1FL9xKiDPpFi/eNIFMWIfxSgSdtURkONxn40iCjg&#10;KhQYo8HMzNB8jq1ihxqQB9ULuQbdVswp6iUKiNxO4O07Duc+ZZvL9dydeummq98AAAD//wMAUEsD&#10;BBQABgAIAAAAIQBiAQuO4gAAAAoBAAAPAAAAZHJzL2Rvd25yZXYueG1sTI/BTsMwDIbvSLxDZCRu&#10;LKUdW1uaTgg0cUCa2IYQ3LLGtBWNUzXZ1vH0Myc42v70+/uLxWg7ccDBt44U3E4iEEiVMy3VCt62&#10;y5sUhA+ajO4coYITeliUlxeFzo070hoPm1ALDiGfawVNCH0upa8atNpPXI/Ety83WB14HGppBn3k&#10;cNvJOIpm0uqW+EOje3xssPre7K2CENKnLnpukZar19Pn6meevH+8KHV9NT7cgwg4hj8YfvVZHUp2&#10;2rk9GS86BdPZ/I5RBXEag2AgzTJe7BQkyTQDWRbyf4XyDAAA//8DAFBLAQItABQABgAIAAAAIQC2&#10;gziS/gAAAOEBAAATAAAAAAAAAAAAAAAAAAAAAABbQ29udGVudF9UeXBlc10ueG1sUEsBAi0AFAAG&#10;AAgAAAAhADj9If/WAAAAlAEAAAsAAAAAAAAAAAAAAAAALwEAAF9yZWxzLy5yZWxzUEsBAi0AFAAG&#10;AAgAAAAhAKomBAXCAgAAlQUAAA4AAAAAAAAAAAAAAAAALgIAAGRycy9lMm9Eb2MueG1sUEsBAi0A&#10;FAAGAAgAAAAhAGIBC47iAAAACgEAAA8AAAAAAAAAAAAAAAAAHAUAAGRycy9kb3ducmV2LnhtbFBL&#10;BQYAAAAABAAEAPMAAAArBgAAAAA=&#10;" filled="f" strokecolor="#003e2d [3215]">
                <v:textbox inset="0,0,0,0">
                  <w:txbxContent>
                    <w:p w14:paraId="0C3E2CBA" w14:textId="77777777" w:rsidR="00C93E72" w:rsidRPr="005470B1" w:rsidRDefault="00C93E72" w:rsidP="00D82327">
                      <w:pPr>
                        <w:pStyle w:val="Questionheading"/>
                        <w:ind w:left="284" w:right="283"/>
                      </w:pPr>
                      <w:r>
                        <w:t>IHPA’s decision</w:t>
                      </w:r>
                    </w:p>
                    <w:p w14:paraId="484685FB" w14:textId="75B49535" w:rsidR="00C93E72" w:rsidRDefault="00C93E72" w:rsidP="00D82327">
                      <w:pPr>
                        <w:pStyle w:val="BodyText"/>
                        <w:ind w:left="284" w:right="283"/>
                      </w:pPr>
                      <w:r w:rsidRPr="00D82327">
                        <w:t>While jurisdictions identified a number of areas for consideration, there is currently no</w:t>
                      </w:r>
                      <w:r>
                        <w:t> </w:t>
                      </w:r>
                      <w:r w:rsidRPr="00D82327">
                        <w:t>data to support changes to the national pricing model for NEP21. IHPA will continue</w:t>
                      </w:r>
                      <w:r>
                        <w:t> </w:t>
                      </w:r>
                      <w:r w:rsidRPr="00D82327">
                        <w:t>to finalise the collection and review of 2019–20 activity based funding activity data and will receive the National Hospital Cost Data Collection for this period in early</w:t>
                      </w:r>
                      <w:r>
                        <w:t> </w:t>
                      </w:r>
                      <w:r w:rsidRPr="00D82327">
                        <w:t>2021.</w:t>
                      </w:r>
                    </w:p>
                  </w:txbxContent>
                </v:textbox>
                <w10:wrap type="topAndBottom" anchorx="margin"/>
              </v:shape>
            </w:pict>
          </mc:Fallback>
        </mc:AlternateContent>
      </w:r>
      <w:r w:rsidR="001B2C5D" w:rsidRPr="0065414C">
        <w:rPr>
          <w:rFonts w:cs="Arial"/>
        </w:rPr>
        <w:t>3.</w:t>
      </w:r>
      <w:r w:rsidR="00983BD0" w:rsidRPr="0065414C">
        <w:rPr>
          <w:rFonts w:cs="Arial"/>
        </w:rPr>
        <w:t>1</w:t>
      </w:r>
      <w:r w:rsidR="001B2C5D" w:rsidRPr="0065414C">
        <w:rPr>
          <w:rFonts w:cs="Arial"/>
        </w:rPr>
        <w:t xml:space="preserve">. </w:t>
      </w:r>
      <w:r w:rsidR="00842063" w:rsidRPr="0065414C">
        <w:rPr>
          <w:rFonts w:eastAsia="Times New Roman" w:cs="Arial"/>
          <w:iCs/>
        </w:rPr>
        <w:t>Implications of COVID-19 on the pricing of public hospital service</w:t>
      </w:r>
      <w:r w:rsidR="00FF4F1F" w:rsidRPr="0065414C">
        <w:rPr>
          <w:rFonts w:cs="Arial"/>
        </w:rPr>
        <w:t>s</w:t>
      </w:r>
      <w:bookmarkEnd w:id="50"/>
      <w:bookmarkEnd w:id="51"/>
    </w:p>
    <w:p w14:paraId="3738DE8F" w14:textId="5C57C407" w:rsidR="00D82327" w:rsidRPr="00D82327" w:rsidRDefault="00D82327" w:rsidP="00D82327">
      <w:pPr>
        <w:pStyle w:val="BodyText"/>
        <w:rPr>
          <w:rFonts w:cs="Arial"/>
        </w:rPr>
      </w:pPr>
      <w:r w:rsidRPr="00D82327">
        <w:rPr>
          <w:rFonts w:cs="Arial"/>
        </w:rPr>
        <w:t xml:space="preserve">IHPA needs to consider the impact of COVID-19 on the overall delivery of all public hospital services in order to ensure the national pricing model reflects current models of care. </w:t>
      </w:r>
    </w:p>
    <w:p w14:paraId="13B2C8E9" w14:textId="44DCAD85" w:rsidR="00D82327" w:rsidRDefault="00D82327" w:rsidP="00D82327">
      <w:pPr>
        <w:pStyle w:val="BodyText"/>
        <w:rPr>
          <w:rFonts w:cs="Arial"/>
        </w:rPr>
      </w:pPr>
      <w:r w:rsidRPr="0065414C">
        <w:rPr>
          <w:rFonts w:cs="Arial"/>
          <w:noProof/>
          <w:lang w:eastAsia="en-AU" w:bidi="ar-SA"/>
        </w:rPr>
        <mc:AlternateContent>
          <mc:Choice Requires="wps">
            <w:drawing>
              <wp:anchor distT="0" distB="0" distL="0" distR="0" simplePos="0" relativeHeight="251735040" behindDoc="1" locked="0" layoutInCell="1" allowOverlap="1" wp14:anchorId="6AFA55C9" wp14:editId="22ADB405">
                <wp:simplePos x="0" y="0"/>
                <wp:positionH relativeFrom="margin">
                  <wp:posOffset>2967355</wp:posOffset>
                </wp:positionH>
                <wp:positionV relativeFrom="paragraph">
                  <wp:posOffset>377825</wp:posOffset>
                </wp:positionV>
                <wp:extent cx="2743200" cy="2069465"/>
                <wp:effectExtent l="0" t="0" r="19050" b="26035"/>
                <wp:wrapTopAndBottom/>
                <wp:docPr id="74" name="Text Box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69465"/>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3EC9186" w14:textId="519C8E6C" w:rsidR="00C93E72" w:rsidRPr="005470B1" w:rsidRDefault="00C93E72" w:rsidP="00D82327">
                            <w:pPr>
                              <w:pStyle w:val="Questionheading"/>
                              <w:ind w:left="284" w:right="283"/>
                            </w:pPr>
                            <w:r>
                              <w:t>Next steps and future work</w:t>
                            </w:r>
                          </w:p>
                          <w:p w14:paraId="7CFD1196" w14:textId="77777777" w:rsidR="00C93E72" w:rsidRDefault="00C93E72" w:rsidP="00D82327">
                            <w:pPr>
                              <w:pStyle w:val="BodyText"/>
                              <w:ind w:left="284" w:right="283"/>
                            </w:pPr>
                            <w:r>
                              <w:t xml:space="preserve">IHPA will continue to work with jurisdictions to understand the impact of COVID-19 on service delivery, activity levels and models of care. Any changes to the national pricing model for future NEP iterations will require accurate cost and activity data. </w:t>
                            </w:r>
                          </w:p>
                          <w:p w14:paraId="0597B659" w14:textId="77A5EEEA" w:rsidR="00C93E72" w:rsidRDefault="00C93E72" w:rsidP="00D82327">
                            <w:pPr>
                              <w:pStyle w:val="BodyText"/>
                              <w:ind w:left="284" w:right="283"/>
                            </w:pPr>
                            <w:r>
                              <w:t>IHPA will assess the impacts of COVID-19 on patient complexity over the long term as updated data is received.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FA55C9" id="_x0000_t202" coordsize="21600,21600" o:spt="202" path="m,l,21600r21600,l21600,xe">
                <v:stroke joinstyle="miter"/>
                <v:path gradientshapeok="t" o:connecttype="rect"/>
              </v:shapetype>
              <v:shape id="_x0000_s1029" type="#_x0000_t202" style="position:absolute;margin-left:233.65pt;margin-top:29.75pt;width:3in;height:162.95pt;z-index:-2515814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8XRwgIAAJUFAAAOAAAAZHJzL2Uyb0RvYy54bWysVNuOmzAQfa/Uf7D8znIJSSBaskpCUlXa&#10;XqTdfoADJlg1NrWdwLbaf+/YhGy2+1JV5cGMb2fmzBzP7V3fcHSiSjMpMhzeBBhRUciSiUOGvz3u&#10;vAQjbYgoCZeCZviJany3fP/utmsXNJK15CVVCECEXnRthmtj2oXv66KmDdE3sqUCNiupGmJgqg5+&#10;qUgH6A33oyCY+Z1UZatkQbWG1XzYxEuHX1W0MF+qSlODeIYhNuNG5ca9Hf3lLVkcFGlrVpzDIP8Q&#10;RUOYAKcXqJwYgo6KvYFqWKGklpW5KWTjy6piBXUcgE0Y/MHmoSYtdVwgObq9pEn/P9ji8+mrQqzM&#10;8DzGSJAGavRIe4PWskdR6jjB9F4by85uOFa/NmEyyee7mbeO08SLJ+uJl8bJ2gvnUbKeRqvVbBs/&#10;2+z67pa773etXjiHtjzOfGjBu+nBGYjHOdPtvSy+ayTkpibiQFdKya6mpATSoQO8ujrgaAuy7z7J&#10;EoInRyMdUF+pxsYMOUaADsV/uhTc8ihgMZrHE1ARRgXsRcEsjWfTc9Dj9VZp84HKBlkjwwoU5eDJ&#10;CTgN/MYj1puQO8a5UxUXqMtwOo2mAzHJWWk37TGnb7rhCp0IKNP0kTvDjw2wGNbCwH6DQGEdZDys&#10;uyXI6gXC5VhfozfMwKPirMlwcoVis7gVpQvOEMYHG6C4OBf3TZnTIN0m2yT24mi29eIgz73VbhN7&#10;s104n+aTfLPJw2cbehgvalaWVFiG40MK478T6vlJD0/g8pReUdLqsL+ka+e+c6GujvmvwxjFN/5f&#10;RGgVM2jH9PveyX9i4ay09rJ8Aj0pOfQK6G1g1FL9xKiDPpFh/eNIFMWIfxSgSdtURkONxn40iCjg&#10;KhQYo8HcmKH5HFvFDjUgD6oXcgW6rZhT1EsUELmdwNt3HM59yjaX67k79dJNl78BAAD//wMAUEsD&#10;BBQABgAIAAAAIQDJcvVz4gAAAAoBAAAPAAAAZHJzL2Rvd25yZXYueG1sTI/BTsMwDIbvSLxDZCRu&#10;LIWuW1uaTgg0cUCa2IYQ3LLWtBWJUzXZ1vH0Myc42v70+/uLxWiNOODgO0cKbicRCKTK1R01Ct62&#10;y5sUhA+aam0coYITeliUlxeFzmt3pDUeNqERHEI+1wraEPpcSl+1aLWfuB6Jb19usDrwODSyHvSR&#10;w62Rd1E0k1Z3xB9a3eNji9X3Zm8VhJA+mei5Q1quXk+fq595/P7xotT11fhwDyLgGP5g+NVndSjZ&#10;aef2VHthFExn85hRBUmWgGAgzTJe7BTEaTIFWRbyf4XyDAAA//8DAFBLAQItABQABgAIAAAAIQC2&#10;gziS/gAAAOEBAAATAAAAAAAAAAAAAAAAAAAAAABbQ29udGVudF9UeXBlc10ueG1sUEsBAi0AFAAG&#10;AAgAAAAhADj9If/WAAAAlAEAAAsAAAAAAAAAAAAAAAAALwEAAF9yZWxzLy5yZWxzUEsBAi0AFAAG&#10;AAgAAAAhALivxdHCAgAAlQUAAA4AAAAAAAAAAAAAAAAALgIAAGRycy9lMm9Eb2MueG1sUEsBAi0A&#10;FAAGAAgAAAAhAMly9XPiAAAACgEAAA8AAAAAAAAAAAAAAAAAHAUAAGRycy9kb3ducmV2LnhtbFBL&#10;BQYAAAAABAAEAPMAAAArBgAAAAA=&#10;" filled="f" strokecolor="#003e2d [3215]">
                <v:textbox inset="0,0,0,0">
                  <w:txbxContent>
                    <w:p w14:paraId="63EC9186" w14:textId="519C8E6C" w:rsidR="00C93E72" w:rsidRPr="005470B1" w:rsidRDefault="00C93E72" w:rsidP="00D82327">
                      <w:pPr>
                        <w:pStyle w:val="Questionheading"/>
                        <w:ind w:left="284" w:right="283"/>
                      </w:pPr>
                      <w:r>
                        <w:t>Next steps and future work</w:t>
                      </w:r>
                    </w:p>
                    <w:p w14:paraId="7CFD1196" w14:textId="77777777" w:rsidR="00C93E72" w:rsidRDefault="00C93E72" w:rsidP="00D82327">
                      <w:pPr>
                        <w:pStyle w:val="BodyText"/>
                        <w:ind w:left="284" w:right="283"/>
                      </w:pPr>
                      <w:r>
                        <w:t xml:space="preserve">IHPA will continue to work with jurisdictions to understand the impact of COVID-19 on service delivery, activity levels and models of care. Any changes to the national pricing model for future NEP iterations will require accurate cost and activity data. </w:t>
                      </w:r>
                    </w:p>
                    <w:p w14:paraId="0597B659" w14:textId="77A5EEEA" w:rsidR="00C93E72" w:rsidRDefault="00C93E72" w:rsidP="00D82327">
                      <w:pPr>
                        <w:pStyle w:val="BodyText"/>
                        <w:ind w:left="284" w:right="283"/>
                      </w:pPr>
                      <w:r>
                        <w:t>IHPA will assess the impacts of COVID-19 on patient complexity over the long term as updated data is received.</w:t>
                      </w:r>
                    </w:p>
                  </w:txbxContent>
                </v:textbox>
                <w10:wrap type="topAndBottom" anchorx="margin"/>
              </v:shape>
            </w:pict>
          </mc:Fallback>
        </mc:AlternateContent>
      </w:r>
      <w:r w:rsidRPr="00D82327">
        <w:rPr>
          <w:rFonts w:cs="Arial"/>
        </w:rPr>
        <w:t>IHPA will continue to work with jurisdictions to understand changes occurring in models of care. In response to the Consultation Paper, jurisdictions outlined some common challenges</w:t>
      </w:r>
      <w:r w:rsidR="00AB4EFE">
        <w:rPr>
          <w:rFonts w:cs="Arial"/>
        </w:rPr>
        <w:t> </w:t>
      </w:r>
      <w:r w:rsidRPr="00D82327">
        <w:rPr>
          <w:rFonts w:cs="Arial"/>
        </w:rPr>
        <w:t>including:</w:t>
      </w:r>
    </w:p>
    <w:p w14:paraId="32DB6E7F" w14:textId="409B82AC" w:rsidR="00D82327" w:rsidRPr="00D82327" w:rsidRDefault="00D82327" w:rsidP="00D82327">
      <w:pPr>
        <w:pStyle w:val="ListParagraph"/>
      </w:pPr>
      <w:r w:rsidRPr="00D82327">
        <w:t>lower patient volumes due to reduced elective surgery and emergency department presentations, potentially resulting in cost increases per patient in the short term</w:t>
      </w:r>
    </w:p>
    <w:p w14:paraId="272AD7AE" w14:textId="3AF473D3" w:rsidR="00D82327" w:rsidRPr="00D82327" w:rsidRDefault="00D82327" w:rsidP="00D82327">
      <w:pPr>
        <w:pStyle w:val="ListParagraph"/>
      </w:pPr>
      <w:r w:rsidRPr="00D82327">
        <w:t>changes to how patients access services (for example, increased use of telehealth and hospital-in-the-home)</w:t>
      </w:r>
    </w:p>
    <w:p w14:paraId="530BDD26" w14:textId="23DB5739" w:rsidR="00D82327" w:rsidRDefault="00D82327" w:rsidP="00D82327">
      <w:pPr>
        <w:pStyle w:val="ListParagraph"/>
      </w:pPr>
      <w:r w:rsidRPr="00D82327">
        <w:t>longer term changes to service delivery required to implement COVID-safe measures (for example, additional personal protective equipment and staffing to support social distancing) which will also have implications for costs.</w:t>
      </w:r>
    </w:p>
    <w:p w14:paraId="32AF31F8" w14:textId="75F6F69B" w:rsidR="00D82327" w:rsidRPr="00D82327" w:rsidRDefault="00D82327" w:rsidP="00D82327">
      <w:pPr>
        <w:pStyle w:val="BodyText"/>
        <w:rPr>
          <w:rFonts w:cs="Arial"/>
        </w:rPr>
      </w:pPr>
      <w:r w:rsidRPr="00D82327">
        <w:rPr>
          <w:rFonts w:cs="Arial"/>
        </w:rPr>
        <w:t>Some of the services that have been expanded are already priced by IHPA through the national pricing model. For example, hospital-in-the-home services are priced under the admitted acute care pricing model. Where non-admitted care is delivered via telehealth, it is priced under the non-</w:t>
      </w:r>
      <w:r w:rsidR="00966706">
        <w:rPr>
          <w:rFonts w:cs="Arial"/>
        </w:rPr>
        <w:t>‍</w:t>
      </w:r>
      <w:r w:rsidRPr="00D82327">
        <w:rPr>
          <w:rFonts w:cs="Arial"/>
        </w:rPr>
        <w:t xml:space="preserve">admitted care pricing model. </w:t>
      </w:r>
    </w:p>
    <w:p w14:paraId="7BF792ED" w14:textId="30AA378D" w:rsidR="00FF4F1F" w:rsidRPr="0065414C" w:rsidRDefault="00D82327" w:rsidP="00D82327">
      <w:pPr>
        <w:pStyle w:val="BodyText"/>
        <w:rPr>
          <w:rFonts w:cs="Arial"/>
        </w:rPr>
      </w:pPr>
      <w:r>
        <w:rPr>
          <w:rFonts w:cs="Arial"/>
        </w:rPr>
        <w:br w:type="column"/>
      </w:r>
      <w:r w:rsidRPr="00D82327">
        <w:rPr>
          <w:rFonts w:cs="Arial"/>
        </w:rPr>
        <w:t>Data underpinning a given national efficient price (NEP) Determination has a three year time lag. For example, for the NEP Determination 2021–22 (NEP21) IHPA will use costed activity data based on 2018–19 models of care. These costs are indexed forward to 2021–22.</w:t>
      </w:r>
    </w:p>
    <w:p w14:paraId="63CC9471" w14:textId="76C01DD1" w:rsidR="00FF4F1F" w:rsidRPr="0065414C" w:rsidRDefault="00FF4F1F" w:rsidP="00FF4F1F">
      <w:pPr>
        <w:pStyle w:val="BodyText"/>
        <w:rPr>
          <w:rFonts w:cs="Arial"/>
        </w:rPr>
      </w:pPr>
    </w:p>
    <w:p w14:paraId="3A67A71E" w14:textId="77777777" w:rsidR="00FF4F1F" w:rsidRPr="0065414C" w:rsidRDefault="00FF4F1F" w:rsidP="00FF4F1F">
      <w:pPr>
        <w:pStyle w:val="BodyText"/>
        <w:rPr>
          <w:rFonts w:cs="Arial"/>
        </w:rPr>
        <w:sectPr w:rsidR="00FF4F1F" w:rsidRPr="0065414C" w:rsidSect="001311FF">
          <w:type w:val="continuous"/>
          <w:pgSz w:w="11910" w:h="16840"/>
          <w:pgMar w:top="1440" w:right="1440" w:bottom="1440" w:left="1440" w:header="720" w:footer="720" w:gutter="0"/>
          <w:cols w:num="2" w:space="340"/>
        </w:sectPr>
      </w:pPr>
    </w:p>
    <w:p w14:paraId="3582EB3D" w14:textId="77777777" w:rsidR="00D32313" w:rsidRPr="0065414C" w:rsidRDefault="00D32313" w:rsidP="005B7291">
      <w:pPr>
        <w:pStyle w:val="SectionNumber"/>
      </w:pPr>
      <w:bookmarkStart w:id="52" w:name="_4_Classifications_used"/>
      <w:bookmarkStart w:id="53" w:name="_Toc49953746"/>
      <w:bookmarkEnd w:id="52"/>
      <w:r w:rsidRPr="0065414C">
        <w:rPr>
          <w:lang w:bidi="ar-SA"/>
        </w:rPr>
        <w:lastRenderedPageBreak/>
        <w:drawing>
          <wp:anchor distT="0" distB="0" distL="114300" distR="114300" simplePos="0" relativeHeight="251656192" behindDoc="1" locked="0" layoutInCell="1" allowOverlap="1" wp14:anchorId="448957E0" wp14:editId="63FD1426">
            <wp:simplePos x="0" y="0"/>
            <wp:positionH relativeFrom="margin">
              <wp:posOffset>-914400</wp:posOffset>
            </wp:positionH>
            <wp:positionV relativeFrom="page">
              <wp:posOffset>954157</wp:posOffset>
            </wp:positionV>
            <wp:extent cx="5462269" cy="3577465"/>
            <wp:effectExtent l="0" t="0" r="0" b="0"/>
            <wp:wrapNone/>
            <wp:docPr id="11" name="Picture 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65414C">
        <w:t>4</w:t>
      </w:r>
      <w:bookmarkEnd w:id="53"/>
    </w:p>
    <w:p w14:paraId="7A87459E" w14:textId="77777777" w:rsidR="00D32313" w:rsidRPr="0065414C" w:rsidRDefault="00977E6C" w:rsidP="005B7291">
      <w:pPr>
        <w:pStyle w:val="Sectionheader"/>
        <w:sectPr w:rsidR="00D32313" w:rsidRPr="0065414C" w:rsidSect="008613E1">
          <w:headerReference w:type="default" r:id="rId33"/>
          <w:footerReference w:type="default" r:id="rId34"/>
          <w:pgSz w:w="11910" w:h="16840"/>
          <w:pgMar w:top="3970" w:right="1440" w:bottom="1440" w:left="1440" w:header="0" w:footer="656" w:gutter="0"/>
          <w:cols w:space="720"/>
        </w:sectPr>
      </w:pPr>
      <w:bookmarkStart w:id="54" w:name="_Toc49953747"/>
      <w:r w:rsidRPr="0065414C">
        <w:t>The Pricing Guidelines</w:t>
      </w:r>
      <w:bookmarkEnd w:id="54"/>
    </w:p>
    <w:p w14:paraId="3286C306" w14:textId="77777777" w:rsidR="00C415F5" w:rsidRPr="0065414C" w:rsidRDefault="00D32313" w:rsidP="00D32313">
      <w:pPr>
        <w:pStyle w:val="Heading1"/>
        <w:ind w:left="1418" w:hanging="1191"/>
        <w:rPr>
          <w:rFonts w:cs="Arial"/>
        </w:rPr>
      </w:pPr>
      <w:bookmarkStart w:id="55" w:name="_Toc45809593"/>
      <w:bookmarkStart w:id="56" w:name="_Toc49953748"/>
      <w:bookmarkStart w:id="57" w:name="_Toc58930498"/>
      <w:r w:rsidRPr="0065414C">
        <w:rPr>
          <w:rFonts w:cs="Arial"/>
          <w:noProof/>
          <w:color w:val="FFFFFF" w:themeColor="background1"/>
          <w:lang w:eastAsia="en-AU" w:bidi="ar-SA"/>
        </w:rPr>
        <w:lastRenderedPageBreak/>
        <w:drawing>
          <wp:anchor distT="0" distB="0" distL="114300" distR="114300" simplePos="0" relativeHeight="251636736" behindDoc="1" locked="0" layoutInCell="1" allowOverlap="1" wp14:anchorId="7EFAE598" wp14:editId="7A46F8B8">
            <wp:simplePos x="0" y="0"/>
            <wp:positionH relativeFrom="column">
              <wp:posOffset>-914400</wp:posOffset>
            </wp:positionH>
            <wp:positionV relativeFrom="page">
              <wp:posOffset>652007</wp:posOffset>
            </wp:positionV>
            <wp:extent cx="1685422" cy="946149"/>
            <wp:effectExtent l="0" t="0" r="0" b="0"/>
            <wp:wrapNone/>
            <wp:docPr id="12" name="Picture 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65414C">
        <w:rPr>
          <w:rFonts w:cs="Arial"/>
          <w:color w:val="FFFFFF" w:themeColor="background1"/>
        </w:rPr>
        <w:t>4</w:t>
      </w:r>
      <w:r w:rsidR="00940B98" w:rsidRPr="0065414C">
        <w:rPr>
          <w:rFonts w:cs="Arial"/>
        </w:rPr>
        <w:tab/>
      </w:r>
      <w:r w:rsidRPr="0065414C">
        <w:rPr>
          <w:rFonts w:cs="Arial"/>
        </w:rPr>
        <w:tab/>
      </w:r>
      <w:r w:rsidR="00977E6C" w:rsidRPr="0065414C">
        <w:rPr>
          <w:rFonts w:cs="Arial"/>
        </w:rPr>
        <w:t>The Pricing Guidelines</w:t>
      </w:r>
      <w:bookmarkEnd w:id="55"/>
      <w:bookmarkEnd w:id="56"/>
      <w:bookmarkEnd w:id="57"/>
    </w:p>
    <w:p w14:paraId="76F48422" w14:textId="77777777" w:rsidR="00C415F5" w:rsidRPr="0065414C" w:rsidRDefault="00C415F5" w:rsidP="003932A6">
      <w:pPr>
        <w:pStyle w:val="BodyText"/>
        <w:rPr>
          <w:rFonts w:cs="Arial"/>
        </w:rPr>
      </w:pPr>
    </w:p>
    <w:p w14:paraId="1D7E0D15" w14:textId="77777777" w:rsidR="00C415F5" w:rsidRPr="0065414C" w:rsidRDefault="00C415F5">
      <w:pPr>
        <w:rPr>
          <w:rFonts w:cs="Arial"/>
          <w:sz w:val="25"/>
        </w:rPr>
        <w:sectPr w:rsidR="00C415F5" w:rsidRPr="0065414C" w:rsidSect="00104482">
          <w:headerReference w:type="default" r:id="rId36"/>
          <w:pgSz w:w="11910" w:h="16840"/>
          <w:pgMar w:top="1440" w:right="1440" w:bottom="1440" w:left="1440" w:header="0" w:footer="656" w:gutter="0"/>
          <w:cols w:space="720"/>
        </w:sectPr>
      </w:pPr>
    </w:p>
    <w:p w14:paraId="4EC39C7F" w14:textId="709C2C85" w:rsidR="00BA7EE4" w:rsidRPr="00BA7EE4" w:rsidRDefault="00BA7EE4" w:rsidP="00BA7EE4">
      <w:pPr>
        <w:pStyle w:val="BodyText"/>
        <w:rPr>
          <w:rFonts w:cs="Arial"/>
        </w:rPr>
      </w:pPr>
      <w:r w:rsidRPr="00BA7EE4">
        <w:rPr>
          <w:rFonts w:cs="Arial"/>
        </w:rPr>
        <w:t>The decisions made by IHPA in pricing in-scope public hospital services are evidence-based and</w:t>
      </w:r>
      <w:r w:rsidR="00AB4EFE">
        <w:rPr>
          <w:rFonts w:cs="Arial"/>
        </w:rPr>
        <w:t> </w:t>
      </w:r>
      <w:r w:rsidRPr="00BA7EE4">
        <w:rPr>
          <w:rFonts w:cs="Arial"/>
        </w:rPr>
        <w:t>use the latest costing and activity data supplied</w:t>
      </w:r>
      <w:r w:rsidR="00AB4EFE">
        <w:rPr>
          <w:rFonts w:cs="Arial"/>
        </w:rPr>
        <w:t> </w:t>
      </w:r>
      <w:r w:rsidRPr="00BA7EE4">
        <w:rPr>
          <w:rFonts w:cs="Arial"/>
        </w:rPr>
        <w:t>by states and territories. In making these</w:t>
      </w:r>
      <w:r w:rsidR="00AB4EFE">
        <w:rPr>
          <w:rFonts w:cs="Arial"/>
        </w:rPr>
        <w:t> </w:t>
      </w:r>
      <w:r w:rsidRPr="00BA7EE4">
        <w:rPr>
          <w:rFonts w:cs="Arial"/>
        </w:rPr>
        <w:t>decisions, IHPA balances a range of policy objectives including improving the efficiency and</w:t>
      </w:r>
      <w:r w:rsidR="00AB4EFE">
        <w:rPr>
          <w:rFonts w:cs="Arial"/>
        </w:rPr>
        <w:t> </w:t>
      </w:r>
      <w:r w:rsidRPr="00BA7EE4">
        <w:rPr>
          <w:rFonts w:cs="Arial"/>
        </w:rPr>
        <w:t xml:space="preserve">accessibility of public hospital services. </w:t>
      </w:r>
    </w:p>
    <w:p w14:paraId="34F5E358" w14:textId="63049364" w:rsidR="00977E6C" w:rsidRPr="0065414C" w:rsidRDefault="00BA7EE4" w:rsidP="00BA7EE4">
      <w:pPr>
        <w:pStyle w:val="BodyText"/>
        <w:rPr>
          <w:rFonts w:cs="Arial"/>
        </w:rPr>
      </w:pPr>
      <w:r w:rsidRPr="00BA7EE4">
        <w:rPr>
          <w:rFonts w:cs="Arial"/>
        </w:rPr>
        <w:t>The Pricing Guidelines signal IHPA’s commitment to transparency and accountability as it undertakes its work. They are the overarching framework within which IHPA makes its policy</w:t>
      </w:r>
      <w:r w:rsidR="00AB4EFE">
        <w:rPr>
          <w:rFonts w:cs="Arial"/>
        </w:rPr>
        <w:t> </w:t>
      </w:r>
      <w:r w:rsidRPr="00BA7EE4">
        <w:rPr>
          <w:rFonts w:cs="Arial"/>
        </w:rPr>
        <w:t xml:space="preserve">decisions, and can be seen in </w:t>
      </w:r>
      <w:r w:rsidRPr="001233F1">
        <w:rPr>
          <w:rFonts w:cs="Arial"/>
          <w:b/>
          <w:bCs/>
        </w:rPr>
        <w:t>Figure 1</w:t>
      </w:r>
      <w:r w:rsidRPr="00BA7EE4">
        <w:rPr>
          <w:rFonts w:cs="Arial"/>
        </w:rPr>
        <w:t>.</w:t>
      </w:r>
    </w:p>
    <w:p w14:paraId="5A1C080F" w14:textId="3BE2947D" w:rsidR="00BA7EE4" w:rsidRDefault="00BA7EE4" w:rsidP="00977E6C">
      <w:pPr>
        <w:pStyle w:val="BodyText"/>
        <w:rPr>
          <w:rFonts w:cs="Arial"/>
        </w:rPr>
      </w:pPr>
      <w:r w:rsidRPr="00BA7EE4">
        <w:rPr>
          <w:rFonts w:cs="Arial"/>
        </w:rPr>
        <w:t>IHPA reviewed the Pricing Guidelines in light of the new Addendum to the National Health Reform Agreement 2020–2025 (the Addendum) and found they largely continue to reflect the principles and reforms the Addendum outlines. In</w:t>
      </w:r>
      <w:r w:rsidR="00B86839">
        <w:rPr>
          <w:rFonts w:cs="Arial"/>
        </w:rPr>
        <w:t> </w:t>
      </w:r>
      <w:r w:rsidRPr="00BA7EE4">
        <w:rPr>
          <w:rFonts w:cs="Arial"/>
        </w:rPr>
        <w:t xml:space="preserve">the Consultation Paper IHPA proposed a change to the </w:t>
      </w:r>
      <w:r w:rsidRPr="00BA7EE4">
        <w:rPr>
          <w:rFonts w:cs="Arial"/>
          <w:i/>
          <w:iCs/>
        </w:rPr>
        <w:t>Public-private neutrality</w:t>
      </w:r>
      <w:r w:rsidRPr="00BA7EE4">
        <w:rPr>
          <w:rFonts w:cs="Arial"/>
        </w:rPr>
        <w:t xml:space="preserve"> Guideline to reflect the requirements of the Addendum. IHPA proposed changing it from: </w:t>
      </w:r>
    </w:p>
    <w:p w14:paraId="252B332E" w14:textId="2EED2C18" w:rsidR="00BA7EE4" w:rsidRPr="0065414C" w:rsidRDefault="00BA7EE4" w:rsidP="00BA7EE4">
      <w:pPr>
        <w:pStyle w:val="BodyText"/>
        <w:ind w:left="284"/>
        <w:rPr>
          <w:rFonts w:cs="Arial"/>
        </w:rPr>
      </w:pPr>
      <w:r w:rsidRPr="0065414C">
        <w:rPr>
          <w:rFonts w:cs="Arial"/>
        </w:rPr>
        <w:t>‘</w:t>
      </w:r>
      <w:r w:rsidRPr="00BA7EE4">
        <w:rPr>
          <w:rFonts w:cs="Arial"/>
          <w:i/>
        </w:rPr>
        <w:t>Activity based funding (ABF) pricing should not disrupt current incentives for a person to elect to be treated as a private or a public patient in a public hospital</w:t>
      </w:r>
      <w:r w:rsidRPr="0065414C">
        <w:rPr>
          <w:rFonts w:cs="Arial"/>
        </w:rPr>
        <w:t>’</w:t>
      </w:r>
    </w:p>
    <w:p w14:paraId="32611CA2" w14:textId="77777777" w:rsidR="001233F1" w:rsidRDefault="00BA7EE4" w:rsidP="00BA7EE4">
      <w:pPr>
        <w:pStyle w:val="BodyText"/>
        <w:ind w:left="284"/>
        <w:rPr>
          <w:rFonts w:cs="Arial"/>
        </w:rPr>
      </w:pPr>
      <w:r w:rsidRPr="0065414C">
        <w:rPr>
          <w:rFonts w:cs="Arial"/>
        </w:rPr>
        <w:t xml:space="preserve">To: </w:t>
      </w:r>
    </w:p>
    <w:p w14:paraId="055726D5" w14:textId="6B3D8696" w:rsidR="00BA7EE4" w:rsidRPr="0065414C" w:rsidRDefault="00BA7EE4" w:rsidP="00BA7EE4">
      <w:pPr>
        <w:pStyle w:val="BodyText"/>
        <w:ind w:left="284"/>
        <w:rPr>
          <w:rFonts w:cs="Arial"/>
        </w:rPr>
      </w:pPr>
      <w:r w:rsidRPr="0065414C">
        <w:rPr>
          <w:rFonts w:cs="Arial"/>
        </w:rPr>
        <w:t>‘</w:t>
      </w:r>
      <w:r w:rsidRPr="00BA7EE4">
        <w:rPr>
          <w:rFonts w:cs="Arial"/>
          <w:i/>
        </w:rPr>
        <w:t>ABF pricing should ensure that there is funding neutrality for the service provider for treating a person who elects to be treated as a private or a public patient in a public hospital</w:t>
      </w:r>
      <w:r w:rsidRPr="0065414C">
        <w:rPr>
          <w:rFonts w:cs="Arial"/>
        </w:rPr>
        <w:t>’.</w:t>
      </w:r>
    </w:p>
    <w:p w14:paraId="1044A28B" w14:textId="397C02D2" w:rsidR="00BA7EE4" w:rsidRPr="00BA7EE4" w:rsidRDefault="00BA7EE4" w:rsidP="00BA7EE4">
      <w:pPr>
        <w:pStyle w:val="BodyText"/>
        <w:rPr>
          <w:rFonts w:cs="Arial"/>
        </w:rPr>
      </w:pPr>
      <w:r w:rsidRPr="00BA7EE4">
        <w:rPr>
          <w:rFonts w:cs="Arial"/>
        </w:rPr>
        <w:t xml:space="preserve">In response to the Consultation Paper some stakeholders recommended further changes to the </w:t>
      </w:r>
      <w:r w:rsidRPr="00BA7EE4">
        <w:rPr>
          <w:rFonts w:cs="Arial"/>
          <w:i/>
          <w:iCs/>
        </w:rPr>
        <w:t>Public private neutrality</w:t>
      </w:r>
      <w:r w:rsidRPr="00BA7EE4">
        <w:rPr>
          <w:rFonts w:cs="Arial"/>
        </w:rPr>
        <w:t xml:space="preserve"> Guideline, as well as other Pricing Guidelines including </w:t>
      </w:r>
      <w:r w:rsidRPr="00BA7EE4">
        <w:rPr>
          <w:rFonts w:cs="Arial"/>
          <w:i/>
          <w:iCs/>
        </w:rPr>
        <w:t>Fostering clinical innovation, Promoting value, ABF</w:t>
      </w:r>
      <w:r w:rsidR="00AB4EFE">
        <w:rPr>
          <w:rFonts w:cs="Arial"/>
          <w:i/>
          <w:iCs/>
        </w:rPr>
        <w:t> </w:t>
      </w:r>
      <w:r w:rsidRPr="00BA7EE4">
        <w:rPr>
          <w:rFonts w:cs="Arial"/>
          <w:i/>
          <w:iCs/>
        </w:rPr>
        <w:t>pre-</w:t>
      </w:r>
      <w:r>
        <w:rPr>
          <w:rFonts w:cs="Arial"/>
          <w:i/>
          <w:iCs/>
        </w:rPr>
        <w:t>‍</w:t>
      </w:r>
      <w:r w:rsidRPr="00BA7EE4">
        <w:rPr>
          <w:rFonts w:cs="Arial"/>
          <w:i/>
          <w:iCs/>
        </w:rPr>
        <w:t>eminence, Timely-quality care, Patient-</w:t>
      </w:r>
      <w:r w:rsidR="00AB4EFE">
        <w:rPr>
          <w:rFonts w:cs="Arial"/>
          <w:i/>
          <w:iCs/>
        </w:rPr>
        <w:t>‍</w:t>
      </w:r>
      <w:r w:rsidRPr="00BA7EE4">
        <w:rPr>
          <w:rFonts w:cs="Arial"/>
          <w:i/>
          <w:iCs/>
        </w:rPr>
        <w:t xml:space="preserve">based </w:t>
      </w:r>
      <w:r w:rsidRPr="00631737">
        <w:rPr>
          <w:rFonts w:cs="Arial"/>
        </w:rPr>
        <w:t>and</w:t>
      </w:r>
      <w:r w:rsidRPr="00BA7EE4">
        <w:rPr>
          <w:rFonts w:cs="Arial"/>
          <w:i/>
          <w:iCs/>
        </w:rPr>
        <w:t xml:space="preserve"> Stability</w:t>
      </w:r>
      <w:r w:rsidRPr="00BA7EE4">
        <w:rPr>
          <w:rFonts w:cs="Arial"/>
        </w:rPr>
        <w:t>.</w:t>
      </w:r>
    </w:p>
    <w:p w14:paraId="341C6160" w14:textId="337D1B34" w:rsidR="00BA7EE4" w:rsidRPr="00BA7EE4" w:rsidRDefault="00F83A35" w:rsidP="00BA7EE4">
      <w:pPr>
        <w:pStyle w:val="BodyText"/>
        <w:rPr>
          <w:rFonts w:cs="Arial"/>
        </w:rPr>
      </w:pPr>
      <w:r>
        <w:rPr>
          <w:rFonts w:cs="Arial"/>
        </w:rPr>
        <w:br w:type="column"/>
      </w:r>
      <w:r w:rsidR="00BA7EE4" w:rsidRPr="00BA7EE4">
        <w:rPr>
          <w:rFonts w:cs="Arial"/>
        </w:rPr>
        <w:t>The suggested changes sought alterations to the Pricing Guidelines to bring them into line with the Addendum, increase the focus on supporting the trialling of new models of care and support more hospital-based adjustments to the national efficient price where supported by evidence.</w:t>
      </w:r>
    </w:p>
    <w:p w14:paraId="3FD0602A" w14:textId="410395B5" w:rsidR="00BA7EE4" w:rsidRPr="00BA7EE4" w:rsidRDefault="00BA7EE4" w:rsidP="00BA7EE4">
      <w:pPr>
        <w:pStyle w:val="BodyText"/>
        <w:rPr>
          <w:rFonts w:cs="Arial"/>
        </w:rPr>
      </w:pPr>
      <w:r w:rsidRPr="00BA7EE4">
        <w:rPr>
          <w:rFonts w:cs="Arial"/>
        </w:rPr>
        <w:t xml:space="preserve">Further detail on the feedback provided by stakeholders on the Pricing Guidelines can be found in the Consultation Report, in addition to the full submissions published on IHPA’s website. </w:t>
      </w:r>
    </w:p>
    <w:p w14:paraId="249C8533" w14:textId="050FD7F8" w:rsidR="003E0D91" w:rsidRPr="0065414C" w:rsidRDefault="00BA7EE4" w:rsidP="00977E6C">
      <w:pPr>
        <w:pStyle w:val="BodyText"/>
        <w:rPr>
          <w:rFonts w:cs="Arial"/>
        </w:rPr>
      </w:pPr>
      <w:r w:rsidRPr="00BA7EE4">
        <w:rPr>
          <w:rFonts w:cs="Arial"/>
        </w:rPr>
        <w:t>In updating the Pricing Guidelines, IHPA</w:t>
      </w:r>
      <w:r w:rsidR="004C3925">
        <w:rPr>
          <w:rFonts w:cs="Arial"/>
        </w:rPr>
        <w:t> </w:t>
      </w:r>
      <w:r w:rsidRPr="00BA7EE4">
        <w:rPr>
          <w:rFonts w:cs="Arial"/>
        </w:rPr>
        <w:t>considered its statutory obligations, changes resulting from the Addendum and feedback received from stakeholders. The</w:t>
      </w:r>
      <w:r w:rsidR="004C3925">
        <w:rPr>
          <w:rFonts w:cs="Arial"/>
        </w:rPr>
        <w:t> </w:t>
      </w:r>
      <w:r w:rsidRPr="00BA7EE4">
        <w:rPr>
          <w:rFonts w:cs="Arial"/>
        </w:rPr>
        <w:t>changes outlined below reflect IHPA’s intention to give improved flexibility to service providers to adapt ABF to new, innovative funding models when appropriate. The changes reflect IHPA’s obligations under the Addendum.</w:t>
      </w:r>
    </w:p>
    <w:p w14:paraId="23AEB931" w14:textId="4B77D5C0" w:rsidR="00977E6C" w:rsidRPr="0065414C" w:rsidRDefault="00F83A35" w:rsidP="00977E6C">
      <w:pPr>
        <w:pStyle w:val="BodyText"/>
        <w:rPr>
          <w:rFonts w:cs="Arial"/>
        </w:rPr>
      </w:pPr>
      <w:r w:rsidRPr="0065414C">
        <w:rPr>
          <w:rFonts w:cs="Arial"/>
          <w:noProof/>
          <w:lang w:eastAsia="en-AU" w:bidi="ar-SA"/>
        </w:rPr>
        <w:lastRenderedPageBreak/>
        <mc:AlternateContent>
          <mc:Choice Requires="wps">
            <w:drawing>
              <wp:anchor distT="0" distB="0" distL="0" distR="0" simplePos="0" relativeHeight="251737088" behindDoc="1" locked="0" layoutInCell="1" allowOverlap="1" wp14:anchorId="4F4FF3C7" wp14:editId="6B06FCAA">
                <wp:simplePos x="0" y="0"/>
                <wp:positionH relativeFrom="margin">
                  <wp:posOffset>2975610</wp:posOffset>
                </wp:positionH>
                <wp:positionV relativeFrom="paragraph">
                  <wp:posOffset>163830</wp:posOffset>
                </wp:positionV>
                <wp:extent cx="2811780" cy="1233170"/>
                <wp:effectExtent l="0" t="0" r="26670" b="24130"/>
                <wp:wrapTopAndBottom/>
                <wp:docPr id="25"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233170"/>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C1FA587" w14:textId="0164E5AD" w:rsidR="00C93E72" w:rsidRPr="005470B1" w:rsidRDefault="00C93E72" w:rsidP="00F83A35">
                            <w:pPr>
                              <w:pStyle w:val="Questionheading"/>
                              <w:ind w:left="284"/>
                            </w:pPr>
                            <w:r>
                              <w:t>Next steps and future work</w:t>
                            </w:r>
                          </w:p>
                          <w:p w14:paraId="207BE11D" w14:textId="7D2CC5DA" w:rsidR="00C93E72" w:rsidRDefault="00C93E72" w:rsidP="00F83A35">
                            <w:pPr>
                              <w:pStyle w:val="BodyText"/>
                              <w:ind w:left="284"/>
                            </w:pPr>
                            <w:r w:rsidRPr="00F83A35">
                              <w:t>IHPA will continue to use the Pricing Guidelines to inform its decision making where it is required to exercise policy judgement in undertaking its legislated functions.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FF3C7" id="Text Box 31" o:spid="_x0000_s1030" type="#_x0000_t202" style="position:absolute;margin-left:234.3pt;margin-top:12.9pt;width:221.4pt;height:97.1pt;z-index:-25157939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oO7xQIAAJkFAAAOAAAAZHJzL2Uyb0RvYy54bWysVNuO2jAQfa/Uf7D8nk0cAgS0YQUEqkrb&#10;i7TbDzCJQ6w6dmobwrbaf+/YISzb9qGqykMYe+wzc8Zn5vbu1Ah0ZNpwJTNMbiKMmCxUyeU+w18e&#10;t0GKkbFUllQoyTL8xAy+W7x9c9u1cxarWomSaQQg0sy7NsO1te08DE1Rs4aaG9UyCc5K6YZaWOp9&#10;WGraAXojwjiKJmGndNlqVTBjYDfvnXjh8auKFfZTVRlmkcgw5Gb9V/vvzn3DxS2d7zVta16c06D/&#10;kEVDuYSgF6icWooOmv8G1fBCK6Mqe1OoJlRVxQvmOQAbEv3C5qGmLfNcoDimvZTJ/D/Y4uPxs0a8&#10;zHA8xkjSBt7okZ0sWqkTGhHPCZb3xjp2zuFZ/ViTdJRPt5NglczSIBmtRsEsSVcBmcbpahwvl5NN&#10;8uyqG/pb/n7YtWbuA7rn8eZDC9HtCYKBeHww096r4qtBUq1rKvdsqbXqakZLIE084NXVHsc4kF33&#10;QZWQPD1Y5YFOlW5czlBjBOjw+E+XB3c8CtiMU0KmKbgK8JF4NCJTLwlIerjeamPfMdUgZ2RYg6I8&#10;PD0Cp57fcMRFk2rLhfCqEhJ1GZ6NobDOY5TgpXP6hdM3WwuNjhSUSYuCSdufE4cGmPT7JHK/XqSw&#10;D1Lu94ckfZs4GF/nVxEabqGxBG8ynF6huEpuZOkTtJSL3ga+Qrq8/vTUs2i2STdpEiTxZBMkUZ4H&#10;y+06CSZbMh3no3y9zsmzo0iSec3LkknHcmgmkvydWM9t3bfBpZ1eUTJ6v7uUbOt/Z4VdHQtfpzEI&#10;cPh/EaJTTa8fe9qdfAskDs7Ja6fKJ9CUVv28gPkGRq30d4w6mBUZNt8OVDOMxHsJunSDZTD0YOwG&#10;g8oCrmbYYtSba9sPoEOr+b4G5F75Ui1BuxX3qnrJAjJ3C+h/z+E8q9yAuV77Uy8TdfETAAD//wMA&#10;UEsDBBQABgAIAAAAIQB/3/2l3QAAAAoBAAAPAAAAZHJzL2Rvd25yZXYueG1sTI89T8MwEIZ3JP6D&#10;dUhs1ElVojbEqRBSBxBLC2J27COOsM9p7Lbh33NMMN57j96PZjsHL844pSGSgnJRgEAy0Q7UK3h/&#10;292tQaSsyWofCRV8Y4Jte33V6NrGC+3xfMi9YBNKtVbgch5rKZNxGHRaxBGJf59xCjrzOfXSTvrC&#10;5sHLZVFUMuiBOMHpEZ8cmq/DKSjwr0NwL2buNgmP+93x2Yz9R1Lq9mZ+fACRcc5/MPzW5+rQcqcu&#10;nsgm4RWsqnXFqILlPU9gYFOWKxAdCxwMsm3k/wntDwAAAP//AwBQSwECLQAUAAYACAAAACEAtoM4&#10;kv4AAADhAQAAEwAAAAAAAAAAAAAAAAAAAAAAW0NvbnRlbnRfVHlwZXNdLnhtbFBLAQItABQABgAI&#10;AAAAIQA4/SH/1gAAAJQBAAALAAAAAAAAAAAAAAAAAC8BAABfcmVscy8ucmVsc1BLAQItABQABgAI&#10;AAAAIQBl3oO7xQIAAJkFAAAOAAAAAAAAAAAAAAAAAC4CAABkcnMvZTJvRG9jLnhtbFBLAQItABQA&#10;BgAIAAAAIQB/3/2l3QAAAAoBAAAPAAAAAAAAAAAAAAAAAB8FAABkcnMvZG93bnJldi54bWxQSwUG&#10;AAAAAAQABADzAAAAKQYAAAAA&#10;" filled="f" strokecolor="#5f2f7e [3208]">
                <v:textbox inset="0,0,0,0">
                  <w:txbxContent>
                    <w:p w14:paraId="0C1FA587" w14:textId="0164E5AD" w:rsidR="00C93E72" w:rsidRPr="005470B1" w:rsidRDefault="00C93E72" w:rsidP="00F83A35">
                      <w:pPr>
                        <w:pStyle w:val="Questionheading"/>
                        <w:ind w:left="284"/>
                      </w:pPr>
                      <w:r>
                        <w:t>Next steps and future work</w:t>
                      </w:r>
                    </w:p>
                    <w:p w14:paraId="207BE11D" w14:textId="7D2CC5DA" w:rsidR="00C93E72" w:rsidRDefault="00C93E72" w:rsidP="00F83A35">
                      <w:pPr>
                        <w:pStyle w:val="BodyText"/>
                        <w:ind w:left="284"/>
                      </w:pPr>
                      <w:r w:rsidRPr="00F83A35">
                        <w:t>IHPA will continue to use the Pricing Guidelines to inform its decision making where it is required to exercise policy judgement in undertaking its legislated functions.</w:t>
                      </w:r>
                    </w:p>
                  </w:txbxContent>
                </v:textbox>
                <w10:wrap type="topAndBottom" anchorx="margin"/>
              </v:shape>
            </w:pict>
          </mc:Fallback>
        </mc:AlternateContent>
      </w:r>
      <w:r w:rsidRPr="0065414C">
        <w:rPr>
          <w:rFonts w:cs="Arial"/>
          <w:noProof/>
          <w:lang w:eastAsia="en-AU" w:bidi="ar-SA"/>
        </w:rPr>
        <mc:AlternateContent>
          <mc:Choice Requires="wps">
            <w:drawing>
              <wp:anchor distT="0" distB="0" distL="0" distR="0" simplePos="0" relativeHeight="251625471" behindDoc="1" locked="0" layoutInCell="1" allowOverlap="1" wp14:anchorId="206D7444" wp14:editId="1A31397E">
                <wp:simplePos x="0" y="0"/>
                <wp:positionH relativeFrom="margin">
                  <wp:posOffset>-51435</wp:posOffset>
                </wp:positionH>
                <wp:positionV relativeFrom="paragraph">
                  <wp:posOffset>163398</wp:posOffset>
                </wp:positionV>
                <wp:extent cx="2811780" cy="5607050"/>
                <wp:effectExtent l="0" t="0" r="26670" b="12700"/>
                <wp:wrapTopAndBottom/>
                <wp:docPr id="61"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5607050"/>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AD0288E" w14:textId="72F242B1" w:rsidR="00C93E72" w:rsidRPr="005470B1" w:rsidRDefault="00C93E72" w:rsidP="00BA7EE4">
                            <w:pPr>
                              <w:pStyle w:val="Questionheading"/>
                              <w:ind w:left="284"/>
                            </w:pPr>
                            <w:bookmarkStart w:id="58" w:name="Question12"/>
                            <w:r>
                              <w:t>IHPA’s decision</w:t>
                            </w:r>
                          </w:p>
                          <w:bookmarkEnd w:id="58"/>
                          <w:p w14:paraId="1FF0B9DA" w14:textId="44EDC291" w:rsidR="00C93E72" w:rsidRDefault="00C93E72" w:rsidP="00BA7EE4">
                            <w:pPr>
                              <w:pStyle w:val="BodyText"/>
                              <w:ind w:left="284"/>
                            </w:pPr>
                            <w:r>
                              <w:t xml:space="preserve">IHPA will continue to use the Pricing Guidelines to inform its decision making where it is required to exercise policy judgement in undertaking its legislated functions. </w:t>
                            </w:r>
                          </w:p>
                          <w:p w14:paraId="7EB0ABBF" w14:textId="71169577" w:rsidR="00C93E72" w:rsidRDefault="00C93E72" w:rsidP="00BA7EE4">
                            <w:pPr>
                              <w:pStyle w:val="BodyText"/>
                              <w:ind w:left="284"/>
                            </w:pPr>
                            <w:r>
                              <w:t xml:space="preserve">IHPA has updated the Pricing Guideline </w:t>
                            </w:r>
                            <w:r w:rsidRPr="00E6759E">
                              <w:rPr>
                                <w:i/>
                                <w:iCs/>
                              </w:rPr>
                              <w:t>ABF pre-eminence</w:t>
                            </w:r>
                            <w:r>
                              <w:t xml:space="preserve"> incorporating stakeholder feedback as follows:</w:t>
                            </w:r>
                          </w:p>
                          <w:p w14:paraId="1643CB35" w14:textId="059FD927" w:rsidR="00C93E72" w:rsidRPr="00BA7EE4" w:rsidRDefault="00C93E72" w:rsidP="00BA7EE4">
                            <w:pPr>
                              <w:pStyle w:val="ListParagraph"/>
                              <w:ind w:left="567"/>
                            </w:pPr>
                            <w:r w:rsidRPr="00B86839">
                              <w:rPr>
                                <w:b/>
                                <w:bCs/>
                              </w:rPr>
                              <w:t>ABF pre-eminence:</w:t>
                            </w:r>
                            <w:r w:rsidRPr="00B86839">
                              <w:rPr>
                                <w:i/>
                                <w:iCs/>
                              </w:rPr>
                              <w:t xml:space="preserve"> ‘ABF should be</w:t>
                            </w:r>
                            <w:r>
                              <w:rPr>
                                <w:i/>
                                <w:iCs/>
                              </w:rPr>
                              <w:t> </w:t>
                            </w:r>
                            <w:r w:rsidRPr="00B86839">
                              <w:rPr>
                                <w:i/>
                                <w:iCs/>
                              </w:rPr>
                              <w:t xml:space="preserve">used for funding public hospital services wherever practicable </w:t>
                            </w:r>
                            <w:r w:rsidRPr="00877F49">
                              <w:rPr>
                                <w:i/>
                                <w:iCs/>
                                <w:u w:val="single"/>
                              </w:rPr>
                              <w:t>and compatible with delivering value in both outcomes and cost</w:t>
                            </w:r>
                            <w:r w:rsidRPr="00B86839">
                              <w:rPr>
                                <w:i/>
                                <w:iCs/>
                              </w:rPr>
                              <w:t>.’</w:t>
                            </w:r>
                          </w:p>
                          <w:p w14:paraId="17A60E74" w14:textId="77777777" w:rsidR="00C93E72" w:rsidRDefault="00C93E72" w:rsidP="00BA7EE4">
                            <w:pPr>
                              <w:pStyle w:val="BodyText"/>
                              <w:ind w:left="284"/>
                            </w:pPr>
                            <w:r>
                              <w:t xml:space="preserve">IHPA has updated the Pricing Guidelines </w:t>
                            </w:r>
                            <w:r w:rsidRPr="00877F49">
                              <w:rPr>
                                <w:i/>
                                <w:iCs/>
                              </w:rPr>
                              <w:t>Patient-based</w:t>
                            </w:r>
                            <w:r>
                              <w:t xml:space="preserve"> incorporating stakeholder feedback as follows:</w:t>
                            </w:r>
                          </w:p>
                          <w:p w14:paraId="5885441E" w14:textId="6032363D" w:rsidR="00C93E72" w:rsidRDefault="00C93E72" w:rsidP="00BA7EE4">
                            <w:pPr>
                              <w:pStyle w:val="ListParagraph"/>
                              <w:ind w:left="567"/>
                            </w:pPr>
                            <w:r w:rsidRPr="00B86839">
                              <w:rPr>
                                <w:b/>
                                <w:bCs/>
                              </w:rPr>
                              <w:t>Patient-based:</w:t>
                            </w:r>
                            <w:r>
                              <w:t xml:space="preserve"> </w:t>
                            </w:r>
                            <w:r w:rsidRPr="00B86839">
                              <w:rPr>
                                <w:i/>
                                <w:iCs/>
                              </w:rPr>
                              <w:t>‘Adjustments to the standard price should be</w:t>
                            </w:r>
                            <w:r w:rsidRPr="00877F49">
                              <w:rPr>
                                <w:i/>
                                <w:iCs/>
                                <w:strike/>
                              </w:rPr>
                              <w:t>, as far as is practicable,</w:t>
                            </w:r>
                            <w:r w:rsidRPr="00B86839">
                              <w:rPr>
                                <w:i/>
                                <w:iCs/>
                              </w:rPr>
                              <w:t xml:space="preserve"> based on patient-related rather than provider-related characteristics </w:t>
                            </w:r>
                            <w:r w:rsidRPr="00877F49">
                              <w:rPr>
                                <w:i/>
                                <w:iCs/>
                                <w:u w:val="single"/>
                              </w:rPr>
                              <w:t>wherever practicable</w:t>
                            </w:r>
                            <w:r w:rsidRPr="00B86839">
                              <w:rPr>
                                <w:i/>
                                <w:iCs/>
                              </w:rPr>
                              <w:t>.’</w:t>
                            </w:r>
                          </w:p>
                          <w:p w14:paraId="0B9313C9" w14:textId="2517936B" w:rsidR="00C93E72" w:rsidRDefault="00C93E72" w:rsidP="00BA7EE4">
                            <w:pPr>
                              <w:pStyle w:val="BodyText"/>
                              <w:ind w:left="284"/>
                            </w:pPr>
                            <w:r>
                              <w:t xml:space="preserve">IHPA has updated the Pricing Guideline </w:t>
                            </w:r>
                            <w:r w:rsidRPr="00877F49">
                              <w:rPr>
                                <w:i/>
                                <w:iCs/>
                              </w:rPr>
                              <w:t>Public-‍private neutrality</w:t>
                            </w:r>
                            <w:r>
                              <w:t xml:space="preserve"> to reflect the proposed wording in the Consultation Paper as follows:</w:t>
                            </w:r>
                          </w:p>
                          <w:p w14:paraId="5AB9A842" w14:textId="7CF3165E" w:rsidR="00C93E72" w:rsidRDefault="00C93E72" w:rsidP="00BA7EE4">
                            <w:pPr>
                              <w:pStyle w:val="ListParagraph"/>
                              <w:ind w:left="567"/>
                            </w:pPr>
                            <w:r w:rsidRPr="00B86839">
                              <w:rPr>
                                <w:b/>
                                <w:bCs/>
                              </w:rPr>
                              <w:t>Public-private neutrality:</w:t>
                            </w:r>
                            <w:r>
                              <w:t xml:space="preserve"> </w:t>
                            </w:r>
                            <w:r w:rsidRPr="00B86839">
                              <w:rPr>
                                <w:i/>
                                <w:iCs/>
                              </w:rPr>
                              <w:t>‘ABF pricing should ensure that payments a local hospital network (LHN) receives for a public patient should be equal to payments made for a LHN service for</w:t>
                            </w:r>
                            <w:r>
                              <w:rPr>
                                <w:i/>
                                <w:iCs/>
                              </w:rPr>
                              <w:t> </w:t>
                            </w:r>
                            <w:r w:rsidRPr="00B86839">
                              <w:rPr>
                                <w:i/>
                                <w:iCs/>
                              </w:rPr>
                              <w:t>a</w:t>
                            </w:r>
                            <w:r>
                              <w:rPr>
                                <w:i/>
                                <w:iCs/>
                              </w:rPr>
                              <w:t> </w:t>
                            </w:r>
                            <w:r w:rsidRPr="00B86839">
                              <w:rPr>
                                <w:i/>
                                <w:iCs/>
                              </w:rPr>
                              <w:t>private patient.’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7444" id="_x0000_s1031" type="#_x0000_t202" style="position:absolute;margin-left:-4.05pt;margin-top:12.85pt;width:221.4pt;height:441.5pt;z-index:-25169100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vqhwwIAAJkFAAAOAAAAZHJzL2Uyb0RvYy54bWysVNuO2jAQfa/Uf7D8ns2FAAFtWAGBqtL2&#10;Iu32A4zjEKuJndqGsK323zu2Cct2X6qqeXDGtzNzxmfm9u7UNujIlOZS5Di+iTBigsqSi32Ovz1u&#10;gwwjbYgoSSMFy/ET0/hu8f7dbd/NWSJr2ZRMIQARet53Oa6N6eZhqGnNWqJvZMcEbFZStcTAVO3D&#10;UpEe0NsmTKJoEvZSlZ2SlGkNq4XfxAuHX1WMmi9VpZlBTY4hNuNG5cadHcPFLZnvFelqTs9hkH+I&#10;oiVcgNMLVEEMQQfF30C1nCqpZWVuqGxDWVWcMscB2MTRH2weatIxxwWSo7tLmvT/g6Wfj18V4mWO&#10;JzFGgrTwRo/sZNBKntAodpxgeq+NZWc3HKtf6zgbFdPtJFilsyxIR6tRMEuzVRBPk2w1TpbLySZ9&#10;ttkN3S13P+w7PXcO7fM486ED7+YEzkA8zpnu7iX9rpGQ65qIPVsqJfuakRJIxw7w6qrH0RZk13+S&#10;JQRPDkY6oFOlWhsz5BgBOjz+0+XBLQ8Ki0kWx9MMtijsjSfRNBo7SUDQw/VOafOByRZZI8cKFOXg&#10;yRE4eX7DEetNyC1vGqeqRqA+x7NxMvbEZMNLu2mPOX2zdaPQkYAyCaVMGH+uObTAxK/Hkf28SGEd&#10;pOzXhyAvMC7P+tpDyw0UVsPbHGdXKDaTG1G6AA3hjbeBbyPOD/zmqWfRbJNtsjRIk8kmSKOiCJbb&#10;dRpMtvF0XIyK9bqIny3FOJ3XvCyZsCyHYorTvxPruax9GVzK6RUlrfa7S8q27jsr7OpY+DqMQYDD&#10;/0WIVjVeP+a0O7kSGFs4K6+dLJ9AU0r6fgH9DYxaqp8Y9dArcqx/HIhiGDUfBejSNpbBUIOxGwwi&#10;KFzNscHIm2vjG9ChU3xfA7JXvpBL0G7FnapeooDI7QTq33E49yrbYK7n7tRLR138BgAA//8DAFBL&#10;AwQUAAYACAAAACEAP01Z+t8AAAAJAQAADwAAAGRycy9kb3ducmV2LnhtbEyPwU7DMBBE70j8g7VI&#10;3FqnpdA0jVMhpB5AXFoQZ8fexhHxOo3dNvw9y4neZjWjmbflZvSdOOMQ20AKZtMMBJIJtqVGwefH&#10;dpKDiEmT1V0gVPCDETbV7U2pCxsutMPzPjWCSygWWoFLqS+kjMah13EaeiT2DmHwOvE5NNIO+sLl&#10;vpPzLHuSXrfEC073+OLQfO9PXkH33nr3ZsZ6FfG42x5fTd98RaXu78bnNYiEY/oPwx8+o0PFTHU4&#10;kY2iUzDJZ5xUMH9cgmB/8bBgUStYZfkSZFXK6w+qXwAAAP//AwBQSwECLQAUAAYACAAAACEAtoM4&#10;kv4AAADhAQAAEwAAAAAAAAAAAAAAAAAAAAAAW0NvbnRlbnRfVHlwZXNdLnhtbFBLAQItABQABgAI&#10;AAAAIQA4/SH/1gAAAJQBAAALAAAAAAAAAAAAAAAAAC8BAABfcmVscy8ucmVsc1BLAQItABQABgAI&#10;AAAAIQC0bvqhwwIAAJkFAAAOAAAAAAAAAAAAAAAAAC4CAABkcnMvZTJvRG9jLnhtbFBLAQItABQA&#10;BgAIAAAAIQA/TVn63wAAAAkBAAAPAAAAAAAAAAAAAAAAAB0FAABkcnMvZG93bnJldi54bWxQSwUG&#10;AAAAAAQABADzAAAAKQYAAAAA&#10;" filled="f" strokecolor="#5f2f7e [3208]">
                <v:textbox inset="0,0,0,0">
                  <w:txbxContent>
                    <w:p w14:paraId="5AD0288E" w14:textId="72F242B1" w:rsidR="00C93E72" w:rsidRPr="005470B1" w:rsidRDefault="00C93E72" w:rsidP="00BA7EE4">
                      <w:pPr>
                        <w:pStyle w:val="Questionheading"/>
                        <w:ind w:left="284"/>
                      </w:pPr>
                      <w:bookmarkStart w:id="78" w:name="Question12"/>
                      <w:r>
                        <w:t>IHPA’s decision</w:t>
                      </w:r>
                    </w:p>
                    <w:bookmarkEnd w:id="78"/>
                    <w:p w14:paraId="1FF0B9DA" w14:textId="44EDC291" w:rsidR="00C93E72" w:rsidRDefault="00C93E72" w:rsidP="00BA7EE4">
                      <w:pPr>
                        <w:pStyle w:val="BodyText"/>
                        <w:ind w:left="284"/>
                      </w:pPr>
                      <w:r>
                        <w:t xml:space="preserve">IHPA will continue to use the Pricing Guidelines to inform its decision making where it is required to exercise policy judgement in undertaking its legislated functions. </w:t>
                      </w:r>
                    </w:p>
                    <w:p w14:paraId="7EB0ABBF" w14:textId="71169577" w:rsidR="00C93E72" w:rsidRDefault="00C93E72" w:rsidP="00BA7EE4">
                      <w:pPr>
                        <w:pStyle w:val="BodyText"/>
                        <w:ind w:left="284"/>
                      </w:pPr>
                      <w:r>
                        <w:t xml:space="preserve">IHPA has updated the Pricing Guideline </w:t>
                      </w:r>
                      <w:r w:rsidRPr="00E6759E">
                        <w:rPr>
                          <w:i/>
                          <w:iCs/>
                        </w:rPr>
                        <w:t>ABF pre-eminence</w:t>
                      </w:r>
                      <w:r>
                        <w:t xml:space="preserve"> incorporating stakeholder feedback as follows:</w:t>
                      </w:r>
                    </w:p>
                    <w:p w14:paraId="1643CB35" w14:textId="059FD927" w:rsidR="00C93E72" w:rsidRPr="00BA7EE4" w:rsidRDefault="00C93E72" w:rsidP="00BA7EE4">
                      <w:pPr>
                        <w:pStyle w:val="ListParagraph"/>
                        <w:ind w:left="567"/>
                      </w:pPr>
                      <w:r w:rsidRPr="00B86839">
                        <w:rPr>
                          <w:b/>
                          <w:bCs/>
                        </w:rPr>
                        <w:t>ABF pre-eminence:</w:t>
                      </w:r>
                      <w:r w:rsidRPr="00B86839">
                        <w:rPr>
                          <w:i/>
                          <w:iCs/>
                        </w:rPr>
                        <w:t xml:space="preserve"> ‘ABF should be</w:t>
                      </w:r>
                      <w:r>
                        <w:rPr>
                          <w:i/>
                          <w:iCs/>
                        </w:rPr>
                        <w:t> </w:t>
                      </w:r>
                      <w:r w:rsidRPr="00B86839">
                        <w:rPr>
                          <w:i/>
                          <w:iCs/>
                        </w:rPr>
                        <w:t xml:space="preserve">used for funding public hospital services wherever practicable </w:t>
                      </w:r>
                      <w:r w:rsidRPr="00877F49">
                        <w:rPr>
                          <w:i/>
                          <w:iCs/>
                          <w:u w:val="single"/>
                        </w:rPr>
                        <w:t>and compatible with delivering value in both outcomes and cost</w:t>
                      </w:r>
                      <w:r w:rsidRPr="00B86839">
                        <w:rPr>
                          <w:i/>
                          <w:iCs/>
                        </w:rPr>
                        <w:t>.’</w:t>
                      </w:r>
                    </w:p>
                    <w:p w14:paraId="17A60E74" w14:textId="77777777" w:rsidR="00C93E72" w:rsidRDefault="00C93E72" w:rsidP="00BA7EE4">
                      <w:pPr>
                        <w:pStyle w:val="BodyText"/>
                        <w:ind w:left="284"/>
                      </w:pPr>
                      <w:r>
                        <w:t xml:space="preserve">IHPA has updated the Pricing Guidelines </w:t>
                      </w:r>
                      <w:r w:rsidRPr="00877F49">
                        <w:rPr>
                          <w:i/>
                          <w:iCs/>
                        </w:rPr>
                        <w:t>Patient-based</w:t>
                      </w:r>
                      <w:r>
                        <w:t xml:space="preserve"> incorporating stakeholder feedback as follows:</w:t>
                      </w:r>
                    </w:p>
                    <w:p w14:paraId="5885441E" w14:textId="6032363D" w:rsidR="00C93E72" w:rsidRDefault="00C93E72" w:rsidP="00BA7EE4">
                      <w:pPr>
                        <w:pStyle w:val="ListParagraph"/>
                        <w:ind w:left="567"/>
                      </w:pPr>
                      <w:r w:rsidRPr="00B86839">
                        <w:rPr>
                          <w:b/>
                          <w:bCs/>
                        </w:rPr>
                        <w:t>Patient-based:</w:t>
                      </w:r>
                      <w:r>
                        <w:t xml:space="preserve"> </w:t>
                      </w:r>
                      <w:r w:rsidRPr="00B86839">
                        <w:rPr>
                          <w:i/>
                          <w:iCs/>
                        </w:rPr>
                        <w:t>‘Adjustments to the standard price should be</w:t>
                      </w:r>
                      <w:r w:rsidRPr="00877F49">
                        <w:rPr>
                          <w:i/>
                          <w:iCs/>
                          <w:strike/>
                        </w:rPr>
                        <w:t>, as far as is practicable,</w:t>
                      </w:r>
                      <w:r w:rsidRPr="00B86839">
                        <w:rPr>
                          <w:i/>
                          <w:iCs/>
                        </w:rPr>
                        <w:t xml:space="preserve"> based on patient-related rather than provider-related characteristics </w:t>
                      </w:r>
                      <w:r w:rsidRPr="00877F49">
                        <w:rPr>
                          <w:i/>
                          <w:iCs/>
                          <w:u w:val="single"/>
                        </w:rPr>
                        <w:t>wherever practicable</w:t>
                      </w:r>
                      <w:r w:rsidRPr="00B86839">
                        <w:rPr>
                          <w:i/>
                          <w:iCs/>
                        </w:rPr>
                        <w:t>.’</w:t>
                      </w:r>
                    </w:p>
                    <w:p w14:paraId="0B9313C9" w14:textId="2517936B" w:rsidR="00C93E72" w:rsidRDefault="00C93E72" w:rsidP="00BA7EE4">
                      <w:pPr>
                        <w:pStyle w:val="BodyText"/>
                        <w:ind w:left="284"/>
                      </w:pPr>
                      <w:r>
                        <w:t xml:space="preserve">IHPA has updated the Pricing Guideline </w:t>
                      </w:r>
                      <w:r w:rsidRPr="00877F49">
                        <w:rPr>
                          <w:i/>
                          <w:iCs/>
                        </w:rPr>
                        <w:t>Public-‍private neutrality</w:t>
                      </w:r>
                      <w:r>
                        <w:t xml:space="preserve"> to reflect the proposed wording in the Consultation Paper as follows:</w:t>
                      </w:r>
                    </w:p>
                    <w:p w14:paraId="5AB9A842" w14:textId="7CF3165E" w:rsidR="00C93E72" w:rsidRDefault="00C93E72" w:rsidP="00BA7EE4">
                      <w:pPr>
                        <w:pStyle w:val="ListParagraph"/>
                        <w:ind w:left="567"/>
                      </w:pPr>
                      <w:r w:rsidRPr="00B86839">
                        <w:rPr>
                          <w:b/>
                          <w:bCs/>
                        </w:rPr>
                        <w:t>Public-private neutrality:</w:t>
                      </w:r>
                      <w:r>
                        <w:t xml:space="preserve"> </w:t>
                      </w:r>
                      <w:r w:rsidRPr="00B86839">
                        <w:rPr>
                          <w:i/>
                          <w:iCs/>
                        </w:rPr>
                        <w:t>‘ABF pricing should ensure that payments a local hospital network (LHN) receives for a public patient should be equal to payments made for a LHN service for</w:t>
                      </w:r>
                      <w:r>
                        <w:rPr>
                          <w:i/>
                          <w:iCs/>
                        </w:rPr>
                        <w:t> </w:t>
                      </w:r>
                      <w:r w:rsidRPr="00B86839">
                        <w:rPr>
                          <w:i/>
                          <w:iCs/>
                        </w:rPr>
                        <w:t>a</w:t>
                      </w:r>
                      <w:r>
                        <w:rPr>
                          <w:i/>
                          <w:iCs/>
                        </w:rPr>
                        <w:t> </w:t>
                      </w:r>
                      <w:r w:rsidRPr="00B86839">
                        <w:rPr>
                          <w:i/>
                          <w:iCs/>
                        </w:rPr>
                        <w:t>private patient.’</w:t>
                      </w:r>
                    </w:p>
                  </w:txbxContent>
                </v:textbox>
                <w10:wrap type="topAndBottom" anchorx="margin"/>
              </v:shape>
            </w:pict>
          </mc:Fallback>
        </mc:AlternateContent>
      </w:r>
    </w:p>
    <w:p w14:paraId="0103411B" w14:textId="77777777" w:rsidR="00977E6C" w:rsidRPr="0065414C" w:rsidRDefault="00977E6C" w:rsidP="00977E6C">
      <w:pPr>
        <w:pStyle w:val="BodyText"/>
        <w:rPr>
          <w:rFonts w:cs="Arial"/>
        </w:rPr>
        <w:sectPr w:rsidR="00977E6C" w:rsidRPr="0065414C" w:rsidSect="00971899">
          <w:type w:val="continuous"/>
          <w:pgSz w:w="11910" w:h="16840"/>
          <w:pgMar w:top="1440" w:right="1440" w:bottom="1440" w:left="1440" w:header="720" w:footer="720" w:gutter="0"/>
          <w:cols w:num="2" w:space="340"/>
        </w:sectPr>
      </w:pPr>
    </w:p>
    <w:p w14:paraId="74E5540A" w14:textId="77777777" w:rsidR="001031CF" w:rsidRPr="0065414C" w:rsidRDefault="001031CF" w:rsidP="009314EC">
      <w:pPr>
        <w:pStyle w:val="Figureheading"/>
      </w:pPr>
      <w:bookmarkStart w:id="59" w:name="_bookmark6"/>
      <w:bookmarkEnd w:id="59"/>
      <w:r w:rsidRPr="0065414C">
        <w:lastRenderedPageBreak/>
        <w:t xml:space="preserve">Figure 1: </w:t>
      </w:r>
      <w:r w:rsidR="00194354" w:rsidRPr="0065414C">
        <w:t xml:space="preserve">The </w:t>
      </w:r>
      <w:r w:rsidRPr="0065414C">
        <w:t>Pricing Guidelines</w:t>
      </w:r>
    </w:p>
    <w:p w14:paraId="1CD5FC6C" w14:textId="77777777" w:rsidR="001031CF" w:rsidRPr="0065414C" w:rsidRDefault="001031CF" w:rsidP="001031CF">
      <w:pPr>
        <w:pStyle w:val="BodyText"/>
        <w:rPr>
          <w:rFonts w:cs="Arial"/>
        </w:rPr>
        <w:sectPr w:rsidR="001031CF" w:rsidRPr="0065414C" w:rsidSect="001142D0">
          <w:headerReference w:type="default" r:id="rId37"/>
          <w:pgSz w:w="11910" w:h="16840"/>
          <w:pgMar w:top="1440" w:right="1440" w:bottom="1440" w:left="1440" w:header="0" w:footer="656" w:gutter="0"/>
          <w:cols w:space="720"/>
        </w:sectPr>
      </w:pPr>
    </w:p>
    <w:tbl>
      <w:tblPr>
        <w:tblStyle w:val="TableGrid"/>
        <w:tblW w:w="4988" w:type="pct"/>
        <w:tblBorders>
          <w:top w:val="none" w:sz="0" w:space="0" w:color="auto"/>
          <w:left w:val="none" w:sz="0" w:space="0" w:color="auto"/>
          <w:bottom w:val="none" w:sz="0" w:space="0" w:color="auto"/>
          <w:right w:val="none" w:sz="0" w:space="0" w:color="auto"/>
          <w:insideV w:val="none" w:sz="0" w:space="0" w:color="auto"/>
        </w:tblBorders>
        <w:shd w:val="clear" w:color="auto" w:fill="F2F2F2" w:themeFill="background1" w:themeFillShade="F2"/>
        <w:tblCellMar>
          <w:left w:w="170" w:type="dxa"/>
        </w:tblCellMar>
        <w:tblLook w:val="04A0" w:firstRow="1" w:lastRow="0" w:firstColumn="1" w:lastColumn="0" w:noHBand="0" w:noVBand="1"/>
        <w:tblCaption w:val="Figure 1: Pricing Guidelines"/>
        <w:tblDescription w:val="Overarching Guidelines that articulate the policy intent behind the introduction of funding reform for public hospital services comprising ABF and block grant funding: Timely–quality care: Funding should support timely access to quality health services. Efficiency: ABF should improve the value of the public investment in hospital care and ensure a sustainable and efficient network of public hospital services. Fairness: ABF payments should be fair and equitable, including being based on the same price for the same service across public, private or not-for-profit providers of public hospital services. Maintaining agreed roles and responsibilities of governments determined by the National Health Reform Agreement: Funding design should recognise the complementary responsibilities of each level of government in funding health services.&#10;Process Guidelines to guide the implementation of ABF and block grant funding arrangements: Transparency: All steps in the determination of ABF and block grant funding should be clear and transparent. Administrative ease: Funding arrangements should not unduly increase the administrative burden on hospitals and system managers. Stability: The payment relativities for ABF are consistent over time. Evidence-based: Funding should be based on best available information. System Design Guidelines to inform the options for design of ABF and block grant funding arrangements: Fostering clinical innovation: Pricing of public hospital services should respond in a timely way to introduction of evidence-based, effective new technology and innovations in the models of care that improve patient outcomes. Promoting value: Pricing should support innovative and alternative funding solutions that deliver efficient quality care with a focus on patient outcomes. Promoting harmonisation: Pricing should facilitate best practice provision of appropriate site of care. Minimising undesirable and inadvertent consequences: Funding design should minimise susceptibility to gaming, inappropriate rewards and perverse incentives. ABF pre eminence: ABF should be used for funding public hospital services wherever practicable. Single unit of measure and price equivalence: ABF pricing should support dynamic efficiency and changes to models of care with the ready transferability of funding between different care types and service streams through a single unit of measure and relative weights. Patient-based: Adjustments to the standard price should be, as far as is practicable, based on patient-related rather than provider related characteristics. Public-private neutrality: ABF pricing should ensure that there is funding neutrality for the service provider for treating a person who elects to be treated as a private or a public patient in a public hospital.&#10;"/>
      </w:tblPr>
      <w:tblGrid>
        <w:gridCol w:w="4504"/>
        <w:gridCol w:w="4504"/>
      </w:tblGrid>
      <w:tr w:rsidR="00521325" w14:paraId="063888C0" w14:textId="77777777" w:rsidTr="001C5C18">
        <w:trPr>
          <w:trHeight w:val="12614"/>
        </w:trPr>
        <w:tc>
          <w:tcPr>
            <w:tcW w:w="2500" w:type="pct"/>
            <w:shd w:val="clear" w:color="auto" w:fill="F2F2F2" w:themeFill="background1" w:themeFillShade="F2"/>
          </w:tcPr>
          <w:p w14:paraId="584172C1" w14:textId="77777777" w:rsidR="00521325" w:rsidRDefault="00521325" w:rsidP="00EB7EB7">
            <w:pPr>
              <w:pStyle w:val="BodyText"/>
              <w:rPr>
                <w:rFonts w:cs="Arial"/>
                <w:b/>
                <w:bCs/>
              </w:rPr>
            </w:pPr>
            <w:r>
              <w:rPr>
                <w:rFonts w:cs="Arial"/>
                <w:b/>
                <w:bCs/>
                <w:noProof/>
                <w:lang w:eastAsia="en-AU" w:bidi="ar-SA"/>
              </w:rPr>
              <mc:AlternateContent>
                <mc:Choice Requires="wps">
                  <w:drawing>
                    <wp:anchor distT="0" distB="0" distL="114300" distR="114300" simplePos="0" relativeHeight="251725824" behindDoc="0" locked="0" layoutInCell="1" allowOverlap="1" wp14:anchorId="286EE2C8" wp14:editId="747108F5">
                      <wp:simplePos x="0" y="0"/>
                      <wp:positionH relativeFrom="column">
                        <wp:posOffset>14604</wp:posOffset>
                      </wp:positionH>
                      <wp:positionV relativeFrom="paragraph">
                        <wp:posOffset>205105</wp:posOffset>
                      </wp:positionV>
                      <wp:extent cx="2543175" cy="0"/>
                      <wp:effectExtent l="0" t="0" r="0" b="0"/>
                      <wp:wrapNone/>
                      <wp:docPr id="35" name="Straight Connector 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31B94632" id="Straight Connector 35" o:spid="_x0000_s1026" alt="&quot;&quot;"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1.15pt,16.15pt" to="201.4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65j0gEAAAkEAAAOAAAAZHJzL2Uyb0RvYy54bWysU8Fu1DAQvSPxD5bvbJItBRRttoetygXB&#10;isIHuM54Y8n2WLbZZP+esbObVgUJteLiZOx5b948jzc3kzXsCCFqdB1vVjVn4CT22h06/vPH3btP&#10;nMUkXC8MOuj4CSK/2b59sxl9C2sc0PQQGJG42I6+40NKvq2qKAewIq7Qg6NDhcGKRGE4VH0QI7Fb&#10;U63r+kM1Yuh9QAkx0u7tfMi3hV8pkOmbUhESMx0nbamsoawPea22G9EegvCDlmcZ4hUqrNCOii5U&#10;tyIJ9ivoP6islgEjqrSSaCtUSksoPVA3Tf2sm/tBeCi9kDnRLzbF/0crvx73gem+41fXnDlh6Y7u&#10;UxD6MCS2Q+fIQQyMDsmp0ceWADu3D+co+n3IbU8q2PylhthU3D0t7sKUmKTN9fX7q+YjVZGXs+oR&#10;6ENMnwEtyz8dN9rlxkUrjl9iomKUeknJ28blNaLR/Z02pgR5ZGBnAjsKumwhJbi0zrIJ+ySTooyu&#10;cjOz/PKXTgZm5u+gyBAS3BQFZRSf8zZnXuMoO8MUqViA9b+B5/wMhTKmLwEviFIZXVrAVjsMf6ue&#10;potkNedfHJj7zhY8YH8qF1usoXkrzp3fRh7op3GBP77g7W8AAAD//wMAUEsDBBQABgAIAAAAIQD5&#10;3+dW3QAAAAcBAAAPAAAAZHJzL2Rvd25yZXYueG1sTI8xT8MwEIV3JP6DdUgsqHVIECohToWQkDrA&#10;QMtANze+xgH7HMVOG/49VzGU6XT3nt59r1pO3okDDrELpOB2noFAaoLpqFXwsXmZLUDEpMloFwgV&#10;/GCEZX15UenShCO942GdWsEhFEutwKbUl1LGxqLXcR56JNb2YfA68Tq00gz6yOHeyTzL7qXXHfEH&#10;q3t8tth8r0ev4G27JbvaFJ/W9bHbr9qbr4fXUanrq+npEUTCKZ3NcMJndKiZaRdGMlE4BXnBRgXF&#10;abJ8l+XcZPd3kHUl//PXvwAAAP//AwBQSwECLQAUAAYACAAAACEAtoM4kv4AAADhAQAAEwAAAAAA&#10;AAAAAAAAAAAAAAAAW0NvbnRlbnRfVHlwZXNdLnhtbFBLAQItABQABgAIAAAAIQA4/SH/1gAAAJQB&#10;AAALAAAAAAAAAAAAAAAAAC8BAABfcmVscy8ucmVsc1BLAQItABQABgAIAAAAIQDqA65j0gEAAAkE&#10;AAAOAAAAAAAAAAAAAAAAAC4CAABkcnMvZTJvRG9jLnhtbFBLAQItABQABgAIAAAAIQD53+dW3QAA&#10;AAcBAAAPAAAAAAAAAAAAAAAAACwEAABkcnMvZG93bnJldi54bWxQSwUGAAAAAAQABADzAAAANgUA&#10;AAAA&#10;" strokecolor="#008f54 [3205]"/>
                  </w:pict>
                </mc:Fallback>
              </mc:AlternateContent>
            </w:r>
          </w:p>
          <w:p w14:paraId="61DC46CE" w14:textId="77777777" w:rsidR="00521325" w:rsidRPr="0065414C" w:rsidRDefault="00521325" w:rsidP="00EB7EB7">
            <w:pPr>
              <w:pStyle w:val="BodyText"/>
              <w:rPr>
                <w:rFonts w:cs="Arial"/>
              </w:rPr>
            </w:pPr>
            <w:r w:rsidRPr="0065414C">
              <w:rPr>
                <w:rFonts w:cs="Arial"/>
                <w:b/>
                <w:bCs/>
              </w:rPr>
              <w:t>Overarching Guidelines</w:t>
            </w:r>
            <w:r w:rsidRPr="0065414C">
              <w:rPr>
                <w:rFonts w:cs="Arial"/>
              </w:rPr>
              <w:t> that articulate the policy intent behind the introduction of funding reform for public hospital services comprising ABF and block grant funding:</w:t>
            </w:r>
          </w:p>
          <w:p w14:paraId="5A952DDE" w14:textId="10FFCAA4"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Timely-quality care</w:t>
            </w:r>
            <w:r w:rsidRPr="0065414C">
              <w:rPr>
                <w:rFonts w:cs="Arial"/>
              </w:rPr>
              <w:t>: Funding should support timely access to quality health</w:t>
            </w:r>
            <w:r w:rsidR="004C3925">
              <w:rPr>
                <w:rFonts w:cs="Arial"/>
              </w:rPr>
              <w:t> </w:t>
            </w:r>
            <w:r w:rsidRPr="0065414C">
              <w:rPr>
                <w:rFonts w:cs="Arial"/>
              </w:rPr>
              <w:t>services</w:t>
            </w:r>
            <w:r w:rsidRPr="0065414C">
              <w:rPr>
                <w:rFonts w:cs="Arial"/>
                <w:spacing w:val="2"/>
              </w:rPr>
              <w:t>.</w:t>
            </w:r>
          </w:p>
          <w:p w14:paraId="280D801B" w14:textId="60CA1596"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Efficiency</w:t>
            </w:r>
            <w:r w:rsidRPr="0065414C">
              <w:rPr>
                <w:rFonts w:cs="Arial"/>
              </w:rPr>
              <w:t>: ABF should improve the value of the public investment in hospital care and ensure a sustainable and efficient network of public hospital</w:t>
            </w:r>
            <w:r w:rsidR="004C3925">
              <w:rPr>
                <w:rFonts w:cs="Arial"/>
              </w:rPr>
              <w:t> </w:t>
            </w:r>
            <w:r w:rsidRPr="0065414C">
              <w:rPr>
                <w:rFonts w:cs="Arial"/>
              </w:rPr>
              <w:t>services.</w:t>
            </w:r>
          </w:p>
          <w:p w14:paraId="28F85936"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rPr>
              <w:t xml:space="preserve">Fairness: </w:t>
            </w:r>
            <w:r w:rsidRPr="0065414C">
              <w:rPr>
                <w:rFonts w:cs="Arial"/>
              </w:rPr>
              <w:t>ABF payments should be fair and equitable, including being based on the same price for the same service across public, private or not-for-profit providers of public hospital services and recognise the legitimate and unavoidable costs faced by some providers of public hospital services.</w:t>
            </w:r>
          </w:p>
          <w:p w14:paraId="5A833871" w14:textId="77777777" w:rsidR="00521325" w:rsidRPr="0065414C" w:rsidRDefault="00521325" w:rsidP="00EB7EB7">
            <w:pPr>
              <w:pStyle w:val="ListParagraph"/>
              <w:numPr>
                <w:ilvl w:val="0"/>
                <w:numId w:val="1"/>
              </w:numPr>
              <w:tabs>
                <w:tab w:val="clear" w:pos="1418"/>
                <w:tab w:val="left" w:pos="1701"/>
              </w:tabs>
              <w:ind w:left="284"/>
              <w:rPr>
                <w:rFonts w:cs="Arial"/>
              </w:rPr>
            </w:pPr>
            <w:r w:rsidRPr="0065414C">
              <w:rPr>
                <w:rFonts w:cs="Arial"/>
                <w:b/>
                <w:spacing w:val="2"/>
              </w:rPr>
              <w:t xml:space="preserve">Maintaining </w:t>
            </w:r>
            <w:r w:rsidRPr="0065414C">
              <w:rPr>
                <w:rFonts w:cs="Arial"/>
                <w:b/>
              </w:rPr>
              <w:t xml:space="preserve">agreed roles and responsibilities of governments determined by </w:t>
            </w:r>
            <w:r w:rsidRPr="0065414C">
              <w:rPr>
                <w:rFonts w:cs="Arial"/>
                <w:b/>
                <w:spacing w:val="2"/>
              </w:rPr>
              <w:t xml:space="preserve">the National Health </w:t>
            </w:r>
            <w:r w:rsidRPr="0065414C">
              <w:rPr>
                <w:rFonts w:cs="Arial"/>
                <w:b/>
              </w:rPr>
              <w:t xml:space="preserve">Reform Agreement: </w:t>
            </w:r>
            <w:r w:rsidRPr="0065414C">
              <w:rPr>
                <w:rFonts w:cs="Arial"/>
              </w:rPr>
              <w:t>Funding design should recognise the complementary responsibilities of each level of government in funding health services.</w:t>
            </w:r>
          </w:p>
          <w:p w14:paraId="7719405B" w14:textId="77777777" w:rsidR="00521325" w:rsidRDefault="00521325" w:rsidP="00EB7EB7">
            <w:pPr>
              <w:pStyle w:val="BodyText"/>
              <w:rPr>
                <w:rFonts w:cs="Arial"/>
                <w:b/>
              </w:rPr>
            </w:pPr>
            <w:r>
              <w:rPr>
                <w:rFonts w:cs="Arial"/>
                <w:b/>
                <w:noProof/>
                <w:lang w:eastAsia="en-AU" w:bidi="ar-SA"/>
              </w:rPr>
              <w:drawing>
                <wp:inline distT="0" distB="0" distL="0" distR="0" wp14:anchorId="0CB2AD9C" wp14:editId="2F71886E">
                  <wp:extent cx="2548255" cy="12065"/>
                  <wp:effectExtent l="0" t="0" r="0" b="0"/>
                  <wp:docPr id="50" name="Picture 5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48255" cy="12065"/>
                          </a:xfrm>
                          <a:prstGeom prst="rect">
                            <a:avLst/>
                          </a:prstGeom>
                          <a:noFill/>
                        </pic:spPr>
                      </pic:pic>
                    </a:graphicData>
                  </a:graphic>
                </wp:inline>
              </w:drawing>
            </w:r>
          </w:p>
          <w:p w14:paraId="1EC6E62F" w14:textId="53EAA228" w:rsidR="00521325" w:rsidRPr="0065414C" w:rsidRDefault="00521325" w:rsidP="00EB7EB7">
            <w:pPr>
              <w:pStyle w:val="BodyText"/>
              <w:rPr>
                <w:rFonts w:cs="Arial"/>
              </w:rPr>
            </w:pPr>
            <w:r w:rsidRPr="0065414C">
              <w:rPr>
                <w:rFonts w:cs="Arial"/>
                <w:b/>
              </w:rPr>
              <w:t xml:space="preserve">Process Guidelines </w:t>
            </w:r>
            <w:r w:rsidRPr="0065414C">
              <w:rPr>
                <w:rFonts w:cs="Arial"/>
              </w:rPr>
              <w:t>to guide the implementation of ABF and block grant funding</w:t>
            </w:r>
            <w:r w:rsidR="00604289">
              <w:rPr>
                <w:rFonts w:cs="Arial"/>
              </w:rPr>
              <w:t> </w:t>
            </w:r>
            <w:r w:rsidRPr="0065414C">
              <w:rPr>
                <w:rFonts w:cs="Arial"/>
              </w:rPr>
              <w:t>arrangements:</w:t>
            </w:r>
          </w:p>
          <w:p w14:paraId="4F796E1E" w14:textId="77777777" w:rsidR="00521325" w:rsidRPr="0065414C" w:rsidRDefault="00521325" w:rsidP="00EB7EB7">
            <w:pPr>
              <w:pStyle w:val="ListParagraph"/>
              <w:numPr>
                <w:ilvl w:val="0"/>
                <w:numId w:val="1"/>
              </w:numPr>
              <w:ind w:left="284" w:right="327"/>
              <w:rPr>
                <w:rFonts w:cs="Arial"/>
              </w:rPr>
            </w:pPr>
            <w:r w:rsidRPr="0065414C">
              <w:rPr>
                <w:rFonts w:cs="Arial"/>
                <w:b/>
              </w:rPr>
              <w:t xml:space="preserve">Transparency: </w:t>
            </w:r>
            <w:r w:rsidRPr="0065414C">
              <w:rPr>
                <w:rFonts w:cs="Arial"/>
              </w:rPr>
              <w:t>All steps in the determination of ABF and block grant funding should be clear and transparent.</w:t>
            </w:r>
          </w:p>
          <w:p w14:paraId="008254F6"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Administrative </w:t>
            </w:r>
            <w:r w:rsidRPr="0065414C">
              <w:rPr>
                <w:rFonts w:cs="Arial"/>
                <w:b/>
              </w:rPr>
              <w:t xml:space="preserve">ease: </w:t>
            </w:r>
            <w:r w:rsidRPr="0065414C">
              <w:rPr>
                <w:rFonts w:cs="Arial"/>
              </w:rPr>
              <w:t>Funding arrangements should not unduly increase the administrative burden on hospitals and system managers.</w:t>
            </w:r>
          </w:p>
          <w:p w14:paraId="23020F9A"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Stability: </w:t>
            </w:r>
            <w:r w:rsidRPr="0065414C">
              <w:rPr>
                <w:rFonts w:cs="Arial"/>
              </w:rPr>
              <w:t>The payment relativities for ABF are consistent over time.</w:t>
            </w:r>
          </w:p>
          <w:p w14:paraId="211D3D32" w14:textId="77777777" w:rsidR="00521325" w:rsidRPr="0065414C" w:rsidRDefault="00521325" w:rsidP="00EB7EB7">
            <w:pPr>
              <w:pStyle w:val="ListParagraph"/>
              <w:numPr>
                <w:ilvl w:val="0"/>
                <w:numId w:val="1"/>
              </w:numPr>
              <w:ind w:left="284"/>
              <w:rPr>
                <w:rFonts w:cs="Arial"/>
              </w:rPr>
            </w:pPr>
            <w:r w:rsidRPr="0065414C">
              <w:rPr>
                <w:rFonts w:cs="Arial"/>
                <w:b/>
                <w:spacing w:val="2"/>
              </w:rPr>
              <w:t xml:space="preserve">Evidence-based: </w:t>
            </w:r>
            <w:r w:rsidRPr="0065414C">
              <w:rPr>
                <w:rFonts w:cs="Arial"/>
              </w:rPr>
              <w:t>Funding should be based on best available information.</w:t>
            </w:r>
          </w:p>
          <w:p w14:paraId="79C1799F" w14:textId="77777777" w:rsidR="00521325" w:rsidRDefault="00521325" w:rsidP="001031CF">
            <w:pPr>
              <w:pStyle w:val="BodyText"/>
              <w:rPr>
                <w:rFonts w:cs="Arial"/>
              </w:rPr>
            </w:pPr>
          </w:p>
        </w:tc>
        <w:tc>
          <w:tcPr>
            <w:tcW w:w="2500" w:type="pct"/>
            <w:tcBorders>
              <w:top w:val="nil"/>
            </w:tcBorders>
            <w:shd w:val="clear" w:color="auto" w:fill="F2F2F2" w:themeFill="background1" w:themeFillShade="F2"/>
          </w:tcPr>
          <w:p w14:paraId="0E63B1C7" w14:textId="77777777" w:rsidR="00521325" w:rsidRDefault="00521325" w:rsidP="00EB7EB7">
            <w:pPr>
              <w:pStyle w:val="BodyText"/>
              <w:ind w:right="106"/>
              <w:rPr>
                <w:rFonts w:cs="Arial"/>
                <w:b/>
              </w:rPr>
            </w:pPr>
            <w:r>
              <w:rPr>
                <w:rFonts w:cs="Arial"/>
                <w:b/>
                <w:bCs/>
                <w:noProof/>
                <w:lang w:eastAsia="en-AU" w:bidi="ar-SA"/>
              </w:rPr>
              <mc:AlternateContent>
                <mc:Choice Requires="wps">
                  <w:drawing>
                    <wp:anchor distT="0" distB="0" distL="114300" distR="114300" simplePos="0" relativeHeight="251726848" behindDoc="0" locked="0" layoutInCell="1" allowOverlap="1" wp14:anchorId="45BE6CC6" wp14:editId="718773C4">
                      <wp:simplePos x="0" y="0"/>
                      <wp:positionH relativeFrom="column">
                        <wp:posOffset>-1270</wp:posOffset>
                      </wp:positionH>
                      <wp:positionV relativeFrom="paragraph">
                        <wp:posOffset>204470</wp:posOffset>
                      </wp:positionV>
                      <wp:extent cx="2543175" cy="0"/>
                      <wp:effectExtent l="0" t="0" r="0" b="0"/>
                      <wp:wrapNone/>
                      <wp:docPr id="39" name="Straight Connector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543175"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line w14:anchorId="5E9CAFEB" id="Straight Connector 39" o:spid="_x0000_s1026" alt="&quot;&quot;"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1pt,16.1pt" to="200.1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g0wEAAAkEAAAOAAAAZHJzL2Uyb0RvYy54bWysU02P2yAQvVfqf0DcG9vZbj+sOHvIanup&#10;2qi7/QEshhgJGDTQ2Pn3HYjjXW0rVa16GXtg3uPNY9jcTM6yo8JowHe8WdWcKS+hN/7Q8e8Pd28+&#10;cBaT8L2w4FXHTyrym+3rV5sxtGoNA9heISMSH9sxdHxIKbRVFeWgnIgrCMrTpgZ0IlGKh6pHMRK7&#10;s9W6rt9VI2AfEKSKkVZvz5t8W/i1VjJ91TqqxGzHSVsqEUt8zLHabkR7QBEGI2cZ4h9UOGE8HbpQ&#10;3Yok2A80v1A5IxEi6LSS4CrQ2khVeqBumvpFN/eDCKr0QubEsNgU/x+t/HLcIzN9x68+cuaFozu6&#10;TyjMYUhsB96Tg4CMNsmpMcSWADu/xzmLYY+57Umjy19qiE3F3dPirpoSk7S4vn571by/5kxe9qon&#10;YMCYPilwLP903BqfGxetOH6OiQ6j0ktJXrY+xwjW9HfG2pLkkVE7i+wo6LKFlMqndZZN2GeVlGV0&#10;lZs5yy9/6WTVmfmb0mQICW6KgjKKL3mbmdd6qs4wTSoWYP1n4FyfoaqM6d+AF0Q5GXxawM54wN+d&#10;nqaLZH2uvzhw7jtb8Aj9qVxssYbmrTg3v4080M/zAn96wdufAAAA//8DAFBLAwQUAAYACAAAACEA&#10;qpUKtd0AAAAHAQAADwAAAGRycy9kb3ducmV2LnhtbEyOwU7DMBBE70j8g7VIXFDrkCDUhjgVQkLq&#10;AQ60HOjNjbdxwF5HsdOGv2cRh3Ia7cxo9lWryTtxxCF2gRTczjMQSE0wHbUK3rfPswWImDQZ7QKh&#10;gm+MsKovLypdmnCiNzxuUit4hGKpFdiU+lLK2Fj0Os5Dj8TZIQxeJz6HVppBn3jcO5ln2b30uiP+&#10;YHWPTxabr83oFbzudmTX2+LDuj52h3V787l8GZW6vpoeH0AknNK5DL/4jA41M+3DSCYKp2CWc1FB&#10;kbNyfJdlBYj9nyHrSv7nr38AAAD//wMAUEsBAi0AFAAGAAgAAAAhALaDOJL+AAAA4QEAABMAAAAA&#10;AAAAAAAAAAAAAAAAAFtDb250ZW50X1R5cGVzXS54bWxQSwECLQAUAAYACAAAACEAOP0h/9YAAACU&#10;AQAACwAAAAAAAAAAAAAAAAAvAQAAX3JlbHMvLnJlbHNQSwECLQAUAAYACAAAACEAbPjmINMBAAAJ&#10;BAAADgAAAAAAAAAAAAAAAAAuAgAAZHJzL2Uyb0RvYy54bWxQSwECLQAUAAYACAAAACEAqpUKtd0A&#10;AAAHAQAADwAAAAAAAAAAAAAAAAAtBAAAZHJzL2Rvd25yZXYueG1sUEsFBgAAAAAEAAQA8wAAADcF&#10;AAAAAA==&#10;" strokecolor="#008f54 [3205]"/>
                  </w:pict>
                </mc:Fallback>
              </mc:AlternateContent>
            </w:r>
          </w:p>
          <w:p w14:paraId="21A7D578" w14:textId="77777777" w:rsidR="00521325" w:rsidRPr="0065414C" w:rsidRDefault="00521325" w:rsidP="00EB7EB7">
            <w:pPr>
              <w:pStyle w:val="BodyText"/>
              <w:ind w:right="106"/>
              <w:rPr>
                <w:rFonts w:cs="Arial"/>
              </w:rPr>
            </w:pPr>
            <w:r w:rsidRPr="0065414C">
              <w:rPr>
                <w:rFonts w:cs="Arial"/>
                <w:b/>
              </w:rPr>
              <w:t xml:space="preserve">System Design Guidelines </w:t>
            </w:r>
            <w:r w:rsidRPr="0065414C">
              <w:rPr>
                <w:rFonts w:cs="Arial"/>
              </w:rPr>
              <w:t>to inform the options for design of ABF and block grant funding arrangements:</w:t>
            </w:r>
          </w:p>
          <w:p w14:paraId="3EB51C95" w14:textId="22BF6F25" w:rsidR="00521325" w:rsidRDefault="00521325" w:rsidP="00EB7EB7">
            <w:pPr>
              <w:pStyle w:val="ListParagraph"/>
              <w:ind w:right="106"/>
              <w:rPr>
                <w:rFonts w:cs="Arial"/>
              </w:rPr>
            </w:pPr>
            <w:r w:rsidRPr="0065414C">
              <w:rPr>
                <w:rFonts w:cs="Arial"/>
                <w:b/>
                <w:bCs/>
              </w:rPr>
              <w:t>Fostering clinical innovation:</w:t>
            </w:r>
            <w:r w:rsidRPr="0065414C">
              <w:rPr>
                <w:rFonts w:cs="Arial"/>
              </w:rPr>
              <w:t xml:space="preserve"> </w:t>
            </w:r>
            <w:r w:rsidR="00FC276D" w:rsidRPr="00FC276D">
              <w:rPr>
                <w:rFonts w:cs="Arial"/>
              </w:rPr>
              <w:t>Pricing of public hospital services should respond in a timely way to introduction of evidence-based, effective new technology and innovations in</w:t>
            </w:r>
            <w:r w:rsidR="004C3925">
              <w:rPr>
                <w:rFonts w:cs="Arial"/>
              </w:rPr>
              <w:t> </w:t>
            </w:r>
            <w:r w:rsidR="00FC276D" w:rsidRPr="00FC276D">
              <w:rPr>
                <w:rFonts w:cs="Arial"/>
              </w:rPr>
              <w:t>the models of care that improve patient</w:t>
            </w:r>
            <w:r w:rsidR="004C3925">
              <w:rPr>
                <w:rFonts w:cs="Arial"/>
              </w:rPr>
              <w:t> </w:t>
            </w:r>
            <w:r w:rsidR="00FC276D" w:rsidRPr="00FC276D">
              <w:rPr>
                <w:rFonts w:cs="Arial"/>
              </w:rPr>
              <w:t>outcomes.</w:t>
            </w:r>
          </w:p>
          <w:p w14:paraId="2B06BBC7" w14:textId="440FD238" w:rsidR="00521325" w:rsidRDefault="00521325" w:rsidP="00991937">
            <w:pPr>
              <w:pStyle w:val="ListParagraph"/>
              <w:ind w:right="106"/>
            </w:pPr>
            <w:r w:rsidRPr="00EB7EB7">
              <w:rPr>
                <w:b/>
              </w:rPr>
              <w:t>Promoting value</w:t>
            </w:r>
            <w:r w:rsidRPr="00EB7EB7">
              <w:t>:</w:t>
            </w:r>
            <w:r w:rsidRPr="00991937">
              <w:rPr>
                <w:rFonts w:cs="Arial"/>
              </w:rPr>
              <w:t> </w:t>
            </w:r>
            <w:r w:rsidR="00FC276D" w:rsidRPr="00FC276D">
              <w:t>Pricing supports innovative and alternative funding solutions that deliver efficient, high quality, patient</w:t>
            </w:r>
            <w:r w:rsidR="00531DB6">
              <w:t>-</w:t>
            </w:r>
            <w:r w:rsidR="00FC276D" w:rsidRPr="00FC276D">
              <w:t>centred care.</w:t>
            </w:r>
          </w:p>
          <w:p w14:paraId="3C5E91B1" w14:textId="77777777" w:rsidR="00521325" w:rsidRPr="0065414C" w:rsidRDefault="00521325" w:rsidP="00EB7EB7">
            <w:pPr>
              <w:pStyle w:val="ListParagraph"/>
              <w:ind w:right="106"/>
              <w:rPr>
                <w:rFonts w:cs="Arial"/>
              </w:rPr>
            </w:pPr>
            <w:r w:rsidRPr="0065414C">
              <w:rPr>
                <w:rFonts w:cs="Arial"/>
                <w:b/>
              </w:rPr>
              <w:t xml:space="preserve">Promoting </w:t>
            </w:r>
            <w:r w:rsidRPr="0065414C">
              <w:rPr>
                <w:rFonts w:cs="Arial"/>
                <w:b/>
                <w:spacing w:val="2"/>
              </w:rPr>
              <w:t xml:space="preserve">harmonisation: </w:t>
            </w:r>
            <w:r w:rsidRPr="0065414C">
              <w:rPr>
                <w:rFonts w:cs="Arial"/>
              </w:rPr>
              <w:t>Pricing should facilitate best practice provision of appropriate site of care.</w:t>
            </w:r>
          </w:p>
          <w:p w14:paraId="13080952" w14:textId="479F0C29" w:rsidR="00521325" w:rsidRPr="0065414C" w:rsidRDefault="00521325" w:rsidP="00EB7EB7">
            <w:pPr>
              <w:pStyle w:val="ListParagraph"/>
              <w:ind w:right="106"/>
              <w:rPr>
                <w:rFonts w:cs="Arial"/>
              </w:rPr>
            </w:pPr>
            <w:r w:rsidRPr="0065414C">
              <w:rPr>
                <w:rFonts w:cs="Arial"/>
                <w:b/>
                <w:spacing w:val="2"/>
              </w:rPr>
              <w:t xml:space="preserve">Minimising undesirable </w:t>
            </w:r>
            <w:r w:rsidRPr="0065414C">
              <w:rPr>
                <w:rFonts w:cs="Arial"/>
                <w:b/>
              </w:rPr>
              <w:t xml:space="preserve">and </w:t>
            </w:r>
            <w:r w:rsidRPr="0065414C">
              <w:rPr>
                <w:rFonts w:cs="Arial"/>
                <w:b/>
                <w:spacing w:val="2"/>
              </w:rPr>
              <w:t xml:space="preserve">inadvertent </w:t>
            </w:r>
            <w:r w:rsidRPr="0065414C">
              <w:rPr>
                <w:rFonts w:cs="Arial"/>
                <w:b/>
              </w:rPr>
              <w:t xml:space="preserve">consequences: </w:t>
            </w:r>
            <w:r w:rsidRPr="0065414C">
              <w:rPr>
                <w:rFonts w:cs="Arial"/>
              </w:rPr>
              <w:t>Funding design should minimise susceptibility to gaming, inappropriate rewards and perverse</w:t>
            </w:r>
            <w:r w:rsidR="004C3925">
              <w:rPr>
                <w:rFonts w:cs="Arial"/>
              </w:rPr>
              <w:t> </w:t>
            </w:r>
            <w:r w:rsidRPr="0065414C">
              <w:rPr>
                <w:rFonts w:cs="Arial"/>
              </w:rPr>
              <w:t>incentives.</w:t>
            </w:r>
          </w:p>
          <w:p w14:paraId="365A5659" w14:textId="07557F21" w:rsidR="00521325" w:rsidRPr="0065414C" w:rsidRDefault="00521325" w:rsidP="00EB7EB7">
            <w:pPr>
              <w:pStyle w:val="ListParagraph"/>
              <w:ind w:right="106"/>
              <w:rPr>
                <w:rFonts w:cs="Arial"/>
              </w:rPr>
            </w:pPr>
            <w:r w:rsidRPr="0065414C">
              <w:rPr>
                <w:rFonts w:cs="Arial"/>
                <w:b/>
              </w:rPr>
              <w:t xml:space="preserve">ABF </w:t>
            </w:r>
            <w:r w:rsidRPr="0065414C">
              <w:rPr>
                <w:rFonts w:cs="Arial"/>
                <w:b/>
                <w:spacing w:val="2"/>
              </w:rPr>
              <w:t xml:space="preserve">pre-eminence: </w:t>
            </w:r>
            <w:r w:rsidR="00720E9E" w:rsidRPr="00720E9E">
              <w:rPr>
                <w:rFonts w:cs="Arial"/>
              </w:rPr>
              <w:t>ABF should be used for</w:t>
            </w:r>
            <w:r w:rsidR="00604289">
              <w:rPr>
                <w:rFonts w:cs="Arial"/>
              </w:rPr>
              <w:t> </w:t>
            </w:r>
            <w:r w:rsidR="00720E9E" w:rsidRPr="00720E9E">
              <w:rPr>
                <w:rFonts w:cs="Arial"/>
              </w:rPr>
              <w:t>funding public hospital services wherever practicable and compatible with delivering value in both outcomes and cost.</w:t>
            </w:r>
          </w:p>
          <w:p w14:paraId="42AF59B7" w14:textId="7AEDA649" w:rsidR="00521325" w:rsidRPr="0065414C" w:rsidRDefault="00521325" w:rsidP="00EB7EB7">
            <w:pPr>
              <w:pStyle w:val="ListParagraph"/>
              <w:ind w:right="106"/>
              <w:rPr>
                <w:rFonts w:cs="Arial"/>
              </w:rPr>
            </w:pPr>
            <w:r w:rsidRPr="0065414C">
              <w:rPr>
                <w:rFonts w:cs="Arial"/>
                <w:b/>
              </w:rPr>
              <w:t>Single unit of measure and price equivalence</w:t>
            </w:r>
            <w:r w:rsidRPr="0065414C">
              <w:rPr>
                <w:rFonts w:cs="Arial"/>
              </w:rPr>
              <w:t>: ABF pricing should support dynamic efficiency and changes to models of</w:t>
            </w:r>
            <w:r w:rsidR="00604289">
              <w:rPr>
                <w:rFonts w:cs="Arial"/>
              </w:rPr>
              <w:t> </w:t>
            </w:r>
            <w:r w:rsidRPr="0065414C">
              <w:rPr>
                <w:rFonts w:cs="Arial"/>
              </w:rPr>
              <w:t>care with the ready transferability of funding between different care types and service streams through a single unit of measure and</w:t>
            </w:r>
            <w:r w:rsidR="00604289">
              <w:rPr>
                <w:rFonts w:cs="Arial"/>
              </w:rPr>
              <w:t> </w:t>
            </w:r>
            <w:r w:rsidRPr="0065414C">
              <w:rPr>
                <w:rFonts w:cs="Arial"/>
              </w:rPr>
              <w:t>relative weights.</w:t>
            </w:r>
          </w:p>
          <w:p w14:paraId="5C11A2F6" w14:textId="5A250F58" w:rsidR="00521325" w:rsidRPr="00451BDF" w:rsidRDefault="00521325" w:rsidP="00EB7EB7">
            <w:pPr>
              <w:pStyle w:val="ListParagraph"/>
              <w:ind w:right="106"/>
              <w:rPr>
                <w:rFonts w:cs="Arial"/>
                <w:szCs w:val="19"/>
              </w:rPr>
            </w:pPr>
            <w:r w:rsidRPr="0065414C">
              <w:rPr>
                <w:rFonts w:cs="Arial"/>
                <w:b/>
              </w:rPr>
              <w:t>Patient-based</w:t>
            </w:r>
            <w:r w:rsidRPr="0065414C">
              <w:rPr>
                <w:rFonts w:cs="Arial"/>
              </w:rPr>
              <w:t>: </w:t>
            </w:r>
            <w:r w:rsidR="00FC276D" w:rsidRPr="00FC276D">
              <w:rPr>
                <w:rFonts w:cs="Arial"/>
              </w:rPr>
              <w:t>Adjustments to the standard price should be based on patient-related rather than provider</w:t>
            </w:r>
            <w:r w:rsidR="00960F20">
              <w:rPr>
                <w:rFonts w:cs="Arial"/>
              </w:rPr>
              <w:t>-</w:t>
            </w:r>
            <w:r w:rsidR="00FC276D" w:rsidRPr="00FC276D">
              <w:rPr>
                <w:rFonts w:cs="Arial"/>
              </w:rPr>
              <w:t>related characteristics wherever practicable.</w:t>
            </w:r>
          </w:p>
          <w:p w14:paraId="45165E9D" w14:textId="206D7C7A" w:rsidR="00521325" w:rsidRDefault="00521325" w:rsidP="00EB7EB7">
            <w:pPr>
              <w:pStyle w:val="ListParagraph"/>
              <w:ind w:right="106"/>
            </w:pPr>
            <w:r w:rsidRPr="00451BDF">
              <w:rPr>
                <w:b/>
              </w:rPr>
              <w:t>Public-private neutrality</w:t>
            </w:r>
            <w:r w:rsidRPr="0065414C">
              <w:t xml:space="preserve">: </w:t>
            </w:r>
            <w:r w:rsidR="00FC276D" w:rsidRPr="00FC276D">
              <w:t>ABF pricing should ensure that payments a local hospital network (LHN) receives for a public patient should be equal to payments made for a LHN</w:t>
            </w:r>
            <w:r w:rsidR="00604289">
              <w:t> </w:t>
            </w:r>
            <w:r w:rsidR="00FC276D" w:rsidRPr="00FC276D">
              <w:t>service for a private patient.</w:t>
            </w:r>
          </w:p>
        </w:tc>
      </w:tr>
    </w:tbl>
    <w:p w14:paraId="1BE427F0" w14:textId="77777777" w:rsidR="001031CF" w:rsidRPr="0065414C" w:rsidRDefault="001031CF" w:rsidP="001031CF">
      <w:pPr>
        <w:rPr>
          <w:rFonts w:cs="Arial"/>
          <w:sz w:val="21"/>
        </w:rPr>
        <w:sectPr w:rsidR="001031CF" w:rsidRPr="0065414C" w:rsidSect="001031CF">
          <w:type w:val="continuous"/>
          <w:pgSz w:w="11910" w:h="16840"/>
          <w:pgMar w:top="1440" w:right="1440" w:bottom="1440" w:left="1440" w:header="0" w:footer="656" w:gutter="0"/>
          <w:cols w:space="720"/>
        </w:sectPr>
      </w:pPr>
    </w:p>
    <w:p w14:paraId="1ADCEDF1" w14:textId="77777777" w:rsidR="00D32313" w:rsidRPr="0065414C" w:rsidRDefault="00D32313" w:rsidP="005B7291">
      <w:pPr>
        <w:pStyle w:val="SectionNumber"/>
      </w:pPr>
      <w:bookmarkStart w:id="60" w:name="_5_Setting_the"/>
      <w:bookmarkStart w:id="61" w:name="_Toc49953750"/>
      <w:bookmarkEnd w:id="60"/>
      <w:r w:rsidRPr="0065414C">
        <w:rPr>
          <w:lang w:bidi="ar-SA"/>
        </w:rPr>
        <w:lastRenderedPageBreak/>
        <w:drawing>
          <wp:anchor distT="0" distB="0" distL="114300" distR="114300" simplePos="0" relativeHeight="251626496" behindDoc="1" locked="0" layoutInCell="1" allowOverlap="1" wp14:anchorId="32DC13CB" wp14:editId="3FF0343A">
            <wp:simplePos x="0" y="0"/>
            <wp:positionH relativeFrom="margin">
              <wp:posOffset>-914399</wp:posOffset>
            </wp:positionH>
            <wp:positionV relativeFrom="page">
              <wp:posOffset>954157</wp:posOffset>
            </wp:positionV>
            <wp:extent cx="5462267" cy="3577465"/>
            <wp:effectExtent l="0" t="0" r="0" b="0"/>
            <wp:wrapNone/>
            <wp:docPr id="13" name="Picture 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Pr="0065414C">
        <w:t>5</w:t>
      </w:r>
      <w:bookmarkEnd w:id="61"/>
    </w:p>
    <w:p w14:paraId="28A10288" w14:textId="77777777" w:rsidR="00D32313" w:rsidRPr="0065414C" w:rsidRDefault="00D32313" w:rsidP="005B7291">
      <w:pPr>
        <w:pStyle w:val="Sectionheader"/>
        <w:ind w:right="3360"/>
        <w:sectPr w:rsidR="00D32313" w:rsidRPr="0065414C" w:rsidSect="008613E1">
          <w:headerReference w:type="default" r:id="rId40"/>
          <w:footerReference w:type="default" r:id="rId41"/>
          <w:pgSz w:w="11910" w:h="16840"/>
          <w:pgMar w:top="3970" w:right="1440" w:bottom="1440" w:left="1440" w:header="0" w:footer="656" w:gutter="0"/>
          <w:cols w:space="720"/>
        </w:sectPr>
      </w:pPr>
      <w:bookmarkStart w:id="62" w:name="_Toc49953751"/>
      <w:r w:rsidRPr="0065414C">
        <w:t>S</w:t>
      </w:r>
      <w:r w:rsidR="00031882" w:rsidRPr="0065414C">
        <w:t xml:space="preserve">cope of </w:t>
      </w:r>
      <w:r w:rsidR="00194354" w:rsidRPr="0065414C">
        <w:t>p</w:t>
      </w:r>
      <w:r w:rsidR="00031882" w:rsidRPr="0065414C">
        <w:t xml:space="preserve">ublic </w:t>
      </w:r>
      <w:r w:rsidR="00194354" w:rsidRPr="0065414C">
        <w:t>h</w:t>
      </w:r>
      <w:r w:rsidR="00031882" w:rsidRPr="0065414C">
        <w:t xml:space="preserve">ospital </w:t>
      </w:r>
      <w:r w:rsidR="00194354" w:rsidRPr="0065414C">
        <w:t>s</w:t>
      </w:r>
      <w:r w:rsidR="00031882" w:rsidRPr="0065414C">
        <w:t>ervices</w:t>
      </w:r>
      <w:bookmarkEnd w:id="62"/>
    </w:p>
    <w:p w14:paraId="43EAD5ED" w14:textId="7A338D2C" w:rsidR="00C415F5" w:rsidRPr="0065414C" w:rsidRDefault="00592035" w:rsidP="005C3B62">
      <w:pPr>
        <w:pStyle w:val="Heading1"/>
        <w:ind w:left="1418" w:hanging="1191"/>
        <w:rPr>
          <w:rFonts w:cs="Arial"/>
        </w:rPr>
        <w:sectPr w:rsidR="00C415F5" w:rsidRPr="0065414C" w:rsidSect="00A0212B">
          <w:headerReference w:type="default" r:id="rId42"/>
          <w:pgSz w:w="11910" w:h="16840"/>
          <w:pgMar w:top="1440" w:right="1440" w:bottom="1440" w:left="1440" w:header="0" w:footer="656" w:gutter="0"/>
          <w:cols w:space="720"/>
        </w:sectPr>
      </w:pPr>
      <w:bookmarkStart w:id="63" w:name="_Toc45809596"/>
      <w:bookmarkStart w:id="64" w:name="_Toc49953752"/>
      <w:bookmarkStart w:id="65" w:name="_Toc58930499"/>
      <w:r w:rsidRPr="0065414C">
        <w:rPr>
          <w:rFonts w:cs="Arial"/>
          <w:noProof/>
          <w:color w:val="FFFFFF" w:themeColor="background1"/>
          <w:lang w:eastAsia="en-AU" w:bidi="ar-SA"/>
        </w:rPr>
        <w:lastRenderedPageBreak/>
        <w:drawing>
          <wp:anchor distT="0" distB="0" distL="114300" distR="114300" simplePos="0" relativeHeight="251651072" behindDoc="1" locked="0" layoutInCell="1" allowOverlap="1" wp14:anchorId="7D107AF8" wp14:editId="0C32C8C2">
            <wp:simplePos x="0" y="0"/>
            <wp:positionH relativeFrom="column">
              <wp:posOffset>-914400</wp:posOffset>
            </wp:positionH>
            <wp:positionV relativeFrom="page">
              <wp:posOffset>651179</wp:posOffset>
            </wp:positionV>
            <wp:extent cx="1685422" cy="946148"/>
            <wp:effectExtent l="0" t="0" r="0" b="0"/>
            <wp:wrapNone/>
            <wp:docPr id="14" name="Picture 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65414C">
        <w:rPr>
          <w:rFonts w:cs="Arial"/>
          <w:color w:val="FFFFFF" w:themeColor="background1"/>
        </w:rPr>
        <w:t>5</w:t>
      </w:r>
      <w:r w:rsidR="00A75D61" w:rsidRPr="0065414C">
        <w:rPr>
          <w:rFonts w:cs="Arial"/>
        </w:rPr>
        <w:tab/>
      </w:r>
      <w:r w:rsidRPr="0065414C">
        <w:rPr>
          <w:rFonts w:cs="Arial"/>
        </w:rPr>
        <w:tab/>
      </w:r>
      <w:r w:rsidR="00603DEC" w:rsidRPr="0065414C">
        <w:rPr>
          <w:rFonts w:cs="Arial"/>
        </w:rPr>
        <w:t>S</w:t>
      </w:r>
      <w:r w:rsidR="00031882" w:rsidRPr="0065414C">
        <w:rPr>
          <w:rFonts w:cs="Arial"/>
        </w:rPr>
        <w:t xml:space="preserve">cope of </w:t>
      </w:r>
      <w:r w:rsidR="00194354" w:rsidRPr="0065414C">
        <w:rPr>
          <w:rFonts w:cs="Arial"/>
        </w:rPr>
        <w:t>p</w:t>
      </w:r>
      <w:r w:rsidR="00031882" w:rsidRPr="0065414C">
        <w:rPr>
          <w:rFonts w:cs="Arial"/>
        </w:rPr>
        <w:t xml:space="preserve">ublic </w:t>
      </w:r>
      <w:r w:rsidR="00194354" w:rsidRPr="0065414C">
        <w:rPr>
          <w:rFonts w:cs="Arial"/>
        </w:rPr>
        <w:t>h</w:t>
      </w:r>
      <w:r w:rsidR="00031882" w:rsidRPr="0065414C">
        <w:rPr>
          <w:rFonts w:cs="Arial"/>
        </w:rPr>
        <w:t>ospital </w:t>
      </w:r>
      <w:r w:rsidR="00194354" w:rsidRPr="0065414C">
        <w:rPr>
          <w:rFonts w:cs="Arial"/>
        </w:rPr>
        <w:t>s</w:t>
      </w:r>
      <w:r w:rsidR="00031882" w:rsidRPr="0065414C">
        <w:rPr>
          <w:rFonts w:cs="Arial"/>
        </w:rPr>
        <w:t>ervices</w:t>
      </w:r>
      <w:bookmarkEnd w:id="63"/>
      <w:bookmarkEnd w:id="64"/>
      <w:bookmarkEnd w:id="65"/>
    </w:p>
    <w:p w14:paraId="3D205E0F" w14:textId="3597AB31" w:rsidR="004E5A87" w:rsidRDefault="004E5A87" w:rsidP="00EC74B9">
      <w:pPr>
        <w:pStyle w:val="BodyText"/>
        <w:rPr>
          <w:rFonts w:cs="Arial"/>
        </w:rPr>
      </w:pPr>
      <w:r w:rsidRPr="004E5A87">
        <w:rPr>
          <w:rFonts w:cs="Arial"/>
        </w:rPr>
        <w:t xml:space="preserve">In August 2011, Australian governments agreed to be jointly responsible for funding efficient growth in public hospital services. IHPA was assigned the task of determining whether a service is ruled ‘in-scope’ as a public hospital service and therefore eligible for Commonwealth funding under the National Health Reform Agreement (NHRA). </w:t>
      </w:r>
    </w:p>
    <w:p w14:paraId="31AC2396" w14:textId="5A7B0571" w:rsidR="00FC57ED" w:rsidRDefault="00FC57ED" w:rsidP="00FC57ED">
      <w:pPr>
        <w:pStyle w:val="Heading2"/>
      </w:pPr>
      <w:bookmarkStart w:id="66" w:name="_Toc58930500"/>
      <w:r w:rsidRPr="00FC57ED">
        <w:t>5.1</w:t>
      </w:r>
      <w:r>
        <w:t xml:space="preserve"> </w:t>
      </w:r>
      <w:r w:rsidRPr="00FC57ED">
        <w:t>General List of</w:t>
      </w:r>
      <w:r>
        <w:t> </w:t>
      </w:r>
      <w:r w:rsidRPr="00FC57ED">
        <w:t>In-</w:t>
      </w:r>
      <w:r>
        <w:t>‍</w:t>
      </w:r>
      <w:r w:rsidRPr="00FC57ED">
        <w:t>Scope Public Hospital</w:t>
      </w:r>
      <w:r>
        <w:t> </w:t>
      </w:r>
      <w:r w:rsidRPr="00FC57ED">
        <w:t>Services</w:t>
      </w:r>
      <w:bookmarkEnd w:id="66"/>
    </w:p>
    <w:p w14:paraId="67845CA1" w14:textId="22841069" w:rsidR="00FC57ED" w:rsidRPr="00FC57ED" w:rsidRDefault="00FC57ED" w:rsidP="00FC57ED">
      <w:pPr>
        <w:pStyle w:val="BodyText"/>
        <w:rPr>
          <w:rFonts w:cs="Arial"/>
        </w:rPr>
      </w:pPr>
      <w:r w:rsidRPr="00FC57ED">
        <w:rPr>
          <w:rFonts w:cs="Arial"/>
        </w:rPr>
        <w:t>Each year, IHPA publishes the General List of In-</w:t>
      </w:r>
      <w:r>
        <w:rPr>
          <w:rFonts w:cs="Arial"/>
        </w:rPr>
        <w:t>‍</w:t>
      </w:r>
      <w:r w:rsidRPr="00FC57ED">
        <w:rPr>
          <w:rFonts w:cs="Arial"/>
        </w:rPr>
        <w:t>Scope Public Hospital Services (the General List) as part of the national efficient price Determination. The General List defines public hospital services eligible for Commonwealth funding, except where funding is otherwise agreed between the Commonwealth and a state</w:t>
      </w:r>
      <w:r>
        <w:rPr>
          <w:rFonts w:cs="Arial"/>
        </w:rPr>
        <w:t> </w:t>
      </w:r>
      <w:r w:rsidRPr="00FC57ED">
        <w:rPr>
          <w:rFonts w:cs="Arial"/>
        </w:rPr>
        <w:t xml:space="preserve">or territory. </w:t>
      </w:r>
    </w:p>
    <w:p w14:paraId="1E7792AE" w14:textId="4A30DCBD" w:rsidR="00FC57ED" w:rsidRDefault="00FC57ED" w:rsidP="00FC57ED">
      <w:pPr>
        <w:pStyle w:val="BodyText"/>
        <w:rPr>
          <w:rFonts w:cs="Arial"/>
        </w:rPr>
      </w:pPr>
      <w:r w:rsidRPr="00FC57ED">
        <w:rPr>
          <w:rFonts w:cs="Arial"/>
        </w:rPr>
        <w:t>This model has been retained by the Addendum to the NHRA 2020–25 (the Addendum).</w:t>
      </w:r>
      <w:r w:rsidR="00EF6ACE">
        <w:rPr>
          <w:rFonts w:cs="Arial"/>
        </w:rPr>
        <w:t xml:space="preserve"> </w:t>
      </w:r>
      <w:r w:rsidRPr="00FC57ED">
        <w:rPr>
          <w:rFonts w:cs="Arial"/>
        </w:rPr>
        <w:t>The</w:t>
      </w:r>
      <w:r>
        <w:rPr>
          <w:rFonts w:cs="Arial"/>
        </w:rPr>
        <w:t> </w:t>
      </w:r>
      <w:r w:rsidRPr="00FC57ED">
        <w:rPr>
          <w:rFonts w:cs="Arial"/>
        </w:rPr>
        <w:t xml:space="preserve">Addendum notes that IHPA may update the criteria for inclusion on the General List to reflect innovations in clinical pathways (clause A21). </w:t>
      </w:r>
    </w:p>
    <w:p w14:paraId="789337E3" w14:textId="76313334" w:rsidR="00EC74B9" w:rsidRPr="0065414C" w:rsidRDefault="00604786" w:rsidP="00FC57ED">
      <w:pPr>
        <w:pStyle w:val="BodyText"/>
        <w:rPr>
          <w:rFonts w:cs="Arial"/>
        </w:rPr>
      </w:pPr>
      <w:r w:rsidRPr="00604786">
        <w:rPr>
          <w:rFonts w:cs="Arial"/>
        </w:rPr>
        <w:t xml:space="preserve">The IHPA </w:t>
      </w:r>
      <w:hyperlink r:id="rId44" w:history="1">
        <w:r w:rsidRPr="00604786">
          <w:rPr>
            <w:rStyle w:val="Hyperlink"/>
            <w:rFonts w:cs="Arial"/>
          </w:rPr>
          <w:t>General List of In-Scope Public Hospital Services Eligibility Policy</w:t>
        </w:r>
      </w:hyperlink>
      <w:r w:rsidRPr="00604786">
        <w:rPr>
          <w:rFonts w:cs="Arial"/>
        </w:rPr>
        <w:t xml:space="preserve"> (the General List </w:t>
      </w:r>
      <w:r w:rsidR="00B84008">
        <w:rPr>
          <w:rFonts w:cs="Arial"/>
        </w:rPr>
        <w:t>P</w:t>
      </w:r>
      <w:r w:rsidRPr="00604786">
        <w:rPr>
          <w:rFonts w:cs="Arial"/>
        </w:rPr>
        <w:t>olicy) defines public hospital services eligible for Commonwealth funding to be:</w:t>
      </w:r>
    </w:p>
    <w:p w14:paraId="42D40583" w14:textId="67670018" w:rsidR="00EC74B9" w:rsidRPr="0065414C" w:rsidRDefault="00815595" w:rsidP="00EC74B9">
      <w:pPr>
        <w:pStyle w:val="ListParagraph"/>
        <w:rPr>
          <w:rFonts w:cs="Arial"/>
        </w:rPr>
      </w:pPr>
      <w:r>
        <w:rPr>
          <w:rFonts w:cs="Arial"/>
        </w:rPr>
        <w:t>a</w:t>
      </w:r>
      <w:r w:rsidR="00194354" w:rsidRPr="0065414C">
        <w:rPr>
          <w:rFonts w:cs="Arial"/>
        </w:rPr>
        <w:t>ll admitted services, including hospital</w:t>
      </w:r>
      <w:r w:rsidR="00B84008">
        <w:rPr>
          <w:rFonts w:cs="Arial"/>
        </w:rPr>
        <w:t>-</w:t>
      </w:r>
      <w:r w:rsidR="00194354" w:rsidRPr="0065414C">
        <w:rPr>
          <w:rFonts w:cs="Arial"/>
        </w:rPr>
        <w:t>in</w:t>
      </w:r>
      <w:r w:rsidR="00B84008">
        <w:rPr>
          <w:rFonts w:cs="Arial"/>
        </w:rPr>
        <w:t>-</w:t>
      </w:r>
      <w:r w:rsidR="00194354" w:rsidRPr="0065414C">
        <w:rPr>
          <w:rFonts w:cs="Arial"/>
        </w:rPr>
        <w:t>the</w:t>
      </w:r>
      <w:r w:rsidR="00B84008">
        <w:rPr>
          <w:rFonts w:cs="Arial"/>
        </w:rPr>
        <w:t>-</w:t>
      </w:r>
      <w:r w:rsidR="00194354" w:rsidRPr="0065414C">
        <w:rPr>
          <w:rFonts w:cs="Arial"/>
        </w:rPr>
        <w:t>home programs</w:t>
      </w:r>
    </w:p>
    <w:p w14:paraId="5AE44AC7" w14:textId="74EE0664" w:rsidR="00EC74B9" w:rsidRPr="0065414C" w:rsidRDefault="00815595" w:rsidP="00EC74B9">
      <w:pPr>
        <w:pStyle w:val="ListParagraph"/>
        <w:rPr>
          <w:rFonts w:cs="Arial"/>
        </w:rPr>
      </w:pPr>
      <w:r>
        <w:rPr>
          <w:rFonts w:cs="Arial"/>
        </w:rPr>
        <w:t>a</w:t>
      </w:r>
      <w:r w:rsidR="00194354" w:rsidRPr="0065414C">
        <w:rPr>
          <w:rFonts w:cs="Arial"/>
        </w:rPr>
        <w:t>ll emergency department services provided by a recognised emergency department service</w:t>
      </w:r>
    </w:p>
    <w:p w14:paraId="0315AC7B" w14:textId="1D07AC1F" w:rsidR="00EC74B9" w:rsidRPr="0065414C" w:rsidRDefault="00815595" w:rsidP="00EC74B9">
      <w:pPr>
        <w:pStyle w:val="ListParagraph"/>
        <w:rPr>
          <w:rFonts w:cs="Arial"/>
        </w:rPr>
      </w:pPr>
      <w:r>
        <w:rPr>
          <w:rFonts w:cs="Arial"/>
        </w:rPr>
        <w:t>o</w:t>
      </w:r>
      <w:r w:rsidR="00485FA3" w:rsidRPr="0065414C">
        <w:rPr>
          <w:rFonts w:cs="Arial"/>
        </w:rPr>
        <w:t>ther non-admitted services.</w:t>
      </w:r>
      <w:r w:rsidR="00EC74B9" w:rsidRPr="0065414C">
        <w:rPr>
          <w:rFonts w:cs="Arial"/>
        </w:rPr>
        <w:t xml:space="preserve"> </w:t>
      </w:r>
    </w:p>
    <w:p w14:paraId="3605CFC7" w14:textId="63EE2607" w:rsidR="003B3038" w:rsidRDefault="003B3038" w:rsidP="003B3038">
      <w:pPr>
        <w:pStyle w:val="BodyText"/>
        <w:spacing w:before="0"/>
        <w:rPr>
          <w:rFonts w:cs="Arial"/>
        </w:rPr>
      </w:pPr>
      <w:r>
        <w:rPr>
          <w:rFonts w:cs="Arial"/>
        </w:rPr>
        <w:br w:type="column"/>
      </w:r>
      <w:r w:rsidRPr="003B3038">
        <w:rPr>
          <w:rFonts w:cs="Arial"/>
        </w:rPr>
        <w:t xml:space="preserve">The General List </w:t>
      </w:r>
      <w:r w:rsidR="00B84008">
        <w:rPr>
          <w:rFonts w:cs="Arial"/>
        </w:rPr>
        <w:t>P</w:t>
      </w:r>
      <w:r w:rsidRPr="003B3038">
        <w:rPr>
          <w:rFonts w:cs="Arial"/>
        </w:rPr>
        <w:t>olicy does not exclude public hospital services provided in settings outside a hospital (for example, whether the service is provided in a hospital, in the community or in a person’s home). The Pricing Authority determines whether specific services proposed by a state or</w:t>
      </w:r>
      <w:r w:rsidR="00604289">
        <w:rPr>
          <w:rFonts w:cs="Arial"/>
        </w:rPr>
        <w:t> </w:t>
      </w:r>
      <w:r w:rsidRPr="003B3038">
        <w:rPr>
          <w:rFonts w:cs="Arial"/>
        </w:rPr>
        <w:t>territory are ‘in-scope’ and eligible for Commonwealth funding, based on criteria and</w:t>
      </w:r>
      <w:r w:rsidR="00604289">
        <w:rPr>
          <w:rFonts w:cs="Arial"/>
        </w:rPr>
        <w:t> </w:t>
      </w:r>
      <w:r w:rsidRPr="003B3038">
        <w:rPr>
          <w:rFonts w:cs="Arial"/>
        </w:rPr>
        <w:t>empirical evidence provided by that state and</w:t>
      </w:r>
      <w:r>
        <w:rPr>
          <w:rFonts w:cs="Arial"/>
        </w:rPr>
        <w:t> </w:t>
      </w:r>
      <w:r w:rsidRPr="003B3038">
        <w:rPr>
          <w:rFonts w:cs="Arial"/>
        </w:rPr>
        <w:t>territory. These criteria are outlined in the</w:t>
      </w:r>
      <w:r w:rsidR="00604289">
        <w:rPr>
          <w:rFonts w:cs="Arial"/>
        </w:rPr>
        <w:t> </w:t>
      </w:r>
      <w:r w:rsidRPr="003B3038">
        <w:rPr>
          <w:rFonts w:cs="Arial"/>
        </w:rPr>
        <w:t xml:space="preserve">General List </w:t>
      </w:r>
      <w:r w:rsidR="00B84008">
        <w:rPr>
          <w:rFonts w:cs="Arial"/>
        </w:rPr>
        <w:t>P</w:t>
      </w:r>
      <w:r w:rsidRPr="003B3038">
        <w:rPr>
          <w:rFonts w:cs="Arial"/>
        </w:rPr>
        <w:t>olicy.</w:t>
      </w:r>
    </w:p>
    <w:p w14:paraId="77DD0F49" w14:textId="6759B5DC" w:rsidR="003B3038" w:rsidRPr="003B3038" w:rsidRDefault="003B3038" w:rsidP="003B3038">
      <w:pPr>
        <w:pStyle w:val="BodyText"/>
        <w:rPr>
          <w:rFonts w:cs="Arial"/>
        </w:rPr>
      </w:pPr>
      <w:r w:rsidRPr="003B3038">
        <w:rPr>
          <w:rFonts w:cs="Arial"/>
        </w:rPr>
        <w:t xml:space="preserve">Applications to have a service added to the General List are made as part of the annual process outlined in the General List </w:t>
      </w:r>
      <w:r w:rsidR="008D752D">
        <w:rPr>
          <w:rFonts w:cs="Arial"/>
        </w:rPr>
        <w:t>P</w:t>
      </w:r>
      <w:r w:rsidRPr="003B3038">
        <w:rPr>
          <w:rFonts w:cs="Arial"/>
        </w:rPr>
        <w:t>olicy.</w:t>
      </w:r>
    </w:p>
    <w:p w14:paraId="56471711" w14:textId="3BF1E259" w:rsidR="00B17301" w:rsidRDefault="003B3038" w:rsidP="003B3038">
      <w:pPr>
        <w:pStyle w:val="BodyText"/>
        <w:rPr>
          <w:rFonts w:cs="Arial"/>
        </w:rPr>
      </w:pPr>
      <w:r w:rsidRPr="003B3038">
        <w:rPr>
          <w:rFonts w:cs="Arial"/>
        </w:rPr>
        <w:t xml:space="preserve">Stakeholders recommended a review of the General List </w:t>
      </w:r>
      <w:r w:rsidR="008D752D">
        <w:rPr>
          <w:rFonts w:cs="Arial"/>
        </w:rPr>
        <w:t>P</w:t>
      </w:r>
      <w:r w:rsidRPr="003B3038">
        <w:rPr>
          <w:rFonts w:cs="Arial"/>
        </w:rPr>
        <w:t>olicy to ensure:</w:t>
      </w:r>
    </w:p>
    <w:p w14:paraId="486B54D9" w14:textId="67350FFA" w:rsidR="003B3038" w:rsidRPr="003B3038" w:rsidRDefault="00F05820" w:rsidP="003B3038">
      <w:pPr>
        <w:pStyle w:val="ListParagraph"/>
      </w:pPr>
      <w:r>
        <w:t>c</w:t>
      </w:r>
      <w:r w:rsidRPr="003B3038">
        <w:t xml:space="preserve">hanges </w:t>
      </w:r>
      <w:r w:rsidR="003B3038" w:rsidRPr="003B3038">
        <w:t xml:space="preserve">in the provision of services introduced due to </w:t>
      </w:r>
      <w:r w:rsidR="007B17E8">
        <w:t>COVID-19</w:t>
      </w:r>
      <w:r w:rsidR="003B3038" w:rsidRPr="003B3038">
        <w:t xml:space="preserve"> and funding of services in all settings are appropriately covered</w:t>
      </w:r>
    </w:p>
    <w:p w14:paraId="761A0D48" w14:textId="782458FE" w:rsidR="00C415F5" w:rsidRDefault="00F05820" w:rsidP="003B3038">
      <w:pPr>
        <w:pStyle w:val="ListParagraph"/>
      </w:pPr>
      <w:r>
        <w:t>e</w:t>
      </w:r>
      <w:r w:rsidRPr="003B3038">
        <w:t xml:space="preserve">ligibility </w:t>
      </w:r>
      <w:r w:rsidR="003B3038" w:rsidRPr="003B3038">
        <w:t xml:space="preserve">criteria are reviewed as IHPA develops innovative models of care (covered further in Chapter 11) in order to reflect the </w:t>
      </w:r>
      <w:r w:rsidR="003B3038" w:rsidRPr="00F05820">
        <w:rPr>
          <w:i/>
          <w:iCs/>
        </w:rPr>
        <w:t>Fostering clinical innovation</w:t>
      </w:r>
      <w:r w:rsidR="003B3038" w:rsidRPr="003B3038">
        <w:t xml:space="preserve"> Pricing Guideline.</w:t>
      </w:r>
    </w:p>
    <w:p w14:paraId="487AC5E6" w14:textId="1C039D7B" w:rsidR="003B3038" w:rsidRDefault="003B3038" w:rsidP="003B3038">
      <w:r w:rsidRPr="0065414C">
        <w:rPr>
          <w:rFonts w:cs="Arial"/>
          <w:noProof/>
          <w:lang w:eastAsia="en-AU" w:bidi="ar-SA"/>
        </w:rPr>
        <mc:AlternateContent>
          <mc:Choice Requires="wps">
            <w:drawing>
              <wp:anchor distT="0" distB="0" distL="0" distR="0" simplePos="0" relativeHeight="251739136" behindDoc="1" locked="0" layoutInCell="1" allowOverlap="1" wp14:anchorId="6FC958C8" wp14:editId="51BD368C">
                <wp:simplePos x="0" y="0"/>
                <wp:positionH relativeFrom="margin">
                  <wp:posOffset>2915285</wp:posOffset>
                </wp:positionH>
                <wp:positionV relativeFrom="paragraph">
                  <wp:posOffset>231140</wp:posOffset>
                </wp:positionV>
                <wp:extent cx="2811780" cy="1060450"/>
                <wp:effectExtent l="0" t="0" r="26670" b="25400"/>
                <wp:wrapTopAndBottom/>
                <wp:docPr id="63"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780" cy="1060450"/>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02FBCE5A" w14:textId="77777777" w:rsidR="00C93E72" w:rsidRPr="005470B1" w:rsidRDefault="00C93E72" w:rsidP="003B3038">
                            <w:pPr>
                              <w:pStyle w:val="Questionheading"/>
                              <w:ind w:left="284"/>
                            </w:pPr>
                            <w:r>
                              <w:t>Next steps and future work</w:t>
                            </w:r>
                          </w:p>
                          <w:p w14:paraId="1127F6AA" w14:textId="205474A7" w:rsidR="00C93E72" w:rsidRDefault="00C93E72" w:rsidP="003B3038">
                            <w:pPr>
                              <w:pStyle w:val="BodyText"/>
                              <w:ind w:left="284"/>
                            </w:pPr>
                            <w:r w:rsidRPr="003B3038">
                              <w:t>IHPA will consider stakeholder feedback and changes resulting from the Addendum in its ann</w:t>
                            </w:r>
                            <w:r>
                              <w:t>ual review of the General List P</w:t>
                            </w:r>
                            <w:r w:rsidRPr="003B3038">
                              <w:t>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958C8" id="_x0000_s1032" type="#_x0000_t202" style="position:absolute;margin-left:229.55pt;margin-top:18.2pt;width:221.4pt;height:83.5pt;z-index:-25157734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XOrgIAAGEFAAAOAAAAZHJzL2Uyb0RvYy54bWysVNuOmzAQfa/Uf7D8znIJISRaskogqSpt&#10;L9JuP8AxJlgFm9pOyLbaf+/YhGS3+1JV5QHG2D4zZ+bM3N6d2gYdmdJcigyHNwFGTFBZcrHP8LfH&#10;rZdipA0RJWmkYBl+YhrfLd+/u+27BYtkLZuSKQQgQi/6LsO1Md3C9zWtWUv0jeyYgM1KqpYYWKq9&#10;XyrSA3rb+FEQJH4vVdkpSZnW8LcYNvHS4VcVo+ZLVWlmUJNhiM24t3LvnX37y1uy2CvS1ZyewyD/&#10;EEVLuACnF6iCGIIOir+BajlVUsvK3FDZ+rKqOGWOA7AJgz/YPNSkY44LJEd3lzTp/wdLPx+/KsTL&#10;DCcTjARpoUaP7GTQWp7QJHScYHmvjWVnNxyrX3mYTorZNvHW8Tz14sl64s3jdO2FsyhdT6PVKtnE&#10;zza7vrvl7vt9pxfOoS2PMx868G5O4AzE45zp7l7S7xoJmddE7NlKKdnXjJRAOnSAL64OONqC7PpP&#10;soTgycFIB3SqVGtjhhwjQIfiP10KbnlQ+BmlYThLYYvCXhgkQTx1koCgx+ud0uYDky2yRoYVKMrB&#10;kyNwGviNR6w3Ibe8aZyqGoH6DM+n0XQgJhte2k17zOmb5Y1CRwLKJJQyYZJzvvTLky030CANbzOc&#10;BvYZJGszshGlc2QIbwYb4m7EuVBvSjYP5pt0k8ZeHCUbLw6Kwltt89hLtuFsWkyKPC/CZxtqGC9q&#10;XpZM2GjHpgjjvxPduT0HOV/a4hUlrfa7C/Wte94y91+HMQpp/F4FZas/6MCcdqdByhbOymQnyyfQ&#10;hpJD38OcAqOW6idGPfR8hvWPA1EMo+ajAH3ZATEaajR2o0EEhasZNhgNZm6GQXLoFN/XgDwoWMgV&#10;aLDiTh3XKCByu4A+dhzOM8cOipdrd+o6GZe/AQAA//8DAFBLAwQUAAYACAAAACEA/3b52d4AAAAK&#10;AQAADwAAAGRycy9kb3ducmV2LnhtbEyPwU7DMBBE70j8g7VI3KidNFQ4xKkqoEckKEhc3XhJosTr&#10;yHba8PeYEz2u5mnmbbVd7MhO6EPvSEG2EsCQGmd6ahV8fuzvHoCFqMno0REq+MEA2/r6qtKlcWd6&#10;x9MhtiyVUCi1gi7GqeQ8NB1aHVZuQkrZt/NWx3T6lhuvz6ncjjwXYsOt7iktdHrCpw6b4TBbBcPs&#10;n4evvczzVzmYEV/eyMWdUrc3y+4RWMQl/sPwp5/UoU5ORzeTCWxUUNzLLKEK1psCWAKkyCSwo4Jc&#10;rAvgdcUvX6h/AQAA//8DAFBLAQItABQABgAIAAAAIQC2gziS/gAAAOEBAAATAAAAAAAAAAAAAAAA&#10;AAAAAABbQ29udGVudF9UeXBlc10ueG1sUEsBAi0AFAAGAAgAAAAhADj9If/WAAAAlAEAAAsAAAAA&#10;AAAAAAAAAAAALwEAAF9yZWxzLy5yZWxzUEsBAi0AFAAGAAgAAAAhAE2Utc6uAgAAYQUAAA4AAAAA&#10;AAAAAAAAAAAALgIAAGRycy9lMm9Eb2MueG1sUEsBAi0AFAAGAAgAAAAhAP92+dneAAAACgEAAA8A&#10;AAAAAAAAAAAAAAAACAUAAGRycy9kb3ducmV2LnhtbFBLBQYAAAAABAAEAPMAAAATBgAAAAA=&#10;" filled="f" strokecolor="#009ab8 [3209]">
                <v:textbox inset="0,0,0,0">
                  <w:txbxContent>
                    <w:p w14:paraId="02FBCE5A" w14:textId="77777777" w:rsidR="00C93E72" w:rsidRPr="005470B1" w:rsidRDefault="00C93E72" w:rsidP="003B3038">
                      <w:pPr>
                        <w:pStyle w:val="Questionheading"/>
                        <w:ind w:left="284"/>
                      </w:pPr>
                      <w:r>
                        <w:t>Next steps and future work</w:t>
                      </w:r>
                    </w:p>
                    <w:p w14:paraId="1127F6AA" w14:textId="205474A7" w:rsidR="00C93E72" w:rsidRDefault="00C93E72" w:rsidP="003B3038">
                      <w:pPr>
                        <w:pStyle w:val="BodyText"/>
                        <w:ind w:left="284"/>
                      </w:pPr>
                      <w:r w:rsidRPr="003B3038">
                        <w:t>IHPA will consider stakeholder feedback and changes resulting from the Addendum in its ann</w:t>
                      </w:r>
                      <w:r>
                        <w:t>ual review of the General List P</w:t>
                      </w:r>
                      <w:r w:rsidRPr="003B3038">
                        <w:t>olicy.</w:t>
                      </w:r>
                    </w:p>
                  </w:txbxContent>
                </v:textbox>
                <w10:wrap type="topAndBottom" anchorx="margin"/>
              </v:shape>
            </w:pict>
          </mc:Fallback>
        </mc:AlternateContent>
      </w:r>
    </w:p>
    <w:p w14:paraId="004CC1EB" w14:textId="0A967107" w:rsidR="003B3038" w:rsidRPr="003B3038" w:rsidRDefault="003B3038" w:rsidP="003B3038">
      <w:pPr>
        <w:sectPr w:rsidR="003B3038" w:rsidRPr="003B3038" w:rsidSect="00241E9D">
          <w:type w:val="continuous"/>
          <w:pgSz w:w="11910" w:h="16840"/>
          <w:pgMar w:top="1440" w:right="1440" w:bottom="1440" w:left="1440" w:header="720" w:footer="720" w:gutter="0"/>
          <w:cols w:num="2" w:space="340"/>
        </w:sectPr>
      </w:pPr>
    </w:p>
    <w:p w14:paraId="1BB80693" w14:textId="77777777" w:rsidR="00592035" w:rsidRPr="0065414C" w:rsidRDefault="00592035" w:rsidP="005B7291">
      <w:pPr>
        <w:pStyle w:val="SectionNumber"/>
      </w:pPr>
      <w:bookmarkStart w:id="67" w:name="_bookmark10"/>
      <w:bookmarkStart w:id="68" w:name="_6_Data_collection"/>
      <w:bookmarkStart w:id="69" w:name="_Toc49953753"/>
      <w:bookmarkEnd w:id="67"/>
      <w:bookmarkEnd w:id="68"/>
      <w:r w:rsidRPr="0065414C">
        <w:rPr>
          <w:lang w:bidi="ar-SA"/>
        </w:rPr>
        <w:lastRenderedPageBreak/>
        <w:drawing>
          <wp:anchor distT="0" distB="0" distL="114300" distR="114300" simplePos="0" relativeHeight="251627520" behindDoc="1" locked="0" layoutInCell="1" allowOverlap="1" wp14:anchorId="50BD3F49" wp14:editId="0731BEBF">
            <wp:simplePos x="0" y="0"/>
            <wp:positionH relativeFrom="margin">
              <wp:posOffset>-914400</wp:posOffset>
            </wp:positionH>
            <wp:positionV relativeFrom="page">
              <wp:posOffset>954157</wp:posOffset>
            </wp:positionV>
            <wp:extent cx="5462267" cy="3577464"/>
            <wp:effectExtent l="0" t="0" r="0" b="0"/>
            <wp:wrapNone/>
            <wp:docPr id="15" name="Picture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6</w:t>
      </w:r>
      <w:bookmarkEnd w:id="69"/>
    </w:p>
    <w:p w14:paraId="7DE103B3" w14:textId="77777777" w:rsidR="00592035" w:rsidRPr="0065414C" w:rsidRDefault="0041717A" w:rsidP="005B7291">
      <w:pPr>
        <w:pStyle w:val="Sectionheader"/>
        <w:ind w:right="2651"/>
        <w:sectPr w:rsidR="00592035" w:rsidRPr="0065414C" w:rsidSect="008613E1">
          <w:headerReference w:type="default" r:id="rId46"/>
          <w:pgSz w:w="11910" w:h="16840"/>
          <w:pgMar w:top="3970" w:right="1440" w:bottom="1440" w:left="1440" w:header="0" w:footer="656" w:gutter="0"/>
          <w:cols w:space="720"/>
        </w:sectPr>
      </w:pPr>
      <w:bookmarkStart w:id="70" w:name="_Toc49953754"/>
      <w:r w:rsidRPr="0065414C">
        <w:t>Classifications used to</w:t>
      </w:r>
      <w:r w:rsidR="005B7291">
        <w:t> </w:t>
      </w:r>
      <w:r w:rsidRPr="0065414C">
        <w:t>describe and price public hospital service</w:t>
      </w:r>
      <w:r w:rsidR="00B17301" w:rsidRPr="0065414C">
        <w:t>s</w:t>
      </w:r>
      <w:bookmarkEnd w:id="70"/>
    </w:p>
    <w:p w14:paraId="3C57F180" w14:textId="77777777" w:rsidR="00C415F5" w:rsidRPr="0065414C" w:rsidRDefault="001445EA" w:rsidP="00986BFB">
      <w:pPr>
        <w:pStyle w:val="Heading1"/>
        <w:spacing w:after="240"/>
        <w:ind w:left="1418" w:hanging="1191"/>
        <w:rPr>
          <w:rFonts w:cs="Arial"/>
        </w:rPr>
      </w:pPr>
      <w:bookmarkStart w:id="71" w:name="_Toc45809600"/>
      <w:bookmarkStart w:id="72" w:name="_Toc49953755"/>
      <w:bookmarkStart w:id="73" w:name="_Toc58930501"/>
      <w:r w:rsidRPr="0065414C">
        <w:rPr>
          <w:rFonts w:cs="Arial"/>
          <w:noProof/>
          <w:color w:val="FFFFFF" w:themeColor="background1"/>
          <w:lang w:eastAsia="en-AU" w:bidi="ar-SA"/>
        </w:rPr>
        <w:lastRenderedPageBreak/>
        <w:drawing>
          <wp:anchor distT="0" distB="0" distL="114300" distR="114300" simplePos="0" relativeHeight="251642880" behindDoc="1" locked="0" layoutInCell="1" allowOverlap="1" wp14:anchorId="1A6F5618" wp14:editId="025F805A">
            <wp:simplePos x="0" y="0"/>
            <wp:positionH relativeFrom="column">
              <wp:posOffset>-914400</wp:posOffset>
            </wp:positionH>
            <wp:positionV relativeFrom="page">
              <wp:posOffset>651179</wp:posOffset>
            </wp:positionV>
            <wp:extent cx="1685420" cy="946148"/>
            <wp:effectExtent l="0" t="0" r="0" b="0"/>
            <wp:wrapNone/>
            <wp:docPr id="20" name="Picture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685420" cy="946148"/>
                    </a:xfrm>
                    <a:prstGeom prst="rect">
                      <a:avLst/>
                    </a:prstGeom>
                    <a:noFill/>
                    <a:ln>
                      <a:noFill/>
                    </a:ln>
                  </pic:spPr>
                </pic:pic>
              </a:graphicData>
            </a:graphic>
          </wp:anchor>
        </w:drawing>
      </w:r>
      <w:r w:rsidR="004A0BEE" w:rsidRPr="0065414C">
        <w:rPr>
          <w:rFonts w:cs="Arial"/>
          <w:color w:val="FFFFFF" w:themeColor="background1"/>
        </w:rPr>
        <w:t>6</w:t>
      </w:r>
      <w:r w:rsidR="004A0BEE" w:rsidRPr="0065414C">
        <w:rPr>
          <w:rFonts w:cs="Arial"/>
        </w:rPr>
        <w:tab/>
      </w:r>
      <w:r w:rsidRPr="0065414C">
        <w:rPr>
          <w:rFonts w:cs="Arial"/>
        </w:rPr>
        <w:tab/>
      </w:r>
      <w:r w:rsidR="0041717A" w:rsidRPr="0065414C">
        <w:rPr>
          <w:rFonts w:cs="Arial"/>
        </w:rPr>
        <w:t>Classifications used to describe and price public hospital service</w:t>
      </w:r>
      <w:r w:rsidR="00B17301" w:rsidRPr="0065414C">
        <w:rPr>
          <w:rFonts w:cs="Arial"/>
        </w:rPr>
        <w:t>s</w:t>
      </w:r>
      <w:bookmarkEnd w:id="71"/>
      <w:bookmarkEnd w:id="72"/>
      <w:bookmarkEnd w:id="73"/>
    </w:p>
    <w:p w14:paraId="507C2397" w14:textId="17DA264A" w:rsidR="00C415F5" w:rsidRPr="00C87021" w:rsidRDefault="00C415F5" w:rsidP="00C87021">
      <w:pPr>
        <w:pStyle w:val="BodyText"/>
        <w:spacing w:before="0"/>
        <w:rPr>
          <w:rFonts w:cs="Arial"/>
        </w:rPr>
        <w:sectPr w:rsidR="00C415F5" w:rsidRPr="00C87021" w:rsidSect="002E3887">
          <w:headerReference w:type="default" r:id="rId48"/>
          <w:pgSz w:w="11910" w:h="16840"/>
          <w:pgMar w:top="1440" w:right="1440" w:bottom="1440" w:left="1440" w:header="0" w:footer="656" w:gutter="0"/>
          <w:cols w:space="720"/>
        </w:sectPr>
      </w:pPr>
    </w:p>
    <w:p w14:paraId="6A3AC710" w14:textId="6E158E0E" w:rsidR="00986BFB" w:rsidRPr="00986BFB" w:rsidRDefault="00951BC2" w:rsidP="00986BFB">
      <w:pPr>
        <w:pStyle w:val="BodyText"/>
        <w:rPr>
          <w:rFonts w:cs="Arial"/>
        </w:rPr>
      </w:pPr>
      <w:r w:rsidRPr="0065414C">
        <w:rPr>
          <w:noProof/>
          <w:lang w:eastAsia="en-AU" w:bidi="ar-SA"/>
        </w:rPr>
        <mc:AlternateContent>
          <mc:Choice Requires="wps">
            <w:drawing>
              <wp:anchor distT="0" distB="0" distL="114300" distR="114300" simplePos="0" relativeHeight="251808768" behindDoc="0" locked="0" layoutInCell="1" allowOverlap="1" wp14:anchorId="17DCC2ED" wp14:editId="38626165">
                <wp:simplePos x="0" y="0"/>
                <wp:positionH relativeFrom="column">
                  <wp:posOffset>2989238</wp:posOffset>
                </wp:positionH>
                <wp:positionV relativeFrom="paragraph">
                  <wp:posOffset>1310836</wp:posOffset>
                </wp:positionV>
                <wp:extent cx="2759075" cy="1306830"/>
                <wp:effectExtent l="0" t="0" r="22225" b="26670"/>
                <wp:wrapSquare wrapText="bothSides"/>
                <wp:docPr id="76"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30683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9E131A1" w14:textId="77777777" w:rsidR="00C93E72" w:rsidRPr="005470B1" w:rsidRDefault="00C93E72" w:rsidP="00951BC2">
                            <w:pPr>
                              <w:pStyle w:val="Questionheading"/>
                              <w:ind w:left="284"/>
                            </w:pPr>
                            <w:r>
                              <w:t>IHPA’s decision</w:t>
                            </w:r>
                          </w:p>
                          <w:p w14:paraId="1F39A5E9" w14:textId="77777777" w:rsidR="00C93E72" w:rsidRDefault="00C93E72" w:rsidP="00951BC2">
                            <w:pPr>
                              <w:pStyle w:val="BodyText"/>
                              <w:ind w:left="284"/>
                            </w:pPr>
                            <w:r w:rsidRPr="00986BFB">
                              <w:t>IHPA will use AR-DRG Version 10.0 and ICD-</w:t>
                            </w:r>
                            <w:r>
                              <w:t>‍</w:t>
                            </w:r>
                            <w:r w:rsidRPr="00986BFB">
                              <w:t>10-AM/ACHI/ACS Eleventh Edition to price admitted acute patient services for the National Efficient Price (NEP) Determination 2021–22 (NEP21).</w:t>
                            </w:r>
                          </w:p>
                        </w:txbxContent>
                      </wps:txbx>
                      <wps:bodyPr rot="0" vert="horz" wrap="square" lIns="0" tIns="0" rIns="0" bIns="0" anchor="t" anchorCtr="0" upright="1">
                        <a:noAutofit/>
                      </wps:bodyPr>
                    </wps:wsp>
                  </a:graphicData>
                </a:graphic>
              </wp:anchor>
            </w:drawing>
          </mc:Choice>
          <mc:Fallback>
            <w:pict>
              <v:shape w14:anchorId="17DCC2ED" id="_x0000_s1033" type="#_x0000_t202" style="position:absolute;margin-left:235.35pt;margin-top:103.2pt;width:217.25pt;height:102.9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7vbrwIAAGEFAAAOAAAAZHJzL2Uyb0RvYy54bWysVNtu2zAMfR+wfxD07vqaxAnqFImdDAO6&#10;C9DuAxRZjoXZkicpcbqh/z5KjpN2fRmG+cGmLOmQhzzk7d2pbdCRKc2lyHB4E2DEBJUlF/sMf3vc&#10;eilG2hBRkkYKluEnpvHd8v27275bsEjWsimZQgAi9KLvMlwb0y18X9OatUTfyI4J2KykaomBpdr7&#10;pSI9oLeNHwXB1O+lKjslKdMa/hbDJl46/Kpi1HypKs0MajIMsRn3Vu69s29/eUsWe0W6mtNzGOQf&#10;omgJF+D0AlUQQ9BB8TdQLadKalmZGypbX1YVp8xxADZh8Aebh5p0zHGB5Ojukib9/2Dp5+NXhXiZ&#10;4dkUI0FaqNEjOxm0licUh44TLO+1sezshmP1Kw/TuJhtp946madeEq9jb56kay+cRel6Eq1W003y&#10;bLPru1vuvt93euEc2vI486ED7+YEzkA8zpnu7iX9rpGQeU3Enq2Ukn3NSAmkQwf44uqAoy3Irv8k&#10;SwieHIx0QKdKtTZmyDECdCj+06XglgeFn9FsMg9mE4wo7IVxME1jJwkIerzeKW0+MNkia2RYgaIc&#10;PDkCp4HfeMR6E3LLm8apqhGoz/B8Ek0GYrLhpd20x5y+Wd4odCSgTEIpEyY+50u/PNlyAw3S8DbD&#10;aWCfQbI2IxtROkeG8GawIe5GnAv1pmTzYL5JN2niJdF04yVBUXirbZ540204mxRxkedF+GxDDZNF&#10;zcuSCRvt2BRh8neiO7fnIOdLW7yipNV+d6G+dc9b5v7rMEYhjd+roGz1Bx2Y0+40SNnCWZnsZPkE&#10;2lBy6HuYU2DUUv3EqIeez7D+cSCKYdR8FKAvOyBGQ43GbjSIoHA1wwajwczNMEgOneL7GpAHBQu5&#10;Ag1W3KnjGgVEbhfQx47DeebYQfFy7U5dJ+PyNwAAAP//AwBQSwMEFAAGAAgAAAAhAKL14afhAAAA&#10;CwEAAA8AAABkcnMvZG93bnJldi54bWxMj8tOwzAQRfdI/IM1SOyonVD6CHEqVAmQyoqCkLqbxkMS&#10;NbZD7KTh7xlWsBzdo3vP5JvJtmKkPjTeaUhmCgS50pvGVRre3x5vViBCRGew9Y40fFOATXF5kWNm&#10;/Nm90riPleASFzLUUMfYZVKGsiaLYeY7cpx9+t5i5LOvpOnxzOW2lalSC2mxcbxQY0fbmsrTfrAa&#10;nuw4HV52Xx+7gM/rLrk94XZQWl9fTQ/3ICJN8Q+GX31Wh4Kdjn5wJohWw3yploxqSNViDoKJtbpL&#10;QRw5StIUZJHL/z8UPwAAAP//AwBQSwECLQAUAAYACAAAACEAtoM4kv4AAADhAQAAEwAAAAAAAAAA&#10;AAAAAAAAAAAAW0NvbnRlbnRfVHlwZXNdLnhtbFBLAQItABQABgAIAAAAIQA4/SH/1gAAAJQBAAAL&#10;AAAAAAAAAAAAAAAAAC8BAABfcmVscy8ucmVsc1BLAQItABQABgAIAAAAIQAHp7vbrwIAAGEFAAAO&#10;AAAAAAAAAAAAAAAAAC4CAABkcnMvZTJvRG9jLnhtbFBLAQItABQABgAIAAAAIQCi9eGn4QAAAAsB&#10;AAAPAAAAAAAAAAAAAAAAAAkFAABkcnMvZG93bnJldi54bWxQSwUGAAAAAAQABADzAAAAFwYAAAAA&#10;" filled="f" strokecolor="#c31f48 [3206]">
                <v:textbox inset="0,0,0,0">
                  <w:txbxContent>
                    <w:p w14:paraId="09E131A1" w14:textId="77777777" w:rsidR="00C93E72" w:rsidRPr="005470B1" w:rsidRDefault="00C93E72" w:rsidP="00951BC2">
                      <w:pPr>
                        <w:pStyle w:val="Questionheading"/>
                        <w:ind w:left="284"/>
                      </w:pPr>
                      <w:r>
                        <w:t>IHPA’s decision</w:t>
                      </w:r>
                    </w:p>
                    <w:p w14:paraId="1F39A5E9" w14:textId="77777777" w:rsidR="00C93E72" w:rsidRDefault="00C93E72" w:rsidP="00951BC2">
                      <w:pPr>
                        <w:pStyle w:val="BodyText"/>
                        <w:ind w:left="284"/>
                      </w:pPr>
                      <w:r w:rsidRPr="00986BFB">
                        <w:t>IHPA will use AR-DRG Version 10.0 and ICD-</w:t>
                      </w:r>
                      <w:r>
                        <w:t>‍</w:t>
                      </w:r>
                      <w:r w:rsidRPr="00986BFB">
                        <w:t>10-AM/ACHI/ACS Eleventh Edition to price admitted acute patient services for the National Efficient Price (NEP) Determination 2021–22 (NEP21).</w:t>
                      </w:r>
                    </w:p>
                  </w:txbxContent>
                </v:textbox>
                <w10:wrap type="square"/>
              </v:shape>
            </w:pict>
          </mc:Fallback>
        </mc:AlternateContent>
      </w:r>
      <w:r w:rsidRPr="0065414C">
        <w:rPr>
          <w:rFonts w:cs="Arial"/>
          <w:noProof/>
          <w:lang w:eastAsia="en-AU" w:bidi="ar-SA"/>
        </w:rPr>
        <mc:AlternateContent>
          <mc:Choice Requires="wps">
            <w:drawing>
              <wp:anchor distT="0" distB="0" distL="114300" distR="114300" simplePos="0" relativeHeight="251807744" behindDoc="1" locked="0" layoutInCell="1" allowOverlap="1" wp14:anchorId="29E9F928" wp14:editId="2345F5D9">
                <wp:simplePos x="0" y="0"/>
                <wp:positionH relativeFrom="column">
                  <wp:posOffset>2977515</wp:posOffset>
                </wp:positionH>
                <wp:positionV relativeFrom="paragraph">
                  <wp:posOffset>200074</wp:posOffset>
                </wp:positionV>
                <wp:extent cx="2759075" cy="1054735"/>
                <wp:effectExtent l="0" t="0" r="22225" b="12065"/>
                <wp:wrapTight wrapText="bothSides">
                  <wp:wrapPolygon edited="0">
                    <wp:start x="0" y="0"/>
                    <wp:lineTo x="0" y="21457"/>
                    <wp:lineTo x="21625" y="21457"/>
                    <wp:lineTo x="21625" y="0"/>
                    <wp:lineTo x="0" y="0"/>
                  </wp:wrapPolygon>
                </wp:wrapTight>
                <wp:docPr id="77"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9075" cy="1054735"/>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0B29F692" w14:textId="77777777" w:rsidR="00C93E72" w:rsidRPr="005470B1" w:rsidRDefault="00C93E72" w:rsidP="00951BC2">
                            <w:pPr>
                              <w:pStyle w:val="Questionheading"/>
                              <w:ind w:left="284"/>
                            </w:pPr>
                            <w:r>
                              <w:t>Next steps and future work</w:t>
                            </w:r>
                          </w:p>
                          <w:p w14:paraId="63E4F6A3" w14:textId="77777777" w:rsidR="00C93E72" w:rsidRDefault="00C93E72" w:rsidP="00951BC2">
                            <w:pPr>
                              <w:pStyle w:val="BodyText"/>
                              <w:ind w:left="284"/>
                            </w:pPr>
                            <w:r w:rsidRPr="00986BFB">
                              <w:t>IHPA will continue to develop AR-DRG Version</w:t>
                            </w:r>
                            <w:r>
                              <w:t xml:space="preserve"> </w:t>
                            </w:r>
                            <w:r w:rsidRPr="00986BFB">
                              <w:t>11.0 and ICD-10-AM/ACHI/ACS Twelfth Edition.</w:t>
                            </w:r>
                          </w:p>
                        </w:txbxContent>
                      </wps:txbx>
                      <wps:bodyPr rot="0" vert="horz" wrap="square" lIns="0" tIns="0" rIns="0" bIns="0" anchor="t" anchorCtr="0" upright="1">
                        <a:noAutofit/>
                      </wps:bodyPr>
                    </wps:wsp>
                  </a:graphicData>
                </a:graphic>
              </wp:anchor>
            </w:drawing>
          </mc:Choice>
          <mc:Fallback>
            <w:pict>
              <v:shape w14:anchorId="29E9F928" id="_x0000_s1034" type="#_x0000_t202" style="position:absolute;margin-left:234.45pt;margin-top:15.75pt;width:217.25pt;height:83.05pt;z-index:-25150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6A6sAIAAGEFAAAOAAAAZHJzL2Uyb0RvYy54bWysVG1vmzAQ/j5p/8HydwokEAgqqZKQTJO6&#10;F6ndD3CMCdbAZrYT0lX97zubkLbrPkzT+ABnbD93z91zd31zaht0ZEpzKXIcXgUYMUFlycU+x9/u&#10;t16KkTZElKSRguX4gWl8s3j/7rrvMjaRtWxKphCACJ31XY5rY7rM9zWtWUv0leyYgM1KqpYYWKq9&#10;XyrSA3rb+JMgmPm9VGWnJGVaw99i2MQLh19VjJovVaWZQU2OITbj3sq9d/btL65Jtlekqzk9h0H+&#10;IYqWcAFOL1AFMQQdFH8D1XKqpJaVuaKy9WVVccocB2ATBr+xuatJxxwXSI7uLmnS/w+Wfj5+VYiX&#10;OU4SjARpoUb37GTQSp7QNHScYHmrjWVnNxyrx3WYTotkO/NW0Tz1oulq6s2jdOWFySRdxZPlcraJ&#10;nmx2fXfL3ff7TmfOoS2PM+868G5O4AzE45zp7lbS7xoJua6J2LOlUrKvGSmBdOgAX1wdcLQF2fWf&#10;ZAnBk4ORDuhUqdbGDDlGgA7Ff7gU3PKg8HOSxPMgiTGisBcGcZRM43PQ4/VOafOByRZZI8cKFOXg&#10;yRE4DfzGI9abkFveNE5VjUB9jufxJB6IyYaXdtMec/pm60ahIwFlEkqZMNOza/3yZMsNNEjD2xyn&#10;gX3sIZLZjGxE6WxDeDPYkOxG2O0/lWwezDfpJo28aDLbeFFQFN5yu4682TZM4mJarNdF+GRDDaOs&#10;5mXJhI12bIow+jvRndtzkPOlLV5R0mq/u1Dfuuctc/91GKOQxu+zoGz1Bx2Y0+7kpJxaOCuTnSwf&#10;QBtKDn0PcwqMWqqfGPXQ8znWPw5EMYyajwL0ZQfEaKjR2I0GERSu5thgNJhrMwySQ6f4vgbkQcFC&#10;LkGDFXfqeI4CIrcL6GPH4Txz7KB4uXannifj4hcAAAD//wMAUEsDBBQABgAIAAAAIQDUVY+P4AAA&#10;AAoBAAAPAAAAZHJzL2Rvd25yZXYueG1sTI9BT4NAEIXvJv6HzZh4s7tIxYIsjWmiJvVkNU16m8IK&#10;pOwssgvFf+940uPkfXnvm3w9205MZvCtIw3RQoEwVLqqpVrDx/vTzQqED0gVdo6Mhm/jYV1cXuSY&#10;Ve5Mb2bahVpwCfkMNTQh9JmUvmyMRb9wvSHOPt1gMfA51LIa8MzltpO3SiXSYku80GBvNo0pT7vR&#10;ani203x43X7ttx5f0j6KT7gZldbXV/PjA4hg5vAHw68+q0PBTkc3UuVFp2GZrFJGNcTRHQgGUhUv&#10;QRyZTO8TkEUu/79Q/AAAAP//AwBQSwECLQAUAAYACAAAACEAtoM4kv4AAADhAQAAEwAAAAAAAAAA&#10;AAAAAAAAAAAAW0NvbnRlbnRfVHlwZXNdLnhtbFBLAQItABQABgAIAAAAIQA4/SH/1gAAAJQBAAAL&#10;AAAAAAAAAAAAAAAAAC8BAABfcmVscy8ucmVsc1BLAQItABQABgAIAAAAIQA8f6A6sAIAAGEFAAAO&#10;AAAAAAAAAAAAAAAAAC4CAABkcnMvZTJvRG9jLnhtbFBLAQItABQABgAIAAAAIQDUVY+P4AAAAAoB&#10;AAAPAAAAAAAAAAAAAAAAAAoFAABkcnMvZG93bnJldi54bWxQSwUGAAAAAAQABADzAAAAFwYAAAAA&#10;" filled="f" strokecolor="#c31f48 [3206]">
                <v:textbox inset="0,0,0,0">
                  <w:txbxContent>
                    <w:p w14:paraId="0B29F692" w14:textId="77777777" w:rsidR="00C93E72" w:rsidRPr="005470B1" w:rsidRDefault="00C93E72" w:rsidP="00951BC2">
                      <w:pPr>
                        <w:pStyle w:val="Questionheading"/>
                        <w:ind w:left="284"/>
                      </w:pPr>
                      <w:r>
                        <w:t>Next steps and future work</w:t>
                      </w:r>
                    </w:p>
                    <w:p w14:paraId="63E4F6A3" w14:textId="77777777" w:rsidR="00C93E72" w:rsidRDefault="00C93E72" w:rsidP="00951BC2">
                      <w:pPr>
                        <w:pStyle w:val="BodyText"/>
                        <w:ind w:left="284"/>
                      </w:pPr>
                      <w:r w:rsidRPr="00986BFB">
                        <w:t>IHPA will continue to develop AR-DRG Version</w:t>
                      </w:r>
                      <w:r>
                        <w:t xml:space="preserve"> </w:t>
                      </w:r>
                      <w:r w:rsidRPr="00986BFB">
                        <w:t>11.0 and ICD-10-AM/ACHI/ACS Twelfth Edition.</w:t>
                      </w:r>
                    </w:p>
                  </w:txbxContent>
                </v:textbox>
                <w10:wrap type="tight"/>
              </v:shape>
            </w:pict>
          </mc:Fallback>
        </mc:AlternateContent>
      </w:r>
      <w:r w:rsidR="00986BFB" w:rsidRPr="00986BFB">
        <w:rPr>
          <w:rFonts w:cs="Arial"/>
        </w:rPr>
        <w:t>Classifications aim to provide the health care sector with a nationally consistent method of classifying all types of patients, their treatment and associated costs to provide better management, measurement and funding of high</w:t>
      </w:r>
      <w:r w:rsidR="004C3925">
        <w:rPr>
          <w:rFonts w:cs="Arial"/>
        </w:rPr>
        <w:t> </w:t>
      </w:r>
      <w:r w:rsidR="00986BFB" w:rsidRPr="00986BFB">
        <w:rPr>
          <w:rFonts w:cs="Arial"/>
        </w:rPr>
        <w:t xml:space="preserve">quality and efficient health care services. Classifications are a critical element of activity based funding (ABF) as they help to group patients with similar conditions and complexity, resulting in groups that are clinically relevant and resource-homogenous. </w:t>
      </w:r>
    </w:p>
    <w:p w14:paraId="151E289F" w14:textId="6DC27B33" w:rsidR="00986BFB" w:rsidRPr="0065414C" w:rsidRDefault="00986BFB" w:rsidP="00986BFB">
      <w:pPr>
        <w:pStyle w:val="BodyText"/>
        <w:rPr>
          <w:rFonts w:cs="Arial"/>
        </w:rPr>
      </w:pPr>
      <w:r w:rsidRPr="00986BFB">
        <w:rPr>
          <w:rFonts w:cs="Arial"/>
        </w:rPr>
        <w:t>IHPA reviews and updates existing classifications and is also responsible for introducing new classifications. There are currently six patient service categories that have classifications in use or in development in Australia:</w:t>
      </w:r>
    </w:p>
    <w:p w14:paraId="689C7B8C" w14:textId="6CBD480B" w:rsidR="00B17301" w:rsidRPr="0065414C" w:rsidRDefault="00485FA3" w:rsidP="00951BC2">
      <w:pPr>
        <w:pStyle w:val="ListParagraph"/>
        <w:spacing w:before="160" w:line="257" w:lineRule="auto"/>
        <w:ind w:right="499" w:hanging="284"/>
        <w:rPr>
          <w:rFonts w:cs="Arial"/>
        </w:rPr>
      </w:pPr>
      <w:r w:rsidRPr="0065414C">
        <w:rPr>
          <w:rFonts w:cs="Arial"/>
        </w:rPr>
        <w:t>Admitted acute care</w:t>
      </w:r>
    </w:p>
    <w:p w14:paraId="563CA6FD" w14:textId="6553984F" w:rsidR="00B17301" w:rsidRPr="0065414C" w:rsidRDefault="00B17301" w:rsidP="00951BC2">
      <w:pPr>
        <w:pStyle w:val="ListParagraph"/>
        <w:spacing w:before="160" w:line="257" w:lineRule="auto"/>
        <w:ind w:right="499" w:hanging="284"/>
        <w:rPr>
          <w:rFonts w:cs="Arial"/>
        </w:rPr>
      </w:pPr>
      <w:r w:rsidRPr="0065414C">
        <w:rPr>
          <w:rFonts w:cs="Arial"/>
        </w:rPr>
        <w:t>Subacute and non-acute care</w:t>
      </w:r>
    </w:p>
    <w:p w14:paraId="6FDF1EC9" w14:textId="2FF155B0" w:rsidR="00B17301" w:rsidRPr="0065414C" w:rsidRDefault="00B17301" w:rsidP="00951BC2">
      <w:pPr>
        <w:pStyle w:val="ListParagraph"/>
        <w:spacing w:before="160" w:line="257" w:lineRule="auto"/>
        <w:ind w:right="499" w:hanging="284"/>
        <w:rPr>
          <w:rFonts w:cs="Arial"/>
        </w:rPr>
      </w:pPr>
      <w:r w:rsidRPr="0065414C">
        <w:rPr>
          <w:rFonts w:cs="Arial"/>
        </w:rPr>
        <w:t>Non-admitted care</w:t>
      </w:r>
    </w:p>
    <w:p w14:paraId="5DACEDEB" w14:textId="77777777" w:rsidR="00B17301" w:rsidRPr="0065414C" w:rsidRDefault="00B17301" w:rsidP="00951BC2">
      <w:pPr>
        <w:pStyle w:val="ListParagraph"/>
        <w:spacing w:before="160" w:line="257" w:lineRule="auto"/>
        <w:ind w:right="499" w:hanging="284"/>
        <w:rPr>
          <w:rFonts w:cs="Arial"/>
        </w:rPr>
      </w:pPr>
      <w:r w:rsidRPr="0065414C">
        <w:rPr>
          <w:rFonts w:cs="Arial"/>
        </w:rPr>
        <w:t>Emergency care</w:t>
      </w:r>
    </w:p>
    <w:p w14:paraId="4E303599" w14:textId="662F4E77" w:rsidR="00B17301" w:rsidRPr="0065414C" w:rsidRDefault="00B17301" w:rsidP="00951BC2">
      <w:pPr>
        <w:pStyle w:val="ListParagraph"/>
        <w:spacing w:before="160" w:line="257" w:lineRule="auto"/>
        <w:ind w:right="499" w:hanging="284"/>
        <w:rPr>
          <w:rFonts w:cs="Arial"/>
        </w:rPr>
      </w:pPr>
      <w:r w:rsidRPr="0065414C">
        <w:rPr>
          <w:rFonts w:cs="Arial"/>
        </w:rPr>
        <w:t>Mental health care</w:t>
      </w:r>
    </w:p>
    <w:p w14:paraId="2A8517A2" w14:textId="735B1BBF" w:rsidR="00B17301" w:rsidRPr="0065414C" w:rsidRDefault="00485FA3" w:rsidP="00951BC2">
      <w:pPr>
        <w:pStyle w:val="ListParagraph"/>
        <w:spacing w:before="160" w:line="257" w:lineRule="auto"/>
        <w:ind w:right="499" w:hanging="284"/>
        <w:rPr>
          <w:rFonts w:cs="Arial"/>
        </w:rPr>
      </w:pPr>
      <w:r w:rsidRPr="0065414C">
        <w:rPr>
          <w:rFonts w:cs="Arial"/>
        </w:rPr>
        <w:t>Teaching</w:t>
      </w:r>
      <w:r w:rsidR="00194354" w:rsidRPr="0065414C">
        <w:rPr>
          <w:rFonts w:cs="Arial"/>
        </w:rPr>
        <w:t xml:space="preserve"> and training</w:t>
      </w:r>
      <w:r w:rsidR="00B17301" w:rsidRPr="0065414C">
        <w:rPr>
          <w:rFonts w:cs="Arial"/>
        </w:rPr>
        <w:t>.</w:t>
      </w:r>
    </w:p>
    <w:p w14:paraId="4EE86EA7" w14:textId="74BAB7EA" w:rsidR="00C415F5" w:rsidRPr="0065414C" w:rsidRDefault="006F4825" w:rsidP="00011A81">
      <w:pPr>
        <w:pStyle w:val="Heading2"/>
        <w:rPr>
          <w:rFonts w:cs="Arial"/>
        </w:rPr>
      </w:pPr>
      <w:bookmarkStart w:id="74" w:name="_Toc49953756"/>
      <w:bookmarkStart w:id="75" w:name="_Toc58930502"/>
      <w:r w:rsidRPr="0065414C">
        <w:rPr>
          <w:rFonts w:cs="Arial"/>
        </w:rPr>
        <w:t>6.</w:t>
      </w:r>
      <w:r w:rsidR="00AA1554" w:rsidRPr="0065414C">
        <w:rPr>
          <w:rFonts w:cs="Arial"/>
        </w:rPr>
        <w:t>1</w:t>
      </w:r>
      <w:r w:rsidR="00EF5D73" w:rsidRPr="0065414C">
        <w:rPr>
          <w:rFonts w:cs="Arial"/>
        </w:rPr>
        <w:t>.</w:t>
      </w:r>
      <w:r w:rsidRPr="0065414C">
        <w:rPr>
          <w:rFonts w:cs="Arial"/>
        </w:rPr>
        <w:t xml:space="preserve"> </w:t>
      </w:r>
      <w:r w:rsidR="00AA1554" w:rsidRPr="0065414C">
        <w:rPr>
          <w:rFonts w:cs="Arial"/>
        </w:rPr>
        <w:t>Admitted acute care</w:t>
      </w:r>
      <w:bookmarkEnd w:id="74"/>
      <w:bookmarkEnd w:id="75"/>
    </w:p>
    <w:p w14:paraId="45E9DD7A" w14:textId="67E86A65" w:rsidR="00181BBB" w:rsidRPr="0065414C" w:rsidRDefault="00986BFB" w:rsidP="00181BBB">
      <w:pPr>
        <w:pStyle w:val="BodyText"/>
        <w:rPr>
          <w:rFonts w:cs="Arial"/>
        </w:rPr>
      </w:pPr>
      <w:r w:rsidRPr="00986BFB">
        <w:rPr>
          <w:rFonts w:cs="Arial"/>
        </w:rPr>
        <w:t>The Australian Refined Diagnosis Related Group (AR-DRG) classification system is used for admitted acute episodes of care. This system is based on a set of three standards:</w:t>
      </w:r>
    </w:p>
    <w:p w14:paraId="37E25EDF" w14:textId="69EA0C0E" w:rsidR="00181BBB" w:rsidRPr="0065414C" w:rsidRDefault="00986BFB" w:rsidP="00181BBB">
      <w:pPr>
        <w:pStyle w:val="ListParagraph"/>
        <w:ind w:right="92"/>
        <w:rPr>
          <w:rFonts w:cs="Arial"/>
        </w:rPr>
      </w:pPr>
      <w:r w:rsidRPr="00986BFB">
        <w:rPr>
          <w:rFonts w:cs="Arial"/>
        </w:rPr>
        <w:t>The International Statistical Classification of</w:t>
      </w:r>
      <w:r w:rsidR="004C3925">
        <w:rPr>
          <w:rFonts w:cs="Arial"/>
        </w:rPr>
        <w:t> </w:t>
      </w:r>
      <w:r w:rsidRPr="00986BFB">
        <w:rPr>
          <w:rFonts w:cs="Arial"/>
        </w:rPr>
        <w:t>Diseases and Related Health Problems, Tenth</w:t>
      </w:r>
      <w:r w:rsidR="004C3925">
        <w:rPr>
          <w:rFonts w:cs="Arial"/>
        </w:rPr>
        <w:t> </w:t>
      </w:r>
      <w:r w:rsidRPr="00986BFB">
        <w:rPr>
          <w:rFonts w:cs="Arial"/>
        </w:rPr>
        <w:t>Revision, Australian Modification (ICD-</w:t>
      </w:r>
      <w:r w:rsidR="004C3925">
        <w:rPr>
          <w:rFonts w:cs="Arial"/>
        </w:rPr>
        <w:t>‍</w:t>
      </w:r>
      <w:r w:rsidRPr="00986BFB">
        <w:rPr>
          <w:rFonts w:cs="Arial"/>
        </w:rPr>
        <w:t xml:space="preserve">10-AM) to code diseases and </w:t>
      </w:r>
      <w:r w:rsidR="00B84008">
        <w:rPr>
          <w:rFonts w:cs="Arial"/>
        </w:rPr>
        <w:t xml:space="preserve">related health </w:t>
      </w:r>
      <w:r w:rsidRPr="00986BFB">
        <w:rPr>
          <w:rFonts w:cs="Arial"/>
        </w:rPr>
        <w:t>problems</w:t>
      </w:r>
    </w:p>
    <w:p w14:paraId="025E6AC8" w14:textId="681BAC44" w:rsidR="00181BBB" w:rsidRPr="0065414C" w:rsidRDefault="00986BFB" w:rsidP="00181BBB">
      <w:pPr>
        <w:pStyle w:val="ListParagraph"/>
        <w:ind w:right="92"/>
        <w:rPr>
          <w:rFonts w:cs="Arial"/>
        </w:rPr>
      </w:pPr>
      <w:r w:rsidRPr="00986BFB">
        <w:rPr>
          <w:rFonts w:cs="Arial"/>
        </w:rPr>
        <w:t>Australian Classification of Health Interventions (ACHI) to code procedures and</w:t>
      </w:r>
      <w:r w:rsidR="004C3925">
        <w:rPr>
          <w:rFonts w:cs="Arial"/>
        </w:rPr>
        <w:t> </w:t>
      </w:r>
      <w:r w:rsidRPr="00986BFB">
        <w:rPr>
          <w:rFonts w:cs="Arial"/>
        </w:rPr>
        <w:t>interventions</w:t>
      </w:r>
    </w:p>
    <w:p w14:paraId="5FA2483F" w14:textId="77777777" w:rsidR="00951BC2" w:rsidRDefault="00194354" w:rsidP="00986BFB">
      <w:pPr>
        <w:pStyle w:val="ListParagraph"/>
        <w:rPr>
          <w:rFonts w:cs="Arial"/>
        </w:rPr>
      </w:pPr>
      <w:r w:rsidRPr="0065414C">
        <w:rPr>
          <w:rFonts w:cs="Arial"/>
        </w:rPr>
        <w:t>A</w:t>
      </w:r>
      <w:r w:rsidR="00986BFB" w:rsidRPr="00986BFB">
        <w:rPr>
          <w:rFonts w:cs="Arial"/>
        </w:rPr>
        <w:t>ustralian Coding Standards (ACS), a</w:t>
      </w:r>
      <w:r w:rsidR="004C3925">
        <w:rPr>
          <w:rFonts w:cs="Arial"/>
        </w:rPr>
        <w:t> </w:t>
      </w:r>
      <w:r w:rsidR="00986BFB" w:rsidRPr="00986BFB">
        <w:rPr>
          <w:rFonts w:cs="Arial"/>
        </w:rPr>
        <w:t>supplement to ICD-10-AM and ACHI, to</w:t>
      </w:r>
      <w:r w:rsidR="004C3925">
        <w:rPr>
          <w:rFonts w:cs="Arial"/>
        </w:rPr>
        <w:t> </w:t>
      </w:r>
      <w:r w:rsidR="00986BFB" w:rsidRPr="00986BFB">
        <w:rPr>
          <w:rFonts w:cs="Arial"/>
        </w:rPr>
        <w:t>assist clinical coders in using the</w:t>
      </w:r>
      <w:r w:rsidR="00604289">
        <w:rPr>
          <w:rFonts w:cs="Arial"/>
        </w:rPr>
        <w:t> </w:t>
      </w:r>
      <w:r w:rsidR="00986BFB" w:rsidRPr="00986BFB">
        <w:rPr>
          <w:rFonts w:cs="Arial"/>
        </w:rPr>
        <w:t xml:space="preserve">classifications. </w:t>
      </w:r>
    </w:p>
    <w:p w14:paraId="43BCFC30" w14:textId="66C4AE90" w:rsidR="005C3B62" w:rsidRPr="0065414C" w:rsidRDefault="00F15F7D" w:rsidP="00011A81">
      <w:pPr>
        <w:pStyle w:val="Heading3"/>
        <w:rPr>
          <w:rFonts w:cs="Arial"/>
        </w:rPr>
      </w:pPr>
      <w:bookmarkStart w:id="76" w:name="_Toc58930503"/>
      <w:r w:rsidRPr="00F15F7D">
        <w:t xml:space="preserve">6.1.1. </w:t>
      </w:r>
      <w:r w:rsidR="005C3B62" w:rsidRPr="0065414C">
        <w:rPr>
          <w:rFonts w:cs="Arial"/>
        </w:rPr>
        <w:t>Review of admitted acute care classification systems</w:t>
      </w:r>
      <w:bookmarkEnd w:id="76"/>
    </w:p>
    <w:p w14:paraId="24D19719" w14:textId="77777777" w:rsidR="00986BFB" w:rsidRPr="00ED389B" w:rsidRDefault="00986BFB" w:rsidP="00ED389B">
      <w:pPr>
        <w:pStyle w:val="BodyText"/>
      </w:pPr>
      <w:bookmarkStart w:id="77" w:name="_bookmark13"/>
      <w:bookmarkEnd w:id="77"/>
      <w:r w:rsidRPr="00ED389B">
        <w:t>In 2019, IHPA commissioned a review of the processes involved in the development of the classifications for acute care, which was delivered in early 2020.</w:t>
      </w:r>
    </w:p>
    <w:p w14:paraId="179E6E88" w14:textId="75C3521F" w:rsidR="00986BFB" w:rsidRPr="00986BFB" w:rsidRDefault="00986BFB" w:rsidP="00ED389B">
      <w:pPr>
        <w:pStyle w:val="BodyText"/>
        <w:rPr>
          <w:b/>
        </w:rPr>
      </w:pPr>
      <w:r w:rsidRPr="00986BFB">
        <w:t>The review identified that while the acute care classification development process was functioning</w:t>
      </w:r>
      <w:r w:rsidR="004C3925">
        <w:t> </w:t>
      </w:r>
      <w:r w:rsidRPr="00986BFB">
        <w:t>well, there are four key opportunities for</w:t>
      </w:r>
      <w:r w:rsidR="004C3925">
        <w:t> </w:t>
      </w:r>
      <w:r w:rsidRPr="00986BFB">
        <w:t>improvement to provide the most benefit to the</w:t>
      </w:r>
      <w:r w:rsidR="004C3925">
        <w:t> </w:t>
      </w:r>
      <w:r w:rsidRPr="00986BFB">
        <w:t>health care system and stakeholders that use</w:t>
      </w:r>
      <w:r w:rsidR="004C3925">
        <w:t> </w:t>
      </w:r>
      <w:r w:rsidRPr="00986BFB">
        <w:t>and</w:t>
      </w:r>
      <w:r w:rsidR="004C3925">
        <w:t> </w:t>
      </w:r>
      <w:r w:rsidRPr="00986BFB">
        <w:t>implement the classifications. These</w:t>
      </w:r>
      <w:r w:rsidR="004C3925">
        <w:t> </w:t>
      </w:r>
      <w:r w:rsidRPr="00986BFB">
        <w:t>opportunities include:</w:t>
      </w:r>
    </w:p>
    <w:p w14:paraId="340316B9" w14:textId="614550CF" w:rsidR="00986BFB" w:rsidRPr="00986BFB" w:rsidRDefault="00590B50" w:rsidP="00986BFB">
      <w:pPr>
        <w:pStyle w:val="ListParagraph"/>
      </w:pPr>
      <w:r>
        <w:t>e</w:t>
      </w:r>
      <w:r w:rsidRPr="00986BFB">
        <w:t xml:space="preserve">xtending </w:t>
      </w:r>
      <w:r w:rsidR="00986BFB" w:rsidRPr="00986BFB">
        <w:t xml:space="preserve">the current development cycle from two years to three years </w:t>
      </w:r>
    </w:p>
    <w:p w14:paraId="758B7D56" w14:textId="3B39FF00" w:rsidR="00986BFB" w:rsidRPr="00986BFB" w:rsidRDefault="00590B50" w:rsidP="00986BFB">
      <w:pPr>
        <w:pStyle w:val="ListParagraph"/>
      </w:pPr>
      <w:r>
        <w:t>e</w:t>
      </w:r>
      <w:r w:rsidRPr="00986BFB">
        <w:t xml:space="preserve">mbedding </w:t>
      </w:r>
      <w:r w:rsidR="00986BFB" w:rsidRPr="00986BFB">
        <w:t xml:space="preserve">principles to focus the development approach </w:t>
      </w:r>
    </w:p>
    <w:p w14:paraId="03544D0C" w14:textId="66D7B86F" w:rsidR="00986BFB" w:rsidRPr="00986BFB" w:rsidRDefault="00590B50" w:rsidP="00986BFB">
      <w:pPr>
        <w:pStyle w:val="ListParagraph"/>
      </w:pPr>
      <w:r>
        <w:t>s</w:t>
      </w:r>
      <w:r w:rsidRPr="00986BFB">
        <w:t xml:space="preserve">treamlining </w:t>
      </w:r>
      <w:r w:rsidR="00986BFB" w:rsidRPr="00986BFB">
        <w:t>clinical and technical input into the classifications</w:t>
      </w:r>
    </w:p>
    <w:p w14:paraId="541C8220" w14:textId="7CCB71FB" w:rsidR="00986BFB" w:rsidRDefault="00590B50" w:rsidP="00986BFB">
      <w:pPr>
        <w:pStyle w:val="ListParagraph"/>
      </w:pPr>
      <w:r>
        <w:t>e</w:t>
      </w:r>
      <w:r w:rsidRPr="00986BFB">
        <w:t xml:space="preserve">nhancing </w:t>
      </w:r>
      <w:r w:rsidR="00986BFB" w:rsidRPr="00986BFB">
        <w:t>education material and other support implementation</w:t>
      </w:r>
      <w:r>
        <w:t>.</w:t>
      </w:r>
    </w:p>
    <w:p w14:paraId="52359A40" w14:textId="444AF59E" w:rsidR="006D28DA" w:rsidRDefault="00986BFB" w:rsidP="00ED389B">
      <w:pPr>
        <w:pStyle w:val="BodyText"/>
      </w:pPr>
      <w:r w:rsidRPr="00986BFB">
        <w:t>IHPA will continue to work with jurisdictions and key stakeholders through its advisory committees and working groups to progress the opportunities outlined above.</w:t>
      </w:r>
    </w:p>
    <w:p w14:paraId="2DF6A87C" w14:textId="36DA303D" w:rsidR="00A23AAB" w:rsidRPr="0065414C" w:rsidRDefault="00F15F7D" w:rsidP="00986BFB">
      <w:pPr>
        <w:pStyle w:val="Heading3"/>
        <w:spacing w:before="0"/>
        <w:rPr>
          <w:rFonts w:cs="Arial"/>
        </w:rPr>
      </w:pPr>
      <w:bookmarkStart w:id="78" w:name="_Toc58930504"/>
      <w:r>
        <w:rPr>
          <w:rFonts w:cs="Arial"/>
        </w:rPr>
        <w:lastRenderedPageBreak/>
        <w:t xml:space="preserve">6.1.2. </w:t>
      </w:r>
      <w:r w:rsidR="009C1A8E" w:rsidRPr="009C1A8E">
        <w:rPr>
          <w:rFonts w:cs="Arial"/>
        </w:rPr>
        <w:t>Phasing out support for older AR-DRG versions</w:t>
      </w:r>
      <w:bookmarkEnd w:id="78"/>
    </w:p>
    <w:p w14:paraId="4B545974" w14:textId="3A8C673F" w:rsidR="009C1A8E" w:rsidRPr="0065414C" w:rsidRDefault="009C1A8E" w:rsidP="00A23AAB">
      <w:pPr>
        <w:pStyle w:val="BodyText"/>
        <w:rPr>
          <w:rFonts w:cs="Arial"/>
        </w:rPr>
      </w:pPr>
      <w:r w:rsidRPr="009C1A8E">
        <w:rPr>
          <w:rFonts w:cs="Arial"/>
        </w:rPr>
        <w:t>IHPA is committed to phasing out support for old AR-DRG versions. IHPA has developed a revised timeline to accommodate the extended three-year development cycle as detailed in Table 1.</w:t>
      </w:r>
    </w:p>
    <w:p w14:paraId="275DC29F" w14:textId="6A91F769" w:rsidR="00A23AAB" w:rsidRPr="0065414C" w:rsidRDefault="0041121C" w:rsidP="00466C58">
      <w:pPr>
        <w:pStyle w:val="BodyText"/>
        <w:spacing w:after="240"/>
        <w:rPr>
          <w:rStyle w:val="FigureheadingChar"/>
          <w:rFonts w:cs="Arial"/>
        </w:rPr>
      </w:pPr>
      <w:r w:rsidRPr="0065414C">
        <w:rPr>
          <w:rFonts w:cs="Arial"/>
          <w:noProof/>
          <w:lang w:eastAsia="en-AU" w:bidi="ar-SA"/>
        </w:rPr>
        <mc:AlternateContent>
          <mc:Choice Requires="wps">
            <w:drawing>
              <wp:anchor distT="0" distB="0" distL="0" distR="0" simplePos="0" relativeHeight="251749376" behindDoc="1" locked="0" layoutInCell="1" allowOverlap="1" wp14:anchorId="0D7E3443" wp14:editId="6026E9A8">
                <wp:simplePos x="0" y="0"/>
                <wp:positionH relativeFrom="margin">
                  <wp:posOffset>2975610</wp:posOffset>
                </wp:positionH>
                <wp:positionV relativeFrom="paragraph">
                  <wp:posOffset>1752677</wp:posOffset>
                </wp:positionV>
                <wp:extent cx="2734310" cy="1060450"/>
                <wp:effectExtent l="0" t="0" r="27940" b="25400"/>
                <wp:wrapTopAndBottom/>
                <wp:docPr id="80"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06045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324D3BC5" w14:textId="77777777" w:rsidR="00C93E72" w:rsidRPr="005470B1" w:rsidRDefault="00C93E72" w:rsidP="00BF4BBD">
                            <w:pPr>
                              <w:pStyle w:val="Questionheading"/>
                              <w:ind w:left="284"/>
                            </w:pPr>
                            <w:r>
                              <w:t>IHPA’s decision</w:t>
                            </w:r>
                          </w:p>
                          <w:p w14:paraId="57FAD48C" w14:textId="0E1E6FD0" w:rsidR="00C93E72" w:rsidRDefault="00C93E72" w:rsidP="00BF4BBD">
                            <w:pPr>
                              <w:pStyle w:val="BodyText"/>
                              <w:ind w:left="284"/>
                            </w:pPr>
                            <w:r w:rsidRPr="00BF4BBD">
                              <w:t>IHPA will use the AN-SNAP classification Version 4.0 to price admitted subacute and non-acute services for NEP21.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3443" id="_x0000_s1035" type="#_x0000_t202" style="position:absolute;margin-left:234.3pt;margin-top:138pt;width:215.3pt;height:83.5pt;z-index:-25156710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azKrQIAAGEFAAAOAAAAZHJzL2Uyb0RvYy54bWysVNtu2zAMfR+wfxD07vqaxAnqFImdDAO6&#10;C9DuAxRZjoXZkicpcbqh/z5KjpN2fRmG+cGmLOmQhzzk7d2pbdCRKc2lyHB4E2DEBJUlF/sMf3vc&#10;eilG2hBRkkYKluEnpvHd8v27275bsEjWsimZQgAi9KLvMlwb0y18X9OatUTfyI4J2KykaomBpdr7&#10;pSI9oLeNHwXB1O+lKjslKdMa/hbDJl46/Kpi1HypKs0MajIMsRn3Vu69s29/eUsWe0W6mtNzGOQf&#10;omgJF+D0AlUQQ9BB8TdQLadKalmZGypbX1YVp8xxADZh8Aebh5p0zHGB5Ojukib9/2Dp5+NXhXiZ&#10;4RTSI0gLNXpkJ4PW8oTi0HGC5b02lp3dcKx+5WEaF7Pt1Fsn89RL4nXszZN07YWzKF1PotVqukme&#10;bXZ9d8vd9/tOL5xDWx5nPnTg3ZzAGYjHOdPdvaTfNRIyr4nYs5VSsq8ZKYF06ABfXB1wtAXZ9Z9k&#10;CcGTg5EO6FSp1sYMOUaADuyeLgW3PCj8jGZxEoewRWEvDKZBMnGSgKDH653S5gOTLbJGhhUoysGT&#10;I3Aa+I1HrDcht7xpnKoagfoMzyfRZCAmG17aTXvM6ZvljUJHAsoklDJh4nO+9MuTLTfQIA1vbYXs&#10;M0jWZmQjSufIEN4MNsTdiHOh3pRsHsw36SZNvCSabrwkKApvtc0Tb7oNZ5MiLvK8CJ9tqGGyqHlZ&#10;MmGjHZsiTP5OdOf2HOR8aYtXlLTa7y7Ut+55y9x/HcYopPF7FZSt/qADc9qdnJTnFs7KZCfLJ9CG&#10;kkPfw5wCo5bqJ0Y99HyG9Y8DUQyj5qMAfdkBMRpqNHajQQSFqxk2GA1mboZBcugU39eAPChYyBVo&#10;sOJOHdcoIHK7gD52HM4zxw6Kl2t36joZl78BAAD//wMAUEsDBBQABgAIAAAAIQDfv50r4QAAAAsB&#10;AAAPAAAAZHJzL2Rvd25yZXYueG1sTI9BS8NAEIXvgv9hGcGb3TQtMUmzKVJQoZ6sIvQ2zY5JaHY3&#10;Zjdp/PeOJz0O7+PN94rtbDox0eBbZxUsFxEIspXTra0VvL893qUgfECrsXOWFHyTh215fVVgrt3F&#10;vtJ0CLXgEutzVNCE0OdS+qohg37herKcfbrBYOBzqKUe8MLlppNxFCXSYGv5Q4M97RqqzofRKHgy&#10;03x82X997D0+Z/1ydcbdGCl1ezM/bEAEmsMfDL/6rA4lO53caLUXnYJ1kiaMKojvEx7FRJplMYgT&#10;R+tVBLIs5P8N5Q8AAAD//wMAUEsBAi0AFAAGAAgAAAAhALaDOJL+AAAA4QEAABMAAAAAAAAAAAAA&#10;AAAAAAAAAFtDb250ZW50X1R5cGVzXS54bWxQSwECLQAUAAYACAAAACEAOP0h/9YAAACUAQAACwAA&#10;AAAAAAAAAAAAAAAvAQAAX3JlbHMvLnJlbHNQSwECLQAUAAYACAAAACEAAcWsyq0CAABhBQAADgAA&#10;AAAAAAAAAAAAAAAuAgAAZHJzL2Uyb0RvYy54bWxQSwECLQAUAAYACAAAACEA37+dK+EAAAALAQAA&#10;DwAAAAAAAAAAAAAAAAAHBQAAZHJzL2Rvd25yZXYueG1sUEsFBgAAAAAEAAQA8wAAABUGAAAAAA==&#10;" filled="f" strokecolor="#c31f48 [3206]">
                <v:textbox inset="0,0,0,0">
                  <w:txbxContent>
                    <w:p w14:paraId="324D3BC5" w14:textId="77777777" w:rsidR="00C93E72" w:rsidRPr="005470B1" w:rsidRDefault="00C93E72" w:rsidP="00BF4BBD">
                      <w:pPr>
                        <w:pStyle w:val="Questionheading"/>
                        <w:ind w:left="284"/>
                      </w:pPr>
                      <w:r>
                        <w:t>IHPA’s decision</w:t>
                      </w:r>
                    </w:p>
                    <w:p w14:paraId="57FAD48C" w14:textId="0E1E6FD0" w:rsidR="00C93E72" w:rsidRDefault="00C93E72" w:rsidP="00BF4BBD">
                      <w:pPr>
                        <w:pStyle w:val="BodyText"/>
                        <w:ind w:left="284"/>
                      </w:pPr>
                      <w:r w:rsidRPr="00BF4BBD">
                        <w:t>IHPA will use the AN-SNAP classification Version 4.0 to price admitted subacute and non-acute services for NEP21.</w:t>
                      </w:r>
                    </w:p>
                  </w:txbxContent>
                </v:textbox>
                <w10:wrap type="topAndBottom" anchorx="margin"/>
              </v:shape>
            </w:pict>
          </mc:Fallback>
        </mc:AlternateContent>
      </w:r>
      <w:r w:rsidR="00A23AAB" w:rsidRPr="0065414C">
        <w:rPr>
          <w:rStyle w:val="FigureheadingChar"/>
          <w:rFonts w:cs="Arial"/>
        </w:rPr>
        <w:t xml:space="preserve">Table 1: </w:t>
      </w:r>
      <w:r w:rsidR="009C1A8E">
        <w:rPr>
          <w:rStyle w:val="FigureheadingChar"/>
          <w:rFonts w:cs="Arial"/>
        </w:rPr>
        <w:t>Timeline of AR-DRG phase out</w:t>
      </w:r>
    </w:p>
    <w:tbl>
      <w:tblPr>
        <w:tblStyle w:val="IHPA"/>
        <w:tblW w:w="4345" w:type="dxa"/>
        <w:tblLayout w:type="fixed"/>
        <w:tblLook w:val="01E0" w:firstRow="1" w:lastRow="1" w:firstColumn="1" w:lastColumn="1" w:noHBand="0" w:noVBand="0"/>
        <w:tblCaption w:val="Table 1: New acute care classification implementation dates"/>
        <w:tblDescription w:val="Table with three columns across. Titles of columns from left are: Classification; Previous two year cycle; Current three year cycle. &#10;The table has four rows: Row 1, Column 1: ICD-10-AM/ACHI/ACS Twelfth Edition Column 2: 1 July 2021; Column 3: 1 July 2022.&#10;Row 2, Column 1: AR-DRG Version 11.0 Column 2: 1 July 2022; Column 3: 1 July 2023. Row 3, Column 1: ICD-10-AM/ACHI/ACS Thirteenth Edition Column 2: I July 2023; Column 3: 1 July 2025. Row 4, Column 1: AR-DRG Version 12.0 Column 2: 1 July 2023; Column 3: 1 July 2026.&#10;"/>
      </w:tblPr>
      <w:tblGrid>
        <w:gridCol w:w="1134"/>
        <w:gridCol w:w="1134"/>
        <w:gridCol w:w="1131"/>
        <w:gridCol w:w="946"/>
      </w:tblGrid>
      <w:tr w:rsidR="00105E29" w:rsidRPr="0065414C" w14:paraId="110773A4" w14:textId="77777777" w:rsidTr="00105E29">
        <w:trPr>
          <w:cnfStyle w:val="100000000000" w:firstRow="1" w:lastRow="0" w:firstColumn="0" w:lastColumn="0" w:oddVBand="0" w:evenVBand="0" w:oddHBand="0" w:evenHBand="0" w:firstRowFirstColumn="0" w:firstRowLastColumn="0" w:lastRowFirstColumn="0" w:lastRowLastColumn="0"/>
          <w:trHeight w:val="532"/>
        </w:trPr>
        <w:tc>
          <w:tcPr>
            <w:tcW w:w="1134" w:type="dxa"/>
            <w:shd w:val="clear" w:color="auto" w:fill="C31F48" w:themeFill="accent3"/>
          </w:tcPr>
          <w:p w14:paraId="53002859" w14:textId="1D049A9A" w:rsidR="00105E29" w:rsidRPr="0065414C" w:rsidRDefault="00105E29" w:rsidP="005413B6">
            <w:pPr>
              <w:pStyle w:val="TableParagraph"/>
              <w:spacing w:before="120" w:after="120"/>
              <w:ind w:left="113" w:right="113"/>
              <w:rPr>
                <w:rFonts w:cs="Arial"/>
                <w:color w:val="FFFFFF" w:themeColor="background1"/>
              </w:rPr>
            </w:pPr>
            <w:r>
              <w:rPr>
                <w:rFonts w:cs="Arial"/>
                <w:color w:val="FFFFFF" w:themeColor="background1"/>
              </w:rPr>
              <w:t>AR-DRG version</w:t>
            </w:r>
          </w:p>
        </w:tc>
        <w:tc>
          <w:tcPr>
            <w:tcW w:w="1134" w:type="dxa"/>
            <w:shd w:val="clear" w:color="auto" w:fill="C31F48" w:themeFill="accent3"/>
          </w:tcPr>
          <w:p w14:paraId="2BC47EBB" w14:textId="74B8A3CF" w:rsidR="00105E29" w:rsidRPr="0065414C" w:rsidRDefault="00105E29" w:rsidP="005413B6">
            <w:pPr>
              <w:pStyle w:val="TableParagraph"/>
              <w:spacing w:before="120" w:after="120"/>
              <w:ind w:left="113"/>
              <w:rPr>
                <w:rFonts w:cs="Arial"/>
                <w:color w:val="FFFFFF" w:themeColor="background1"/>
              </w:rPr>
            </w:pPr>
            <w:r>
              <w:rPr>
                <w:rFonts w:cs="Arial"/>
                <w:color w:val="FFFFFF" w:themeColor="background1"/>
              </w:rPr>
              <w:t>Original proposed phase out date</w:t>
            </w:r>
          </w:p>
        </w:tc>
        <w:tc>
          <w:tcPr>
            <w:tcW w:w="1131" w:type="dxa"/>
            <w:shd w:val="clear" w:color="auto" w:fill="C31F48" w:themeFill="accent3"/>
          </w:tcPr>
          <w:p w14:paraId="4818CF53" w14:textId="23BEFCC2" w:rsidR="00105E29" w:rsidRPr="0065414C" w:rsidRDefault="0025456E" w:rsidP="005413B6">
            <w:pPr>
              <w:pStyle w:val="TableParagraph"/>
              <w:spacing w:before="120" w:after="120"/>
              <w:ind w:left="113"/>
              <w:rPr>
                <w:rFonts w:cs="Arial"/>
                <w:color w:val="FFFFFF" w:themeColor="background1"/>
              </w:rPr>
            </w:pPr>
            <w:r>
              <w:rPr>
                <w:rFonts w:cs="Arial"/>
                <w:color w:val="FFFFFF" w:themeColor="background1"/>
              </w:rPr>
              <w:t>New proposed phase out date</w:t>
            </w:r>
          </w:p>
        </w:tc>
        <w:tc>
          <w:tcPr>
            <w:tcW w:w="946" w:type="dxa"/>
            <w:shd w:val="clear" w:color="auto" w:fill="C31F48" w:themeFill="accent3"/>
          </w:tcPr>
          <w:p w14:paraId="7AD679B1" w14:textId="059419DD" w:rsidR="00105E29" w:rsidRPr="0065414C" w:rsidRDefault="0025456E" w:rsidP="005413B6">
            <w:pPr>
              <w:pStyle w:val="TableParagraph"/>
              <w:spacing w:before="120" w:after="120"/>
              <w:ind w:left="113"/>
              <w:rPr>
                <w:rFonts w:cs="Arial"/>
                <w:color w:val="FFFFFF" w:themeColor="background1"/>
              </w:rPr>
            </w:pPr>
            <w:r>
              <w:rPr>
                <w:rFonts w:cs="Arial"/>
                <w:color w:val="FFFFFF" w:themeColor="background1"/>
              </w:rPr>
              <w:t>Most current AR-DRG version</w:t>
            </w:r>
          </w:p>
        </w:tc>
      </w:tr>
      <w:tr w:rsidR="00105E29" w:rsidRPr="0065414C" w14:paraId="216154AD" w14:textId="77777777" w:rsidTr="00587B30">
        <w:trPr>
          <w:cnfStyle w:val="010000000000" w:firstRow="0" w:lastRow="1" w:firstColumn="0" w:lastColumn="0" w:oddVBand="0" w:evenVBand="0" w:oddHBand="0" w:evenHBand="0" w:firstRowFirstColumn="0" w:firstRowLastColumn="0" w:lastRowFirstColumn="0" w:lastRowLastColumn="0"/>
          <w:trHeight w:val="1170"/>
        </w:trPr>
        <w:tc>
          <w:tcPr>
            <w:tcW w:w="1134" w:type="dxa"/>
            <w:tcBorders>
              <w:bottom w:val="single" w:sz="4" w:space="0" w:color="58595A"/>
            </w:tcBorders>
          </w:tcPr>
          <w:p w14:paraId="65EC0343" w14:textId="140471DF" w:rsidR="00105E29" w:rsidRPr="0065414C" w:rsidRDefault="00105E29" w:rsidP="005413B6">
            <w:pPr>
              <w:pStyle w:val="TableParagraph"/>
              <w:ind w:left="113" w:right="113"/>
              <w:rPr>
                <w:rFonts w:cs="Arial"/>
              </w:rPr>
            </w:pPr>
            <w:r>
              <w:rPr>
                <w:rFonts w:cs="Arial"/>
              </w:rPr>
              <w:t>Version 5.0, 5.1, 5.2, 6.0, 6.x and 7.0</w:t>
            </w:r>
          </w:p>
        </w:tc>
        <w:tc>
          <w:tcPr>
            <w:tcW w:w="1134" w:type="dxa"/>
            <w:tcBorders>
              <w:bottom w:val="single" w:sz="4" w:space="0" w:color="58595A"/>
            </w:tcBorders>
          </w:tcPr>
          <w:p w14:paraId="76C71880" w14:textId="51DF7F53" w:rsidR="00105E29" w:rsidRPr="0065414C" w:rsidRDefault="00105E29" w:rsidP="005413B6">
            <w:pPr>
              <w:pStyle w:val="TableParagraph"/>
              <w:ind w:left="113"/>
              <w:rPr>
                <w:rFonts w:cs="Arial"/>
              </w:rPr>
            </w:pPr>
            <w:r>
              <w:rPr>
                <w:rFonts w:cs="Arial"/>
              </w:rPr>
              <w:t>1 July 2021</w:t>
            </w:r>
          </w:p>
        </w:tc>
        <w:tc>
          <w:tcPr>
            <w:tcW w:w="1131" w:type="dxa"/>
            <w:tcBorders>
              <w:bottom w:val="single" w:sz="4" w:space="0" w:color="58595A"/>
            </w:tcBorders>
          </w:tcPr>
          <w:p w14:paraId="2A461362" w14:textId="3FB52F97" w:rsidR="00105E29" w:rsidRPr="0065414C" w:rsidRDefault="00105E29" w:rsidP="005413B6">
            <w:pPr>
              <w:pStyle w:val="TableParagraph"/>
              <w:ind w:left="113"/>
              <w:rPr>
                <w:rFonts w:cs="Arial"/>
              </w:rPr>
            </w:pPr>
            <w:r w:rsidRPr="0065414C">
              <w:rPr>
                <w:rFonts w:cs="Arial"/>
              </w:rPr>
              <w:t>1 July 202</w:t>
            </w:r>
            <w:r>
              <w:rPr>
                <w:rFonts w:cs="Arial"/>
              </w:rPr>
              <w:t>2</w:t>
            </w:r>
          </w:p>
        </w:tc>
        <w:tc>
          <w:tcPr>
            <w:tcW w:w="946" w:type="dxa"/>
            <w:tcBorders>
              <w:bottom w:val="single" w:sz="4" w:space="0" w:color="58595A"/>
            </w:tcBorders>
          </w:tcPr>
          <w:p w14:paraId="5D625B9C" w14:textId="052219E0" w:rsidR="00105E29" w:rsidRPr="0065414C" w:rsidRDefault="00105E29" w:rsidP="005413B6">
            <w:pPr>
              <w:pStyle w:val="TableParagraph"/>
              <w:ind w:left="113"/>
              <w:rPr>
                <w:rFonts w:cs="Arial"/>
              </w:rPr>
            </w:pPr>
            <w:r>
              <w:rPr>
                <w:rFonts w:cs="Arial"/>
              </w:rPr>
              <w:t>Version 11.0</w:t>
            </w:r>
          </w:p>
        </w:tc>
      </w:tr>
    </w:tbl>
    <w:p w14:paraId="3EF778A3" w14:textId="6FFA6682" w:rsidR="00105E29" w:rsidRPr="0065414C" w:rsidRDefault="00F15F7D" w:rsidP="00105E29">
      <w:pPr>
        <w:pStyle w:val="Heading3"/>
        <w:rPr>
          <w:rFonts w:cs="Arial"/>
        </w:rPr>
      </w:pPr>
      <w:bookmarkStart w:id="79" w:name="_Toc58930505"/>
      <w:r>
        <w:rPr>
          <w:rFonts w:cs="Arial"/>
        </w:rPr>
        <w:t xml:space="preserve">6.1.3. </w:t>
      </w:r>
      <w:r w:rsidR="00105E29" w:rsidRPr="00105E29">
        <w:rPr>
          <w:rFonts w:cs="Arial"/>
        </w:rPr>
        <w:t>Release of ICD-11</w:t>
      </w:r>
      <w:bookmarkEnd w:id="79"/>
    </w:p>
    <w:p w14:paraId="36DBCE6C" w14:textId="4491D0B4" w:rsidR="00105E29" w:rsidRDefault="0041121C" w:rsidP="00105E29">
      <w:pPr>
        <w:pStyle w:val="BodyText"/>
        <w:rPr>
          <w:rFonts w:cs="Arial"/>
        </w:rPr>
      </w:pPr>
      <w:r w:rsidRPr="0065414C">
        <w:rPr>
          <w:rFonts w:cs="Arial"/>
          <w:noProof/>
          <w:lang w:eastAsia="en-AU" w:bidi="ar-SA"/>
        </w:rPr>
        <mc:AlternateContent>
          <mc:Choice Requires="wps">
            <w:drawing>
              <wp:anchor distT="0" distB="0" distL="0" distR="0" simplePos="0" relativeHeight="251751424" behindDoc="1" locked="0" layoutInCell="1" allowOverlap="1" wp14:anchorId="4D56AABA" wp14:editId="5FAC7D54">
                <wp:simplePos x="0" y="0"/>
                <wp:positionH relativeFrom="margin">
                  <wp:posOffset>2975610</wp:posOffset>
                </wp:positionH>
                <wp:positionV relativeFrom="paragraph">
                  <wp:posOffset>593291</wp:posOffset>
                </wp:positionV>
                <wp:extent cx="2734310" cy="1974850"/>
                <wp:effectExtent l="0" t="0" r="27940" b="25400"/>
                <wp:wrapTopAndBottom/>
                <wp:docPr id="81"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97485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2A6AFB46" w14:textId="21C828C3" w:rsidR="00C93E72" w:rsidRPr="005470B1" w:rsidRDefault="00C93E72" w:rsidP="00BF4BBD">
                            <w:pPr>
                              <w:pStyle w:val="Questionheading"/>
                              <w:ind w:left="284"/>
                            </w:pPr>
                            <w:r>
                              <w:t>Next steps and future work</w:t>
                            </w:r>
                          </w:p>
                          <w:p w14:paraId="6536891D" w14:textId="0B408E5C" w:rsidR="00C93E72" w:rsidRDefault="00C93E72" w:rsidP="00BF4BBD">
                            <w:pPr>
                              <w:pStyle w:val="BodyText"/>
                              <w:ind w:left="284"/>
                            </w:pPr>
                            <w:r w:rsidRPr="00BF4BBD">
                              <w:t>States and territories have made significant progress in their collection of subacute activity and cost data. IHPA is working with its Subacute Care Working Group to continue to progress development of AN-SNAP classification Version 5.0. It is anticipated that a draft AN-SNAP classification Version 5.0 will be released for public consultation in early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6AABA" id="_x0000_s1036" type="#_x0000_t202" style="position:absolute;margin-left:234.3pt;margin-top:46.7pt;width:215.3pt;height:155.5pt;z-index:-2515650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8/NrwIAAGIFAAAOAAAAZHJzL2Uyb0RvYy54bWysVNtu2zAMfR+wfxD07vqaxAnqFImdDAO6&#10;C9DuAxRZjoXZkicpcbqh/z5KjpN2fRmG+cGmLOmQhzzk7d2pbdCRKc2lyHB4E2DEBJUlF/sMf3vc&#10;eilG2hBRkkYKluEnpvHd8v27275bsEjWsimZQgAi9KLvMlwb0y18X9OatUTfyI4J2KykaomBpdr7&#10;pSI9oLeNHwXB1O+lKjslKdMa/hbDJl46/Kpi1HypKs0MajIMsRn3Vu69s29/eUsWe0W6mtNzGOQf&#10;omgJF+D0AlUQQ9BB8TdQLadKalmZGypbX1YVp8xxADZh8Aebh5p0zHGB5Ojukib9/2Dp5+NXhXiZ&#10;4TTESJAWavTITgat5QnFoeMEy3ttLDu74Vj9ysM0LmbbqbdO5qmXxOvYmyfp2gtnUbqeRKvVdJM8&#10;2+z67pa77/edXjiHtjzOfOjAuzmBMxCPc6a7e0m/ayRkXhOxZyulZF8zUgLp0AG+uDrgaAuy6z/J&#10;EoInByMd0KlSrY0ZcowAHYr/dCm45UHhZzSLkziELQp74XyWpBMnCQh6vN4pbT4w2SJrZFiBohw8&#10;OQKngd94xHoTcsubxqmqEajP8HwSTQZisuGl3bTHnL5Z3ih0JKBMQikTJj7nS7882XIDDdLwFioU&#10;2GeQrM3IRpTOkSG8GWyIuxHnQr0p2TyYb9JNmnhJNN14SVAU3mqbJ950G84mRVzkeRE+21DDZFHz&#10;smTCRjs2RZj8nejO7TnI+dIWryhptd9dqG/d85a5/zqMUUjj9yooW/1BB+a0OzkpQ0UhMVYnO1k+&#10;gTiUHBofBhUYtVQ/Meqh6TOsfxyIYhg1HwUIzE6I0VCjsRsNIihczbDBaDBzM0ySQ6f4vgbkQcJC&#10;rkCEFXfyuEYBodsFNLIjcR46dlK8XLtT19G4/A0AAP//AwBQSwMEFAAGAAgAAAAhADkhEsbgAAAA&#10;CgEAAA8AAABkcnMvZG93bnJldi54bWxMj0FLw0AQhe+C/2EZwZvdtA0hSbMpUlChnqwieJtmp0lo&#10;djZmN2n8964nexzex3vfFNvZdGKiwbWWFSwXEQjiyuqWawUf708PKQjnkTV2lknBDznYlrc3Beba&#10;XviNpoOvRShhl6OCxvs+l9JVDRl0C9sTh+xkB4M+nEMt9YCXUG46uYqiRBpsOSw02NOuoep8GI2C&#10;ZzPNX6/778+9w5esX67PuBsjpe7v5scNCE+z/4fhTz+oQxmcjnZk7USnIE7SJKAKsnUMIgBplq1A&#10;HEMSxTHIspDXL5S/AAAA//8DAFBLAQItABQABgAIAAAAIQC2gziS/gAAAOEBAAATAAAAAAAAAAAA&#10;AAAAAAAAAABbQ29udGVudF9UeXBlc10ueG1sUEsBAi0AFAAGAAgAAAAhADj9If/WAAAAlAEAAAsA&#10;AAAAAAAAAAAAAAAALwEAAF9yZWxzLy5yZWxzUEsBAi0AFAAGAAgAAAAhAAbnz82vAgAAYgUAAA4A&#10;AAAAAAAAAAAAAAAALgIAAGRycy9lMm9Eb2MueG1sUEsBAi0AFAAGAAgAAAAhADkhEsbgAAAACgEA&#10;AA8AAAAAAAAAAAAAAAAACQUAAGRycy9kb3ducmV2LnhtbFBLBQYAAAAABAAEAPMAAAAWBgAAAAA=&#10;" filled="f" strokecolor="#c31f48 [3206]">
                <v:textbox inset="0,0,0,0">
                  <w:txbxContent>
                    <w:p w14:paraId="2A6AFB46" w14:textId="21C828C3" w:rsidR="00C93E72" w:rsidRPr="005470B1" w:rsidRDefault="00C93E72" w:rsidP="00BF4BBD">
                      <w:pPr>
                        <w:pStyle w:val="Questionheading"/>
                        <w:ind w:left="284"/>
                      </w:pPr>
                      <w:r>
                        <w:t>Next steps and future work</w:t>
                      </w:r>
                    </w:p>
                    <w:p w14:paraId="6536891D" w14:textId="0B408E5C" w:rsidR="00C93E72" w:rsidRDefault="00C93E72" w:rsidP="00BF4BBD">
                      <w:pPr>
                        <w:pStyle w:val="BodyText"/>
                        <w:ind w:left="284"/>
                      </w:pPr>
                      <w:r w:rsidRPr="00BF4BBD">
                        <w:t>States and territories have made significant progress in their collection of subacute activity and cost data. IHPA is working with its Subacute Care Working Group to continue to progress development of AN-SNAP classification Version 5.0. It is anticipated that a draft AN-SNAP classification Version 5.0 will be released for public consultation in early 2021.</w:t>
                      </w:r>
                    </w:p>
                  </w:txbxContent>
                </v:textbox>
                <w10:wrap type="topAndBottom" anchorx="margin"/>
              </v:shape>
            </w:pict>
          </mc:Fallback>
        </mc:AlternateContent>
      </w:r>
      <w:r w:rsidR="00105E29" w:rsidRPr="00105E29">
        <w:rPr>
          <w:rFonts w:cs="Arial"/>
        </w:rPr>
        <w:t>The World Health Organization released the eleventh revision of the International Classification of Diseases (ICD-11) in June 2018. ICD-11 was approved by the World Health Assembly in May 2019. The Australian Institute of</w:t>
      </w:r>
      <w:r w:rsidR="00CF539E">
        <w:rPr>
          <w:rFonts w:cs="Arial"/>
        </w:rPr>
        <w:t> </w:t>
      </w:r>
      <w:r w:rsidR="00105E29" w:rsidRPr="00105E29">
        <w:rPr>
          <w:rFonts w:cs="Arial"/>
        </w:rPr>
        <w:t>Health and Welfare has explored the feasibility and potential timeframe for implementation of ICD-11 in Australia, however Commonwealth, state and territory health ministers are yet to make a decision on the implementation of</w:t>
      </w:r>
      <w:r w:rsidR="00CF539E">
        <w:rPr>
          <w:rFonts w:cs="Arial"/>
        </w:rPr>
        <w:t> </w:t>
      </w:r>
      <w:r w:rsidR="00105E29" w:rsidRPr="00105E29">
        <w:rPr>
          <w:rFonts w:cs="Arial"/>
        </w:rPr>
        <w:t>ICD-</w:t>
      </w:r>
      <w:r w:rsidR="00105E29">
        <w:rPr>
          <w:rFonts w:cs="Arial"/>
        </w:rPr>
        <w:t>‍</w:t>
      </w:r>
      <w:r w:rsidR="00105E29" w:rsidRPr="00105E29">
        <w:rPr>
          <w:rFonts w:cs="Arial"/>
        </w:rPr>
        <w:t>11.</w:t>
      </w:r>
    </w:p>
    <w:bookmarkStart w:id="80" w:name="_Toc58930506"/>
    <w:p w14:paraId="316BBD13" w14:textId="5E307253" w:rsidR="00A23AAB" w:rsidRPr="0065414C" w:rsidRDefault="00AF25BA" w:rsidP="00E711D6">
      <w:pPr>
        <w:pStyle w:val="Heading2"/>
      </w:pPr>
      <w:r w:rsidRPr="0065414C">
        <w:rPr>
          <w:rFonts w:cs="Arial"/>
          <w:noProof/>
          <w:lang w:eastAsia="en-AU" w:bidi="ar-SA"/>
        </w:rPr>
        <mc:AlternateContent>
          <mc:Choice Requires="wps">
            <w:drawing>
              <wp:anchor distT="0" distB="0" distL="0" distR="0" simplePos="0" relativeHeight="251747328" behindDoc="1" locked="0" layoutInCell="1" allowOverlap="1" wp14:anchorId="39EBC392" wp14:editId="2868638C">
                <wp:simplePos x="0" y="0"/>
                <wp:positionH relativeFrom="margin">
                  <wp:posOffset>5576</wp:posOffset>
                </wp:positionH>
                <wp:positionV relativeFrom="paragraph">
                  <wp:posOffset>979418</wp:posOffset>
                </wp:positionV>
                <wp:extent cx="2734310" cy="2904892"/>
                <wp:effectExtent l="0" t="0" r="8890" b="16510"/>
                <wp:wrapTopAndBottom/>
                <wp:docPr id="79"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2904892"/>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63FFAAA" w14:textId="55641E01" w:rsidR="00C93E72" w:rsidRPr="005470B1" w:rsidRDefault="00C93E72" w:rsidP="00277183">
                            <w:pPr>
                              <w:pStyle w:val="Questionheading"/>
                              <w:ind w:left="284"/>
                            </w:pPr>
                            <w:r>
                              <w:t>Next steps and future work</w:t>
                            </w:r>
                          </w:p>
                          <w:p w14:paraId="2F800F6B" w14:textId="5215855A" w:rsidR="00C93E72" w:rsidRDefault="00C93E72" w:rsidP="00277183">
                            <w:pPr>
                              <w:pStyle w:val="BodyText"/>
                              <w:ind w:left="284"/>
                            </w:pPr>
                            <w:r w:rsidRPr="00277183">
                              <w:t>IHPA will consult with stakeholders in the private sector to discuss the implications of IHPA withdrawing support for older versions of the AR-DRG classification. IHPA notes that any new agreements between private hospitals and health funds should use the most recent AR-DRG version.</w:t>
                            </w:r>
                          </w:p>
                          <w:p w14:paraId="6F89CD8C" w14:textId="77777777" w:rsidR="00C93E72" w:rsidRPr="0065414C" w:rsidRDefault="00C93E72" w:rsidP="00B37C93">
                            <w:pPr>
                              <w:pStyle w:val="BodyText"/>
                              <w:ind w:left="284"/>
                              <w:rPr>
                                <w:rFonts w:cs="Arial"/>
                              </w:rPr>
                            </w:pPr>
                            <w:r w:rsidRPr="00E711D6">
                              <w:rPr>
                                <w:rFonts w:cs="Arial"/>
                              </w:rPr>
                              <w:t>IHPA will explore the readiness of ICD-11 for implementation in admitted care by undertaking a gap analysis that includes mapping ICD-10-AM to ICD-11. IHPA will review the impact of moving to ICD-11 on the AR-DRG classification and determine whether remediation is required to use</w:t>
                            </w:r>
                            <w:r>
                              <w:rPr>
                                <w:rFonts w:cs="Arial"/>
                              </w:rPr>
                              <w:t> </w:t>
                            </w:r>
                            <w:r w:rsidRPr="00E711D6">
                              <w:rPr>
                                <w:rFonts w:cs="Arial"/>
                              </w:rPr>
                              <w:t>ICD-11 within AR-DRGs.</w:t>
                            </w:r>
                          </w:p>
                          <w:p w14:paraId="1EA9B4CD" w14:textId="77777777" w:rsidR="00C93E72" w:rsidRDefault="00C93E72" w:rsidP="00277183">
                            <w:pPr>
                              <w:pStyle w:val="BodyText"/>
                              <w:ind w:left="284"/>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BC392" id="_x0000_s1037" type="#_x0000_t202" style="position:absolute;margin-left:.45pt;margin-top:77.1pt;width:215.3pt;height:228.75pt;z-index:-25156915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UrgIAAGIFAAAOAAAAZHJzL2Uyb0RvYy54bWysVNtu2zAMfR+wfxD07vqaxA7qFEmcDAO6&#10;C9DuAxRZjoXZkicpcbqi/z5KjtN23cMwzA82ZUqHPNQhr29ObYOOTGkuRY7DqwAjJqgsudjn+Nv9&#10;1ksx0oaIkjRSsBw/MI1vFu/fXffdnEWylk3JFAIQoed9l+PamG7u+5rWrCX6SnZMgLOSqiUGlmrv&#10;l4r0gN42fhQEU7+XquyUpExr+FsMTrxw+FXFqPlSVZoZ1OQYcjPurdx7Z9/+4prM94p0NafnNMg/&#10;ZNESLiDoBaoghqCD4m+gWk6V1LIyV1S2vqwqTpnjAGzC4Dc2dzXpmOMCxdHdpUz6/8HSz8evCvEy&#10;x7MMI0FauKN7djJoJU8oDh0nWN5qY9lZh2P1uA7TuJhtp94qyVIviVexlyXpygtnUbqaRMvldJM8&#10;2er67pQ77/ednruA9nqceddBdHOCYCAeF0x3t5J+10jIdU3Eni2Vkn3NSAmkQwf44uiAoy3Irv8k&#10;S0ieHIx0QKdKtTZnqDECdLj8h8uFWx4UfkazOIlDcFHwRVmQpFl0Tno83iltPjDZImvkWIGiHDw5&#10;AqeB37jFRhNyy5vGqaoRqM9xNokmAzHZ8NI67Tanb7ZuFDoSUCahlAkTn0PrlztbbqBBGt7mOA3s&#10;YzeRua3IRpTONoQ3gw3FboR1/+nKsiDbpJs08ZJouvGSoCi85XadeNNtOJsUcbFeF+GTTTVM5jUv&#10;SyZstmNThMnfie7cnoOcL23xipJW+92F+tY9b5n7r9MYhTR+nwVlb3/QgTntTk7KoROK1clOlg8g&#10;DiWHxodBBUYt1U+Memj6HOsfB6IYRs1HAQKzE2I01GjsRoMICkdzbDAazLUZJsmhU3xfA/IgYSGX&#10;IMKKO3k8ZwGp2wU0siNxHjp2Urxcu13Po3HxCwAA//8DAFBLAwQUAAYACAAAACEA1sO8sd8AAAAI&#10;AQAADwAAAGRycy9kb3ducmV2LnhtbEyPzU7DMBCE70i8g7VI3Kjj/kFDnApVAqT2RKkqcdvGJoka&#10;r0PspOHtWU5wnJ3RzLfZenSNGGwXak8a1CQBYanwpqZSw+H9+e4BRIhIBhtPVsO3DbDOr68yTI2/&#10;0Jsd9rEUXEIhRQ1VjG0qZSgq6zBMfGuJvU/fOYwsu1KaDi9c7ho5TZKldFgTL1TY2k1li/O+dxpe&#10;3DB+7LZfx23A11WrZmfc9InWtzfj0yOIaMf4F4ZffEaHnJlOvicTRKNhxTm+LuZTEGzPZ2oB4qRh&#10;qdQ9yDyT/x/IfwAAAP//AwBQSwECLQAUAAYACAAAACEAtoM4kv4AAADhAQAAEwAAAAAAAAAAAAAA&#10;AAAAAAAAW0NvbnRlbnRfVHlwZXNdLnhtbFBLAQItABQABgAIAAAAIQA4/SH/1gAAAJQBAAALAAAA&#10;AAAAAAAAAAAAAC8BAABfcmVscy8ucmVsc1BLAQItABQABgAIAAAAIQC/jacUrgIAAGIFAAAOAAAA&#10;AAAAAAAAAAAAAC4CAABkcnMvZTJvRG9jLnhtbFBLAQItABQABgAIAAAAIQDWw7yx3wAAAAgBAAAP&#10;AAAAAAAAAAAAAAAAAAgFAABkcnMvZG93bnJldi54bWxQSwUGAAAAAAQABADzAAAAFAYAAAAA&#10;" filled="f" strokecolor="#c31f48 [3206]">
                <v:textbox inset="0,0,0,0">
                  <w:txbxContent>
                    <w:p w14:paraId="163FFAAA" w14:textId="55641E01" w:rsidR="00C93E72" w:rsidRPr="005470B1" w:rsidRDefault="00C93E72" w:rsidP="00277183">
                      <w:pPr>
                        <w:pStyle w:val="Questionheading"/>
                        <w:ind w:left="284"/>
                      </w:pPr>
                      <w:r>
                        <w:t>Next steps and future work</w:t>
                      </w:r>
                    </w:p>
                    <w:p w14:paraId="2F800F6B" w14:textId="5215855A" w:rsidR="00C93E72" w:rsidRDefault="00C93E72" w:rsidP="00277183">
                      <w:pPr>
                        <w:pStyle w:val="BodyText"/>
                        <w:ind w:left="284"/>
                      </w:pPr>
                      <w:r w:rsidRPr="00277183">
                        <w:t>IHPA will consult with stakeholders in the private sector to discuss the implications of IHPA withdrawing support for older versions of the AR-DRG classification. IHPA notes that any new agreements between private hospitals and health funds should use the most recent AR-DRG version.</w:t>
                      </w:r>
                    </w:p>
                    <w:p w14:paraId="6F89CD8C" w14:textId="77777777" w:rsidR="00C93E72" w:rsidRPr="0065414C" w:rsidRDefault="00C93E72" w:rsidP="00B37C93">
                      <w:pPr>
                        <w:pStyle w:val="BodyText"/>
                        <w:ind w:left="284"/>
                        <w:rPr>
                          <w:rFonts w:cs="Arial"/>
                        </w:rPr>
                      </w:pPr>
                      <w:r w:rsidRPr="00E711D6">
                        <w:rPr>
                          <w:rFonts w:cs="Arial"/>
                        </w:rPr>
                        <w:t>IHPA will explore the readiness of ICD-11 for implementation in admitted care by undertaking a gap analysis that includes mapping ICD-10-AM to ICD-11. IHPA will review the impact of moving to ICD-11 on the AR-DRG classification and determine whether remediation is required to use</w:t>
                      </w:r>
                      <w:r>
                        <w:rPr>
                          <w:rFonts w:cs="Arial"/>
                        </w:rPr>
                        <w:t> </w:t>
                      </w:r>
                      <w:r w:rsidRPr="00E711D6">
                        <w:rPr>
                          <w:rFonts w:cs="Arial"/>
                        </w:rPr>
                        <w:t>ICD-11 within AR-DRGs.</w:t>
                      </w:r>
                    </w:p>
                    <w:p w14:paraId="1EA9B4CD" w14:textId="77777777" w:rsidR="00C93E72" w:rsidRDefault="00C93E72" w:rsidP="00277183">
                      <w:pPr>
                        <w:pStyle w:val="BodyText"/>
                        <w:ind w:left="284"/>
                      </w:pPr>
                    </w:p>
                  </w:txbxContent>
                </v:textbox>
                <w10:wrap type="topAndBottom" anchorx="margin"/>
              </v:shape>
            </w:pict>
          </mc:Fallback>
        </mc:AlternateContent>
      </w:r>
      <w:r w:rsidRPr="0065414C">
        <w:rPr>
          <w:rFonts w:cs="Arial"/>
          <w:noProof/>
          <w:lang w:eastAsia="en-AU" w:bidi="ar-SA"/>
        </w:rPr>
        <mc:AlternateContent>
          <mc:Choice Requires="wps">
            <w:drawing>
              <wp:anchor distT="0" distB="0" distL="0" distR="0" simplePos="0" relativeHeight="251745280" behindDoc="1" locked="0" layoutInCell="1" allowOverlap="1" wp14:anchorId="04959533" wp14:editId="2DBE20A9">
                <wp:simplePos x="0" y="0"/>
                <wp:positionH relativeFrom="margin">
                  <wp:posOffset>5080</wp:posOffset>
                </wp:positionH>
                <wp:positionV relativeFrom="paragraph">
                  <wp:posOffset>43180</wp:posOffset>
                </wp:positionV>
                <wp:extent cx="2734310" cy="886460"/>
                <wp:effectExtent l="0" t="0" r="8890" b="15240"/>
                <wp:wrapTopAndBottom/>
                <wp:docPr id="78" name="Text Box 3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886460"/>
                        </a:xfrm>
                        <a:prstGeom prst="rect">
                          <a:avLst/>
                        </a:prstGeom>
                        <a:noFill/>
                        <a:ln w="9525">
                          <a:solidFill>
                            <a:schemeClr val="accent3"/>
                          </a:solidFill>
                          <a:miter lim="800000"/>
                          <a:headEnd/>
                          <a:tailEnd/>
                        </a:ln>
                        <a:extLst>
                          <a:ext uri="{909E8E84-426E-40DD-AFC4-6F175D3DCCD1}">
                            <a14:hiddenFill xmlns:a14="http://schemas.microsoft.com/office/drawing/2010/main">
                              <a:solidFill>
                                <a:srgbClr val="FFFFFF"/>
                              </a:solidFill>
                            </a14:hiddenFill>
                          </a:ext>
                        </a:extLst>
                      </wps:spPr>
                      <wps:txbx>
                        <w:txbxContent>
                          <w:p w14:paraId="183B50A5" w14:textId="77777777" w:rsidR="00C93E72" w:rsidRPr="005470B1" w:rsidRDefault="00C93E72" w:rsidP="00277183">
                            <w:pPr>
                              <w:pStyle w:val="Questionheading"/>
                              <w:ind w:left="284"/>
                            </w:pPr>
                            <w:r>
                              <w:t>IHPA’s decision</w:t>
                            </w:r>
                          </w:p>
                          <w:p w14:paraId="369177B9" w14:textId="2CB6F8F7" w:rsidR="00C93E72" w:rsidRDefault="00C93E72" w:rsidP="00277183">
                            <w:pPr>
                              <w:pStyle w:val="BodyText"/>
                              <w:ind w:left="284"/>
                            </w:pPr>
                            <w:r w:rsidRPr="00277183">
                              <w:t>IHPA will adopt a three year development cycle for the acute care classifications.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59533" id="_x0000_s1038" type="#_x0000_t202" style="position:absolute;margin-left:.4pt;margin-top:3.4pt;width:215.3pt;height:69.8pt;z-index:-25157120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p3rQIAAGEFAAAOAAAAZHJzL2Uyb0RvYy54bWysVF1vmzAUfZ+0/2D5nfKZhEQlVQLJNKn7&#10;kNr9AMeYYA1sZjsh3dT/vmsTknZ9mabxANfYPvcc33N9e3dqG3RkSnMpMhzeBBgxQWXJxT7D3x63&#10;XoqRNkSUpJGCZfiJaXy3fP/utu8WLJK1bEqmEIAIvei7DNfGdAvf17RmLdE3smMCJiupWmJgqPZ+&#10;qUgP6G3jR0Ew9Xupyk5JyrSGv8UwiZcOv6oYNV+qSjODmgwDN+Peyr139u0vb8lir0hXc3qmQf6B&#10;RUu4gKQXqIIYgg6Kv4FqOVVSy8rcUNn6sqo4ZU4DqAmDP9Q81KRjTgscju4ux6T/Hyz9fPyqEC8z&#10;PINKCdJCjR7ZyaC1PKE4dJpgeK+NVWcnnKpfeZjGxWw79dbJPPWSeB178yRde+EsSteTaLWabpJn&#10;e7q+2+X2+32nFy6hLY8LHzrIbk6QDMzjkunuXtLvGgmZ10Ts2Uop2deMlCA6dIAvtg442oLs+k+y&#10;BPLkYKQDOlWqtZzhjBGgQ/GfLgW3Oij8jGZxEocwRWEuTafJ1DkCOI+7O6XNByZbZIMMKzCUQydH&#10;kDTIG5fYZEJuedM4UzUC9RmeT6LJoEs2vLSTdpmzN8sbhY4EjEkoZcLE5+PSL1e23EB/NLwFfoF9&#10;BsfaA9mI0iUyhDdDDLwbca7Tm4rNg/km3aSJl0TTjZcEReGttnniTbfhbFLERZ4X4bOlGiaLmpcl&#10;E5bt2BNh8neeO3fn4OZLV7ySpNV+d5G+dc9b5f5rGqOPxu/VT7b4gw3MaXdyTg4ji2dtspPlE3hD&#10;yaHv4Z6CoJbqJ0Y99HyG9Y8DUQyj5qMAf9kLYgzUGOzGgAgKWzNsMBrC3AwXyaFTfF8D8uBgIVfg&#10;wYo7e1xZAHU7gD52Is53jr0oXo7dquvNuPwNAAD//wMAUEsDBBQABgAIAAAAIQAoMOEB2wAAAAYB&#10;AAAPAAAAZHJzL2Rvd25yZXYueG1sTI5BS8NAFITvgv9heYI3u4kNQWM2RQoq1JNVBG+v2WcSmn0b&#10;s5s0/nufJz0NwwwzX7lZXK9mGkPn2UC6SkAR19523Bh4e324ugEVIrLF3jMZ+KYAm+r8rMTC+hO/&#10;0LyPjZIRDgUaaGMcCq1D3ZLDsPIDsWSffnQYxY6NtiOeZNz1+jpJcu2wY3locaBtS/VxPzkDj25e&#10;Pp53X++7gE+3Q7o+4nZKjLm8WO7vQEVa4l8ZfvEFHSphOviJbVC9AeGOBnIRCbN1moE6SCvLM9BV&#10;qf/jVz8AAAD//wMAUEsBAi0AFAAGAAgAAAAhALaDOJL+AAAA4QEAABMAAAAAAAAAAAAAAAAAAAAA&#10;AFtDb250ZW50X1R5cGVzXS54bWxQSwECLQAUAAYACAAAACEAOP0h/9YAAACUAQAACwAAAAAAAAAA&#10;AAAAAAAvAQAAX3JlbHMvLnJlbHNQSwECLQAUAAYACAAAACEA5hB6d60CAABhBQAADgAAAAAAAAAA&#10;AAAAAAAuAgAAZHJzL2Uyb0RvYy54bWxQSwECLQAUAAYACAAAACEAKDDhAdsAAAAGAQAADwAAAAAA&#10;AAAAAAAAAAAHBQAAZHJzL2Rvd25yZXYueG1sUEsFBgAAAAAEAAQA8wAAAA8GAAAAAA==&#10;" filled="f" strokecolor="#c31f48 [3206]">
                <v:textbox inset="0,0,0,0">
                  <w:txbxContent>
                    <w:p w14:paraId="183B50A5" w14:textId="77777777" w:rsidR="00C93E72" w:rsidRPr="005470B1" w:rsidRDefault="00C93E72" w:rsidP="00277183">
                      <w:pPr>
                        <w:pStyle w:val="Questionheading"/>
                        <w:ind w:left="284"/>
                      </w:pPr>
                      <w:r>
                        <w:t>IHPA’s decision</w:t>
                      </w:r>
                    </w:p>
                    <w:p w14:paraId="369177B9" w14:textId="2CB6F8F7" w:rsidR="00C93E72" w:rsidRDefault="00C93E72" w:rsidP="00277183">
                      <w:pPr>
                        <w:pStyle w:val="BodyText"/>
                        <w:ind w:left="284"/>
                      </w:pPr>
                      <w:r w:rsidRPr="00277183">
                        <w:t>IHPA will adopt a three year development cycle for the acute care classifications.</w:t>
                      </w:r>
                    </w:p>
                  </w:txbxContent>
                </v:textbox>
                <w10:wrap type="topAndBottom" anchorx="margin"/>
              </v:shape>
            </w:pict>
          </mc:Fallback>
        </mc:AlternateContent>
      </w:r>
      <w:r w:rsidR="00925C8B">
        <w:br w:type="column"/>
      </w:r>
      <w:r w:rsidR="00E711D6" w:rsidRPr="00E711D6">
        <w:t>6.2</w:t>
      </w:r>
      <w:r w:rsidR="00A61606">
        <w:t>.</w:t>
      </w:r>
      <w:r w:rsidR="00E711D6">
        <w:t xml:space="preserve"> </w:t>
      </w:r>
      <w:r w:rsidR="00E711D6" w:rsidRPr="00E711D6">
        <w:t>Subacute and non-</w:t>
      </w:r>
      <w:r w:rsidR="00DD4726">
        <w:t>‍</w:t>
      </w:r>
      <w:r w:rsidR="00E711D6" w:rsidRPr="00E711D6">
        <w:t>acute care</w:t>
      </w:r>
      <w:bookmarkEnd w:id="80"/>
    </w:p>
    <w:p w14:paraId="7C028444" w14:textId="2160B618" w:rsidR="00105E29" w:rsidRDefault="00DD4726" w:rsidP="00DD4726">
      <w:pPr>
        <w:pStyle w:val="BodyText"/>
        <w:rPr>
          <w:rFonts w:cs="Arial"/>
        </w:rPr>
      </w:pPr>
      <w:r w:rsidRPr="00DD4726">
        <w:rPr>
          <w:rFonts w:cs="Arial"/>
        </w:rPr>
        <w:t>Subacute care is specialised multidisciplinary care in which the primary need is optimisation of</w:t>
      </w:r>
      <w:r w:rsidR="004C3925">
        <w:rPr>
          <w:rFonts w:cs="Arial"/>
        </w:rPr>
        <w:t> </w:t>
      </w:r>
      <w:r w:rsidRPr="00DD4726">
        <w:rPr>
          <w:rFonts w:cs="Arial"/>
        </w:rPr>
        <w:t>the patient’s functioning and quality of life. Subacute care includes rehabilitation, palliative care, geriatric evaluation and management and psychogeriatric care types while non-acute care is comprised of maintenance care services. Patients are classified on the basis of care type, phase of care, functional impairments, age and other measures. Subacute and non-acute services which are not classified using the Australian National Subacute and Non-Acute Patient (AN SNAP) classification are classified using AR-DRGs.</w:t>
      </w:r>
    </w:p>
    <w:p w14:paraId="67CD9434" w14:textId="2FCF7394" w:rsidR="00DD4726" w:rsidRDefault="00DD4726" w:rsidP="00DD4726">
      <w:pPr>
        <w:pStyle w:val="BodyText"/>
        <w:rPr>
          <w:rFonts w:cs="Arial"/>
        </w:rPr>
      </w:pPr>
    </w:p>
    <w:p w14:paraId="1D2793B1" w14:textId="0BF61EA6" w:rsidR="00105E29" w:rsidRPr="0065414C" w:rsidRDefault="00105E29" w:rsidP="00485FA3">
      <w:pPr>
        <w:pStyle w:val="BodyText"/>
        <w:rPr>
          <w:rFonts w:cs="Arial"/>
        </w:rPr>
        <w:sectPr w:rsidR="00105E29" w:rsidRPr="0065414C" w:rsidSect="00986BFB">
          <w:headerReference w:type="default" r:id="rId49"/>
          <w:type w:val="continuous"/>
          <w:pgSz w:w="11910" w:h="16840"/>
          <w:pgMar w:top="1134" w:right="1440" w:bottom="1440" w:left="1440" w:header="0" w:footer="656" w:gutter="0"/>
          <w:cols w:num="2" w:space="340"/>
        </w:sectPr>
      </w:pPr>
    </w:p>
    <w:p w14:paraId="31108DA6" w14:textId="46AFC13E" w:rsidR="00C415F5" w:rsidRPr="0065414C" w:rsidRDefault="00C415F5">
      <w:pPr>
        <w:spacing w:line="256" w:lineRule="auto"/>
        <w:rPr>
          <w:rFonts w:cs="Arial"/>
        </w:rPr>
        <w:sectPr w:rsidR="00C415F5" w:rsidRPr="0065414C" w:rsidSect="00B14BC9">
          <w:type w:val="continuous"/>
          <w:pgSz w:w="11910" w:h="16840"/>
          <w:pgMar w:top="1440" w:right="1440" w:bottom="1440" w:left="1440" w:header="0" w:footer="656" w:gutter="0"/>
          <w:cols w:space="340"/>
        </w:sectPr>
      </w:pPr>
    </w:p>
    <w:bookmarkStart w:id="81" w:name="_bookmark14"/>
    <w:bookmarkStart w:id="82" w:name="_Toc58930507"/>
    <w:bookmarkEnd w:id="81"/>
    <w:p w14:paraId="6316E3B5" w14:textId="34B034E4" w:rsidR="0016039E" w:rsidRPr="0065414C" w:rsidRDefault="006F377F" w:rsidP="00423A45">
      <w:pPr>
        <w:pStyle w:val="Heading2"/>
        <w:spacing w:before="0"/>
      </w:pPr>
      <w:r w:rsidRPr="0065414C">
        <w:rPr>
          <w:rFonts w:cs="Arial"/>
          <w:noProof/>
          <w:lang w:eastAsia="en-AU" w:bidi="ar-SA"/>
        </w:rPr>
        <w:lastRenderedPageBreak/>
        <mc:AlternateContent>
          <mc:Choice Requires="wps">
            <w:drawing>
              <wp:anchor distT="0" distB="0" distL="0" distR="0" simplePos="0" relativeHeight="251623421" behindDoc="1" locked="0" layoutInCell="1" allowOverlap="1" wp14:anchorId="71D63EF9" wp14:editId="473133CD">
                <wp:simplePos x="0" y="0"/>
                <wp:positionH relativeFrom="margin">
                  <wp:posOffset>2976113</wp:posOffset>
                </wp:positionH>
                <wp:positionV relativeFrom="paragraph">
                  <wp:posOffset>60</wp:posOffset>
                </wp:positionV>
                <wp:extent cx="2688590" cy="1673225"/>
                <wp:effectExtent l="0" t="0" r="16510" b="22225"/>
                <wp:wrapTopAndBottom/>
                <wp:docPr id="57"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67322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B360462" w14:textId="04CEE3CC" w:rsidR="00C93E72" w:rsidRPr="005470B1" w:rsidRDefault="00C93E72" w:rsidP="00423A45">
                            <w:pPr>
                              <w:pStyle w:val="Questionheading"/>
                              <w:ind w:left="284"/>
                            </w:pPr>
                            <w:bookmarkStart w:id="83" w:name="Question20"/>
                            <w:r>
                              <w:t>IHPA’s decision</w:t>
                            </w:r>
                          </w:p>
                          <w:bookmarkEnd w:id="83"/>
                          <w:p w14:paraId="0252DEE0" w14:textId="43B2147F" w:rsidR="00C93E72" w:rsidRDefault="00C93E72" w:rsidP="00423A45">
                            <w:pPr>
                              <w:pStyle w:val="BodyText"/>
                              <w:ind w:left="284"/>
                            </w:pPr>
                            <w:r w:rsidRPr="00423A45">
                              <w:t>For NEP21, IHPA intends to continue using</w:t>
                            </w:r>
                            <w:r>
                              <w:t> </w:t>
                            </w:r>
                            <w:r w:rsidRPr="00423A45">
                              <w:t>the Tier 2 Non-Admitted Services Classification Version 7.0 for pricing non-</w:t>
                            </w:r>
                            <w:r>
                              <w:t>‍</w:t>
                            </w:r>
                            <w:r w:rsidRPr="00423A45">
                              <w:t>admitted services. IHPA will price one additional clinical nurse specialist/allied health led class in chronic pain</w:t>
                            </w:r>
                            <w:r>
                              <w:t> </w:t>
                            </w:r>
                            <w:r w:rsidRPr="00423A45">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63EF9" id="Text Box 37" o:spid="_x0000_s1039" type="#_x0000_t202" style="position:absolute;margin-left:234.35pt;margin-top:0;width:211.7pt;height:131.75pt;z-index:-25169305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phyAIAAJoFAAAOAAAAZHJzL2Uyb0RvYy54bWysVNuO2jAQfa/Uf7D8ng25AAFtWAGBqtL2&#10;Iu32A4zjEKuOndqGsK323zt2CMu2faiq8hDGHvvMnPGZub07NQIdmTZcyRxHNyOMmKSq5HKf4y+P&#10;2yDDyFgiSyKUZDl+YgbfLd6+ue3aOYtVrUTJNAIQaeZdm+Pa2nYehobWrCHmRrVMgrNSuiEWlnof&#10;lpp0gN6IMB6NJmGndNlqRZkxsFv0Trzw+FXFqP1UVYZZJHIMuVn/1f67c99wcUvme03amtNzGuQf&#10;smgIlxD0AlUQS9BB89+gGk61MqqyN1Q1oaoqTpnnAGyi0S9sHmrSMs8FimPaS5nM/4OlH4+fNeJl&#10;jsdTjCRp4I0e2cmilTqhZOo5wfLeWMfOOTyrH+soS4rpdhKs0lkWpMkqCWZptgqiaZytxvFyOdmk&#10;z666ob/l74dda+Y+oHsebz60EN2eIBiIxwcz7b2iXw2Sal0TuWdLrVVXM1IC6cgDXl3tcYwD2XUf&#10;VAnJk4NVHuhU6cblDDVGgA6P/3R5cMeDwmY8ybLxDFwUfNFkmsTx+Jz0cL3Vxr5jqkHOyLEGRXl4&#10;cgROPb/hiIsm1ZYL4VUlJOpyPBsDpPMYJXjpnH7h9M3WQqMjAWUSSpm0iT8nDg0w6fejkfv1IoV9&#10;kHK/77egsr5NHIyv86sIDbfQWII3Oc6uUFwlN7L0CVrCRW8DlJAurz899Ww022SbLA3SeLIJ0lFR&#10;BMvtOg0m22g6LpJivS6iZ5d6lM5rXpZMOpZDM0Xp34n13NZ9G1za6RUlo/e7S8m2/nd+rKtj4es0&#10;BgEO/y9CdKrp9WNPu5NvgShxeE5fO1U+gai06gcGDDgwaqW/Y9TBsMix+XYgmmEk3ksQppssg6EH&#10;YzcYRFK4mmOLUW+ubT+BDq3m+xqQe+lLtQTxVtzL6iULSN0tYAB4Eudh5SbM9dqfehmpi58AAAD/&#10;/wMAUEsDBBQABgAIAAAAIQDMKbMi3wAAAAgBAAAPAAAAZHJzL2Rvd25yZXYueG1sTI9BT4NAFITv&#10;Jv6HzTPxZheoIkWWxjRRk3qymia9vbIrkLJvkV0o/nufJz1OZjLzTbGebScmM/jWkYJ4EYEwVDnd&#10;Uq3g4/3pJgPhA5LGzpFR8G08rMvLiwJz7c70ZqZdqAWXkM9RQRNCn0vpq8ZY9AvXG2Lv0w0WA8uh&#10;lnrAM5fbTiZRlEqLLfFCg73ZNKY67Uar4NlO8+F1+7XfenxZ9fHyhJsxUur6an58ABHMHP7C8IvP&#10;6FAy09GNpL3oFNym2T1HFfAjtrNVEoM4KkjS5R3IspD/D5Q/AAAA//8DAFBLAQItABQABgAIAAAA&#10;IQC2gziS/gAAAOEBAAATAAAAAAAAAAAAAAAAAAAAAABbQ29udGVudF9UeXBlc10ueG1sUEsBAi0A&#10;FAAGAAgAAAAhADj9If/WAAAAlAEAAAsAAAAAAAAAAAAAAAAALwEAAF9yZWxzLy5yZWxzUEsBAi0A&#10;FAAGAAgAAAAhAEwh2mHIAgAAmgUAAA4AAAAAAAAAAAAAAAAALgIAAGRycy9lMm9Eb2MueG1sUEsB&#10;Ai0AFAAGAAgAAAAhAMwpsyLfAAAACAEAAA8AAAAAAAAAAAAAAAAAIgUAAGRycy9kb3ducmV2Lnht&#10;bFBLBQYAAAAABAAEAPMAAAAuBgAAAAA=&#10;" filled="f" strokecolor="#c31f48 [3206]">
                <v:textbox inset="0,0,0,0">
                  <w:txbxContent>
                    <w:p w14:paraId="1B360462" w14:textId="04CEE3CC" w:rsidR="00C93E72" w:rsidRPr="005470B1" w:rsidRDefault="00C93E72" w:rsidP="00423A45">
                      <w:pPr>
                        <w:pStyle w:val="Questionheading"/>
                        <w:ind w:left="284"/>
                      </w:pPr>
                      <w:bookmarkStart w:id="104" w:name="Question20"/>
                      <w:r>
                        <w:t>IHPA’s decision</w:t>
                      </w:r>
                    </w:p>
                    <w:bookmarkEnd w:id="104"/>
                    <w:p w14:paraId="0252DEE0" w14:textId="43B2147F" w:rsidR="00C93E72" w:rsidRDefault="00C93E72" w:rsidP="00423A45">
                      <w:pPr>
                        <w:pStyle w:val="BodyText"/>
                        <w:ind w:left="284"/>
                      </w:pPr>
                      <w:r w:rsidRPr="00423A45">
                        <w:t>For NEP21, IHPA intends to continue using</w:t>
                      </w:r>
                      <w:r>
                        <w:t> </w:t>
                      </w:r>
                      <w:r w:rsidRPr="00423A45">
                        <w:t>the Tier 2 Non-Admitted Services Classification Version 7.0 for pricing non-</w:t>
                      </w:r>
                      <w:r>
                        <w:t>‍</w:t>
                      </w:r>
                      <w:r w:rsidRPr="00423A45">
                        <w:t>admitted services. IHPA will price one additional clinical nurse specialist/allied health led class in chronic pain</w:t>
                      </w:r>
                      <w:r>
                        <w:t> </w:t>
                      </w:r>
                      <w:r w:rsidRPr="00423A45">
                        <w:t>management.</w:t>
                      </w:r>
                    </w:p>
                  </w:txbxContent>
                </v:textbox>
                <w10:wrap type="topAndBottom" anchorx="margin"/>
              </v:shape>
            </w:pict>
          </mc:Fallback>
        </mc:AlternateContent>
      </w:r>
      <w:r w:rsidR="00423A45" w:rsidRPr="00423A45">
        <w:t>6.3</w:t>
      </w:r>
      <w:r w:rsidR="00A61606">
        <w:t>.</w:t>
      </w:r>
      <w:r w:rsidR="00423A45">
        <w:t xml:space="preserve"> </w:t>
      </w:r>
      <w:r w:rsidR="00423A45" w:rsidRPr="00423A45">
        <w:t>Non-admitted care</w:t>
      </w:r>
      <w:bookmarkEnd w:id="82"/>
    </w:p>
    <w:p w14:paraId="2E724CFA" w14:textId="4CC3B684" w:rsidR="00423A45" w:rsidRPr="00423A45" w:rsidRDefault="006F377F" w:rsidP="00423A45">
      <w:pPr>
        <w:pStyle w:val="BodyText"/>
        <w:rPr>
          <w:rFonts w:cs="Arial"/>
        </w:rPr>
      </w:pPr>
      <w:r w:rsidRPr="0065414C">
        <w:rPr>
          <w:rFonts w:cs="Arial"/>
          <w:noProof/>
          <w:lang w:eastAsia="en-AU" w:bidi="ar-SA"/>
        </w:rPr>
        <mc:AlternateContent>
          <mc:Choice Requires="wps">
            <w:drawing>
              <wp:anchor distT="0" distB="0" distL="0" distR="0" simplePos="0" relativeHeight="251753472" behindDoc="1" locked="0" layoutInCell="1" allowOverlap="1" wp14:anchorId="4DA349D7" wp14:editId="120AEF34">
                <wp:simplePos x="0" y="0"/>
                <wp:positionH relativeFrom="margin">
                  <wp:posOffset>2976880</wp:posOffset>
                </wp:positionH>
                <wp:positionV relativeFrom="paragraph">
                  <wp:posOffset>1588135</wp:posOffset>
                </wp:positionV>
                <wp:extent cx="2688590" cy="2224405"/>
                <wp:effectExtent l="0" t="0" r="16510" b="10795"/>
                <wp:wrapTopAndBottom/>
                <wp:docPr id="82"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222440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1DA47C9" w14:textId="68B0458D" w:rsidR="00C93E72" w:rsidRPr="005470B1" w:rsidRDefault="00C93E72" w:rsidP="00423A45">
                            <w:pPr>
                              <w:pStyle w:val="Questionheading"/>
                              <w:ind w:left="284"/>
                            </w:pPr>
                            <w:r>
                              <w:t>Next steps and future work</w:t>
                            </w:r>
                          </w:p>
                          <w:p w14:paraId="575BE473" w14:textId="121D294D" w:rsidR="00C93E72" w:rsidRDefault="00C93E72" w:rsidP="00423A45">
                            <w:pPr>
                              <w:pStyle w:val="BodyText"/>
                              <w:ind w:left="284"/>
                            </w:pPr>
                            <w:r>
                              <w:t>IHPA has used the information provided by stakeholders to determine an appropriate price for the new Tier 2 Non-Admitted Services Classification chronic pain management class.</w:t>
                            </w:r>
                          </w:p>
                          <w:p w14:paraId="0E00DBB0" w14:textId="3EED8088" w:rsidR="00C93E72" w:rsidRDefault="00C93E72" w:rsidP="00423A45">
                            <w:pPr>
                              <w:pStyle w:val="BodyText"/>
                              <w:ind w:left="284"/>
                            </w:pPr>
                            <w:r>
                              <w:t>Due to the impact of COVID-19 there will be delays to the ongoing development of the new non admitted care classification to replace the Tier 2 Non-Admitted Services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349D7" id="_x0000_s1040" type="#_x0000_t202" style="position:absolute;margin-left:234.4pt;margin-top:125.05pt;width:211.7pt;height:175.15pt;z-index:-25156300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4uxQIAAJoFAAAOAAAAZHJzL2Uyb0RvYy54bWysVNuO2jAQfa/Uf7D8ns2FAAFtWAGBqtL2&#10;Iu32A4zjEKuOndqGsK323zt2CMt2X6qqeXDGtzNzZo7n9u7UCHRk2nAlcxzfRBgxSVXJ5T7H3x63&#10;QYaRsUSWRCjJcvzEDL5bvH9327VzlqhaiZJpBCDSzLs2x7W17TwMDa1ZQ8yNapmEzUrphliY6n1Y&#10;atIBeiPCJIomYad02WpFmTGwWvSbeOHxq4pR+6WqDLNI5Bhis37Ufty5MVzckvlek7bm9BwG+Yco&#10;GsIlOL1AFcQSdND8DVTDqVZGVfaGqiZUVcUp8xyATRz9weahJi3zXCA5pr2kyfw/WPr5+FUjXuY4&#10;SzCSpIEaPbKTRSt1QqOp5wTTe2MdO7fhWf1ax9momG4nwSqdZUE6Wo2CWZqtgniaZKtxslxONumz&#10;y27ob/n7YdeauXfoyuPNhxa82xM4A/F4Z6a9V/S7QVKtayL3bKm16mpGSiAde8Crqz2OcSC77pMq&#10;IXhysMoDnSrduJghxwjQofhPl4I7HhQWk0mWjWewRWEvSZI0jcbnoIfrrTb2A1MNckaONSjKw5Mj&#10;cOr5DUecN6m2XAivKiFRl+PZOBn3xJTgpdt0x7y+2VpodCSgTEIpk3bkz4lDA0z69ThyXy9SWAcp&#10;9+t+CTJ7gfF5NtceGm7hYQneQGWvUFwmN7L0AVrCRW8DlJDnAr8p9SyabbJNlgZpMtkEaVQUwXK7&#10;ToPJNp6Oi1GxXhfxsws9Tuc1L0smHcvhMcXp34n1/Kz7Z3B5Tq8oGb3fXVK29d+5WFfHwtdhDAIc&#10;/i9CdKrp9WNPu5N/AnHq8Jy+dqp8AlFp1TcMaHBg1Er/xKiDZpFj8+NANMNIfJQgTNdZBkMPxm4w&#10;iKRwNccWo95c274DHVrN9zUg99KXagnirbiX1UsUELqbQAPwJM7NynWY67k/9dJSF78BAAD//wMA&#10;UEsDBBQABgAIAAAAIQCwE3lP4QAAAAsBAAAPAAAAZHJzL2Rvd25yZXYueG1sTI9BS8NAFITvgv9h&#10;eYI3u5tYQ5rmpUhBhXpqFaG31+SZhGZ3Y3aTxn/vetLjMMPMN/lm1p2YeHCtNQjRQoFgU9qqNTXC&#10;+9vTXQrCeTIVddYwwjc72BTXVzlllb2YPU8HX4tQYlxGCI33fSalKxvW5Ba2ZxO8Tzto8kEOtawG&#10;uoRy3clYqURqak1YaKjnbcPl+TBqhGc9zcfX3dfHztHLqo/uz7QdFeLtzfy4BuF59n9h+MUP6FAE&#10;ppMdTeVEh7BM0oDuEeIHFYEIiXQVxyBOCIlSS5BFLv9/KH4AAAD//wMAUEsBAi0AFAAGAAgAAAAh&#10;ALaDOJL+AAAA4QEAABMAAAAAAAAAAAAAAAAAAAAAAFtDb250ZW50X1R5cGVzXS54bWxQSwECLQAU&#10;AAYACAAAACEAOP0h/9YAAACUAQAACwAAAAAAAAAAAAAAAAAvAQAAX3JlbHMvLnJlbHNQSwECLQAU&#10;AAYACAAAACEAFb6eLsUCAACaBQAADgAAAAAAAAAAAAAAAAAuAgAAZHJzL2Uyb0RvYy54bWxQSwEC&#10;LQAUAAYACAAAACEAsBN5T+EAAAALAQAADwAAAAAAAAAAAAAAAAAfBQAAZHJzL2Rvd25yZXYueG1s&#10;UEsFBgAAAAAEAAQA8wAAAC0GAAAAAA==&#10;" filled="f" strokecolor="#c31f48 [3206]">
                <v:textbox inset="0,0,0,0">
                  <w:txbxContent>
                    <w:p w14:paraId="61DA47C9" w14:textId="68B0458D" w:rsidR="00C93E72" w:rsidRPr="005470B1" w:rsidRDefault="00C93E72" w:rsidP="00423A45">
                      <w:pPr>
                        <w:pStyle w:val="Questionheading"/>
                        <w:ind w:left="284"/>
                      </w:pPr>
                      <w:r>
                        <w:t>Next steps and future work</w:t>
                      </w:r>
                    </w:p>
                    <w:p w14:paraId="575BE473" w14:textId="121D294D" w:rsidR="00C93E72" w:rsidRDefault="00C93E72" w:rsidP="00423A45">
                      <w:pPr>
                        <w:pStyle w:val="BodyText"/>
                        <w:ind w:left="284"/>
                      </w:pPr>
                      <w:r>
                        <w:t>IHPA has used the information provided by stakeholders to determine an appropriate price for the new Tier 2 Non-Admitted Services Classification chronic pain management class.</w:t>
                      </w:r>
                    </w:p>
                    <w:p w14:paraId="0E00DBB0" w14:textId="3EED8088" w:rsidR="00C93E72" w:rsidRDefault="00C93E72" w:rsidP="00423A45">
                      <w:pPr>
                        <w:pStyle w:val="BodyText"/>
                        <w:ind w:left="284"/>
                      </w:pPr>
                      <w:r>
                        <w:t>Due to the impact of COVID-19 there will be delays to the ongoing development of the new non admitted care classification to replace the Tier 2 Non-Admitted Services Classification.</w:t>
                      </w:r>
                    </w:p>
                  </w:txbxContent>
                </v:textbox>
                <w10:wrap type="topAndBottom" anchorx="margin"/>
              </v:shape>
            </w:pict>
          </mc:Fallback>
        </mc:AlternateContent>
      </w:r>
      <w:r w:rsidR="00423A45" w:rsidRPr="00423A45">
        <w:rPr>
          <w:rFonts w:cs="Arial"/>
        </w:rPr>
        <w:t>IHPA is developing the Australian Non-Admitted Care Classification (ANACC). ANACC will be used to better describe patient characteristics and the complexity of care in order to more accurately reflect the costs of non-admitted services. The</w:t>
      </w:r>
      <w:r w:rsidR="00466EB3">
        <w:rPr>
          <w:rFonts w:cs="Arial"/>
        </w:rPr>
        <w:t> </w:t>
      </w:r>
      <w:r w:rsidR="00423A45" w:rsidRPr="00423A45">
        <w:rPr>
          <w:rFonts w:cs="Arial"/>
        </w:rPr>
        <w:t>classification will also better account for changes in care delivery as services transition to</w:t>
      </w:r>
      <w:r w:rsidR="00466EB3">
        <w:rPr>
          <w:rFonts w:cs="Arial"/>
        </w:rPr>
        <w:t> </w:t>
      </w:r>
      <w:r w:rsidR="00423A45" w:rsidRPr="00423A45">
        <w:rPr>
          <w:rFonts w:cs="Arial"/>
        </w:rPr>
        <w:t xml:space="preserve">the non-admitted setting, as new electronic medical records allow for more detailed data capture and as new funding models which span multiple settings are tested. </w:t>
      </w:r>
    </w:p>
    <w:p w14:paraId="71FFD0C9" w14:textId="5C405F09" w:rsidR="00423A45" w:rsidRPr="00423A45" w:rsidRDefault="00423A45" w:rsidP="00423A45">
      <w:pPr>
        <w:pStyle w:val="BodyText"/>
        <w:rPr>
          <w:rFonts w:cs="Arial"/>
        </w:rPr>
      </w:pPr>
      <w:r w:rsidRPr="00423A45">
        <w:rPr>
          <w:rFonts w:cs="Arial"/>
        </w:rPr>
        <w:t xml:space="preserve">IHPA commenced a national costing study in 2018 to collect non-admitted (including subacute) activity and cost data and test a shortlist of variables and potential classification hierarchies. </w:t>
      </w:r>
    </w:p>
    <w:p w14:paraId="7DF9912C" w14:textId="39447772" w:rsidR="00423A45" w:rsidRPr="00423A45" w:rsidRDefault="00423A45" w:rsidP="00423A45">
      <w:pPr>
        <w:pStyle w:val="BodyText"/>
        <w:rPr>
          <w:rFonts w:cs="Arial"/>
        </w:rPr>
      </w:pPr>
      <w:r w:rsidRPr="00423A45">
        <w:rPr>
          <w:rFonts w:cs="Arial"/>
        </w:rPr>
        <w:t xml:space="preserve">The impact of </w:t>
      </w:r>
      <w:r w:rsidR="007B17E8">
        <w:rPr>
          <w:rFonts w:cs="Arial"/>
        </w:rPr>
        <w:t>COVID-19</w:t>
      </w:r>
      <w:r w:rsidRPr="00423A45">
        <w:rPr>
          <w:rFonts w:cs="Arial"/>
        </w:rPr>
        <w:t xml:space="preserve"> on hospitals participating in the costing study has resulted in the study being suspended. Data collection ceased in March</w:t>
      </w:r>
      <w:r w:rsidR="009836EB">
        <w:rPr>
          <w:rFonts w:cs="Arial"/>
        </w:rPr>
        <w:t> </w:t>
      </w:r>
      <w:r w:rsidRPr="00423A45">
        <w:rPr>
          <w:rFonts w:cs="Arial"/>
        </w:rPr>
        <w:t>2020 with a decision reached in August</w:t>
      </w:r>
      <w:r w:rsidR="009836EB">
        <w:rPr>
          <w:rFonts w:cs="Arial"/>
        </w:rPr>
        <w:t> </w:t>
      </w:r>
      <w:r w:rsidRPr="00423A45">
        <w:rPr>
          <w:rFonts w:cs="Arial"/>
        </w:rPr>
        <w:t>2020 to</w:t>
      </w:r>
      <w:r w:rsidR="00466EB3">
        <w:rPr>
          <w:rFonts w:cs="Arial"/>
        </w:rPr>
        <w:t> </w:t>
      </w:r>
      <w:r w:rsidRPr="00423A45">
        <w:rPr>
          <w:rFonts w:cs="Arial"/>
        </w:rPr>
        <w:t xml:space="preserve">suspend the study. </w:t>
      </w:r>
    </w:p>
    <w:p w14:paraId="6A434363" w14:textId="4EC423BC" w:rsidR="00423A45" w:rsidRPr="00423A45" w:rsidRDefault="00423A45" w:rsidP="00423A45">
      <w:pPr>
        <w:pStyle w:val="BodyText"/>
        <w:rPr>
          <w:rFonts w:cs="Arial"/>
        </w:rPr>
      </w:pPr>
      <w:r w:rsidRPr="00423A45">
        <w:rPr>
          <w:rFonts w:cs="Arial"/>
        </w:rPr>
        <w:t>The Tier 2 Non-Admitted Services Classification is the existing classification system that categorises a public hospital’s non-admitted services into classes, which are generally based on the nature of the service and the type of clinician providing the service. IHPA continues to</w:t>
      </w:r>
      <w:r w:rsidR="00466EB3">
        <w:rPr>
          <w:rFonts w:cs="Arial"/>
        </w:rPr>
        <w:t> </w:t>
      </w:r>
      <w:r w:rsidRPr="00423A45">
        <w:rPr>
          <w:rFonts w:cs="Arial"/>
        </w:rPr>
        <w:t>undertake maintenance work on the Tier 2 Non-</w:t>
      </w:r>
      <w:r w:rsidR="00466EB3">
        <w:rPr>
          <w:rFonts w:cs="Arial"/>
        </w:rPr>
        <w:t>‍</w:t>
      </w:r>
      <w:r w:rsidRPr="00423A45">
        <w:rPr>
          <w:rFonts w:cs="Arial"/>
        </w:rPr>
        <w:t xml:space="preserve">Admitted Services Classification while ANACC is being developed. </w:t>
      </w:r>
    </w:p>
    <w:p w14:paraId="25000922" w14:textId="056DC4D9" w:rsidR="00423A45" w:rsidRDefault="00423A45" w:rsidP="00423A45">
      <w:pPr>
        <w:pStyle w:val="BodyText"/>
        <w:rPr>
          <w:rFonts w:cs="Arial"/>
        </w:rPr>
      </w:pPr>
      <w:r w:rsidRPr="00423A45">
        <w:rPr>
          <w:rFonts w:cs="Arial"/>
        </w:rPr>
        <w:t>IHPA has consulted with jurisdictions via its advisory committees on further refinements that could be made to the Tier 2 Non</w:t>
      </w:r>
      <w:r w:rsidR="00951BC2">
        <w:rPr>
          <w:rFonts w:cs="Arial"/>
        </w:rPr>
        <w:t>-</w:t>
      </w:r>
      <w:r w:rsidRPr="00423A45">
        <w:rPr>
          <w:rFonts w:cs="Arial"/>
        </w:rPr>
        <w:t>Admitted Services Classification. One refinement will be implemented in the next version of the Tier 2 Non</w:t>
      </w:r>
      <w:r w:rsidR="00951BC2">
        <w:rPr>
          <w:rFonts w:cs="Arial"/>
        </w:rPr>
        <w:t>-</w:t>
      </w:r>
      <w:r w:rsidRPr="00423A45">
        <w:rPr>
          <w:rFonts w:cs="Arial"/>
        </w:rPr>
        <w:t>Admitted Services Classification</w:t>
      </w:r>
      <w:r w:rsidR="00A15177">
        <w:rPr>
          <w:rFonts w:cs="Arial"/>
        </w:rPr>
        <w:t>:</w:t>
      </w:r>
      <w:r w:rsidR="00A15177" w:rsidRPr="00423A45">
        <w:rPr>
          <w:rFonts w:cs="Arial"/>
        </w:rPr>
        <w:t xml:space="preserve"> </w:t>
      </w:r>
      <w:r w:rsidRPr="00423A45">
        <w:rPr>
          <w:rFonts w:cs="Arial"/>
        </w:rPr>
        <w:t>the addition of a clinical nurse specialist/allied health led clinic</w:t>
      </w:r>
      <w:r w:rsidR="009836EB">
        <w:rPr>
          <w:rFonts w:cs="Arial"/>
        </w:rPr>
        <w:t> </w:t>
      </w:r>
      <w:r w:rsidRPr="00423A45">
        <w:rPr>
          <w:rFonts w:cs="Arial"/>
        </w:rPr>
        <w:t xml:space="preserve">in chronic pain management. </w:t>
      </w:r>
    </w:p>
    <w:p w14:paraId="5910D13B" w14:textId="1860F7FB" w:rsidR="006F377F" w:rsidRDefault="00423A45" w:rsidP="00423A45">
      <w:pPr>
        <w:pStyle w:val="Heading2"/>
        <w:sectPr w:rsidR="006F377F" w:rsidSect="00216997">
          <w:headerReference w:type="default" r:id="rId50"/>
          <w:pgSz w:w="11910" w:h="16840"/>
          <w:pgMar w:top="1440" w:right="1440" w:bottom="1440" w:left="1440" w:header="0" w:footer="656" w:gutter="0"/>
          <w:cols w:num="2" w:space="340"/>
        </w:sectPr>
      </w:pPr>
      <w:r>
        <w:br w:type="column"/>
      </w:r>
      <w:bookmarkStart w:id="84" w:name="_Toc45809606"/>
      <w:bookmarkStart w:id="85" w:name="_Toc49953757"/>
    </w:p>
    <w:p w14:paraId="6DF716EA" w14:textId="6154EFA7" w:rsidR="00AD3676" w:rsidRPr="0065414C" w:rsidRDefault="00AD3676" w:rsidP="00D36A19">
      <w:pPr>
        <w:pStyle w:val="Heading2"/>
        <w:spacing w:before="0"/>
      </w:pPr>
      <w:bookmarkStart w:id="86" w:name="_Toc58930508"/>
      <w:r w:rsidRPr="0065414C">
        <w:lastRenderedPageBreak/>
        <w:t>6.</w:t>
      </w:r>
      <w:r w:rsidR="00423A45">
        <w:t>4</w:t>
      </w:r>
      <w:r w:rsidRPr="0065414C">
        <w:t xml:space="preserve">. </w:t>
      </w:r>
      <w:bookmarkEnd w:id="84"/>
      <w:bookmarkEnd w:id="85"/>
      <w:r w:rsidR="00423A45">
        <w:t>Emergency care</w:t>
      </w:r>
      <w:bookmarkEnd w:id="86"/>
    </w:p>
    <w:p w14:paraId="4DE4DC9F" w14:textId="12945E51" w:rsidR="006F377F" w:rsidRPr="006F377F" w:rsidRDefault="006F377F" w:rsidP="006F377F">
      <w:pPr>
        <w:pStyle w:val="BodyText"/>
        <w:rPr>
          <w:rFonts w:cs="Arial"/>
        </w:rPr>
      </w:pPr>
      <w:r w:rsidRPr="006F377F">
        <w:rPr>
          <w:rFonts w:cs="Arial"/>
        </w:rPr>
        <w:t>For the NEP Determination 2020–21 (NEP20), IHPA used Urgency Related Groups Version 1.4 to classify presentations to emergency departments and Urgency Disposition Groups Version 1.3 for presentations to emergency services. IHPA included shadow price weights for emergency department activities using the new Australian Emergency Care Classification (AECC) Version 1.0, with an intent to price using</w:t>
      </w:r>
      <w:r w:rsidR="009836EB">
        <w:rPr>
          <w:rFonts w:cs="Arial"/>
        </w:rPr>
        <w:t> </w:t>
      </w:r>
      <w:r w:rsidRPr="006F377F">
        <w:rPr>
          <w:rFonts w:cs="Arial"/>
        </w:rPr>
        <w:t xml:space="preserve">AECC Version 1.0 for NEP21. </w:t>
      </w:r>
    </w:p>
    <w:p w14:paraId="3869A882" w14:textId="71B94882" w:rsidR="006F377F" w:rsidRDefault="00466EB3" w:rsidP="006F377F">
      <w:pPr>
        <w:pStyle w:val="BodyText"/>
        <w:rPr>
          <w:rFonts w:cs="Arial"/>
        </w:rPr>
      </w:pPr>
      <w:r w:rsidRPr="0065414C">
        <w:rPr>
          <w:rFonts w:cs="Arial"/>
          <w:noProof/>
          <w:lang w:eastAsia="en-AU" w:bidi="ar-SA"/>
        </w:rPr>
        <mc:AlternateContent>
          <mc:Choice Requires="wps">
            <w:drawing>
              <wp:anchor distT="0" distB="0" distL="0" distR="0" simplePos="0" relativeHeight="251755520" behindDoc="1" locked="0" layoutInCell="1" allowOverlap="1" wp14:anchorId="01D27216" wp14:editId="4CE6700A">
                <wp:simplePos x="0" y="0"/>
                <wp:positionH relativeFrom="margin">
                  <wp:posOffset>-635</wp:posOffset>
                </wp:positionH>
                <wp:positionV relativeFrom="paragraph">
                  <wp:posOffset>1103942</wp:posOffset>
                </wp:positionV>
                <wp:extent cx="2751455" cy="1371600"/>
                <wp:effectExtent l="0" t="0" r="10795" b="19050"/>
                <wp:wrapTopAndBottom/>
                <wp:docPr id="83"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1371600"/>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B57F4B3" w14:textId="52F0B969" w:rsidR="00C93E72" w:rsidRPr="005470B1" w:rsidRDefault="00C93E72" w:rsidP="006F377F">
                            <w:pPr>
                              <w:pStyle w:val="Questionheading"/>
                              <w:ind w:left="284"/>
                            </w:pPr>
                            <w:r>
                              <w:t>IHPA’s decision</w:t>
                            </w:r>
                          </w:p>
                          <w:p w14:paraId="12182661" w14:textId="0DCDBF59" w:rsidR="00C93E72" w:rsidRDefault="00C93E72" w:rsidP="006F377F">
                            <w:pPr>
                              <w:pStyle w:val="BodyText"/>
                              <w:ind w:left="284"/>
                            </w:pPr>
                            <w:r w:rsidRPr="006F377F">
                              <w:t>IHPA will use AECC Version 1.0 to price emergency department activities for NEP21. For NEP21, emergency services will continue to be priced using Urgency Disposition Groups Version 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27216" id="_x0000_s1041" type="#_x0000_t202" style="position:absolute;margin-left:-.05pt;margin-top:86.9pt;width:216.65pt;height:108pt;z-index:-2515609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gHexQIAAJoFAAAOAAAAZHJzL2Uyb0RvYy54bWysVMlu2zAQvRfoPxC8K9pt2Ygc2JZdFEgX&#10;IOkH0BRlEZVIlaQtp0X+vUPKcpzmUhTVgRpub+bNPM7t3alt0JEpzaXIcXgTYMQElSUX+xx/e9x6&#10;GUbaEFGSRgqW4yem8d3i/bvbvpuzSNayKZlCACL0vO9yXBvTzX1f05q1RN/IjgnYrKRqiYGp2vul&#10;Ij2gt40fBcHE76UqOyUp0xpWi2ETLxx+VTFqvlSVZgY1OYbYjBuVG3d29Be3ZL5XpKs5PYdB/iGK&#10;lnABTi9QBTEEHRR/A9VyqqSWlbmhsvVlVXHKHAdgEwZ/sHmoScccF0iO7i5p0v8Pln4+flWIlznO&#10;YowEaaFGj+xk0EqeUDx1nGB6r41lZzccq1/rMIuL6XbirZJZ5iXxKvZmSbbywmmUrdJouZxskmeb&#10;Xd/dcvf9vtNz59CWx5kPHXg3J3AG4nHOdHcv6XeNhFzXROzZUinZ14yUQDp0gFdXBxxtQXb9J1lC&#10;8ORgpAM6Vaq1MUOOEaBD8Z8uBbc8KCxG0zRM0hQjCnthPA0ngZMEBD1e75Q2H5hskTVyrEBRDp4c&#10;gdPAbzxivQm55U3jVNUI1Od4lkbpQEw2vLSb9pjTN1s3Ch0JKJNQyoSJ3bnm0AKTYT0M7DeIFNZB&#10;ysP6GOQFxuVZX3touYGH1fAWKnuFYjO5EaUL0BDeDDbwbcS5wG9KPQtmm2yTJV4STTZeEhSFt9yu&#10;E2+yDadpERfrdRE+29DDZF7zsmTCshwfU5j8nVjPz3p4Bpfn9IqSVvvdJWVb950VdnXMfx3GKMDx&#10;/yJEq5pBP+a0O7knEKYWz+prJ8snEJWSQ8OABgdGLdVPjHpoFjnWPw5EMYyajwKEaTvLaKjR2I0G&#10;ERSu5thgNJhrM3SgQ6f4vgbkQfpCLkG8FXeyeokCQrcTaACOxLlZ2Q5zPXenXlrq4jcAAAD//wMA&#10;UEsDBBQABgAIAAAAIQA5cTEg3wAAAAkBAAAPAAAAZHJzL2Rvd25yZXYueG1sTI/BTsMwEETvSPyD&#10;tUjcWic1gjTEqVAlQCqnFoTEbRubJGq8DrGThr9nOcFxZ0azb4rN7Dox2SG0njSkywSEpcqblmoN&#10;b6+PiwxEiEgGO09Ww7cNsCkvLwrMjT/T3k6HWAsuoZCjhibGPpcyVI11GJa+t8Tepx8cRj6HWpoB&#10;z1zuOrlKklvpsCX+0GBvt42tTofRaXhy0/zxsvt63wV8XvepOuF2TLS+vpof7kFEO8e/MPziMzqU&#10;zHT0I5kgOg2LlIMs3ylewP6NUisQRw0qW2cgy0L+X1D+AAAA//8DAFBLAQItABQABgAIAAAAIQC2&#10;gziS/gAAAOEBAAATAAAAAAAAAAAAAAAAAAAAAABbQ29udGVudF9UeXBlc10ueG1sUEsBAi0AFAAG&#10;AAgAAAAhADj9If/WAAAAlAEAAAsAAAAAAAAAAAAAAAAALwEAAF9yZWxzLy5yZWxzUEsBAi0AFAAG&#10;AAgAAAAhADPuAd7FAgAAmgUAAA4AAAAAAAAAAAAAAAAALgIAAGRycy9lMm9Eb2MueG1sUEsBAi0A&#10;FAAGAAgAAAAhADlxMSDfAAAACQEAAA8AAAAAAAAAAAAAAAAAHwUAAGRycy9kb3ducmV2LnhtbFBL&#10;BQYAAAAABAAEAPMAAAArBgAAAAA=&#10;" filled="f" strokecolor="#c31f48 [3206]">
                <v:textbox inset="0,0,0,0">
                  <w:txbxContent>
                    <w:p w14:paraId="5B57F4B3" w14:textId="52F0B969" w:rsidR="00C93E72" w:rsidRPr="005470B1" w:rsidRDefault="00C93E72" w:rsidP="006F377F">
                      <w:pPr>
                        <w:pStyle w:val="Questionheading"/>
                        <w:ind w:left="284"/>
                      </w:pPr>
                      <w:r>
                        <w:t>IHPA’s decision</w:t>
                      </w:r>
                    </w:p>
                    <w:p w14:paraId="12182661" w14:textId="0DCDBF59" w:rsidR="00C93E72" w:rsidRDefault="00C93E72" w:rsidP="006F377F">
                      <w:pPr>
                        <w:pStyle w:val="BodyText"/>
                        <w:ind w:left="284"/>
                      </w:pPr>
                      <w:r w:rsidRPr="006F377F">
                        <w:t>IHPA will use AECC Version 1.0 to price emergency department activities for NEP21. For NEP21, emergency services will continue to be priced using Urgency Disposition Groups Version 1.3.</w:t>
                      </w:r>
                    </w:p>
                  </w:txbxContent>
                </v:textbox>
                <w10:wrap type="topAndBottom" anchorx="margin"/>
              </v:shape>
            </w:pict>
          </mc:Fallback>
        </mc:AlternateContent>
      </w:r>
      <w:r w:rsidRPr="0065414C">
        <w:rPr>
          <w:rFonts w:cs="Arial"/>
          <w:noProof/>
          <w:lang w:eastAsia="en-AU" w:bidi="ar-SA"/>
        </w:rPr>
        <mc:AlternateContent>
          <mc:Choice Requires="wps">
            <w:drawing>
              <wp:anchor distT="0" distB="0" distL="0" distR="0" simplePos="0" relativeHeight="251757568" behindDoc="1" locked="0" layoutInCell="1" allowOverlap="1" wp14:anchorId="757D405E" wp14:editId="5E70BACF">
                <wp:simplePos x="0" y="0"/>
                <wp:positionH relativeFrom="margin">
                  <wp:posOffset>0</wp:posOffset>
                </wp:positionH>
                <wp:positionV relativeFrom="paragraph">
                  <wp:posOffset>2634291</wp:posOffset>
                </wp:positionV>
                <wp:extent cx="2751455" cy="4356339"/>
                <wp:effectExtent l="0" t="0" r="10795" b="25400"/>
                <wp:wrapTopAndBottom/>
                <wp:docPr id="84"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4356339"/>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B2F60C2" w14:textId="0E7D127A" w:rsidR="00C93E72" w:rsidRPr="005470B1" w:rsidRDefault="00C93E72" w:rsidP="006F377F">
                            <w:pPr>
                              <w:pStyle w:val="Questionheading"/>
                              <w:ind w:left="284"/>
                            </w:pPr>
                            <w:r>
                              <w:t>Next steps and future work</w:t>
                            </w:r>
                          </w:p>
                          <w:p w14:paraId="63657B93" w14:textId="2CABFDAA" w:rsidR="00C93E72" w:rsidRDefault="00C93E72" w:rsidP="00D36A19">
                            <w:pPr>
                              <w:pStyle w:val="BodyText"/>
                              <w:ind w:left="284"/>
                            </w:pPr>
                            <w:r>
                              <w:t xml:space="preserve">IHPA will continue to work with states and territories to determine the feasibility of transitioning emergency services to the AECC, including the collection of a subset of diagnosis data using the </w:t>
                            </w:r>
                            <w:hyperlink r:id="rId51" w:history="1">
                              <w:r w:rsidRPr="00D36A19">
                                <w:rPr>
                                  <w:rStyle w:val="Hyperlink"/>
                                </w:rPr>
                                <w:t>Emergency Department Principal Diagnosis Short List.</w:t>
                              </w:r>
                            </w:hyperlink>
                          </w:p>
                          <w:p w14:paraId="47429E41" w14:textId="67C7571D" w:rsidR="00C93E72" w:rsidRDefault="00C93E72" w:rsidP="00D36A19">
                            <w:pPr>
                              <w:pStyle w:val="BodyText"/>
                              <w:ind w:left="284"/>
                            </w:pPr>
                            <w:r>
                              <w:t xml:space="preserve">IHPA is undertaking a project to explore the additional variables collected in the Emergency Care Costing Study and the application of the refinement of the National Non-Admitted Patient Emergency Department Care national minimum data set. These include 'diagnosis modifiers' (conditions or states that contribute to a patient being more complex than expected given their diagnosis) and investigations such as imaging, pathology and diagnostic procedures performed in emergency departments. </w:t>
                            </w:r>
                          </w:p>
                          <w:p w14:paraId="539FCC04" w14:textId="14572843" w:rsidR="00C93E72" w:rsidRDefault="00C93E72" w:rsidP="00D36A19">
                            <w:pPr>
                              <w:pStyle w:val="BodyText"/>
                              <w:ind w:left="284"/>
                            </w:pPr>
                            <w:r>
                              <w:t>IHPA acknowledges that there is a need for a stabilisation period after the implementation of the AECC Version 1.0 and will continue to support jurisdictions to improve data collection and reporting.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D405E" id="_x0000_s1042" type="#_x0000_t202" style="position:absolute;margin-left:0;margin-top:207.4pt;width:216.65pt;height:343pt;z-index:-25155891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pNNxgIAAJoFAAAOAAAAZHJzL2Uyb0RvYy54bWysVNuO2jAQfa/Uf7D8ng0hCQS0YQUEqkrb&#10;i7TbDzCOQ6w6dmobwrbaf+/YISzbfamq5sEZ387MmTme27tTI9CRacOVzHF0M8KISapKLvc5/va4&#10;DTKMjCWyJEJJluMnZvDd4v27266ds7GqlSiZRgAizbxrc1xb287D0NCaNcTcqJZJ2KyUboiFqd6H&#10;pSYdoDciHI9Gk7BTumy1oswYWC36Tbzw+FXFqP1SVYZZJHIMsVk/aj/u3Bgubsl8r0lbc3oOg/xD&#10;FA3hEpxeoApiCTpo/gaq4VQroyp7Q1UTqqrilHkOwCYa/cHmoSYt81wgOaa9pMn8P1j6+fhVI17m&#10;OEswkqSBGj2yk0UrdULx1HOC6b2xjp3b8Kx+raMsLqbbSbBKZlmQxKs4mCXZKoim42yVjpfLySZ5&#10;dtkN/S1/P+xaM/cOXXm8+dCCd3sCZyAe78y094p+N0iqdU3kni21Vl3NSAmkIw94dbXHMQ5k131S&#10;JQRPDlZ5oFOlGxcz5BgBOhT/6VJwx4PC4niaRkmaYkRhL4nTSRzPzkEP11tt7AemGuSMHGtQlIcn&#10;R+DU8xuOOG9SbbkQXlVCoi7Hs3Sc9sSU4KXbdMe8vtlaaHQkoExCKZM29ufEoQEm/Xo0cl8vUlgH&#10;Kffrfgkye4HxeTbXHhpu4WEJ3kBlr1BcJjey9AFawkVvA5SQ5wK/KfVsNNtkmywJkvFkEySjogiW&#10;23USTLbRNC3iYr0uomcXepTMa16WTDqWw2OKkr8T6/lZ98/g8pxeUTJ6v7ukbOu/c7GujoWvwxgE&#10;OPxfhOhU0+vHnnYn/wSiicNz+tqp8glEpVXfMKDBgVEr/ROjDppFjs2PA9EMI/FRgjBdZxkMPRi7&#10;wSCSwtUcW4x6c237DnRoNd/XgNxLX6oliLfiXlYvUUDobgINwJM4NyvXYa7n/tRLS138BgAA//8D&#10;AFBLAwQUAAYACAAAACEAq0kAUt0AAAAJAQAADwAAAGRycy9kb3ducmV2LnhtbEyPQUvDQBCF74L/&#10;YRnBm92NCVJjNkUKKtSTVQRv02RMQrOzMbtJ4793POlxeI8331dsFtermcbQebaQrAwo4srXHTcW&#10;3l4frtagQkSusfdMFr4pwKY8Pyswr/2JX2jex0bJCIccLbQxDrnWoWrJYVj5gViyTz86jHKOja5H&#10;PMm46/W1MTfaYcfyocWBti1Vx/3kLDy6efl43n297wI+3Q5JesTtZKy9vFju70BFWuJfGX7xBR1K&#10;YTr4ieugegsiEi1kSSYCEmdpmoI6SC8xZg26LPR/g/IHAAD//wMAUEsBAi0AFAAGAAgAAAAhALaD&#10;OJL+AAAA4QEAABMAAAAAAAAAAAAAAAAAAAAAAFtDb250ZW50X1R5cGVzXS54bWxQSwECLQAUAAYA&#10;CAAAACEAOP0h/9YAAACUAQAACwAAAAAAAAAAAAAAAAAvAQAAX3JlbHMvLnJlbHNQSwECLQAUAAYA&#10;CAAAACEAby6TTcYCAACaBQAADgAAAAAAAAAAAAAAAAAuAgAAZHJzL2Uyb0RvYy54bWxQSwECLQAU&#10;AAYACAAAACEAq0kAUt0AAAAJAQAADwAAAAAAAAAAAAAAAAAgBQAAZHJzL2Rvd25yZXYueG1sUEsF&#10;BgAAAAAEAAQA8wAAACoGAAAAAA==&#10;" filled="f" strokecolor="#c31f48 [3206]">
                <v:textbox inset="0,0,0,0">
                  <w:txbxContent>
                    <w:p w14:paraId="2B2F60C2" w14:textId="0E7D127A" w:rsidR="00C93E72" w:rsidRPr="005470B1" w:rsidRDefault="00C93E72" w:rsidP="006F377F">
                      <w:pPr>
                        <w:pStyle w:val="Questionheading"/>
                        <w:ind w:left="284"/>
                      </w:pPr>
                      <w:r>
                        <w:t>Next steps and future work</w:t>
                      </w:r>
                    </w:p>
                    <w:p w14:paraId="63657B93" w14:textId="2CABFDAA" w:rsidR="00C93E72" w:rsidRDefault="00C93E72" w:rsidP="00D36A19">
                      <w:pPr>
                        <w:pStyle w:val="BodyText"/>
                        <w:ind w:left="284"/>
                      </w:pPr>
                      <w:r>
                        <w:t xml:space="preserve">IHPA will continue to work with states and territories to determine the feasibility of transitioning emergency services to the AECC, including the collection of a subset of diagnosis data using the </w:t>
                      </w:r>
                      <w:hyperlink r:id="rId52" w:history="1">
                        <w:r w:rsidRPr="00D36A19">
                          <w:rPr>
                            <w:rStyle w:val="Hyperlink"/>
                          </w:rPr>
                          <w:t>Emergency Department Principal Diagnosis Short List.</w:t>
                        </w:r>
                      </w:hyperlink>
                    </w:p>
                    <w:p w14:paraId="47429E41" w14:textId="67C7571D" w:rsidR="00C93E72" w:rsidRDefault="00C93E72" w:rsidP="00D36A19">
                      <w:pPr>
                        <w:pStyle w:val="BodyText"/>
                        <w:ind w:left="284"/>
                      </w:pPr>
                      <w:r>
                        <w:t xml:space="preserve">IHPA is undertaking a project to explore the additional variables collected in the Emergency Care Costing Study and the application of the refinement of the National Non-Admitted Patient Emergency Department Care national minimum data set. These include 'diagnosis modifiers' (conditions or states that contribute to a patient being more complex than expected given their diagnosis) and investigations such as imaging, pathology and diagnostic procedures performed in emergency departments. </w:t>
                      </w:r>
                    </w:p>
                    <w:p w14:paraId="539FCC04" w14:textId="14572843" w:rsidR="00C93E72" w:rsidRDefault="00C93E72" w:rsidP="00D36A19">
                      <w:pPr>
                        <w:pStyle w:val="BodyText"/>
                        <w:ind w:left="284"/>
                      </w:pPr>
                      <w:r>
                        <w:t>IHPA acknowledges that there is a need for a stabilisation period after the implementation of the AECC Version 1.0 and will continue to support jurisdictions to improve data collection and reporting.</w:t>
                      </w:r>
                    </w:p>
                  </w:txbxContent>
                </v:textbox>
                <w10:wrap type="topAndBottom" anchorx="margin"/>
              </v:shape>
            </w:pict>
          </mc:Fallback>
        </mc:AlternateContent>
      </w:r>
      <w:r w:rsidR="006F377F" w:rsidRPr="006F377F">
        <w:rPr>
          <w:rFonts w:cs="Arial"/>
        </w:rPr>
        <w:t>The</w:t>
      </w:r>
      <w:hyperlink r:id="rId53" w:history="1">
        <w:r w:rsidR="006F377F" w:rsidRPr="006F377F">
          <w:rPr>
            <w:rStyle w:val="Hyperlink"/>
            <w:rFonts w:cs="Arial"/>
          </w:rPr>
          <w:t xml:space="preserve"> IHPA Work Program 2020–21</w:t>
        </w:r>
      </w:hyperlink>
      <w:r w:rsidR="006F377F" w:rsidRPr="006F377F">
        <w:rPr>
          <w:rFonts w:cs="Arial"/>
        </w:rPr>
        <w:t>, published in June 2020 outlined IHPA’s intention to continue supporting jurisdictions to improve data collection and reporting. It also noted that the AECC will continue to be refined, including consideration of</w:t>
      </w:r>
      <w:r w:rsidR="009836EB">
        <w:rPr>
          <w:rFonts w:cs="Arial"/>
        </w:rPr>
        <w:t> </w:t>
      </w:r>
      <w:r w:rsidR="006F377F" w:rsidRPr="006F377F">
        <w:rPr>
          <w:rFonts w:cs="Arial"/>
        </w:rPr>
        <w:t>potential new variables.</w:t>
      </w:r>
    </w:p>
    <w:p w14:paraId="738FDB71" w14:textId="10E9F871" w:rsidR="00AD3676" w:rsidRPr="0065414C" w:rsidRDefault="00AD3676" w:rsidP="00D055E1">
      <w:pPr>
        <w:pStyle w:val="Heading2"/>
        <w:rPr>
          <w:rFonts w:cs="Arial"/>
        </w:rPr>
      </w:pPr>
      <w:bookmarkStart w:id="87" w:name="_Toc49953758"/>
      <w:bookmarkStart w:id="88" w:name="_Toc58930509"/>
      <w:r w:rsidRPr="0065414C">
        <w:rPr>
          <w:rFonts w:cs="Arial"/>
        </w:rPr>
        <w:t>6.</w:t>
      </w:r>
      <w:r w:rsidR="00D36A19">
        <w:rPr>
          <w:rFonts w:cs="Arial"/>
        </w:rPr>
        <w:t>5</w:t>
      </w:r>
      <w:r w:rsidRPr="0065414C">
        <w:rPr>
          <w:rFonts w:cs="Arial"/>
        </w:rPr>
        <w:t>.</w:t>
      </w:r>
      <w:r w:rsidR="00D055E1" w:rsidRPr="0065414C">
        <w:rPr>
          <w:rFonts w:cs="Arial"/>
        </w:rPr>
        <w:t xml:space="preserve"> </w:t>
      </w:r>
      <w:bookmarkEnd w:id="87"/>
      <w:r w:rsidR="00D36A19">
        <w:rPr>
          <w:rFonts w:cs="Arial"/>
        </w:rPr>
        <w:t>Mental health care</w:t>
      </w:r>
      <w:bookmarkEnd w:id="88"/>
    </w:p>
    <w:p w14:paraId="528FAF25" w14:textId="72B905F9" w:rsidR="001E3200" w:rsidRPr="001E3200" w:rsidRDefault="001E3200" w:rsidP="001E3200">
      <w:pPr>
        <w:pStyle w:val="BodyText"/>
        <w:rPr>
          <w:rFonts w:cs="Arial"/>
        </w:rPr>
      </w:pPr>
      <w:r w:rsidRPr="001E3200">
        <w:rPr>
          <w:rFonts w:cs="Arial"/>
        </w:rPr>
        <w:t xml:space="preserve">IHPA commenced shadow pricing admitted mental health services using the Australian Mental Health Care Classification (AMHCC) Version 1.0 for NEP20. The shadow price weights for admitted AMHCC end classes are outlined in the </w:t>
      </w:r>
      <w:hyperlink r:id="rId54" w:history="1">
        <w:r w:rsidRPr="001E3200">
          <w:rPr>
            <w:rStyle w:val="Hyperlink"/>
            <w:rFonts w:cs="Arial"/>
          </w:rPr>
          <w:t>Australian Mental Health Care Classification Pricing Feasibility Report</w:t>
        </w:r>
      </w:hyperlink>
      <w:r w:rsidRPr="001E3200">
        <w:rPr>
          <w:rFonts w:cs="Arial"/>
        </w:rPr>
        <w:t>. The pricing model for</w:t>
      </w:r>
      <w:r w:rsidR="00466EB3">
        <w:rPr>
          <w:rFonts w:cs="Arial"/>
        </w:rPr>
        <w:t> </w:t>
      </w:r>
      <w:r w:rsidRPr="001E3200">
        <w:rPr>
          <w:rFonts w:cs="Arial"/>
        </w:rPr>
        <w:t>admitted mental health care is based on a fixed</w:t>
      </w:r>
      <w:r w:rsidR="00466EB3">
        <w:rPr>
          <w:rFonts w:cs="Arial"/>
        </w:rPr>
        <w:t> </w:t>
      </w:r>
      <w:r w:rsidRPr="001E3200">
        <w:rPr>
          <w:rFonts w:cs="Arial"/>
        </w:rPr>
        <w:t>price for the majority of phases (inliers), with</w:t>
      </w:r>
      <w:r w:rsidR="00466EB3">
        <w:rPr>
          <w:rFonts w:cs="Arial"/>
        </w:rPr>
        <w:t> </w:t>
      </w:r>
      <w:r w:rsidRPr="001E3200">
        <w:rPr>
          <w:rFonts w:cs="Arial"/>
        </w:rPr>
        <w:t xml:space="preserve">exceptionally short or long phase prices (outliers) adjusted based on the phase length. </w:t>
      </w:r>
    </w:p>
    <w:p w14:paraId="6D3EF08F" w14:textId="589C7FE4" w:rsidR="001E3200" w:rsidRPr="001E3200" w:rsidRDefault="001E3200" w:rsidP="001E3200">
      <w:pPr>
        <w:pStyle w:val="BodyText"/>
        <w:rPr>
          <w:rFonts w:cs="Arial"/>
        </w:rPr>
      </w:pPr>
      <w:r w:rsidRPr="001E3200">
        <w:rPr>
          <w:rFonts w:cs="Arial"/>
        </w:rPr>
        <w:t>The proposed pricing model for community mental health care uses a combination of different pricing models dependent on the type of</w:t>
      </w:r>
      <w:r w:rsidR="00466EB3">
        <w:rPr>
          <w:rFonts w:cs="Arial"/>
        </w:rPr>
        <w:t> </w:t>
      </w:r>
      <w:r w:rsidRPr="001E3200">
        <w:rPr>
          <w:rFonts w:cs="Arial"/>
        </w:rPr>
        <w:t>phase. Assessment only phases are assigned a fixed price for the phase. The acute phases are priced using a per diem due to a shorter length of</w:t>
      </w:r>
      <w:r w:rsidR="00466EB3">
        <w:rPr>
          <w:rFonts w:cs="Arial"/>
        </w:rPr>
        <w:t> </w:t>
      </w:r>
      <w:r w:rsidRPr="001E3200">
        <w:rPr>
          <w:rFonts w:cs="Arial"/>
        </w:rPr>
        <w:t>stay. Functional gain, intensive extended and consolidating gain phases are priced under a bundled monthly model to provide a single fixed price per month due to the longer length of stay.</w:t>
      </w:r>
    </w:p>
    <w:p w14:paraId="66A9093A" w14:textId="1E897067" w:rsidR="00EF63A7" w:rsidRPr="0065414C" w:rsidRDefault="001E3200" w:rsidP="001E3200">
      <w:pPr>
        <w:pStyle w:val="BodyText"/>
        <w:rPr>
          <w:rFonts w:cs="Arial"/>
        </w:rPr>
      </w:pPr>
      <w:r w:rsidRPr="001E3200">
        <w:rPr>
          <w:rFonts w:cs="Arial"/>
        </w:rPr>
        <w:t>In 2017–18, only one jurisdiction provided cost data for community mental health activity for NEP20 and as such, IHPA did not consider the</w:t>
      </w:r>
      <w:r w:rsidR="00466EB3">
        <w:rPr>
          <w:rFonts w:cs="Arial"/>
        </w:rPr>
        <w:t> </w:t>
      </w:r>
      <w:r w:rsidRPr="001E3200">
        <w:rPr>
          <w:rFonts w:cs="Arial"/>
        </w:rPr>
        <w:t>developed price weights adequate for assessment of the impact of pricing these services in the community setting. The volume and coverage of community mental health data has improved substantially in 2018–19, with</w:t>
      </w:r>
      <w:r w:rsidR="00466EB3">
        <w:rPr>
          <w:rFonts w:cs="Arial"/>
        </w:rPr>
        <w:t> </w:t>
      </w:r>
      <w:r w:rsidRPr="001E3200">
        <w:rPr>
          <w:rFonts w:cs="Arial"/>
        </w:rPr>
        <w:t>costed phase data now supplied by four jurisdictions (New South Wales, Victoria, Queensland and Tasmania).</w:t>
      </w:r>
    </w:p>
    <w:p w14:paraId="7DD3D381" w14:textId="333A1C14" w:rsidR="00977B7B" w:rsidRPr="0065414C" w:rsidRDefault="00EF63A7" w:rsidP="00011A81">
      <w:pPr>
        <w:pStyle w:val="Heading3"/>
        <w:rPr>
          <w:rFonts w:cs="Arial"/>
        </w:rPr>
      </w:pPr>
      <w:r>
        <w:rPr>
          <w:rFonts w:cs="Arial"/>
        </w:rPr>
        <w:br w:type="column"/>
      </w:r>
      <w:bookmarkStart w:id="89" w:name="_Toc58930510"/>
      <w:r w:rsidR="00F15F7D">
        <w:rPr>
          <w:rFonts w:cs="Arial"/>
        </w:rPr>
        <w:lastRenderedPageBreak/>
        <w:t xml:space="preserve">6.5.1. </w:t>
      </w:r>
      <w:r w:rsidR="003119C6" w:rsidRPr="003119C6">
        <w:rPr>
          <w:rFonts w:cs="Arial"/>
        </w:rPr>
        <w:t>Mother and baby units</w:t>
      </w:r>
      <w:bookmarkEnd w:id="89"/>
    </w:p>
    <w:p w14:paraId="1ED2531A" w14:textId="203674CC" w:rsidR="003119C6" w:rsidRDefault="009C228E" w:rsidP="003119C6">
      <w:pPr>
        <w:pStyle w:val="BodyText"/>
        <w:rPr>
          <w:rFonts w:cs="Arial"/>
        </w:rPr>
      </w:pPr>
      <w:r w:rsidRPr="0065414C">
        <w:rPr>
          <w:rFonts w:cs="Arial"/>
          <w:noProof/>
          <w:lang w:eastAsia="en-AU" w:bidi="ar-SA"/>
        </w:rPr>
        <mc:AlternateContent>
          <mc:Choice Requires="wps">
            <w:drawing>
              <wp:anchor distT="0" distB="0" distL="0" distR="0" simplePos="0" relativeHeight="251759616" behindDoc="1" locked="0" layoutInCell="1" allowOverlap="1" wp14:anchorId="3A345F59" wp14:editId="113E50B6">
                <wp:simplePos x="0" y="0"/>
                <wp:positionH relativeFrom="margin">
                  <wp:posOffset>0</wp:posOffset>
                </wp:positionH>
                <wp:positionV relativeFrom="paragraph">
                  <wp:posOffset>1296035</wp:posOffset>
                </wp:positionV>
                <wp:extent cx="2751455" cy="2915285"/>
                <wp:effectExtent l="0" t="0" r="10795" b="18415"/>
                <wp:wrapTopAndBottom/>
                <wp:docPr id="85"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91528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8BEE089" w14:textId="77777777" w:rsidR="00C93E72" w:rsidRPr="005470B1" w:rsidRDefault="00C93E72" w:rsidP="009C228E">
                            <w:pPr>
                              <w:pStyle w:val="Questionheading"/>
                              <w:ind w:left="284"/>
                            </w:pPr>
                            <w:r>
                              <w:t>IHPA’s decision</w:t>
                            </w:r>
                          </w:p>
                          <w:p w14:paraId="6DD98337" w14:textId="48AABA90" w:rsidR="00C93E72" w:rsidRDefault="00C93E72" w:rsidP="009C228E">
                            <w:pPr>
                              <w:pStyle w:val="BodyText"/>
                              <w:ind w:left="284"/>
                            </w:pPr>
                            <w:r>
                              <w:t>IHPA will continue to use Australian Refined Diagnosis Related Groups Version 10.0 to price admitted mental health care for NEP21. IHPA will also continue to shadow price admitted mental health care using AMHCC for NEP21.</w:t>
                            </w:r>
                          </w:p>
                          <w:p w14:paraId="4C8BB736" w14:textId="7C6FC705" w:rsidR="00C93E72" w:rsidRDefault="00C93E72" w:rsidP="009C228E">
                            <w:pPr>
                              <w:pStyle w:val="BodyText"/>
                              <w:ind w:left="284"/>
                            </w:pPr>
                            <w:r>
                              <w:t>IHPA will use AMHCC Version 1.0 to shadow price community mental health care for NEP21.</w:t>
                            </w:r>
                          </w:p>
                          <w:p w14:paraId="1DB8A9A2" w14:textId="52C5CF2A" w:rsidR="00C93E72" w:rsidRDefault="00C93E72" w:rsidP="009C228E">
                            <w:pPr>
                              <w:pStyle w:val="BodyText"/>
                              <w:ind w:left="284"/>
                            </w:pPr>
                            <w:r>
                              <w:t>IHPA will not make an adjustment for MBUs in NEP21, as analysis has indicated that the identification of costed data is extremely limited, with very large variation in cost per weighted separation. Therefore, the data is not robust enough for setting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45F59" id="_x0000_s1043" type="#_x0000_t202" style="position:absolute;margin-left:0;margin-top:102.05pt;width:216.65pt;height:229.55pt;z-index:-25155686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5lQxgIAAJoFAAAOAAAAZHJzL2Uyb0RvYy54bWysVNuO2jAQfa/Uf7D8ng0JCQS0YQUEqkrb&#10;i7TbDzCOQ6wmdmobwrbaf+/YJizbfamq5sEZ387MmTme27tT26AjU5pLkePoZoQRE1SWXOxz/O1x&#10;G2QYaUNESRopWI6fmMZ3i/fvbvtuzmJZy6ZkCgGI0PO+y3FtTDcPQ01r1hJ9IzsmYLOSqiUGpmof&#10;lor0gN42YTwaTcJeqrJTkjKtYbXwm3jh8KuKUfOlqjQzqMkxxGbcqNy4s2O4uCXzvSJdzek5DPIP&#10;UbSEC3B6gSqIIeig+BuollMltazMDZVtKKuKU+Y4AJto9Aebh5p0zHGB5Ojukib9/2Dp5+NXhXiZ&#10;4yzFSJAWavTITgat5AmNp44TTO+1sezshmP1ax1l42K6nQSrZJYFyXg1DmZJtgqiaZyt0ni5nGyS&#10;Z5vd0N1y98O+03Pn0JbHmQ8deDcncAbicc50dy/pd42EXNdE7NlSKdnXjJRAOnKAV1c9jrYgu/6T&#10;LCF4cjDSAZ0q1dqYIccI0KH4T5eCWx4UFuNpGiUpEKewF8+iNIYs+KCH653S5gOTLbJGjhUoysGT&#10;I3DyR4cj1puQW940TlWNQH2OZ2mcemKy4aXdtMecvtm6UehIQJmEUibM2J1rDi0w8evRyH5epLAO&#10;Uvbrbgkye4FxedbXHlpu4GE1vIXKXqHYTG5E6QI0hDfeBqhGnAv8ptSz0WyTbbIkSOLJJkhGRREs&#10;t+skmGyjaVqMi/W6iJ5t6FEyr3lZMmFZDo8pSv5OrOdn7Z/B5Tm9oqTVfndJ2dZ952JdHQtfhzEI&#10;cPi/CNGqxuvHnHYn9wSiqcWz+trJ8glEpaRvGNDgwKil+olRD80ix/rHgSiGUfNRgDBtZxkMNRi7&#10;wSCCwtUcG4y8uTa+Ax06xfc1IHvpC7kE8VbcyeolCgjdTqABOBLnZmU7zPXcnXppqYvfAAAA//8D&#10;AFBLAwQUAAYACAAAACEAk+XKB94AAAAIAQAADwAAAGRycy9kb3ducmV2LnhtbEyPQUvEMBSE74L/&#10;ITzBm5u0XYrWpossqLCeXEXw9rZ5tmWbl9qk3frvjSf3OMww8025WWwvZhp951hDslIgiGtnOm40&#10;vL893tyC8AHZYO+YNPyQh011eVFiYdyJX2neh0bEEvYFamhDGAopfd2SRb9yA3H0vtxoMUQ5NtKM&#10;eIrltpepUrm02HFcaHGgbUv1cT9ZDU92Xj5fdt8fO4/Pd0OSHXE7Ka2vr5aHexCBlvAfhj/8iA5V&#10;ZDq4iY0XvYZ4JGhI1ToBEe11lmUgDhryPEtBVqU8P1D9AgAA//8DAFBLAQItABQABgAIAAAAIQC2&#10;gziS/gAAAOEBAAATAAAAAAAAAAAAAAAAAAAAAABbQ29udGVudF9UeXBlc10ueG1sUEsBAi0AFAAG&#10;AAgAAAAhADj9If/WAAAAlAEAAAsAAAAAAAAAAAAAAAAALwEAAF9yZWxzLy5yZWxzUEsBAi0AFAAG&#10;AAgAAAAhAIOXmVDGAgAAmgUAAA4AAAAAAAAAAAAAAAAALgIAAGRycy9lMm9Eb2MueG1sUEsBAi0A&#10;FAAGAAgAAAAhAJPlygfeAAAACAEAAA8AAAAAAAAAAAAAAAAAIAUAAGRycy9kb3ducmV2LnhtbFBL&#10;BQYAAAAABAAEAPMAAAArBgAAAAA=&#10;" filled="f" strokecolor="#c31f48 [3206]">
                <v:textbox inset="0,0,0,0">
                  <w:txbxContent>
                    <w:p w14:paraId="08BEE089" w14:textId="77777777" w:rsidR="00C93E72" w:rsidRPr="005470B1" w:rsidRDefault="00C93E72" w:rsidP="009C228E">
                      <w:pPr>
                        <w:pStyle w:val="Questionheading"/>
                        <w:ind w:left="284"/>
                      </w:pPr>
                      <w:r>
                        <w:t>IHPA’s decision</w:t>
                      </w:r>
                    </w:p>
                    <w:p w14:paraId="6DD98337" w14:textId="48AABA90" w:rsidR="00C93E72" w:rsidRDefault="00C93E72" w:rsidP="009C228E">
                      <w:pPr>
                        <w:pStyle w:val="BodyText"/>
                        <w:ind w:left="284"/>
                      </w:pPr>
                      <w:r>
                        <w:t>IHPA will continue to use Australian Refined Diagnosis Related Groups Version 10.0 to price admitted mental health care for NEP21. IHPA will also continue to shadow price admitted mental health care using AMHCC for NEP21.</w:t>
                      </w:r>
                    </w:p>
                    <w:p w14:paraId="4C8BB736" w14:textId="7C6FC705" w:rsidR="00C93E72" w:rsidRDefault="00C93E72" w:rsidP="009C228E">
                      <w:pPr>
                        <w:pStyle w:val="BodyText"/>
                        <w:ind w:left="284"/>
                      </w:pPr>
                      <w:r>
                        <w:t>IHPA will use AMHCC Version 1.0 to shadow price community mental health care for NEP21.</w:t>
                      </w:r>
                    </w:p>
                    <w:p w14:paraId="1DB8A9A2" w14:textId="52C5CF2A" w:rsidR="00C93E72" w:rsidRDefault="00C93E72" w:rsidP="009C228E">
                      <w:pPr>
                        <w:pStyle w:val="BodyText"/>
                        <w:ind w:left="284"/>
                      </w:pPr>
                      <w:r>
                        <w:t>IHPA will not make an adjustment for MBUs in NEP21, as analysis has indicated that the identification of costed data is extremely limited, with very large variation in cost per weighted separation. Therefore, the data is not robust enough for setting an adjustment.</w:t>
                      </w:r>
                    </w:p>
                  </w:txbxContent>
                </v:textbox>
                <w10:wrap type="topAndBottom" anchorx="margin"/>
              </v:shape>
            </w:pict>
          </mc:Fallback>
        </mc:AlternateContent>
      </w:r>
      <w:r w:rsidR="003119C6" w:rsidRPr="003119C6">
        <w:rPr>
          <w:rFonts w:cs="Arial"/>
        </w:rPr>
        <w:t>IHPA has explored whether mother and baby units (MBUs) can be accurately identified to determine whether cost differences exist between</w:t>
      </w:r>
      <w:r w:rsidR="00466EB3">
        <w:rPr>
          <w:rFonts w:cs="Arial"/>
        </w:rPr>
        <w:t> </w:t>
      </w:r>
      <w:r w:rsidR="003119C6" w:rsidRPr="003119C6">
        <w:rPr>
          <w:rFonts w:cs="Arial"/>
        </w:rPr>
        <w:t>MBUs and other mental health units. These</w:t>
      </w:r>
      <w:r w:rsidR="00466EB3">
        <w:rPr>
          <w:rFonts w:cs="Arial"/>
        </w:rPr>
        <w:t> </w:t>
      </w:r>
      <w:r w:rsidR="003119C6" w:rsidRPr="003119C6">
        <w:rPr>
          <w:rFonts w:cs="Arial"/>
        </w:rPr>
        <w:t>investigations have highlighted challenges with identifying MBUs in activity data. Of those identified, MBUs are generally well priced.</w:t>
      </w:r>
    </w:p>
    <w:p w14:paraId="065615C1" w14:textId="2E490EB4" w:rsidR="003119C6" w:rsidRPr="0065414C" w:rsidRDefault="003119C6" w:rsidP="003119C6">
      <w:pPr>
        <w:pStyle w:val="BodyText"/>
        <w:rPr>
          <w:rFonts w:cs="Arial"/>
        </w:rPr>
      </w:pPr>
    </w:p>
    <w:p w14:paraId="0192858D" w14:textId="607FA4C4" w:rsidR="00A8798D" w:rsidRPr="0065414C" w:rsidRDefault="00EF63A7" w:rsidP="00011A81">
      <w:pPr>
        <w:pStyle w:val="Heading2"/>
        <w:rPr>
          <w:rFonts w:cs="Arial"/>
        </w:rPr>
      </w:pPr>
      <w:r>
        <w:rPr>
          <w:rFonts w:cs="Arial"/>
        </w:rPr>
        <w:br w:type="column"/>
      </w:r>
      <w:bookmarkStart w:id="90" w:name="_Toc49953759"/>
      <w:bookmarkStart w:id="91" w:name="_Toc58930511"/>
      <w:r w:rsidR="00A8798D" w:rsidRPr="0065414C">
        <w:rPr>
          <w:rFonts w:cs="Arial"/>
        </w:rPr>
        <w:t>6.</w:t>
      </w:r>
      <w:r w:rsidR="00624820">
        <w:rPr>
          <w:rFonts w:cs="Arial"/>
        </w:rPr>
        <w:t>6</w:t>
      </w:r>
      <w:r w:rsidR="00A8798D" w:rsidRPr="0065414C">
        <w:rPr>
          <w:rFonts w:cs="Arial"/>
        </w:rPr>
        <w:t xml:space="preserve">. </w:t>
      </w:r>
      <w:bookmarkEnd w:id="90"/>
      <w:r w:rsidR="00624820">
        <w:rPr>
          <w:rFonts w:cs="Arial"/>
        </w:rPr>
        <w:t>Teaching</w:t>
      </w:r>
      <w:r w:rsidR="009A0C83">
        <w:rPr>
          <w:rFonts w:cs="Arial"/>
        </w:rPr>
        <w:t>,</w:t>
      </w:r>
      <w:r w:rsidR="00624820">
        <w:rPr>
          <w:rFonts w:cs="Arial"/>
        </w:rPr>
        <w:t xml:space="preserve"> training</w:t>
      </w:r>
      <w:bookmarkEnd w:id="91"/>
      <w:r w:rsidR="009A0C83">
        <w:rPr>
          <w:rFonts w:cs="Arial"/>
        </w:rPr>
        <w:t xml:space="preserve"> and research</w:t>
      </w:r>
    </w:p>
    <w:p w14:paraId="64E58DC3" w14:textId="77777777" w:rsidR="005A12A3" w:rsidRPr="005A12A3" w:rsidRDefault="005A12A3" w:rsidP="005A12A3">
      <w:pPr>
        <w:pStyle w:val="BodyText"/>
        <w:rPr>
          <w:rFonts w:cs="Arial"/>
        </w:rPr>
      </w:pPr>
      <w:r w:rsidRPr="005A12A3">
        <w:rPr>
          <w:rFonts w:cs="Arial"/>
        </w:rPr>
        <w:t>Teaching, training and research activities represent an important role of the public hospital system alongside the provision of care to patients. However, the components required for ABF are not currently available to enable these activities to be priced. As a result, these activities are currently block funded, except where teaching and training is delivered in conjunction with patient care (embedded teaching and training), such as ward rounds. These costs are reported as part of routine care and the costs are reflected in the ABF price.</w:t>
      </w:r>
    </w:p>
    <w:p w14:paraId="792DA94E" w14:textId="21918C64" w:rsidR="00E14119" w:rsidRPr="0065414C" w:rsidRDefault="009A0C83" w:rsidP="00A8798D">
      <w:pPr>
        <w:pStyle w:val="BodyText"/>
        <w:rPr>
          <w:rFonts w:cs="Arial"/>
        </w:rPr>
      </w:pPr>
      <w:r w:rsidRPr="0065414C">
        <w:rPr>
          <w:noProof/>
          <w:lang w:eastAsia="en-AU" w:bidi="ar-SA"/>
        </w:rPr>
        <mc:AlternateContent>
          <mc:Choice Requires="wps">
            <w:drawing>
              <wp:anchor distT="0" distB="0" distL="0" distR="0" simplePos="0" relativeHeight="251761664" behindDoc="1" locked="0" layoutInCell="1" allowOverlap="1" wp14:anchorId="1B51F4A5" wp14:editId="52C2749A">
                <wp:simplePos x="0" y="0"/>
                <wp:positionH relativeFrom="margin">
                  <wp:align>left</wp:align>
                </wp:positionH>
                <wp:positionV relativeFrom="paragraph">
                  <wp:posOffset>2190115</wp:posOffset>
                </wp:positionV>
                <wp:extent cx="2751455" cy="2674620"/>
                <wp:effectExtent l="0" t="0" r="10795" b="11430"/>
                <wp:wrapTopAndBottom/>
                <wp:docPr id="86" name="Text Box 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1455" cy="2674620"/>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043D11E4" w14:textId="2987C1FC" w:rsidR="00C93E72" w:rsidRPr="005470B1" w:rsidRDefault="00C93E72" w:rsidP="009C228E">
                            <w:pPr>
                              <w:pStyle w:val="Questionheading"/>
                              <w:ind w:left="284"/>
                            </w:pPr>
                            <w:r>
                              <w:t>Next steps and future work</w:t>
                            </w:r>
                          </w:p>
                          <w:p w14:paraId="020A329E" w14:textId="77777777" w:rsidR="00C93E72" w:rsidRDefault="00C93E72" w:rsidP="009A0C83">
                            <w:pPr>
                              <w:pStyle w:val="BodyText"/>
                              <w:ind w:left="284"/>
                            </w:pPr>
                            <w:r>
                              <w:t xml:space="preserve">IHPA will continue to work with jurisdictions to make ongoing improvements to the AMHCC. </w:t>
                            </w:r>
                          </w:p>
                          <w:p w14:paraId="5C449BCF" w14:textId="0D7E4B45" w:rsidR="00C93E72" w:rsidRDefault="00C93E72" w:rsidP="009A0C83">
                            <w:pPr>
                              <w:pStyle w:val="BodyText"/>
                              <w:ind w:left="284"/>
                            </w:pPr>
                            <w:r>
                              <w:t>IHPA intends to use AMHCC Version 1.0 to price admitted mental health care for the NEP Determination 2022–23 (NEP22). This is expected to drive more rapid improvements in the quality of mental health care data in the admitted setting.</w:t>
                            </w:r>
                          </w:p>
                          <w:p w14:paraId="6FEF8FF7" w14:textId="4F1A3ED1" w:rsidR="00C93E72" w:rsidRDefault="00C93E72" w:rsidP="009A0C83">
                            <w:pPr>
                              <w:pStyle w:val="BodyText"/>
                              <w:ind w:left="284"/>
                            </w:pPr>
                            <w:r>
                              <w:t>IHPA will consider pricing community mental health using the AMHCC for NEP22, subject to a review of the quality of data submitted by jurisdictions and consultation with CHC as required under the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F4A5" id="_x0000_s1044" type="#_x0000_t202" style="position:absolute;margin-left:0;margin-top:172.45pt;width:216.65pt;height:210.6pt;z-index:-251554816;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KV/xgIAAJoFAAAOAAAAZHJzL2Uyb0RvYy54bWysVNuO2jAQfa/Uf7D8ng0JIQS0YQUEqkrb&#10;i7TbDzCOQ6w6dmobwrbaf+/YISzbfamq5sEZ387MmTme27tTI9CRacOVzHF0M8KISapKLvc5/va4&#10;DTKMjCWyJEJJluMnZvDd4v27266ds1jVSpRMIwCRZt61Oa6tbedhaGjNGmJuVMskbFZKN8TCVO/D&#10;UpMO0BsRxqNRGnZKl61WlBkDq0W/iRcev6oYtV+qyjCLRI4hNutH7cedG8PFLZnvNWlrTs9hkH+I&#10;oiFcgtMLVEEsQQfN30A1nGplVGVvqGpCVVWcMs8B2ESjP9g81KRlngskx7SXNJn/B0s/H79qxMsc&#10;ZylGkjRQo0d2smilTmg89Zxgem+sY+c2PKtf6ygbF9NtGqySWRYk49U4mCXZKoimcbaaxMtlukme&#10;XXZDf8vfD7vWzL1DVx5vPrTg3Z7AGYjHOzPtvaLfDZJqXRO5Z0utVVczUgLpyANeXe1xjAPZdZ9U&#10;CcGTg1Ue6FTpxsUMOUaADsV/uhTc8aCwGE8nUTKZYERhL06nSRp7SUDQw/VWG/uBqQY5I8caFOXh&#10;yRE49fyGI86bVFsuhFeVkKjL8WwST3piSvDSbbpjXt9sLTQ6ElAmoZRJO/bnxKEBJv16NHJfL1JY&#10;Byn360OQFxifZ3PtoeEWHpbgDVT2CsVlciNLH6AlXPQ28BXyXOA3pZ6NZptskyVBEqebIBkVRbDc&#10;rpMg3UbTSTEu1usienahR8m85mXJpGM5PKYo+Tuxnp91/wwuz+kVJaP3u0vKtv47K+zqWPg6jEGA&#10;w/9FiE41vX7saXfyTyDKHJ7T106VTyAqrfqGAQ0OjFrpnxh10CxybH4ciGYYiY8ShOk6y2DowdgN&#10;BpEUrubYYtSba9t3oEOr+b4G5F76Ui1BvBX3snqJAkJ3E2gAnsS5WbkOcz33p15a6uI3AAAA//8D&#10;AFBLAwQUAAYACAAAACEAOcCJCt4AAAAIAQAADwAAAGRycy9kb3ducmV2LnhtbEyPQUvEMBSE74L/&#10;ITzBm5vWlOrWvi6yoMJ6chXB29smtmWbl9qk3frvjSc9DjPMfFNuFtuL2Yy+c4yQrhIQhmunO24Q&#10;3l4frm5B+ECsqXdsEL6Nh011flZSod2JX8y8D42IJewLQmhDGAopfd0aS37lBsPR+3SjpRDl2Eg9&#10;0imW215eJ0kuLXUcF1oazLY19XE/WYRHOy8fz7uv952np/WQqiNtpwTx8mK5vwMRzBL+wvCLH9Gh&#10;ikwHN7H2okeIRwKCyrI1iGhnSikQB4SbPE9BVqX8f6D6AQAA//8DAFBLAQItABQABgAIAAAAIQC2&#10;gziS/gAAAOEBAAATAAAAAAAAAAAAAAAAAAAAAABbQ29udGVudF9UeXBlc10ueG1sUEsBAi0AFAAG&#10;AAgAAAAhADj9If/WAAAAlAEAAAsAAAAAAAAAAAAAAAAALwEAAF9yZWxzLy5yZWxzUEsBAi0AFAAG&#10;AAgAAAAhAPLspX/GAgAAmgUAAA4AAAAAAAAAAAAAAAAALgIAAGRycy9lMm9Eb2MueG1sUEsBAi0A&#10;FAAGAAgAAAAhADnAiQreAAAACAEAAA8AAAAAAAAAAAAAAAAAIAUAAGRycy9kb3ducmV2LnhtbFBL&#10;BQYAAAAABAAEAPMAAAArBgAAAAA=&#10;" filled="f" strokecolor="#c31f48 [3206]">
                <v:textbox inset="0,0,0,0">
                  <w:txbxContent>
                    <w:p w14:paraId="043D11E4" w14:textId="2987C1FC" w:rsidR="00C93E72" w:rsidRPr="005470B1" w:rsidRDefault="00C93E72" w:rsidP="009C228E">
                      <w:pPr>
                        <w:pStyle w:val="Questionheading"/>
                        <w:ind w:left="284"/>
                      </w:pPr>
                      <w:r>
                        <w:t>Next steps and future work</w:t>
                      </w:r>
                    </w:p>
                    <w:p w14:paraId="020A329E" w14:textId="77777777" w:rsidR="00C93E72" w:rsidRDefault="00C93E72" w:rsidP="009A0C83">
                      <w:pPr>
                        <w:pStyle w:val="BodyText"/>
                        <w:ind w:left="284"/>
                      </w:pPr>
                      <w:r>
                        <w:t xml:space="preserve">IHPA will continue to work with jurisdictions to make ongoing improvements to the AMHCC. </w:t>
                      </w:r>
                    </w:p>
                    <w:p w14:paraId="5C449BCF" w14:textId="0D7E4B45" w:rsidR="00C93E72" w:rsidRDefault="00C93E72" w:rsidP="009A0C83">
                      <w:pPr>
                        <w:pStyle w:val="BodyText"/>
                        <w:ind w:left="284"/>
                      </w:pPr>
                      <w:r>
                        <w:t>IHPA intends to use AMHCC Version 1.0 to price admitted mental health care for the NEP Determination 2022–23 (NEP22). This is expected to drive more rapid improvements in the quality of mental health care data in the admitted setting.</w:t>
                      </w:r>
                    </w:p>
                    <w:p w14:paraId="6FEF8FF7" w14:textId="4F1A3ED1" w:rsidR="00C93E72" w:rsidRDefault="00C93E72" w:rsidP="009A0C83">
                      <w:pPr>
                        <w:pStyle w:val="BodyText"/>
                        <w:ind w:left="284"/>
                      </w:pPr>
                      <w:r>
                        <w:t>IHPA will consider pricing community mental health using the AMHCC for NEP22, subject to a review of the quality of data submitted by jurisdictions and consultation with CHC as required under the Addendum.</w:t>
                      </w:r>
                    </w:p>
                  </w:txbxContent>
                </v:textbox>
                <w10:wrap type="topAndBottom" anchorx="margin"/>
              </v:shape>
            </w:pict>
          </mc:Fallback>
        </mc:AlternateContent>
      </w:r>
      <w:r w:rsidR="005A12A3" w:rsidRPr="005A12A3">
        <w:rPr>
          <w:rFonts w:cs="Arial"/>
        </w:rPr>
        <w:t>IHPA has developed an implementation plan for</w:t>
      </w:r>
      <w:r w:rsidR="00466EB3">
        <w:rPr>
          <w:rFonts w:cs="Arial"/>
        </w:rPr>
        <w:t> </w:t>
      </w:r>
      <w:r w:rsidR="005A12A3" w:rsidRPr="005A12A3">
        <w:rPr>
          <w:rFonts w:cs="Arial"/>
        </w:rPr>
        <w:t>the Australian Teaching and Training Classification (ATTC), however implementation of the ATTC has not been prioritised by jurisdictions.</w:t>
      </w:r>
    </w:p>
    <w:bookmarkStart w:id="92" w:name="_Toc49953760"/>
    <w:p w14:paraId="67C516A9" w14:textId="3C5B9C8C" w:rsidR="008D349E" w:rsidRPr="0065414C" w:rsidRDefault="00A60C40" w:rsidP="008D349E">
      <w:pPr>
        <w:pStyle w:val="BodyText"/>
      </w:pPr>
      <w:r w:rsidRPr="0065414C">
        <w:rPr>
          <w:noProof/>
          <w:lang w:eastAsia="en-AU" w:bidi="ar-SA"/>
        </w:rPr>
        <mc:AlternateContent>
          <mc:Choice Requires="wps">
            <w:drawing>
              <wp:anchor distT="0" distB="0" distL="0" distR="0" simplePos="0" relativeHeight="251763712" behindDoc="1" locked="0" layoutInCell="1" allowOverlap="1" wp14:anchorId="7615DAF1" wp14:editId="5F2B0748">
                <wp:simplePos x="0" y="0"/>
                <wp:positionH relativeFrom="margin">
                  <wp:posOffset>2975610</wp:posOffset>
                </wp:positionH>
                <wp:positionV relativeFrom="paragraph">
                  <wp:posOffset>1591945</wp:posOffset>
                </wp:positionV>
                <wp:extent cx="2743200" cy="1379855"/>
                <wp:effectExtent l="0" t="0" r="19050" b="10795"/>
                <wp:wrapTopAndBottom/>
                <wp:docPr id="87"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379855"/>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DB57E5B" w14:textId="7F2A3C20" w:rsidR="00C93E72" w:rsidRPr="005470B1" w:rsidRDefault="00C93E72" w:rsidP="00A60C40">
                            <w:pPr>
                              <w:pStyle w:val="Questionheading"/>
                              <w:ind w:left="284"/>
                            </w:pPr>
                            <w:r>
                              <w:t>Next steps and future work</w:t>
                            </w:r>
                          </w:p>
                          <w:p w14:paraId="36BD654A" w14:textId="0A84EF48" w:rsidR="00C93E72" w:rsidRDefault="00C93E72" w:rsidP="00A60C40">
                            <w:pPr>
                              <w:pStyle w:val="BodyText"/>
                              <w:ind w:left="284"/>
                            </w:pPr>
                            <w:r w:rsidRPr="00A60C40">
                              <w:t>IHPA will continue to work with jurisdictions on the timeframe for implementation of shadow pricing, and investigating alternative models to block funding until the ATTC can be enabled.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5DAF1" id="Text Box 39" o:spid="_x0000_s1045" type="#_x0000_t202" style="position:absolute;margin-left:234.3pt;margin-top:125.35pt;width:3in;height:108.65pt;z-index:-25155276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JvUxgIAAJoFAAAOAAAAZHJzL2Uyb0RvYy54bWysVNuO2jAQfa/Uf7D8ng0hARK0YQUEqkrb&#10;i7TbDzCOQ6w6dmobwrbaf+/YISzbfamq5sEZ387MmTme27tTI9CRacOVzHF0M8KISapKLvc5/va4&#10;DVKMjCWyJEJJluMnZvDd4v27266ds7GqlSiZRgAizbxrc1xb287D0NCaNcTcqJZJ2KyUboiFqd6H&#10;pSYdoDciHI9G07BTumy1oswYWC36Tbzw+FXFqP1SVYZZJHIMsVk/aj/u3Bgubsl8r0lbc3oOg/xD&#10;FA3hEpxeoApiCTpo/gaq4VQroyp7Q1UTqqrilHkOwCYa/cHmoSYt81wgOaa9pMn8P1j6+fhVI17m&#10;OJ1hJEkDNXpkJ4tW6oTizHOC6b2xjp3b8Kx+raM0LmbbabBKsjRI4lUcZEm6CqLZOF1NxsvldJM8&#10;u+yG/pa/H3atmXuHrjzefGjBuz2BMxCPd2bae0W/GyTVuiZyz5Zaq65mpATSkQe8utrjGAey6z6p&#10;EoInB6s80KnSjYsZcowAHYr/dCm440FhcTxLYlARRhT2oniWpZPJOejhequN/cBUg5yRYw2K8vDk&#10;CJx6fsMR502qLRfCq0pI1OU4m4wnPTEleOk23TGvb7YWGh0JKJNQyqSN/TlxaIBJvx6N3NeLFNZB&#10;yv26X4LMXmB8ns21h4ZbeFiCN1DZKxSXyY0sfYCWcNHbACXkucBvSp2Nsk26SZMgGU83QTIqimC5&#10;XSfBdBvNJkVcrNdF9OxCj5J5zcuSScdyeExR8ndiPT/r/hlcntMrSkbvd5eUbf13LtbVsfB1GIMA&#10;h/+LEJ1qev3Y0+7kn0CUOTynr50qn0BUWvUNAxocGLXSPzHqoFnk2Pw4EM0wEh8lCNN1lsHQg7Eb&#10;DCIpXM2xxag317bvQIdW830NyL30pVqCeCvuZfUSBYTuJtAAPIlzs3Id5nruT7201MVvAAAA//8D&#10;AFBLAwQUAAYACAAAACEAs6YmDt8AAAALAQAADwAAAGRycy9kb3ducmV2LnhtbEyPQUvDQBCF74L/&#10;YRnBm91t1djGbIoUVKgnqwjepsmYhGZnY3aTxn/v6EWPw/t475tsPblWjdSHxrOF+cyAIi582XBl&#10;4fXl/mIJKkTkElvPZOGLAqzz05MM09If+ZnGXayUlHBI0UIdY5dqHYqaHIaZ74gl+/C9wyhnX+my&#10;x6OUu1YvjEm0w4ZlocaONjUVh93gLDy4cXp/2n6+bQM+rrr55QE3g7H2/Gy6uwUVaYp/MPzoizrk&#10;4rT3A5dBtRaukmUiqIXFtbkBJcRK9kDtfyMDOs/0/x/ybwAAAP//AwBQSwECLQAUAAYACAAAACEA&#10;toM4kv4AAADhAQAAEwAAAAAAAAAAAAAAAAAAAAAAW0NvbnRlbnRfVHlwZXNdLnhtbFBLAQItABQA&#10;BgAIAAAAIQA4/SH/1gAAAJQBAAALAAAAAAAAAAAAAAAAAC8BAABfcmVscy8ucmVsc1BLAQItABQA&#10;BgAIAAAAIQAIiJvUxgIAAJoFAAAOAAAAAAAAAAAAAAAAAC4CAABkcnMvZTJvRG9jLnhtbFBLAQIt&#10;ABQABgAIAAAAIQCzpiYO3wAAAAsBAAAPAAAAAAAAAAAAAAAAACAFAABkcnMvZG93bnJldi54bWxQ&#10;SwUGAAAAAAQABADzAAAALAYAAAAA&#10;" filled="f" strokecolor="#c31f48 [3206]">
                <v:textbox inset="0,0,0,0">
                  <w:txbxContent>
                    <w:p w14:paraId="7DB57E5B" w14:textId="7F2A3C20" w:rsidR="00C93E72" w:rsidRPr="005470B1" w:rsidRDefault="00C93E72" w:rsidP="00A60C40">
                      <w:pPr>
                        <w:pStyle w:val="Questionheading"/>
                        <w:ind w:left="284"/>
                      </w:pPr>
                      <w:r>
                        <w:t>Next steps and future work</w:t>
                      </w:r>
                    </w:p>
                    <w:p w14:paraId="36BD654A" w14:textId="0A84EF48" w:rsidR="00C93E72" w:rsidRDefault="00C93E72" w:rsidP="00A60C40">
                      <w:pPr>
                        <w:pStyle w:val="BodyText"/>
                        <w:ind w:left="284"/>
                      </w:pPr>
                      <w:r w:rsidRPr="00A60C40">
                        <w:t>IHPA will continue to work with jurisdictions on the timeframe for implementation of shadow pricing, and investigating alternative models to block funding until the ATTC can be enabled.</w:t>
                      </w:r>
                    </w:p>
                  </w:txbxContent>
                </v:textbox>
                <w10:wrap type="topAndBottom" anchorx="margin"/>
              </v:shape>
            </w:pict>
          </mc:Fallback>
        </mc:AlternateContent>
      </w:r>
      <w:r w:rsidRPr="0065414C">
        <w:rPr>
          <w:noProof/>
          <w:lang w:eastAsia="en-AU" w:bidi="ar-SA"/>
        </w:rPr>
        <mc:AlternateContent>
          <mc:Choice Requires="wps">
            <w:drawing>
              <wp:anchor distT="0" distB="0" distL="0" distR="0" simplePos="0" relativeHeight="251680768" behindDoc="1" locked="0" layoutInCell="1" allowOverlap="1" wp14:anchorId="125E6B9C" wp14:editId="2764E84E">
                <wp:simplePos x="0" y="0"/>
                <wp:positionH relativeFrom="margin">
                  <wp:align>right</wp:align>
                </wp:positionH>
                <wp:positionV relativeFrom="paragraph">
                  <wp:posOffset>194255</wp:posOffset>
                </wp:positionV>
                <wp:extent cx="2743200" cy="1233170"/>
                <wp:effectExtent l="0" t="0" r="19050" b="24130"/>
                <wp:wrapTopAndBottom/>
                <wp:docPr id="55"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33577"/>
                        </a:xfrm>
                        <a:prstGeom prst="rect">
                          <a:avLst/>
                        </a:prstGeom>
                        <a:noFill/>
                        <a:ln w="9525">
                          <a:solidFill>
                            <a:schemeClr val="accent3">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546F167" w14:textId="2D529C7C" w:rsidR="00C93E72" w:rsidRPr="005470B1" w:rsidRDefault="00C93E72" w:rsidP="005A12A3">
                            <w:pPr>
                              <w:pStyle w:val="Questionheading"/>
                              <w:ind w:left="284"/>
                            </w:pPr>
                            <w:bookmarkStart w:id="93" w:name="Question22"/>
                            <w:r>
                              <w:t>IHPA’s decision</w:t>
                            </w:r>
                          </w:p>
                          <w:bookmarkEnd w:id="93"/>
                          <w:p w14:paraId="3A9156A0" w14:textId="43D66782" w:rsidR="00C93E72" w:rsidRDefault="00C93E72" w:rsidP="00A60C40">
                            <w:pPr>
                              <w:pStyle w:val="BodyText"/>
                              <w:ind w:left="284"/>
                            </w:pPr>
                            <w:r w:rsidRPr="00A60C40">
                              <w:t>For NEP21, IHPA will continue to determine block funding amounts for teaching, training</w:t>
                            </w:r>
                            <w:r>
                              <w:t> </w:t>
                            </w:r>
                            <w:r w:rsidRPr="00A60C40">
                              <w:t>and research activity based on</w:t>
                            </w:r>
                            <w:r>
                              <w:t> </w:t>
                            </w:r>
                            <w:r w:rsidRPr="00A60C40">
                              <w:t>states</w:t>
                            </w:r>
                            <w:r>
                              <w:t> </w:t>
                            </w:r>
                            <w:r w:rsidRPr="00A60C40">
                              <w:t>and territories’ advice.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5E6B9C" id="_x0000_s1046" type="#_x0000_t202" style="position:absolute;margin-left:164.8pt;margin-top:15.3pt;width:3in;height:97.1pt;z-index:-25163571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ZnxQIAAJoFAAAOAAAAZHJzL2Uyb0RvYy54bWysVNuO2jAQfa/Uf7D8ng25AAFtWAGBqtL2&#10;Iu32A4zjEKuOndqGsK323zt2CMt2X6qqeXDGtzNzZo7n9u7UCHRk2nAlcxzdjDBikqqSy32Ovz1u&#10;gwwjY4ksiVCS5fiJGXy3eP/utmvnLFa1EiXTCECkmXdtjmtr23kYGlqzhpgb1TIJm5XSDbEw1fuw&#10;1KQD9EaE8Wg0CTuly1YryoyB1aLfxAuPX1WM2i9VZZhFIscQm/Wj9uPOjeHilsz3mrQ1p+cwyD9E&#10;0RAuwekFqiCWoIPmb6AaTrUyqrI3VDWhqipOmecAbKLRH2weatIyzwWSY9pLmsz/g6Wfj1814mWO&#10;x2OMJGmgRo/sZNFKnVAy85xgem+sY+c2PKtf6yhLiul2EqzSWRakySoJZmm2CqJpnK3G8XI52aTP&#10;Lruhv+Xvh11r5t6hK483H1rwbk/gDMTjnZn2XtHvBkm1roncs6XWqqsZKYF05AGvrvY4xoHsuk+q&#10;hODJwSoPdKp042KGHCNAh+I/XQrueFBYjKdpAirCiMJeFCfJeDo9Bz1cb7WxH5hqkDNyrEFRHp4c&#10;gVPPbzjivEm15UJ4VQmJuhzPxvG4J6YEL92mO+b1zdZCoyMBZRJKmbSJPycODTDp16OR+3qRwjpI&#10;uV/3S5DZC4zPs7n20HALD0vwJsfZFYrL5EaWPkBLuOhtgBLyXOA3pZ6NZptsk6VBGk82QToqimC5&#10;XafBZBtNx0VSrNdF9OxCj9J5zcuSScdyeExR+ndiPT/r/hlcntMrSkbvd5eUbf13LtbVsfB1GIMA&#10;h/+LEJ1qev3Y0+7kn0Ds8+r0tVPlE4hKq75hQIMDo1b6J0YdNIscmx8HohlG4qMEYbrOMhh6MHaD&#10;QSSFqzm2GPXm2vYd6NBqvq8BuZe+VEsQb8W9rF6igNDdBBqAJ3FuVq7DXM/9qZeWuvgNAAD//wMA&#10;UEsDBBQABgAIAAAAIQAZXTua3QAAAAcBAAAPAAAAZHJzL2Rvd25yZXYueG1sTI9BS8NAEIXvgv9h&#10;GcGb3TQppcZMihRUqCerCN6m2TEJzc7G7CaN/971pMd57/HeN8V2tp2aePCtE4TlIgHFUjnTSo3w&#10;9vpwswHlA4mhzgkjfLOHbXl5UVBu3FleeDqEWsUS8TkhNCH0uda+atiSX7ieJXqfbrAU4jnU2gx0&#10;juW202mSrLWlVuJCQz3vGq5Oh9EiPNpp/njef73vPT3d9svsRLsxQby+mu/vQAWew18YfvEjOpSR&#10;6ehGMV51CPGRgJAla1DRXWVpFI4IabragC4L/Z+//AEAAP//AwBQSwECLQAUAAYACAAAACEAtoM4&#10;kv4AAADhAQAAEwAAAAAAAAAAAAAAAAAAAAAAW0NvbnRlbnRfVHlwZXNdLnhtbFBLAQItABQABgAI&#10;AAAAIQA4/SH/1gAAAJQBAAALAAAAAAAAAAAAAAAAAC8BAABfcmVscy8ucmVsc1BLAQItABQABgAI&#10;AAAAIQDNTTZnxQIAAJoFAAAOAAAAAAAAAAAAAAAAAC4CAABkcnMvZTJvRG9jLnhtbFBLAQItABQA&#10;BgAIAAAAIQAZXTua3QAAAAcBAAAPAAAAAAAAAAAAAAAAAB8FAABkcnMvZG93bnJldi54bWxQSwUG&#10;AAAAAAQABADzAAAAKQYAAAAA&#10;" filled="f" strokecolor="#c31f48 [3206]">
                <v:textbox inset="0,0,0,0">
                  <w:txbxContent>
                    <w:p w14:paraId="4546F167" w14:textId="2D529C7C" w:rsidR="00C93E72" w:rsidRPr="005470B1" w:rsidRDefault="00C93E72" w:rsidP="005A12A3">
                      <w:pPr>
                        <w:pStyle w:val="Questionheading"/>
                        <w:ind w:left="284"/>
                      </w:pPr>
                      <w:bookmarkStart w:id="115" w:name="Question22"/>
                      <w:r>
                        <w:t>IHPA’s decision</w:t>
                      </w:r>
                    </w:p>
                    <w:bookmarkEnd w:id="115"/>
                    <w:p w14:paraId="3A9156A0" w14:textId="43D66782" w:rsidR="00C93E72" w:rsidRDefault="00C93E72" w:rsidP="00A60C40">
                      <w:pPr>
                        <w:pStyle w:val="BodyText"/>
                        <w:ind w:left="284"/>
                      </w:pPr>
                      <w:r w:rsidRPr="00A60C40">
                        <w:t>For NEP21, IHPA will continue to determine block funding amounts for teaching, training</w:t>
                      </w:r>
                      <w:r>
                        <w:t> </w:t>
                      </w:r>
                      <w:r w:rsidRPr="00A60C40">
                        <w:t>and research activity based on</w:t>
                      </w:r>
                      <w:r>
                        <w:t> </w:t>
                      </w:r>
                      <w:r w:rsidRPr="00A60C40">
                        <w:t>states</w:t>
                      </w:r>
                      <w:r>
                        <w:t> </w:t>
                      </w:r>
                      <w:r w:rsidRPr="00A60C40">
                        <w:t>and territories’ advice.</w:t>
                      </w:r>
                    </w:p>
                  </w:txbxContent>
                </v:textbox>
                <w10:wrap type="topAndBottom" anchorx="margin"/>
              </v:shape>
            </w:pict>
          </mc:Fallback>
        </mc:AlternateContent>
      </w:r>
      <w:bookmarkEnd w:id="92"/>
    </w:p>
    <w:p w14:paraId="6BBF42CE" w14:textId="402C274E" w:rsidR="008245FD" w:rsidRPr="0065414C" w:rsidRDefault="008245FD" w:rsidP="0016039E">
      <w:pPr>
        <w:pStyle w:val="BodyText"/>
        <w:rPr>
          <w:rFonts w:cs="Arial"/>
        </w:rPr>
        <w:sectPr w:rsidR="008245FD" w:rsidRPr="0065414C" w:rsidSect="00216997">
          <w:pgSz w:w="11910" w:h="16840"/>
          <w:pgMar w:top="1440" w:right="1440" w:bottom="1440" w:left="1440" w:header="0" w:footer="656" w:gutter="0"/>
          <w:cols w:num="2" w:space="340"/>
        </w:sectPr>
      </w:pPr>
    </w:p>
    <w:p w14:paraId="2372C4CF" w14:textId="77777777" w:rsidR="00592035" w:rsidRPr="0065414C" w:rsidRDefault="00592035" w:rsidP="005B7291">
      <w:pPr>
        <w:pStyle w:val="SectionNumber"/>
      </w:pPr>
      <w:bookmarkStart w:id="94" w:name="_7_Treatment_of"/>
      <w:bookmarkStart w:id="95" w:name="_Toc49953762"/>
      <w:bookmarkEnd w:id="94"/>
      <w:r w:rsidRPr="0065414C">
        <w:rPr>
          <w:lang w:bidi="ar-SA"/>
        </w:rPr>
        <w:lastRenderedPageBreak/>
        <w:drawing>
          <wp:anchor distT="0" distB="0" distL="114300" distR="114300" simplePos="0" relativeHeight="251629568" behindDoc="1" locked="0" layoutInCell="1" allowOverlap="1" wp14:anchorId="33104B76" wp14:editId="132BBFFE">
            <wp:simplePos x="0" y="0"/>
            <wp:positionH relativeFrom="margin">
              <wp:posOffset>-914400</wp:posOffset>
            </wp:positionH>
            <wp:positionV relativeFrom="page">
              <wp:posOffset>954157</wp:posOffset>
            </wp:positionV>
            <wp:extent cx="5462267" cy="3577464"/>
            <wp:effectExtent l="0" t="0" r="0" b="0"/>
            <wp:wrapNone/>
            <wp:docPr id="16" name="Picture 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7</w:t>
      </w:r>
      <w:bookmarkEnd w:id="95"/>
    </w:p>
    <w:p w14:paraId="04F5094D" w14:textId="77777777" w:rsidR="00592035" w:rsidRPr="0065414C" w:rsidRDefault="0041717A" w:rsidP="005B7291">
      <w:pPr>
        <w:pStyle w:val="Sectionheader"/>
        <w:ind w:right="2651"/>
        <w:sectPr w:rsidR="00592035" w:rsidRPr="0065414C" w:rsidSect="008613E1">
          <w:headerReference w:type="default" r:id="rId56"/>
          <w:pgSz w:w="11910" w:h="16840"/>
          <w:pgMar w:top="3970" w:right="1440" w:bottom="1440" w:left="1440" w:header="0" w:footer="656" w:gutter="0"/>
          <w:cols w:space="720"/>
        </w:sectPr>
      </w:pPr>
      <w:bookmarkStart w:id="96" w:name="_Toc49953763"/>
      <w:r w:rsidRPr="0065414C">
        <w:t>Setting the national efficient price for activity based funded public hospital</w:t>
      </w:r>
      <w:r w:rsidR="004B7AE4" w:rsidRPr="0065414C">
        <w:t>s</w:t>
      </w:r>
      <w:bookmarkEnd w:id="96"/>
    </w:p>
    <w:p w14:paraId="4772891E" w14:textId="77777777" w:rsidR="00C415F5" w:rsidRPr="0065414C" w:rsidRDefault="001445EA" w:rsidP="0062185D">
      <w:pPr>
        <w:pStyle w:val="Heading1"/>
        <w:spacing w:after="360"/>
        <w:ind w:left="1418" w:hanging="1191"/>
        <w:rPr>
          <w:rFonts w:cs="Arial"/>
          <w:b w:val="0"/>
        </w:rPr>
      </w:pPr>
      <w:bookmarkStart w:id="97" w:name="_Toc45809612"/>
      <w:bookmarkStart w:id="98" w:name="_Toc49953764"/>
      <w:bookmarkStart w:id="99" w:name="_Toc58930512"/>
      <w:r w:rsidRPr="0065414C">
        <w:rPr>
          <w:rFonts w:cs="Arial"/>
          <w:noProof/>
          <w:color w:val="FFFFFF" w:themeColor="background1"/>
          <w:lang w:eastAsia="en-AU" w:bidi="ar-SA"/>
        </w:rPr>
        <w:lastRenderedPageBreak/>
        <w:drawing>
          <wp:anchor distT="0" distB="0" distL="114300" distR="114300" simplePos="0" relativeHeight="251644928" behindDoc="1" locked="0" layoutInCell="1" allowOverlap="1" wp14:anchorId="107129C0" wp14:editId="605B603F">
            <wp:simplePos x="0" y="0"/>
            <wp:positionH relativeFrom="column">
              <wp:posOffset>-914400</wp:posOffset>
            </wp:positionH>
            <wp:positionV relativeFrom="page">
              <wp:posOffset>659958</wp:posOffset>
            </wp:positionV>
            <wp:extent cx="1685420" cy="946147"/>
            <wp:effectExtent l="0" t="0" r="0" b="0"/>
            <wp:wrapNone/>
            <wp:docPr id="21" name="Picture 2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1685420" cy="946147"/>
                    </a:xfrm>
                    <a:prstGeom prst="rect">
                      <a:avLst/>
                    </a:prstGeom>
                    <a:noFill/>
                    <a:ln>
                      <a:noFill/>
                    </a:ln>
                  </pic:spPr>
                </pic:pic>
              </a:graphicData>
            </a:graphic>
          </wp:anchor>
        </w:drawing>
      </w:r>
      <w:r w:rsidR="00092EEE" w:rsidRPr="0065414C">
        <w:rPr>
          <w:rFonts w:cs="Arial"/>
          <w:color w:val="FFFFFF" w:themeColor="background1"/>
        </w:rPr>
        <w:t>7</w:t>
      </w:r>
      <w:r w:rsidR="00092EEE" w:rsidRPr="0065414C">
        <w:rPr>
          <w:rFonts w:cs="Arial"/>
        </w:rPr>
        <w:tab/>
      </w:r>
      <w:r w:rsidRPr="0065414C">
        <w:rPr>
          <w:rFonts w:cs="Arial"/>
        </w:rPr>
        <w:tab/>
      </w:r>
      <w:r w:rsidR="0041717A" w:rsidRPr="0065414C">
        <w:rPr>
          <w:rFonts w:cs="Arial"/>
        </w:rPr>
        <w:t>Setting the national efficient price for activity based funded public hospital</w:t>
      </w:r>
      <w:r w:rsidR="004B7AE4" w:rsidRPr="0065414C">
        <w:rPr>
          <w:rFonts w:cs="Arial"/>
        </w:rPr>
        <w:t>s</w:t>
      </w:r>
      <w:bookmarkEnd w:id="97"/>
      <w:bookmarkEnd w:id="98"/>
      <w:bookmarkEnd w:id="99"/>
    </w:p>
    <w:p w14:paraId="10031BF1" w14:textId="77777777" w:rsidR="00092EEE" w:rsidRPr="0065414C" w:rsidRDefault="00092EEE" w:rsidP="00092EEE">
      <w:pPr>
        <w:pStyle w:val="BodyText"/>
        <w:rPr>
          <w:rFonts w:cs="Arial"/>
        </w:rPr>
      </w:pPr>
    </w:p>
    <w:p w14:paraId="6253B06F" w14:textId="77777777" w:rsidR="00092EEE" w:rsidRPr="0065414C" w:rsidRDefault="00092EEE" w:rsidP="00DE2ED2">
      <w:pPr>
        <w:pStyle w:val="Heading2"/>
        <w:rPr>
          <w:rFonts w:cs="Arial"/>
        </w:rPr>
        <w:sectPr w:rsidR="00092EEE" w:rsidRPr="0065414C" w:rsidSect="006673D9">
          <w:headerReference w:type="default" r:id="rId58"/>
          <w:pgSz w:w="11910" w:h="16840"/>
          <w:pgMar w:top="1440" w:right="1440" w:bottom="1440" w:left="1440" w:header="0" w:footer="656" w:gutter="0"/>
          <w:cols w:space="720"/>
        </w:sectPr>
      </w:pPr>
    </w:p>
    <w:p w14:paraId="42BA8F64" w14:textId="63FDF196" w:rsidR="0062185D" w:rsidRPr="0062185D" w:rsidRDefault="0062185D" w:rsidP="0062185D">
      <w:pPr>
        <w:pStyle w:val="BodyText"/>
        <w:ind w:right="44"/>
        <w:rPr>
          <w:rFonts w:cs="Arial"/>
        </w:rPr>
      </w:pPr>
      <w:r w:rsidRPr="0062185D">
        <w:rPr>
          <w:rFonts w:cs="Arial"/>
        </w:rPr>
        <w:t>Under clause A7 of the Addendum, IHPA is required to determine the national efficient price (NEP) for health care services provided by public hospitals where services are funded on an activity basis. The NEP includes a series of adjustments to reflect legitimate and unavoidable variations in the costs of delivering health care services.</w:t>
      </w:r>
    </w:p>
    <w:p w14:paraId="2517F36D" w14:textId="2C157A97" w:rsidR="00C415F5" w:rsidRPr="0065414C" w:rsidRDefault="0062185D" w:rsidP="0062185D">
      <w:pPr>
        <w:pStyle w:val="BodyText"/>
        <w:ind w:right="44"/>
        <w:rPr>
          <w:rFonts w:cs="Arial"/>
        </w:rPr>
      </w:pPr>
      <w:r w:rsidRPr="0062185D">
        <w:rPr>
          <w:rFonts w:cs="Arial"/>
        </w:rPr>
        <w:t xml:space="preserve">IHPA has developed a robust pricing model that underpins the NEP Determination. The model is described in detail in the </w:t>
      </w:r>
      <w:hyperlink r:id="rId59" w:history="1">
        <w:r w:rsidRPr="00663BD5">
          <w:rPr>
            <w:rStyle w:val="Hyperlink"/>
            <w:rFonts w:cs="Arial"/>
          </w:rPr>
          <w:t>National Pricing Model Technical Specifications</w:t>
        </w:r>
      </w:hyperlink>
      <w:r w:rsidRPr="0062185D">
        <w:rPr>
          <w:rFonts w:cs="Arial"/>
        </w:rPr>
        <w:t xml:space="preserve"> on IHPA’s website.</w:t>
      </w:r>
    </w:p>
    <w:bookmarkStart w:id="100" w:name="_Toc49953766"/>
    <w:bookmarkStart w:id="101" w:name="_Toc58930513"/>
    <w:p w14:paraId="22E27025" w14:textId="60DAE202" w:rsidR="00206CEB" w:rsidRPr="0065414C" w:rsidRDefault="0062185D" w:rsidP="004957DB">
      <w:pPr>
        <w:pStyle w:val="Heading2"/>
        <w:rPr>
          <w:rFonts w:cs="Arial"/>
        </w:rPr>
      </w:pPr>
      <w:r w:rsidRPr="0065414C">
        <w:rPr>
          <w:noProof/>
          <w:lang w:eastAsia="en-AU" w:bidi="ar-SA"/>
        </w:rPr>
        <mc:AlternateContent>
          <mc:Choice Requires="wps">
            <w:drawing>
              <wp:anchor distT="0" distB="0" distL="0" distR="0" simplePos="0" relativeHeight="251765760" behindDoc="1" locked="0" layoutInCell="1" allowOverlap="1" wp14:anchorId="2C7CECAB" wp14:editId="44C0EFD7">
                <wp:simplePos x="0" y="0"/>
                <wp:positionH relativeFrom="margin">
                  <wp:posOffset>2975610</wp:posOffset>
                </wp:positionH>
                <wp:positionV relativeFrom="paragraph">
                  <wp:posOffset>374650</wp:posOffset>
                </wp:positionV>
                <wp:extent cx="2743200" cy="922655"/>
                <wp:effectExtent l="0" t="0" r="19050" b="10795"/>
                <wp:wrapTopAndBottom/>
                <wp:docPr id="88"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922655"/>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82AAF9" w14:textId="77777777" w:rsidR="00C93E72" w:rsidRPr="005470B1" w:rsidRDefault="00C93E72" w:rsidP="0062185D">
                            <w:pPr>
                              <w:pStyle w:val="Questionheading"/>
                              <w:ind w:left="284"/>
                            </w:pPr>
                            <w:r>
                              <w:t>IHPA’s decision</w:t>
                            </w:r>
                          </w:p>
                          <w:p w14:paraId="5FE613C8" w14:textId="654FEC2A" w:rsidR="00C93E72" w:rsidRDefault="00C93E72" w:rsidP="0062185D">
                            <w:pPr>
                              <w:pStyle w:val="BodyText"/>
                              <w:ind w:left="284"/>
                            </w:pPr>
                            <w:r w:rsidRPr="0062185D">
                              <w:t>IHPA does not intend to make additional adjustments to the pricing model for NEP21.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7CECAB" id="_x0000_s1047" type="#_x0000_t202" style="position:absolute;margin-left:234.3pt;margin-top:29.5pt;width:3in;height:72.65pt;z-index:-2515507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7L2qgIAAF4FAAAOAAAAZHJzL2Uyb0RvYy54bWysVNuOmzAQfa/Uf7D8znIJSQAtWSUQqkrb&#10;i7TbD3DABKtgU9sJ2Vb77x2bkL31oarKA4yxfWbOzJm5vjl1LTpSqZjgKfavPIwoL0XF+D7F3+4L&#10;J8JIacIr0gpOU/xAFb5ZvX93PfQJDUQj2opKBCBcJUOf4kbrPnFdVTa0I+pK9JTDZi1kRzQs5d6t&#10;JBkAvWvdwPMW7iBk1UtRUqXgbz5u4pXFr2ta6i91rahGbYohNm3f0r535u2urkmyl6RvWHkOg/xD&#10;FB1hHJxeoHKiCTpI9gaqY6UUStT6qhSdK+qaldRyADa+94rNXUN6arlAclR/SZP6f7Dl5+NXiViV&#10;4ggqxUkHNbqnJ4024oRmseUEy1ulDTuzYVn9yvxoli+LhbMJ48gJZ5uZE4fRxvGXQbSZB+v1Yhs+&#10;muy69pa97w69SqxDUx5r3vXgXZ/AGYjHOlP9rSi/K8RF1hC+p2spxdBQUgFp3wI+uzriKAOyGz6J&#10;CoInBy0s0KmWnYkZcowAHYr/cCm44VHCz2AZzkBFGJWwFwfBYj4/xzzd7qXSH6jokDFSLEFQFp0c&#10;gdJIbzpinHFRsLa1omo5GgB0HsxHXqJlldk0x5Tc77JWoiMBWRZFHEMMI5h6fqxjGpqjZR1UxzOP&#10;OUQSk40tr6ytCWtHGxLdcrP9p3LFXryNtlHohMFi64RenjvrIgudReEv5/ksz7LcfzRx+mHSsKqi&#10;3IQ6NYQf/p3gzq05SvnSEi8ovWJewPOWufsyjElE0/dJTKbyowb0aXeyMg6sSIxGdqJ6AGFIMTY9&#10;DCkwGiF/YjRAw6dY/TgQSTFqP3IQl5kOkyEnYzcZhJdwNcUao9HM9DhFDr1k+waQR/lysQYB1sxq&#10;4ykKCN0soIktifPAMVPi+dqeehqLq98AAAD//wMAUEsDBBQABgAIAAAAIQBIxctf3wAAAAoBAAAP&#10;AAAAZHJzL2Rvd25yZXYueG1sTI/BTsMwEETvSPyDtUjcqEMbQhqyqSoE4kQlSg89uvGSBGI72G6a&#10;/j3LCY6rfZp5U64m04uRfOicRbidJSDI1k53tkHYvT/f5CBCVFar3llCOFOAVXV5UapCu5N9o3Eb&#10;G8EhNhQKoY1xKKQMdUtGhZkbyPLvw3mjIp++kdqrE4ebXs6TJJNGdZYbWjXQY0v11/ZoEPJz/eTS&#10;3N+n++/P8XXxQmHtN4jXV9P6AUSkKf7B8KvP6lCx08EdrQ6iR0izPGMU4W7JmxhYch2IA8I8SRcg&#10;q1L+n1D9AAAA//8DAFBLAQItABQABgAIAAAAIQC2gziS/gAAAOEBAAATAAAAAAAAAAAAAAAAAAAA&#10;AABbQ29udGVudF9UeXBlc10ueG1sUEsBAi0AFAAGAAgAAAAhADj9If/WAAAAlAEAAAsAAAAAAAAA&#10;AAAAAAAALwEAAF9yZWxzLy5yZWxzUEsBAi0AFAAGAAgAAAAhAF4jsvaqAgAAXgUAAA4AAAAAAAAA&#10;AAAAAAAALgIAAGRycy9lMm9Eb2MueG1sUEsBAi0AFAAGAAgAAAAhAEjFy1/fAAAACgEAAA8AAAAA&#10;AAAAAAAAAAAABAUAAGRycy9kb3ducmV2LnhtbFBLBQYAAAAABAAEAPMAAAAQBgAAAAA=&#10;" filled="f" strokecolor="#f90">
                <v:textbox inset="0,0,0,0">
                  <w:txbxContent>
                    <w:p w14:paraId="7082AAF9" w14:textId="77777777" w:rsidR="00C93E72" w:rsidRPr="005470B1" w:rsidRDefault="00C93E72" w:rsidP="0062185D">
                      <w:pPr>
                        <w:pStyle w:val="Questionheading"/>
                        <w:ind w:left="284"/>
                      </w:pPr>
                      <w:r>
                        <w:t>IHPA’s decision</w:t>
                      </w:r>
                    </w:p>
                    <w:p w14:paraId="5FE613C8" w14:textId="654FEC2A" w:rsidR="00C93E72" w:rsidRDefault="00C93E72" w:rsidP="0062185D">
                      <w:pPr>
                        <w:pStyle w:val="BodyText"/>
                        <w:ind w:left="284"/>
                      </w:pPr>
                      <w:r w:rsidRPr="0062185D">
                        <w:t>IHPA does not intend to make additional adjustments to the pricing model for NEP21.</w:t>
                      </w:r>
                    </w:p>
                  </w:txbxContent>
                </v:textbox>
                <w10:wrap type="topAndBottom" anchorx="margin"/>
              </v:shape>
            </w:pict>
          </mc:Fallback>
        </mc:AlternateContent>
      </w:r>
      <w:r w:rsidR="00206CEB" w:rsidRPr="0065414C">
        <w:rPr>
          <w:rFonts w:cs="Arial"/>
        </w:rPr>
        <w:t>7.</w:t>
      </w:r>
      <w:r>
        <w:rPr>
          <w:rFonts w:cs="Arial"/>
        </w:rPr>
        <w:t>1</w:t>
      </w:r>
      <w:r w:rsidR="00206CEB" w:rsidRPr="0065414C">
        <w:rPr>
          <w:rFonts w:cs="Arial"/>
        </w:rPr>
        <w:t xml:space="preserve">. Adjustments to the </w:t>
      </w:r>
      <w:r w:rsidR="00194354" w:rsidRPr="0065414C">
        <w:rPr>
          <w:rFonts w:cs="Arial"/>
        </w:rPr>
        <w:t>n</w:t>
      </w:r>
      <w:r w:rsidR="00206CEB" w:rsidRPr="0065414C">
        <w:rPr>
          <w:rFonts w:cs="Arial"/>
        </w:rPr>
        <w:t xml:space="preserve">ational </w:t>
      </w:r>
      <w:r w:rsidR="00194354" w:rsidRPr="0065414C">
        <w:rPr>
          <w:rFonts w:cs="Arial"/>
        </w:rPr>
        <w:t>e</w:t>
      </w:r>
      <w:r w:rsidR="00206CEB" w:rsidRPr="0065414C">
        <w:rPr>
          <w:rFonts w:cs="Arial"/>
        </w:rPr>
        <w:t xml:space="preserve">fficient </w:t>
      </w:r>
      <w:r w:rsidR="00194354" w:rsidRPr="0065414C">
        <w:rPr>
          <w:rFonts w:cs="Arial"/>
        </w:rPr>
        <w:t>p</w:t>
      </w:r>
      <w:r w:rsidR="00206CEB" w:rsidRPr="0065414C">
        <w:rPr>
          <w:rFonts w:cs="Arial"/>
        </w:rPr>
        <w:t>rice</w:t>
      </w:r>
      <w:bookmarkEnd w:id="100"/>
      <w:bookmarkEnd w:id="101"/>
    </w:p>
    <w:p w14:paraId="144C277F" w14:textId="481D5FE3" w:rsidR="0062185D" w:rsidRPr="0062185D" w:rsidRDefault="0062185D" w:rsidP="0062185D">
      <w:pPr>
        <w:pStyle w:val="BodyText"/>
        <w:ind w:right="44"/>
        <w:rPr>
          <w:rFonts w:cs="Arial"/>
        </w:rPr>
      </w:pPr>
      <w:r w:rsidRPr="0065414C">
        <w:rPr>
          <w:noProof/>
          <w:lang w:eastAsia="en-AU" w:bidi="ar-SA"/>
        </w:rPr>
        <mc:AlternateContent>
          <mc:Choice Requires="wps">
            <w:drawing>
              <wp:anchor distT="0" distB="0" distL="0" distR="0" simplePos="0" relativeHeight="251767808" behindDoc="1" locked="0" layoutInCell="1" allowOverlap="1" wp14:anchorId="56E60AF0" wp14:editId="3136D747">
                <wp:simplePos x="0" y="0"/>
                <wp:positionH relativeFrom="margin">
                  <wp:posOffset>2975610</wp:posOffset>
                </wp:positionH>
                <wp:positionV relativeFrom="paragraph">
                  <wp:posOffset>774700</wp:posOffset>
                </wp:positionV>
                <wp:extent cx="2743200" cy="3234690"/>
                <wp:effectExtent l="0" t="0" r="19050" b="22860"/>
                <wp:wrapTopAndBottom/>
                <wp:docPr id="89"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23469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5CADE9D4" w14:textId="6F1CA174" w:rsidR="00C93E72" w:rsidRPr="005470B1" w:rsidRDefault="00C93E72" w:rsidP="0062185D">
                            <w:pPr>
                              <w:pStyle w:val="Questionheading"/>
                              <w:ind w:left="284"/>
                            </w:pPr>
                            <w:r>
                              <w:t>Next steps and future work</w:t>
                            </w:r>
                          </w:p>
                          <w:p w14:paraId="520CFEA2" w14:textId="69FA0777" w:rsidR="00C93E72" w:rsidRDefault="00C93E72" w:rsidP="0062185D">
                            <w:pPr>
                              <w:pStyle w:val="BodyText"/>
                              <w:ind w:left="284"/>
                            </w:pPr>
                            <w:r>
                              <w:t xml:space="preserve">Queensland requested that IHPA pursue the recommendation from the independent review of the national pricing model (the Fundamental Review) to consider revising the methodology for setting the inlier bounds for admitted patients. </w:t>
                            </w:r>
                          </w:p>
                          <w:p w14:paraId="16F04D60" w14:textId="0C5E2B89" w:rsidR="00C93E72" w:rsidRDefault="00C93E72" w:rsidP="0062185D">
                            <w:pPr>
                              <w:pStyle w:val="BodyText"/>
                              <w:ind w:left="284"/>
                            </w:pPr>
                            <w:r>
                              <w:t xml:space="preserve">IHPA will review its methodology for calculating inlier bounds for Diagnosis Related Group length of stay for the NEP Determination 2022–23 (NEP22). IHPA will consult with jurisdictions through its Jurisdictional and Technical Advisory Committees as part of the NEP22 development process. For technical information relating to the proposed change, please refer to the Fundamental Review on IHPA’s </w:t>
                            </w:r>
                            <w:hyperlink r:id="rId60" w:anchor=":~:text=The%20Fundamental%20Review%20of%20the,underpinning%20the%20National%20Pricing%20Model.&amp;text=The%20National%20Pricing%20Model%20was,recommendations%20identified%20in%20the%20reports." w:history="1">
                              <w:r w:rsidRPr="0062185D">
                                <w:rPr>
                                  <w:rStyle w:val="Hyperlink"/>
                                </w:rPr>
                                <w:t>website</w:t>
                              </w:r>
                            </w:hyperlink>
                            <w:r w:rsidRPr="0062185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60AF0" id="_x0000_s1048" type="#_x0000_t202" style="position:absolute;margin-left:234.3pt;margin-top:61pt;width:3in;height:254.7pt;z-index:-25154867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Xd7qwIAAF8FAAAOAAAAZHJzL2Uyb0RvYy54bWysVNuOmzAQfa/Uf7D8znJNAtGSVQKhqrS9&#10;SLv9AAdMsAo2tZ2Q7Wr/vWMTsreXqioPMMb2mXM8Z3x9c+padKRSMcFT7F95GFFeiorxfYp/3BdO&#10;jJHShFekFZym+IEqfLP6+OF66Jc0EI1oKyoRgHC1HPoUN1r3S9dVZUM7oq5ETzlM1kJ2RMNQ7t1K&#10;kgHQu9YNPG/uDkJWvRQlVQr+5uMkXln8uqal/lbXimrUphi4afuW9r0zb3d1TZZ7SfqGlWca5B9Y&#10;dIRxSHqByokm6CDZO6iOlVIoUeurUnSuqGtWUqsB1PjeGzV3Demp1QKHo/rLMan/B1t+PX6XiFUp&#10;jhOMOOmgRvf0pNFGnFCYWE0wvFXaqDMTVtVj5sdhvijmziZKYicKN6GTRPHG8RdBvJkF6/V8Gz2Z&#10;03XtLrvfHXq1tAlNeWx410N2fYJkYB6bTPW3ovypEBdZQ/ierqUUQ0NJBaJ9C/hi64ijDMhu+CIq&#10;IE8OWligUy07wxnOGAE6FP/hUnCjo4SfwSIKwUUYlTAXBmE0T6wlgPS0vZdKf6KiQyZIsQRHWXhy&#10;BE2jvmmJycZFwdrWuqrlaEhxMgtmozDRsspMmmVK7ndZK9GRgC+LIkmAxAimXi7rmIbuaFkH5fHM&#10;M/rVHMeWVzaLJqwdYyDd8nOV3tUr8ZJtvI0jJwrmWyfy8txZF1nkzAt/McvDPMty/8nw9KNlw6qK&#10;ckN16gg/+jvHnXtz9PKlJ15JeqO8gOe9cvc1jclF0/fZTab0own0aXeyPg4Cg2dMshPVAzhDirHr&#10;4ZaCoBHyN0YDdHyK1a8DkRSj9jMHd5nrYQrkFOymgPAStqZYYzSGmR6vkUMv2b4B5NG/XKzBgTWz&#10;3nhmAdTNALrYijjfOOaaeDm2q57vxdUfAAAA//8DAFBLAwQUAAYACAAAACEA8h9F1d8AAAALAQAA&#10;DwAAAGRycy9kb3ducmV2LnhtbEyPwU7DMBBE70j8g7VI3KjTNAppGqeqEIgTSBQOHN14SQLxOthu&#10;mv49ywmOoxnNvKm2sx3EhD70jhQsFwkIpMaZnloFb68PNwWIEDUZPThCBWcMsK0vLypdGneiF5z2&#10;sRVcQqHUCroYx1LK0HRodVi4EYm9D+etjix9K43XJy63g0yTJJdW98QLnR7xrsPma3+0Copzc++y&#10;wt9m79+f09PqEcPOPyt1fTXvNiAizvEvDL/4jA41Mx3ckUwQg4IsL3KOspGmfIoTa94DcVCQr5YZ&#10;yLqS/z/UPwAAAP//AwBQSwECLQAUAAYACAAAACEAtoM4kv4AAADhAQAAEwAAAAAAAAAAAAAAAAAA&#10;AAAAW0NvbnRlbnRfVHlwZXNdLnhtbFBLAQItABQABgAIAAAAIQA4/SH/1gAAAJQBAAALAAAAAAAA&#10;AAAAAAAAAC8BAABfcmVscy8ucmVsc1BLAQItABQABgAIAAAAIQAWyXd7qwIAAF8FAAAOAAAAAAAA&#10;AAAAAAAAAC4CAABkcnMvZTJvRG9jLnhtbFBLAQItABQABgAIAAAAIQDyH0XV3wAAAAsBAAAPAAAA&#10;AAAAAAAAAAAAAAUFAABkcnMvZG93bnJldi54bWxQSwUGAAAAAAQABADzAAAAEQYAAAAA&#10;" filled="f" strokecolor="#f90">
                <v:textbox inset="0,0,0,0">
                  <w:txbxContent>
                    <w:p w14:paraId="5CADE9D4" w14:textId="6F1CA174" w:rsidR="00C93E72" w:rsidRPr="005470B1" w:rsidRDefault="00C93E72" w:rsidP="0062185D">
                      <w:pPr>
                        <w:pStyle w:val="Questionheading"/>
                        <w:ind w:left="284"/>
                      </w:pPr>
                      <w:r>
                        <w:t>Next steps and future work</w:t>
                      </w:r>
                    </w:p>
                    <w:p w14:paraId="520CFEA2" w14:textId="69FA0777" w:rsidR="00C93E72" w:rsidRDefault="00C93E72" w:rsidP="0062185D">
                      <w:pPr>
                        <w:pStyle w:val="BodyText"/>
                        <w:ind w:left="284"/>
                      </w:pPr>
                      <w:r>
                        <w:t xml:space="preserve">Queensland requested that IHPA pursue the recommendation from the independent review of the national pricing model (the Fundamental Review) to consider revising the methodology for setting the inlier bounds for admitted patients. </w:t>
                      </w:r>
                    </w:p>
                    <w:p w14:paraId="16F04D60" w14:textId="0C5E2B89" w:rsidR="00C93E72" w:rsidRDefault="00C93E72" w:rsidP="0062185D">
                      <w:pPr>
                        <w:pStyle w:val="BodyText"/>
                        <w:ind w:left="284"/>
                      </w:pPr>
                      <w:r>
                        <w:t xml:space="preserve">IHPA will review its methodology for calculating inlier bounds for Diagnosis Related Group length of stay for the NEP Determination 2022–23 (NEP22). IHPA will consult with jurisdictions through its Jurisdictional and Technical Advisory Committees as part of the NEP22 development process. For technical information relating to the proposed change, please refer to the Fundamental Review on IHPA’s </w:t>
                      </w:r>
                      <w:hyperlink r:id="rId61" w:anchor=":~:text=The%20Fundamental%20Review%20of%20the,underpinning%20the%20National%20Pricing%20Model.&amp;text=The%20National%20Pricing%20Model%20was,recommendations%20identified%20in%20the%20reports." w:history="1">
                        <w:r w:rsidRPr="0062185D">
                          <w:rPr>
                            <w:rStyle w:val="Hyperlink"/>
                          </w:rPr>
                          <w:t>website</w:t>
                        </w:r>
                      </w:hyperlink>
                      <w:r w:rsidRPr="0062185D">
                        <w:t>.</w:t>
                      </w:r>
                    </w:p>
                  </w:txbxContent>
                </v:textbox>
                <w10:wrap type="topAndBottom" anchorx="margin"/>
              </v:shape>
            </w:pict>
          </mc:Fallback>
        </mc:AlternateContent>
      </w:r>
      <w:r w:rsidRPr="0062185D">
        <w:rPr>
          <w:rFonts w:cs="Arial"/>
        </w:rPr>
        <w:t>Clauses A46 and A47 of the National Health Reform Agreement (NHRA) Addendum 2020–25 (the Addendum) require IHPA to make adjustments to the NEP. Clause A47 of the Addendum requires IHPA to determine adjustments to the NEP while having “regard to legitimate and unavoidable variations in wage costs and other inputs which affect the costs of service delivery”. Examples of other inputs include hospital type and size, regional or remote status and patient complexity.</w:t>
      </w:r>
    </w:p>
    <w:p w14:paraId="2C9B1F84" w14:textId="2C36577F" w:rsidR="0062185D" w:rsidRDefault="0062185D" w:rsidP="0062185D">
      <w:pPr>
        <w:pStyle w:val="BodyText"/>
        <w:ind w:right="44"/>
        <w:rPr>
          <w:rFonts w:cs="Arial"/>
        </w:rPr>
      </w:pPr>
      <w:r w:rsidRPr="0062185D">
        <w:rPr>
          <w:rFonts w:cs="Arial"/>
        </w:rPr>
        <w:t>In determining adjustments to the NEP, IHPA:</w:t>
      </w:r>
    </w:p>
    <w:p w14:paraId="065CFBA7" w14:textId="23336869" w:rsidR="0062185D" w:rsidRPr="0062185D" w:rsidRDefault="00320CAF" w:rsidP="0062185D">
      <w:pPr>
        <w:pStyle w:val="ListParagraph"/>
        <w:ind w:right="376"/>
      </w:pPr>
      <w:r>
        <w:t>t</w:t>
      </w:r>
      <w:r w:rsidR="0062185D" w:rsidRPr="0062185D">
        <w:t>ests any empirical differences in the cost of providing public hospital services at the national level in order to determine potential legitimate and unavoidable variations in the costs of service delivery that may warrant an adjustment to the NEP</w:t>
      </w:r>
    </w:p>
    <w:p w14:paraId="382EE207" w14:textId="60F4486F" w:rsidR="0062185D" w:rsidRPr="0062185D" w:rsidRDefault="00320CAF" w:rsidP="0062185D">
      <w:pPr>
        <w:pStyle w:val="ListParagraph"/>
        <w:ind w:right="376"/>
      </w:pPr>
      <w:r>
        <w:t>e</w:t>
      </w:r>
      <w:r w:rsidR="0062185D" w:rsidRPr="0062185D">
        <w:t>xamines patient-based characteristics in the cost of providing public hospital services before considering hospital or provider-based characteristics. This policy reinforces the principle that funding should follow the patient wherever possible</w:t>
      </w:r>
    </w:p>
    <w:p w14:paraId="3A66BAC2" w14:textId="08E03182" w:rsidR="00A80F85" w:rsidRPr="0065414C" w:rsidRDefault="00320CAF" w:rsidP="0062185D">
      <w:pPr>
        <w:pStyle w:val="ListParagraph"/>
        <w:ind w:right="376"/>
      </w:pPr>
      <w:r>
        <w:t>r</w:t>
      </w:r>
      <w:r w:rsidR="0062185D" w:rsidRPr="0062185D">
        <w:t>eviews existing adjustments, with the aim of discontinuing adjustments associated with input costs or that are facility-based when it is feasible.</w:t>
      </w:r>
    </w:p>
    <w:p w14:paraId="268FE68E" w14:textId="18B084AC" w:rsidR="00FF0D92" w:rsidRDefault="0062185D" w:rsidP="00FF0D92">
      <w:pPr>
        <w:pStyle w:val="BodyText"/>
        <w:ind w:right="44"/>
        <w:rPr>
          <w:rFonts w:cs="Arial"/>
        </w:rPr>
      </w:pPr>
      <w:r w:rsidRPr="0062185D">
        <w:rPr>
          <w:rFonts w:cs="Arial"/>
        </w:rPr>
        <w:t>For the NEP Determination 2021–22 (NEP21), IHPA reviewed the need for an adjustment for patient transport in rural areas, including medical transfers and other inter-service transport in rural areas. Patient travel costs are highest for remote patients, and high patient travel costs for these patients are adjusted for in the existing patient residential and treatment remoteness adjustments. IHPA assessed whether these can be refined to more accurately identify patients who will attract high travel costs. This assessment found that patient transport costs in rural areas are already captured in the national pricing model.</w:t>
      </w:r>
    </w:p>
    <w:p w14:paraId="43B5916E" w14:textId="3256AA63" w:rsidR="0094308A" w:rsidRPr="0065414C" w:rsidRDefault="005E758E" w:rsidP="00E31F89">
      <w:pPr>
        <w:pStyle w:val="Heading2"/>
        <w:rPr>
          <w:rFonts w:cs="Arial"/>
        </w:rPr>
      </w:pPr>
      <w:r>
        <w:rPr>
          <w:rFonts w:cs="Arial"/>
        </w:rPr>
        <w:br w:type="column"/>
      </w:r>
      <w:bookmarkStart w:id="102" w:name="_Toc49953768"/>
      <w:bookmarkStart w:id="103" w:name="_Toc58930514"/>
      <w:r w:rsidR="00701C94" w:rsidRPr="0065414C">
        <w:rPr>
          <w:noProof/>
          <w:lang w:eastAsia="en-AU" w:bidi="ar-SA"/>
        </w:rPr>
        <w:lastRenderedPageBreak/>
        <mc:AlternateContent>
          <mc:Choice Requires="wps">
            <w:drawing>
              <wp:anchor distT="0" distB="0" distL="0" distR="0" simplePos="0" relativeHeight="251769856" behindDoc="1" locked="0" layoutInCell="1" allowOverlap="1" wp14:anchorId="423C3E59" wp14:editId="784866E4">
                <wp:simplePos x="0" y="0"/>
                <wp:positionH relativeFrom="margin">
                  <wp:posOffset>3044190</wp:posOffset>
                </wp:positionH>
                <wp:positionV relativeFrom="paragraph">
                  <wp:posOffset>27305</wp:posOffset>
                </wp:positionV>
                <wp:extent cx="2743200" cy="2218690"/>
                <wp:effectExtent l="0" t="0" r="12700" b="16510"/>
                <wp:wrapTopAndBottom/>
                <wp:docPr id="90"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21869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3D3E530C" w14:textId="77777777" w:rsidR="00C93E72" w:rsidRPr="005470B1" w:rsidRDefault="00C93E72" w:rsidP="00701C94">
                            <w:pPr>
                              <w:pStyle w:val="Questionheading"/>
                              <w:ind w:left="284"/>
                            </w:pPr>
                            <w:r>
                              <w:t>IHPA’s decision</w:t>
                            </w:r>
                          </w:p>
                          <w:p w14:paraId="49062243" w14:textId="69C53D17" w:rsidR="00C93E72" w:rsidRDefault="00C93E72" w:rsidP="00701C94">
                            <w:pPr>
                              <w:pStyle w:val="BodyText"/>
                              <w:ind w:left="284"/>
                            </w:pPr>
                            <w:r>
                              <w:t>IHPA notes that in principle if the same service is being delivered in the admitted and non-admitted setting then price harmonisation is appropriate. However, in this instance IHPA will consult further with jurisdictions on potential unintended consequences of pursuing price harmonisation for dialysis and chemotherapy.</w:t>
                            </w:r>
                          </w:p>
                          <w:p w14:paraId="1B04BE84" w14:textId="0B5D47C6" w:rsidR="00C93E72" w:rsidRDefault="00C93E72" w:rsidP="00701C94">
                            <w:pPr>
                              <w:pStyle w:val="BodyText"/>
                              <w:ind w:left="284"/>
                            </w:pPr>
                            <w:r>
                              <w:t>IHPA will not progress with harmonising dialysis and chemotherapy for NEP21.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3E59" id="_x0000_s1049" type="#_x0000_t202" style="position:absolute;margin-left:239.7pt;margin-top:2.15pt;width:3in;height:174.7pt;z-index:-25154662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zRNqwIAAF8FAAAOAAAAZHJzL2Uyb0RvYy54bWysVNuOmzAQfa/Uf7D8zhIISQAtWSUQqkrb&#10;i7TbD3DABKtgU9sJbKv9945NyN76UFXlAcZ4fGbO+Mxc3wxtg05UKiZ4gr2rGUaUF6Jk/JDgb/e5&#10;E2KkNOElaQSnCX6gCt+s37+77ruY+qIWTUklAhCu4r5LcK11F7uuKmraEnUlOsphsxKyJRqW8uCW&#10;kvSA3jauP5st3V7IspOioErB32zcxGuLX1W00F+qSlGNmgRDbtq+pX3vzdtdX5P4IElXs+KcBvmH&#10;LFrCOAS9QGVEE3SU7A1UywoplKj0VSFaV1QVK6jlAGy82Ss2dzXpqOUCxVHdpUzq/8EWn09fJWJl&#10;giMoDyct3NE9HTTaigHNI8sJlrdKG3Zmw7L6lXrhPFvlS2cbRKETzLdzJwrCreOt/HC78Deb5S54&#10;NNV17Sl73u07FduA5nqseddBdD1AMBCPDaa6W1F8V4iLtCb8QDdSir6mpATSngV8dnTEUQZk338S&#10;JSRPjlpYoKGSrckZaowAHdg9XC7c8Cjgp78K5qAijArY830vXEIVxqSn451U+gMVLTJGgiUoysKT&#10;E3AaXScXE42LnDWNVVXDUQ9lXfiLkZhoWGk2jZuSh33aSHQioMs8jyJIYgRTz91apqE7GtYmOJyZ&#10;xziR2JRjx0tra8Ka0YZKN9xs/+m+olm0C3dh4AT+cucEsyxzNnkaOMvcWy2yeZammfdo8vSCuGZl&#10;SblJdeoIL/g7xZ17c9TypSdeUHrFPIfnLXP3ZRqTiqbvk5rM1Y8i0MN+sDr25wbPiGQvygdQhhRj&#10;18OUAqMW8idGPXR8gtWPI5EUo+YjB3WZ8TAZcjL2k0F4AUcTrDEazVSPY+TYSXaoAXnULxcbUGDF&#10;rDaesoDUzQK62JI4TxwzJp6vrdfTXFz/BgAA//8DAFBLAwQUAAYACAAAACEA7ZT62t4AAAAJAQAA&#10;DwAAAGRycy9kb3ducmV2LnhtbEyPQU+DQBCF7yb+h82YeLMLgkKRpWmMxpNNrB563MIUUHYWd7eU&#10;/nvHk97m5b28+V65ms0gJnS+t6QgXkQgkGrb9NQq+Hh/vslB+KCp0YMlVHBGD6vq8qLURWNP9IbT&#10;NrSCS8gXWkEXwlhI6esOjfYLOyKxd7DO6MDStbJx+sTlZpC3UXQvje6JP3R6xMcO66/t0SjIz/WT&#10;TXOXpbvvz+k1eUG/dhulrq/m9QOIgHP4C8MvPqNDxUx7e6TGi0FBmi1TjvKRgGB/Gces9wqSuyQD&#10;WZXy/4LqBwAA//8DAFBLAQItABQABgAIAAAAIQC2gziS/gAAAOEBAAATAAAAAAAAAAAAAAAAAAAA&#10;AABbQ29udGVudF9UeXBlc10ueG1sUEsBAi0AFAAGAAgAAAAhADj9If/WAAAAlAEAAAsAAAAAAAAA&#10;AAAAAAAALwEAAF9yZWxzLy5yZWxzUEsBAi0AFAAGAAgAAAAhAF6DNE2rAgAAXwUAAA4AAAAAAAAA&#10;AAAAAAAALgIAAGRycy9lMm9Eb2MueG1sUEsBAi0AFAAGAAgAAAAhAO2U+treAAAACQEAAA8AAAAA&#10;AAAAAAAAAAAABQUAAGRycy9kb3ducmV2LnhtbFBLBQYAAAAABAAEAPMAAAAQBgAAAAA=&#10;" filled="f" strokecolor="#f90">
                <v:textbox inset="0,0,0,0">
                  <w:txbxContent>
                    <w:p w14:paraId="3D3E530C" w14:textId="77777777" w:rsidR="00C93E72" w:rsidRPr="005470B1" w:rsidRDefault="00C93E72" w:rsidP="00701C94">
                      <w:pPr>
                        <w:pStyle w:val="Questionheading"/>
                        <w:ind w:left="284"/>
                      </w:pPr>
                      <w:r>
                        <w:t>IHPA’s decision</w:t>
                      </w:r>
                    </w:p>
                    <w:p w14:paraId="49062243" w14:textId="69C53D17" w:rsidR="00C93E72" w:rsidRDefault="00C93E72" w:rsidP="00701C94">
                      <w:pPr>
                        <w:pStyle w:val="BodyText"/>
                        <w:ind w:left="284"/>
                      </w:pPr>
                      <w:r>
                        <w:t>IHPA notes that in principle if the same service is being delivered in the admitted and non-admitted setting then price harmonisation is appropriate. However, in this instance IHPA will consult further with jurisdictions on potential unintended consequences of pursuing price harmonisation for dialysis and chemotherapy.</w:t>
                      </w:r>
                    </w:p>
                    <w:p w14:paraId="1B04BE84" w14:textId="0B5D47C6" w:rsidR="00C93E72" w:rsidRDefault="00C93E72" w:rsidP="00701C94">
                      <w:pPr>
                        <w:pStyle w:val="BodyText"/>
                        <w:ind w:left="284"/>
                      </w:pPr>
                      <w:r>
                        <w:t>IHPA will not progress with harmonising dialysis and chemotherapy for NEP21.</w:t>
                      </w:r>
                    </w:p>
                  </w:txbxContent>
                </v:textbox>
                <w10:wrap type="topAndBottom" anchorx="margin"/>
              </v:shape>
            </w:pict>
          </mc:Fallback>
        </mc:AlternateContent>
      </w:r>
      <w:r w:rsidR="0094308A" w:rsidRPr="0065414C">
        <w:rPr>
          <w:rFonts w:cs="Arial"/>
        </w:rPr>
        <w:t>7.</w:t>
      </w:r>
      <w:r w:rsidR="000E3C0A">
        <w:rPr>
          <w:rFonts w:cs="Arial"/>
        </w:rPr>
        <w:t>2</w:t>
      </w:r>
      <w:r w:rsidR="0094308A" w:rsidRPr="0065414C">
        <w:rPr>
          <w:rFonts w:cs="Arial"/>
        </w:rPr>
        <w:t xml:space="preserve">. </w:t>
      </w:r>
      <w:bookmarkEnd w:id="102"/>
      <w:r w:rsidR="000E3C0A">
        <w:rPr>
          <w:rFonts w:cs="Arial"/>
        </w:rPr>
        <w:t>Harmonising price weights across service settings</w:t>
      </w:r>
      <w:bookmarkEnd w:id="103"/>
    </w:p>
    <w:p w14:paraId="12596A4E" w14:textId="6554DB24" w:rsidR="000E3C0A" w:rsidRPr="000E3C0A" w:rsidRDefault="000E3C0A" w:rsidP="000E3C0A">
      <w:pPr>
        <w:pStyle w:val="BodyText"/>
        <w:ind w:right="44"/>
        <w:rPr>
          <w:rFonts w:cs="Arial"/>
        </w:rPr>
      </w:pPr>
      <w:r w:rsidRPr="000E3C0A">
        <w:rPr>
          <w:rFonts w:cs="Arial"/>
        </w:rPr>
        <w:t xml:space="preserve">The Pricing Guidelines include System Design Guidelines to inform options for the design of activity based funding and block funding arrangements, including an objective for price harmonisation whereby pricing should facilitate best practice provision of appropriate site of care. </w:t>
      </w:r>
    </w:p>
    <w:p w14:paraId="0B4FF699" w14:textId="20BEFE62" w:rsidR="000E3C0A" w:rsidRPr="000E3C0A" w:rsidRDefault="00701C94" w:rsidP="000E3C0A">
      <w:pPr>
        <w:pStyle w:val="BodyText"/>
        <w:ind w:right="44"/>
        <w:rPr>
          <w:rFonts w:cs="Arial"/>
        </w:rPr>
      </w:pPr>
      <w:r w:rsidRPr="0065414C">
        <w:rPr>
          <w:noProof/>
          <w:lang w:eastAsia="en-AU" w:bidi="ar-SA"/>
        </w:rPr>
        <mc:AlternateContent>
          <mc:Choice Requires="wps">
            <w:drawing>
              <wp:anchor distT="0" distB="0" distL="0" distR="0" simplePos="0" relativeHeight="251771904" behindDoc="1" locked="0" layoutInCell="1" allowOverlap="1" wp14:anchorId="5AE2950D" wp14:editId="59F6B302">
                <wp:simplePos x="0" y="0"/>
                <wp:positionH relativeFrom="margin">
                  <wp:posOffset>3044825</wp:posOffset>
                </wp:positionH>
                <wp:positionV relativeFrom="paragraph">
                  <wp:posOffset>645656</wp:posOffset>
                </wp:positionV>
                <wp:extent cx="2743200" cy="1543685"/>
                <wp:effectExtent l="0" t="0" r="12700" b="18415"/>
                <wp:wrapTopAndBottom/>
                <wp:docPr id="91"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43685"/>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284828F1" w14:textId="4BF11C62" w:rsidR="00C93E72" w:rsidRPr="005470B1" w:rsidRDefault="00C93E72" w:rsidP="00701C94">
                            <w:pPr>
                              <w:pStyle w:val="Questionheading"/>
                              <w:ind w:left="284"/>
                            </w:pPr>
                            <w:r>
                              <w:t>Next steps and future work</w:t>
                            </w:r>
                          </w:p>
                          <w:p w14:paraId="7B049BEF" w14:textId="40359EA9" w:rsidR="00C93E72" w:rsidRDefault="00C93E72" w:rsidP="00701C94">
                            <w:pPr>
                              <w:pStyle w:val="BodyText"/>
                              <w:ind w:left="284"/>
                            </w:pPr>
                            <w:r w:rsidRPr="00701C94">
                              <w:t>IHPA will consult with jurisdictions through its</w:t>
                            </w:r>
                            <w:r>
                              <w:t> </w:t>
                            </w:r>
                            <w:r w:rsidRPr="00701C94">
                              <w:t>Jurisdictional and Technical Advisory Committees to consider further investigation of price harmonisation for dialysis and chemotherapy. IHPA will also consider other services for price harmonisation for NEP22.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950D" id="_x0000_s1050" type="#_x0000_t202" style="position:absolute;margin-left:239.75pt;margin-top:50.85pt;width:3in;height:121.55pt;z-index:-25154457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AXqwIAAF8FAAAOAAAAZHJzL2Uyb0RvYy54bWysVNuOmzAQfa/Uf7D8znJNAmjJKgmhqrS9&#10;SLv9AAdMsAo2tZ2QbbX/3rEJ2Vsfqqo8wBjbZ+bMnJnrm1PXoiOVigmeYf/Kw4jyUlSM7zP87b5w&#10;YoyUJrwireA0ww9U4Zvl+3fXQ5/SQDSirahEAMJVOvQZbrTuU9dVZUM7oq5ETzls1kJ2RMNS7t1K&#10;kgHQu9YNPG/uDkJWvRQlVQr+5uMmXlr8uqal/lLXimrUZhhi0/Yt7Xtn3u7ymqR7SfqGlecwyD9E&#10;0RHGwekFKieaoINkb6A6VkqhRK2vStG5oq5ZSS0HYON7r9jcNaSnlgskR/WXNKn/B1t+Pn6ViFUZ&#10;TnyMOOmgRvf0pNFanFCYWE6wvFXasDMbltWvjR+H+aKYO+soiZ0oXIdOEsVrx18E8XoWrFbzbfRo&#10;suvaW/a+O/QqtQ5Neax514N3fQJnIB7rTPW3ovyuEBebhvA9XUkphoaSCkj7FvDZ1RFHGZDd8ElU&#10;EDw5aGGBTrXsTMyQYwToUPyHS8ENjxJ+BosoBBVhVMKeP4vCeTw7Bz1d76XSH6jokDEyLEFRFp4c&#10;gdPIbzpivHFRsLa1qmo5GiCts2A2EhMtq8ymOabkfrdpJToS0GVRJAkEMYKp58c6pqE7WtZlOPbM&#10;Yw6R1KRjyytra8La0YZMt9xs/6leiZds420cOVEw3zqRl+fOqthEzrzwF7M8zDeb3H80cfpR2rCq&#10;otyEOnWEH/2d4s69OWr50hMvKL1iXsDzlrn7MoxJRdP3SU2m9KMI9Gl3sjoOIoNnRLIT1QMoQ4qx&#10;62FKgdEI+ROjATo+w+rHgUiKUfuRg7rMeJgMORm7ySC8hKsZ1hiN5kaPY+TQS7ZvAHnULxcrUGDN&#10;rDaeooDQzQK62JI4TxwzJp6v7amnubj8DQAA//8DAFBLAwQUAAYACAAAACEA/6aLUd8AAAALAQAA&#10;DwAAAGRycy9kb3ducmV2LnhtbEyPwU7DMAyG70i8Q2QkbiwtK7QrTacJgTgxicGBY9aYttA4Jcm6&#10;7u0xJzja/6ffn6v1bAcxoQ+9IwXpIgGB1DjTU6vg7fXxqgARoiajB0eo4IQB1vX5WaVL4470gtMu&#10;toJLKJRaQRfjWEoZmg6tDgs3InH24bzVkUffSuP1kcvtIK+T5FZa3RNf6PSI9x02X7uDVVCcmgeX&#10;FT7P3r8/p+flE4aN3yp1eTFv7kBEnOMfDL/6rA41O+3dgUwQg4IsX90wykGS5iCYWKUpb/YKlllW&#10;gKwr+f+H+gcAAP//AwBQSwECLQAUAAYACAAAACEAtoM4kv4AAADhAQAAEwAAAAAAAAAAAAAAAAAA&#10;AAAAW0NvbnRlbnRfVHlwZXNdLnhtbFBLAQItABQABgAIAAAAIQA4/SH/1gAAAJQBAAALAAAAAAAA&#10;AAAAAAAAAC8BAABfcmVscy8ucmVsc1BLAQItABQABgAIAAAAIQAsT/AXqwIAAF8FAAAOAAAAAAAA&#10;AAAAAAAAAC4CAABkcnMvZTJvRG9jLnhtbFBLAQItABQABgAIAAAAIQD/potR3wAAAAsBAAAPAAAA&#10;AAAAAAAAAAAAAAUFAABkcnMvZG93bnJldi54bWxQSwUGAAAAAAQABADzAAAAEQYAAAAA&#10;" filled="f" strokecolor="#f90">
                <v:textbox inset="0,0,0,0">
                  <w:txbxContent>
                    <w:p w14:paraId="284828F1" w14:textId="4BF11C62" w:rsidR="00C93E72" w:rsidRPr="005470B1" w:rsidRDefault="00C93E72" w:rsidP="00701C94">
                      <w:pPr>
                        <w:pStyle w:val="Questionheading"/>
                        <w:ind w:left="284"/>
                      </w:pPr>
                      <w:r>
                        <w:t>Next steps and future work</w:t>
                      </w:r>
                    </w:p>
                    <w:p w14:paraId="7B049BEF" w14:textId="40359EA9" w:rsidR="00C93E72" w:rsidRDefault="00C93E72" w:rsidP="00701C94">
                      <w:pPr>
                        <w:pStyle w:val="BodyText"/>
                        <w:ind w:left="284"/>
                      </w:pPr>
                      <w:r w:rsidRPr="00701C94">
                        <w:t>IHPA will consult with jurisdictions through its</w:t>
                      </w:r>
                      <w:r>
                        <w:t> </w:t>
                      </w:r>
                      <w:r w:rsidRPr="00701C94">
                        <w:t>Jurisdictional and Technical Advisory Committees to consider further investigation of price harmonisation for dialysis and chemotherapy. IHPA will also consider other services for price harmonisation for NEP22.</w:t>
                      </w:r>
                    </w:p>
                  </w:txbxContent>
                </v:textbox>
                <w10:wrap type="topAndBottom" anchorx="margin"/>
              </v:shape>
            </w:pict>
          </mc:Fallback>
        </mc:AlternateContent>
      </w:r>
      <w:r w:rsidR="000E3C0A" w:rsidRPr="000E3C0A">
        <w:rPr>
          <w:rFonts w:cs="Arial"/>
        </w:rPr>
        <w:t>IHPA already harmonises a number of price weights across the admitted acute and non-</w:t>
      </w:r>
      <w:r w:rsidR="00466EB3">
        <w:rPr>
          <w:rFonts w:cs="Arial"/>
        </w:rPr>
        <w:t>‍</w:t>
      </w:r>
      <w:r w:rsidR="000E3C0A" w:rsidRPr="000E3C0A">
        <w:rPr>
          <w:rFonts w:cs="Arial"/>
        </w:rPr>
        <w:t>admitted settings to ensure that similar services are priced consistently across settings. For example, IHPA harmonises price weights for</w:t>
      </w:r>
      <w:r w:rsidR="00466EB3">
        <w:rPr>
          <w:rFonts w:cs="Arial"/>
        </w:rPr>
        <w:t> </w:t>
      </w:r>
      <w:r w:rsidR="000E3C0A" w:rsidRPr="000E3C0A">
        <w:rPr>
          <w:rFonts w:cs="Arial"/>
        </w:rPr>
        <w:t>gastrointestinal endoscopes as well as interventional imaging. Harmonisation ensures there is no financial incentive for hospitals to admit patients previously treated on a non-admitted basis due to a higher price for the same service.</w:t>
      </w:r>
    </w:p>
    <w:p w14:paraId="764DB229" w14:textId="02618D7E" w:rsidR="000E3C0A" w:rsidRPr="0065414C" w:rsidRDefault="000E3C0A" w:rsidP="000E3C0A">
      <w:pPr>
        <w:pStyle w:val="BodyText"/>
        <w:ind w:right="44"/>
        <w:rPr>
          <w:rFonts w:cs="Arial"/>
        </w:rPr>
      </w:pPr>
      <w:r w:rsidRPr="000E3C0A">
        <w:rPr>
          <w:rFonts w:cs="Arial"/>
        </w:rPr>
        <w:t>In the Consultation Paper IHPA identified that it was exploring harmonisation for two Australian Refined Diagnosis Related Group codes and their Tier 2 Non-Admitted Services Classification clinic</w:t>
      </w:r>
      <w:r w:rsidR="00466EB3">
        <w:rPr>
          <w:rFonts w:cs="Arial"/>
        </w:rPr>
        <w:t> </w:t>
      </w:r>
      <w:r w:rsidRPr="000E3C0A">
        <w:rPr>
          <w:rFonts w:cs="Arial"/>
        </w:rPr>
        <w:t>counterparts. These were:</w:t>
      </w:r>
    </w:p>
    <w:p w14:paraId="60A0F14B" w14:textId="5333306A" w:rsidR="0041717A" w:rsidRPr="000E3C0A" w:rsidRDefault="001C5085" w:rsidP="000E3C0A">
      <w:pPr>
        <w:pStyle w:val="ListParagraph"/>
        <w:rPr>
          <w:rFonts w:cs="Arial"/>
        </w:rPr>
      </w:pPr>
      <w:r>
        <w:rPr>
          <w:rFonts w:cs="Arial"/>
        </w:rPr>
        <w:t>L</w:t>
      </w:r>
      <w:r w:rsidR="000E3C0A" w:rsidRPr="000E3C0A">
        <w:rPr>
          <w:rFonts w:cs="Arial"/>
        </w:rPr>
        <w:t>6</w:t>
      </w:r>
      <w:r w:rsidR="00F20645">
        <w:rPr>
          <w:rFonts w:cs="Arial"/>
        </w:rPr>
        <w:t>1</w:t>
      </w:r>
      <w:r w:rsidR="000E3C0A" w:rsidRPr="000E3C0A">
        <w:rPr>
          <w:rFonts w:cs="Arial"/>
        </w:rPr>
        <w:t>Z – Haemodialysis with 10.10 – Dialysis</w:t>
      </w:r>
    </w:p>
    <w:p w14:paraId="1955BA7E" w14:textId="18BFCAF8" w:rsidR="0041717A" w:rsidRPr="000E3C0A" w:rsidRDefault="000E3C0A" w:rsidP="000E3C0A">
      <w:pPr>
        <w:pStyle w:val="ListParagraph"/>
        <w:rPr>
          <w:rFonts w:cs="Arial"/>
        </w:rPr>
      </w:pPr>
      <w:r w:rsidRPr="000E3C0A">
        <w:rPr>
          <w:rFonts w:cs="Arial"/>
        </w:rPr>
        <w:t>R63Z – Chemotherapy with 10.11 – Chemotherapy</w:t>
      </w:r>
    </w:p>
    <w:p w14:paraId="6F9564D0" w14:textId="7C08E1CA" w:rsidR="000E3C0A" w:rsidRDefault="000E3C0A" w:rsidP="0041717A">
      <w:pPr>
        <w:pStyle w:val="BodyText"/>
        <w:ind w:right="44"/>
        <w:rPr>
          <w:rFonts w:cs="Arial"/>
        </w:rPr>
      </w:pPr>
    </w:p>
    <w:p w14:paraId="324FDF82" w14:textId="77777777" w:rsidR="00701C94" w:rsidRPr="0065414C" w:rsidRDefault="00701C94" w:rsidP="0041717A">
      <w:pPr>
        <w:pStyle w:val="BodyText"/>
        <w:ind w:right="44"/>
        <w:rPr>
          <w:rFonts w:cs="Arial"/>
        </w:rPr>
      </w:pPr>
    </w:p>
    <w:p w14:paraId="1FDFA9FE" w14:textId="77777777" w:rsidR="0041717A" w:rsidRPr="0065414C" w:rsidRDefault="0041717A" w:rsidP="0041717A">
      <w:pPr>
        <w:rPr>
          <w:rFonts w:cs="Arial"/>
          <w:b/>
        </w:rPr>
        <w:sectPr w:rsidR="0041717A" w:rsidRPr="0065414C" w:rsidSect="007F200C">
          <w:type w:val="continuous"/>
          <w:pgSz w:w="11910" w:h="16840"/>
          <w:pgMar w:top="1440" w:right="1440" w:bottom="1440" w:left="1440" w:header="0" w:footer="656" w:gutter="0"/>
          <w:cols w:num="2" w:space="340"/>
        </w:sectPr>
      </w:pPr>
    </w:p>
    <w:p w14:paraId="0A8E45B4" w14:textId="3A5E9960" w:rsidR="00773B63" w:rsidRPr="0065414C" w:rsidRDefault="00773B63" w:rsidP="00A4296A">
      <w:pPr>
        <w:pStyle w:val="Heading2"/>
        <w:spacing w:before="0"/>
        <w:rPr>
          <w:rFonts w:cs="Arial"/>
        </w:rPr>
      </w:pPr>
      <w:bookmarkStart w:id="104" w:name="_Toc49953769"/>
      <w:bookmarkStart w:id="105" w:name="_Toc58930515"/>
      <w:r w:rsidRPr="0065414C">
        <w:rPr>
          <w:rFonts w:cs="Arial"/>
        </w:rPr>
        <w:lastRenderedPageBreak/>
        <w:t>7.</w:t>
      </w:r>
      <w:r w:rsidR="00701C94">
        <w:rPr>
          <w:rFonts w:cs="Arial"/>
        </w:rPr>
        <w:t>3</w:t>
      </w:r>
      <w:r w:rsidRPr="0065414C">
        <w:rPr>
          <w:rFonts w:cs="Arial"/>
        </w:rPr>
        <w:t xml:space="preserve">. </w:t>
      </w:r>
      <w:bookmarkEnd w:id="104"/>
      <w:r w:rsidR="00701C94" w:rsidRPr="00701C94">
        <w:rPr>
          <w:rFonts w:cs="Arial"/>
        </w:rPr>
        <w:t>Setting the national efficient price for private</w:t>
      </w:r>
      <w:r w:rsidR="00963E6F">
        <w:rPr>
          <w:rFonts w:cs="Arial"/>
        </w:rPr>
        <w:t> </w:t>
      </w:r>
      <w:r w:rsidR="00701C94" w:rsidRPr="00701C94">
        <w:rPr>
          <w:rFonts w:cs="Arial"/>
        </w:rPr>
        <w:t>patients in public</w:t>
      </w:r>
      <w:r w:rsidR="00963E6F">
        <w:rPr>
          <w:rFonts w:cs="Arial"/>
        </w:rPr>
        <w:t> </w:t>
      </w:r>
      <w:r w:rsidR="00701C94" w:rsidRPr="00701C94">
        <w:rPr>
          <w:rFonts w:cs="Arial"/>
        </w:rPr>
        <w:t>hospitals</w:t>
      </w:r>
      <w:bookmarkEnd w:id="105"/>
    </w:p>
    <w:p w14:paraId="0831CE6D" w14:textId="3345C9C1" w:rsidR="00701C94" w:rsidRPr="00701C94" w:rsidRDefault="00701C94" w:rsidP="00701C94">
      <w:pPr>
        <w:pStyle w:val="BodyText"/>
        <w:rPr>
          <w:rFonts w:cs="Arial"/>
        </w:rPr>
      </w:pPr>
      <w:r w:rsidRPr="00701C94">
        <w:rPr>
          <w:rFonts w:cs="Arial"/>
        </w:rPr>
        <w:t xml:space="preserve">Public hospitals may receive revenue for delivering patient care from funding sources other than through the NHRA. For example, patients admitted to public hospitals may opt to use their private health cover. Clauses A13, A43 and A44 of the Addendum set new parameters for how funding for private patients in public hospitals should be considered. </w:t>
      </w:r>
    </w:p>
    <w:p w14:paraId="4573A723" w14:textId="20DEDEA1" w:rsidR="00701C94" w:rsidRDefault="00701C94" w:rsidP="00701C94">
      <w:pPr>
        <w:pStyle w:val="BodyText"/>
        <w:rPr>
          <w:rFonts w:cs="Arial"/>
        </w:rPr>
      </w:pPr>
      <w:r w:rsidRPr="00701C94">
        <w:rPr>
          <w:rFonts w:cs="Arial"/>
        </w:rPr>
        <w:t>Prior to NEP21, IHPA applied two adjustments for private patients. These were:</w:t>
      </w:r>
    </w:p>
    <w:p w14:paraId="2E36D565" w14:textId="4A1E2B4D" w:rsidR="00701C94" w:rsidRPr="00701C94" w:rsidRDefault="00701C94" w:rsidP="00701C94">
      <w:pPr>
        <w:pStyle w:val="ListParagraph"/>
      </w:pPr>
      <w:r w:rsidRPr="00701C94">
        <w:t>The Private Patient Service Adjustment: reduces the price weight by the amounts paid by the Commonwealth and private</w:t>
      </w:r>
      <w:r w:rsidR="00466EB3">
        <w:t> </w:t>
      </w:r>
      <w:r w:rsidRPr="00701C94">
        <w:t>health insurers on behalf of private</w:t>
      </w:r>
      <w:r w:rsidR="00466EB3">
        <w:t> </w:t>
      </w:r>
      <w:r w:rsidRPr="00701C94">
        <w:t>patients</w:t>
      </w:r>
    </w:p>
    <w:p w14:paraId="08A55511" w14:textId="32FC6DAA" w:rsidR="00701C94" w:rsidRPr="00701C94" w:rsidRDefault="00701C94" w:rsidP="00701C94">
      <w:pPr>
        <w:pStyle w:val="ListParagraph"/>
      </w:pPr>
      <w:r w:rsidRPr="00701C94">
        <w:t>The Private Patient Accommodation Adjustment: further reduces the National Weighted Activity Unit (NWAU) for a private patient by accounting for the Default Bed Day benefit paid by the insurer to the hospital.</w:t>
      </w:r>
    </w:p>
    <w:p w14:paraId="49BD2AB1" w14:textId="6B8C0CB6" w:rsidR="00701C94" w:rsidRPr="00701C94" w:rsidRDefault="00D06A26" w:rsidP="00701C94">
      <w:pPr>
        <w:pStyle w:val="BodyText"/>
        <w:rPr>
          <w:rFonts w:cs="Arial"/>
        </w:rPr>
      </w:pPr>
      <w:r w:rsidRPr="0065414C">
        <w:rPr>
          <w:noProof/>
          <w:lang w:eastAsia="en-AU" w:bidi="ar-SA"/>
        </w:rPr>
        <mc:AlternateContent>
          <mc:Choice Requires="wps">
            <w:drawing>
              <wp:anchor distT="0" distB="0" distL="0" distR="0" simplePos="0" relativeHeight="251773952" behindDoc="1" locked="0" layoutInCell="1" allowOverlap="1" wp14:anchorId="7BF4A332" wp14:editId="48967068">
                <wp:simplePos x="0" y="0"/>
                <wp:positionH relativeFrom="margin">
                  <wp:posOffset>2975610</wp:posOffset>
                </wp:positionH>
                <wp:positionV relativeFrom="paragraph">
                  <wp:posOffset>836666</wp:posOffset>
                </wp:positionV>
                <wp:extent cx="2743200" cy="1500505"/>
                <wp:effectExtent l="0" t="0" r="19050" b="23495"/>
                <wp:wrapTopAndBottom/>
                <wp:docPr id="92"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500505"/>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857DC6" w14:textId="77777777" w:rsidR="00C93E72" w:rsidRPr="005470B1" w:rsidRDefault="00C93E72" w:rsidP="00D06A26">
                            <w:pPr>
                              <w:pStyle w:val="Questionheading"/>
                              <w:ind w:left="284"/>
                            </w:pPr>
                            <w:r>
                              <w:t>IHPA’s decision</w:t>
                            </w:r>
                          </w:p>
                          <w:p w14:paraId="32909102" w14:textId="3B8ACDE4" w:rsidR="00C93E72" w:rsidRDefault="00C93E72" w:rsidP="00D06A26">
                            <w:pPr>
                              <w:pStyle w:val="BodyText"/>
                              <w:ind w:left="284"/>
                            </w:pPr>
                            <w:r w:rsidRPr="00D06A26">
                              <w:t>For NEP21, IHPA will implement state-</w:t>
                            </w:r>
                            <w:r>
                              <w:t>‍</w:t>
                            </w:r>
                            <w:r w:rsidRPr="00D06A26">
                              <w:t>specific private patient adjustments, and</w:t>
                            </w:r>
                            <w:r>
                              <w:t> </w:t>
                            </w:r>
                            <w:r w:rsidRPr="00D06A26">
                              <w:t>provide support to the Administrator in calculating further adjustments that may be required to achieve funding neutrality as required under the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F4A332" id="_x0000_s1051" type="#_x0000_t202" style="position:absolute;margin-left:234.3pt;margin-top:65.9pt;width:3in;height:118.15pt;z-index:-25154252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pkSrAIAAF8FAAAOAAAAZHJzL2Uyb0RvYy54bWysVNuOmzAQfa/Uf7D8znIJSQAtWSUQqkrb&#10;i7TbD3DABKtgU9sJ2Vb77x2bkL31oarKA4yxfWbOzJm5vjl1LTpSqZjgKfavPIwoL0XF+D7F3+4L&#10;J8JIacIr0gpOU/xAFb5ZvX93PfQJDUQj2opKBCBcJUOf4kbrPnFdVTa0I+pK9JTDZi1kRzQs5d6t&#10;JBkAvWvdwPMW7iBk1UtRUqXgbz5u4pXFr2ta6i91rahGbYohNm3f0r535u2urkmyl6RvWHkOg/xD&#10;FB1hHJxeoHKiCTpI9gaqY6UUStT6qhSdK+qaldRyADa+94rNXUN6arlAclR/SZP6f7Dl5+NXiViV&#10;4jjAiJMOanRPTxptxAnNYssJlrdKG3Zmw7L6lfnRLF8WC2cTxpETzjYzJw6jjeMvg2gzD9brxTZ8&#10;NNl17S173x16lViHpjzWvOvBuz6BMxCPdab6W1F+V4iLrCF8T9dSiqGhpALSvgV8dnXEUQZkN3wS&#10;FQRPDlpYoFMtOxMz5BgBOhT/4VJww6OEn8EynIGKMCphz5973tybn4OervdS6Q9UdMgYKZagKAtP&#10;jsBp5DcdMd64KFjbWlW1HA2Q1nkwH4mJllVm0xxTcr/LWomOBHRZFHEMQYxg6vmxjmnojpZ1KY48&#10;85hDJDHp2PLK2pqwdrQh0y0323+qV+zF22gbhU4YLLZO6OW5sy6y0FkU/nKez/Isy/1HE6cfJg2r&#10;KspNqFNH+OHfKe7cm6OWLz3xgtIr5gU8b5m7L8OYVDR9n9RkSj+KQJ92J6tjSDckxohkJ6oHUIYU&#10;Y9fDlAKjEfInRgN0fIrVjwORFKP2Iwd1mfEwGXIydpNBeAlXU6wxGs1Mj2Pk0Eu2bwB51C8Xa1Bg&#10;zaw2nqKA0M0CutiSOE8cMyaer+2pp7m4+g0AAP//AwBQSwMEFAAGAAgAAAAhAOmpHgreAAAACwEA&#10;AA8AAABkcnMvZG93bnJldi54bWxMj0FPhDAUhO8m/ofmmXhzC0KwImWzMRpPmuzqwWMXnoDSV2y7&#10;LPvvfZ70OJnJzDfVerGjmNGHwZGGdJWAQGpcO1Cn4e318UqBCNFQa0ZHqOGEAdb1+VllytYdaYvz&#10;LnaCSyiURkMf41RKGZoerQkrNyGx9+G8NZGl72TrzZHL7Sivk6SQ1gzEC72Z8L7H5mt3sBrUqXlw&#10;ufI3+fv35/ycPWHY+BetLy+WzR2IiEv8C8MvPqNDzUx7d6A2iFFDXqiCo2xkKX/gxC3vgdhryAqV&#10;gqwr+f9D/QMAAP//AwBQSwECLQAUAAYACAAAACEAtoM4kv4AAADhAQAAEwAAAAAAAAAAAAAAAAAA&#10;AAAAW0NvbnRlbnRfVHlwZXNdLnhtbFBLAQItABQABgAIAAAAIQA4/SH/1gAAAJQBAAALAAAAAAAA&#10;AAAAAAAAAC8BAABfcmVscy8ucmVsc1BLAQItABQABgAIAAAAIQAIlpkSrAIAAF8FAAAOAAAAAAAA&#10;AAAAAAAAAC4CAABkcnMvZTJvRG9jLnhtbFBLAQItABQABgAIAAAAIQDpqR4K3gAAAAsBAAAPAAAA&#10;AAAAAAAAAAAAAAYFAABkcnMvZG93bnJldi54bWxQSwUGAAAAAAQABADzAAAAEQYAAAAA&#10;" filled="f" strokecolor="#f90">
                <v:textbox inset="0,0,0,0">
                  <w:txbxContent>
                    <w:p w14:paraId="06857DC6" w14:textId="77777777" w:rsidR="00C93E72" w:rsidRPr="005470B1" w:rsidRDefault="00C93E72" w:rsidP="00D06A26">
                      <w:pPr>
                        <w:pStyle w:val="Questionheading"/>
                        <w:ind w:left="284"/>
                      </w:pPr>
                      <w:r>
                        <w:t>IHPA’s decision</w:t>
                      </w:r>
                    </w:p>
                    <w:p w14:paraId="32909102" w14:textId="3B8ACDE4" w:rsidR="00C93E72" w:rsidRDefault="00C93E72" w:rsidP="00D06A26">
                      <w:pPr>
                        <w:pStyle w:val="BodyText"/>
                        <w:ind w:left="284"/>
                      </w:pPr>
                      <w:r w:rsidRPr="00D06A26">
                        <w:t>For NEP21, IHPA will implement state-</w:t>
                      </w:r>
                      <w:r>
                        <w:t>‍</w:t>
                      </w:r>
                      <w:r w:rsidRPr="00D06A26">
                        <w:t>specific private patient adjustments, and</w:t>
                      </w:r>
                      <w:r>
                        <w:t> </w:t>
                      </w:r>
                      <w:r w:rsidRPr="00D06A26">
                        <w:t>provide support to the Administrator in calculating further adjustments that may be required to achieve funding neutrality as required under the Addendum.</w:t>
                      </w:r>
                    </w:p>
                  </w:txbxContent>
                </v:textbox>
                <w10:wrap type="topAndBottom" anchorx="margin"/>
              </v:shape>
            </w:pict>
          </mc:Fallback>
        </mc:AlternateContent>
      </w:r>
      <w:r w:rsidR="00701C94" w:rsidRPr="00701C94">
        <w:rPr>
          <w:rFonts w:cs="Arial"/>
        </w:rPr>
        <w:t>However, each state and territory has different arrangements in place to determine the payments made to public hospitals to treat private patients. The Addendum states that IHPA must calculate a reduced price, taking into account all of the other revenue sources available to the hospital.</w:t>
      </w:r>
    </w:p>
    <w:p w14:paraId="3C3F5748" w14:textId="76D09C3F" w:rsidR="00701C94" w:rsidRDefault="00677ACA" w:rsidP="00701C94">
      <w:pPr>
        <w:pStyle w:val="BodyText"/>
        <w:rPr>
          <w:rFonts w:cs="Arial"/>
        </w:rPr>
      </w:pPr>
      <w:r w:rsidRPr="0065414C">
        <w:rPr>
          <w:noProof/>
          <w:lang w:eastAsia="en-AU" w:bidi="ar-SA"/>
        </w:rPr>
        <mc:AlternateContent>
          <mc:Choice Requires="wps">
            <w:drawing>
              <wp:anchor distT="0" distB="0" distL="0" distR="0" simplePos="0" relativeHeight="251806720" behindDoc="1" locked="0" layoutInCell="1" allowOverlap="1" wp14:anchorId="551AC447" wp14:editId="58DF0DC3">
                <wp:simplePos x="0" y="0"/>
                <wp:positionH relativeFrom="margin">
                  <wp:posOffset>0</wp:posOffset>
                </wp:positionH>
                <wp:positionV relativeFrom="paragraph">
                  <wp:posOffset>967740</wp:posOffset>
                </wp:positionV>
                <wp:extent cx="2743200" cy="1790700"/>
                <wp:effectExtent l="0" t="0" r="19050" b="19050"/>
                <wp:wrapTopAndBottom/>
                <wp:docPr id="110"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9070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6320FD" w14:textId="4897A376" w:rsidR="00C93E72" w:rsidRPr="00677ACA" w:rsidRDefault="00C93E72" w:rsidP="00677ACA">
                            <w:pPr>
                              <w:pStyle w:val="BodyText"/>
                              <w:spacing w:before="240"/>
                              <w:ind w:left="284"/>
                              <w:rPr>
                                <w:i/>
                                <w:iCs/>
                              </w:rPr>
                            </w:pPr>
                            <w:r w:rsidRPr="00677ACA">
                              <w:rPr>
                                <w:i/>
                                <w:iCs/>
                              </w:rPr>
                              <w:t>The sum of revenue a local hospital network (LHN) receives for public patient National Weighted Activity Unit (NWAU) (Commonwealth and state or territory activity</w:t>
                            </w:r>
                            <w:r>
                              <w:rPr>
                                <w:i/>
                                <w:iCs/>
                              </w:rPr>
                              <w:t> </w:t>
                            </w:r>
                            <w:r w:rsidRPr="00677ACA">
                              <w:rPr>
                                <w:i/>
                                <w:iCs/>
                              </w:rPr>
                              <w:t>based funding (ABF) payments) should be equal to payments made for a LHN</w:t>
                            </w:r>
                            <w:r>
                              <w:rPr>
                                <w:i/>
                                <w:iCs/>
                              </w:rPr>
                              <w:t> </w:t>
                            </w:r>
                            <w:r w:rsidRPr="00677ACA">
                              <w:rPr>
                                <w:i/>
                                <w:iCs/>
                              </w:rPr>
                              <w:t>service for private patient NWAU (Commonwealth and state or territory ABF</w:t>
                            </w:r>
                            <w:r>
                              <w:rPr>
                                <w:i/>
                                <w:iCs/>
                              </w:rPr>
                              <w:t> </w:t>
                            </w:r>
                            <w:r w:rsidRPr="00677ACA">
                              <w:rPr>
                                <w:i/>
                                <w:iCs/>
                              </w:rPr>
                              <w:t>payments, insurer payments and Medicare Benefit Schedule (MBS)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AC447" id="_x0000_s1052" type="#_x0000_t202" style="position:absolute;margin-left:0;margin-top:76.2pt;width:3in;height:141pt;z-index:-25150976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vxorAIAAGAFAAAOAAAAZHJzL2Uyb0RvYy54bWysVNuOmzAQfa/Uf7D8znIJSSBaskogVJV6&#10;k3b7AQ6YYBVsajuBbbX/3rEJ2ezuS1WVBxjj8Zk5M2d8eze0DTpRqZjgCfZvPIwoL0TJ+CHB3x9y&#10;J8JIacJL0ghOE/xIFb5bv39323crGohaNCWVCEC4WvVdgmutu5XrqqKmLVE3oqMcNishW6JhKQ9u&#10;KUkP6G3jBp63cHshy06KgioFf7NxE68tflXRQn+tKkU1ahIMuWn7lva9N293fUtWB0m6mhXnNMg/&#10;ZNESxiHoBSojmqCjZG+gWlZIoUSlbwrRuqKqWEEtB2Dje6/Y3Neko5YLFEd1lzKp/wdbfDl9k4iV&#10;0Dsf6sNJC016oINGWzGgWWxJwfKT0oae2bC0fqd+NMuW+cLZhnHkhLPtzInDaOv4yyDazoPNZrEL&#10;n0x5XXvKnnf7Tq1sRNMfa953EF4PEAwysMFU90kUPxTiIq0JP9CNlKKvKSmBtW8Br46OOMqA7PvP&#10;ooTkyVELCzRUsjU5Q5ERoAO7x0vHDY8CfgbLcAYywqiAPX8Ze0tYjElPxzup9AcqWmSMBEuQlIUn&#10;J+A0uk4uJhoXOWsaK6uGoz7B8TyYj8REw0qzadyUPOzTRqITAWHmeRxf4qprt5ZpGI+GtQmOPPOM&#10;gjXl2PHSRtGENaMNlW74uUtv+hV78S7aRaETBoudE3pZ5mzyNHQWub+cZ7MsTTP/yeTph6ualSXl&#10;JtVpJPzw7yR3Hs5RzJeheEHpFfMcnnPFr9zcl2lMKpq+z2oyrR9FoIf9YIUcLAyeEclelI+gDCnG&#10;sYdrCoxayF8Y9TDyCVY/j0RSjJqPHNRl7ofJkJOxnwzCCziaYI3RaKZ6vEeOnWSHGpBH/XKxAQVW&#10;zGrjOQtI3SxgjC2J85Vj7onrtfV6vhjXfwAAAP//AwBQSwMEFAAGAAgAAAAhAIY+X2rcAAAACAEA&#10;AA8AAABkcnMvZG93bnJldi54bWxMj0FPwzAMhe9I/IfISNxYShegKk2nCYE4gbTBgWPWmLbQOCXJ&#10;uu7f453gZr9nPX+vWs1uEBOG2HvScL3IQCA13vbUanh/e7oqQMRkyJrBE2o4YoRVfX5WmdL6A21w&#10;2qZWcAjF0mjoUhpLKWPToTNx4Uck9j59cCbxGlppgzlwuBtknmW30pme+ENnRnzosPne7p2G4tg8&#10;elWEO/Xx8zW9LJ8xrsOr1pcX8/oeRMI5/R3DCZ/RoWamnd+TjWLQwEUSqze5AsG2Wuas7E6DUiDr&#10;Sv4vUP8CAAD//wMAUEsBAi0AFAAGAAgAAAAhALaDOJL+AAAA4QEAABMAAAAAAAAAAAAAAAAAAAAA&#10;AFtDb250ZW50X1R5cGVzXS54bWxQSwECLQAUAAYACAAAACEAOP0h/9YAAACUAQAACwAAAAAAAAAA&#10;AAAAAAAvAQAAX3JlbHMvLnJlbHNQSwECLQAUAAYACAAAACEA4IL8aKwCAABgBQAADgAAAAAAAAAA&#10;AAAAAAAuAgAAZHJzL2Uyb0RvYy54bWxQSwECLQAUAAYACAAAACEAhj5fatwAAAAIAQAADwAAAAAA&#10;AAAAAAAAAAAGBQAAZHJzL2Rvd25yZXYueG1sUEsFBgAAAAAEAAQA8wAAAA8GAAAAAA==&#10;" filled="f" strokecolor="#f90">
                <v:textbox inset="0,0,0,0">
                  <w:txbxContent>
                    <w:p w14:paraId="4D6320FD" w14:textId="4897A376" w:rsidR="00C93E72" w:rsidRPr="00677ACA" w:rsidRDefault="00C93E72" w:rsidP="00677ACA">
                      <w:pPr>
                        <w:pStyle w:val="BodyText"/>
                        <w:spacing w:before="240"/>
                        <w:ind w:left="284"/>
                        <w:rPr>
                          <w:i/>
                          <w:iCs/>
                        </w:rPr>
                      </w:pPr>
                      <w:r w:rsidRPr="00677ACA">
                        <w:rPr>
                          <w:i/>
                          <w:iCs/>
                        </w:rPr>
                        <w:t>The sum of revenue a local hospital network (LHN) receives for public patient National Weighted Activity Unit (NWAU) (Commonwealth and state or territory activity</w:t>
                      </w:r>
                      <w:r>
                        <w:rPr>
                          <w:i/>
                          <w:iCs/>
                        </w:rPr>
                        <w:t> </w:t>
                      </w:r>
                      <w:r w:rsidRPr="00677ACA">
                        <w:rPr>
                          <w:i/>
                          <w:iCs/>
                        </w:rPr>
                        <w:t>based funding (ABF) payments) should be equal to payments made for a LHN</w:t>
                      </w:r>
                      <w:r>
                        <w:rPr>
                          <w:i/>
                          <w:iCs/>
                        </w:rPr>
                        <w:t> </w:t>
                      </w:r>
                      <w:r w:rsidRPr="00677ACA">
                        <w:rPr>
                          <w:i/>
                          <w:iCs/>
                        </w:rPr>
                        <w:t>service for private patient NWAU (Commonwealth and state or territory ABF</w:t>
                      </w:r>
                      <w:r>
                        <w:rPr>
                          <w:i/>
                          <w:iCs/>
                        </w:rPr>
                        <w:t> </w:t>
                      </w:r>
                      <w:r w:rsidRPr="00677ACA">
                        <w:rPr>
                          <w:i/>
                          <w:iCs/>
                        </w:rPr>
                        <w:t>payments, insurer payments and Medicare Benefit Schedule (MBS) payments).</w:t>
                      </w:r>
                    </w:p>
                  </w:txbxContent>
                </v:textbox>
                <w10:wrap type="topAndBottom" anchorx="margin"/>
              </v:shape>
            </w:pict>
          </mc:Fallback>
        </mc:AlternateContent>
      </w:r>
      <w:r w:rsidR="00701C94" w:rsidRPr="00701C94">
        <w:rPr>
          <w:rFonts w:cs="Arial"/>
        </w:rPr>
        <w:t>For the purpose of implementing the clauses in</w:t>
      </w:r>
      <w:r w:rsidR="00466EB3">
        <w:rPr>
          <w:rFonts w:cs="Arial"/>
        </w:rPr>
        <w:t> </w:t>
      </w:r>
      <w:r w:rsidR="00701C94" w:rsidRPr="00701C94">
        <w:rPr>
          <w:rFonts w:cs="Arial"/>
        </w:rPr>
        <w:t>the Addendum, IHPA defines financial neutrality</w:t>
      </w:r>
      <w:r w:rsidR="00466EB3">
        <w:rPr>
          <w:rFonts w:cs="Arial"/>
        </w:rPr>
        <w:t> </w:t>
      </w:r>
      <w:r w:rsidR="00701C94" w:rsidRPr="00701C94">
        <w:rPr>
          <w:rFonts w:cs="Arial"/>
        </w:rPr>
        <w:t>(per clause A13) and payment parity (per</w:t>
      </w:r>
      <w:r w:rsidR="00466EB3">
        <w:rPr>
          <w:rFonts w:cs="Arial"/>
        </w:rPr>
        <w:t> </w:t>
      </w:r>
      <w:r w:rsidR="00701C94" w:rsidRPr="00701C94">
        <w:rPr>
          <w:rFonts w:cs="Arial"/>
        </w:rPr>
        <w:t>clause</w:t>
      </w:r>
      <w:r w:rsidR="00466EB3">
        <w:rPr>
          <w:rFonts w:cs="Arial"/>
        </w:rPr>
        <w:t> </w:t>
      </w:r>
      <w:r w:rsidR="00701C94" w:rsidRPr="00701C94">
        <w:rPr>
          <w:rFonts w:cs="Arial"/>
        </w:rPr>
        <w:t>A44) in terms of revenue per NWAU, (excluding</w:t>
      </w:r>
      <w:r w:rsidR="00466EB3">
        <w:rPr>
          <w:rFonts w:cs="Arial"/>
        </w:rPr>
        <w:t> </w:t>
      </w:r>
      <w:r w:rsidR="00701C94" w:rsidRPr="00701C94">
        <w:rPr>
          <w:rFonts w:cs="Arial"/>
        </w:rPr>
        <w:t>private patient adjustments). That is:</w:t>
      </w:r>
    </w:p>
    <w:p w14:paraId="6BAEAF32" w14:textId="046F950E" w:rsidR="00701C94" w:rsidRPr="00677ACA" w:rsidRDefault="00D06A26" w:rsidP="00701C94">
      <w:pPr>
        <w:pStyle w:val="BodyText"/>
        <w:rPr>
          <w:rFonts w:cs="Arial"/>
        </w:rPr>
      </w:pPr>
      <w:r w:rsidRPr="0065414C">
        <w:rPr>
          <w:noProof/>
          <w:lang w:eastAsia="en-AU" w:bidi="ar-SA"/>
        </w:rPr>
        <mc:AlternateContent>
          <mc:Choice Requires="wps">
            <w:drawing>
              <wp:anchor distT="0" distB="0" distL="0" distR="0" simplePos="0" relativeHeight="251776000" behindDoc="1" locked="0" layoutInCell="1" allowOverlap="1" wp14:anchorId="046B6358" wp14:editId="54FF3101">
                <wp:simplePos x="0" y="0"/>
                <wp:positionH relativeFrom="margin">
                  <wp:posOffset>2975610</wp:posOffset>
                </wp:positionH>
                <wp:positionV relativeFrom="paragraph">
                  <wp:posOffset>634365</wp:posOffset>
                </wp:positionV>
                <wp:extent cx="2743200" cy="1656080"/>
                <wp:effectExtent l="0" t="0" r="19050" b="20320"/>
                <wp:wrapTopAndBottom/>
                <wp:docPr id="93"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5608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5FE69555" w14:textId="77777777" w:rsidR="00C93E72" w:rsidRPr="005470B1" w:rsidRDefault="00C93E72" w:rsidP="00D06A26">
                            <w:pPr>
                              <w:pStyle w:val="Questionheading"/>
                              <w:ind w:left="284"/>
                            </w:pPr>
                            <w:r>
                              <w:t>Next steps and future work</w:t>
                            </w:r>
                          </w:p>
                          <w:p w14:paraId="2BFBC9DA" w14:textId="30BC7997" w:rsidR="00C93E72" w:rsidRDefault="00C93E72" w:rsidP="00D06A26">
                            <w:pPr>
                              <w:pStyle w:val="BodyText"/>
                              <w:ind w:left="284"/>
                            </w:pPr>
                            <w:r w:rsidRPr="00D06A26">
                              <w:t>IHPA will work with jurisdictions to implement this updated methodology for calculating NWAU payments for private patients in public hospitals. IHPA will work with all jurisdictions to improve the quality and timeliness of the HCP data sets so that they can be used in the</w:t>
                            </w:r>
                            <w:r>
                              <w:t> </w:t>
                            </w:r>
                            <w:r w:rsidRPr="00D06A26">
                              <w:t>reconciliation process in future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B6358" id="_x0000_s1053" type="#_x0000_t202" style="position:absolute;margin-left:234.3pt;margin-top:49.95pt;width:3in;height:130.4pt;z-index:-25154048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YuqwIAAF8FAAAOAAAAZHJzL2Uyb0RvYy54bWysVNuOmzAQfa/Uf7D8znJNAtGSVQKhqrS9&#10;SLv9AAdMsAo2tZ2Q7Wr/vWMTsreXqioPMMb2mXM8Z3x9c+padKRSMcFT7F95GFFeiorxfYp/3BdO&#10;jJHShFekFZym+IEqfLP6+OF66Jc0EI1oKyoRgHC1HPoUN1r3S9dVZUM7oq5ETzlM1kJ2RMNQ7t1K&#10;kgHQu9YNPG/uDkJWvRQlVQr+5uMkXln8uqal/lbXimrUphi4afuW9r0zb3d1TZZ7SfqGlWca5B9Y&#10;dIRxSHqByokm6CDZO6iOlVIoUeurUnSuqGtWUqsB1PjeGzV3Demp1QKHo/rLMan/B1t+PX6XiFUp&#10;TkKMOOmgRvf0pNFGnFCYWE0wvFXaqDMTVtVj5sdhvijmziZKYicKN6GTRPHG8RdBvJkF6/V8Gz2Z&#10;03XtLrvfHXq1tAlNeWx410N2fYJkYB6bTPW3ovypEBdZQ/ierqUUQ0NJBaJ9C/hi64ijDMhu+CIq&#10;IE8OWligUy07wxnOGAE6FP/hUnCjo4SfwSIKwUUYlTDnz2dzL7aWANLT9l4q/YmKDpkgxRIcZeHJ&#10;ETSN+qYlJhsXBWtb66qWowGOdRbMRmGiZZWZNMuU3O+yVqIjAV8WRZIAiRFMvVzWMQ3d0bIuxbFn&#10;ntGv5ji2vLJZNGHtGAPplp+r9K5eiZds420cOVEw3zqRl+fOusgiZ174i1ke5lmW+0+Gpx8tG1ZV&#10;lBuqU0f40d857tybo5cvPfFK0hvlBTzvlbuvaUwumr7PbjKlH02gT7uT9XGwMHjGJDtRPYAzpBi7&#10;Hm4pCBohf2M0QMenWP06EEkxaj9zcJe5HqZATsFuCggvYWuKNUZjmOnxGjn0ku0bQB79y8UaHFgz&#10;641nFkDdDKCLrYjzjWOuiZdju+r5Xlz9AQAA//8DAFBLAwQUAAYACAAAACEA+oeDvd8AAAAKAQAA&#10;DwAAAGRycy9kb3ducmV2LnhtbEyPwU7DMBBE70j8g7VI3KgDjdIkjVNVCMQJJAqHHt14SQLxOthu&#10;mv49ywmOq3maeVttZjuICX3oHSm4XSQgkBpnemoVvL893uQgQtRk9OAIFZwxwKa+vKh0adyJXnHa&#10;xVZwCYVSK+hiHEspQ9Oh1WHhRiTOPpy3OvLpW2m8PnG5HeRdkmTS6p54odMj3nfYfO2OVkF+bh5c&#10;mvtVuv/+nJ6XTxi2/kWp66t5uwYRcY5/MPzqszrU7HRwRzJBDArSLM8YVVAUBQgGCp4DcVCwzJIV&#10;yLqS/1+ofwAAAP//AwBQSwECLQAUAAYACAAAACEAtoM4kv4AAADhAQAAEwAAAAAAAAAAAAAAAAAA&#10;AAAAW0NvbnRlbnRfVHlwZXNdLnhtbFBLAQItABQABgAIAAAAIQA4/SH/1gAAAJQBAAALAAAAAAAA&#10;AAAAAAAAAC8BAABfcmVscy8ucmVsc1BLAQItABQABgAIAAAAIQDuFhYuqwIAAF8FAAAOAAAAAAAA&#10;AAAAAAAAAC4CAABkcnMvZTJvRG9jLnhtbFBLAQItABQABgAIAAAAIQD6h4O93wAAAAoBAAAPAAAA&#10;AAAAAAAAAAAAAAUFAABkcnMvZG93bnJldi54bWxQSwUGAAAAAAQABADzAAAAEQYAAAAA&#10;" filled="f" strokecolor="#f90">
                <v:textbox inset="0,0,0,0">
                  <w:txbxContent>
                    <w:p w14:paraId="5FE69555" w14:textId="77777777" w:rsidR="00C93E72" w:rsidRPr="005470B1" w:rsidRDefault="00C93E72" w:rsidP="00D06A26">
                      <w:pPr>
                        <w:pStyle w:val="Questionheading"/>
                        <w:ind w:left="284"/>
                      </w:pPr>
                      <w:r>
                        <w:t>Next steps and future work</w:t>
                      </w:r>
                    </w:p>
                    <w:p w14:paraId="2BFBC9DA" w14:textId="30BC7997" w:rsidR="00C93E72" w:rsidRDefault="00C93E72" w:rsidP="00D06A26">
                      <w:pPr>
                        <w:pStyle w:val="BodyText"/>
                        <w:ind w:left="284"/>
                      </w:pPr>
                      <w:r w:rsidRPr="00D06A26">
                        <w:t>IHPA will work with jurisdictions to implement this updated methodology for calculating NWAU payments for private patients in public hospitals. IHPA will work with all jurisdictions to improve the quality and timeliness of the HCP data sets so that they can be used in the</w:t>
                      </w:r>
                      <w:r>
                        <w:t> </w:t>
                      </w:r>
                      <w:r w:rsidRPr="00D06A26">
                        <w:t>reconciliation process in future years.</w:t>
                      </w:r>
                    </w:p>
                  </w:txbxContent>
                </v:textbox>
                <w10:wrap type="topAndBottom" anchorx="margin"/>
              </v:shape>
            </w:pict>
          </mc:Fallback>
        </mc:AlternateContent>
      </w:r>
    </w:p>
    <w:p w14:paraId="1F584BDE" w14:textId="0EEE3AC0" w:rsidR="00A4296A" w:rsidRDefault="00A4296A" w:rsidP="00701C94">
      <w:pPr>
        <w:pStyle w:val="BodyText"/>
        <w:rPr>
          <w:rFonts w:cs="Arial"/>
        </w:rPr>
      </w:pPr>
      <w:r>
        <w:rPr>
          <w:rFonts w:cs="Arial"/>
          <w:i/>
          <w:iCs/>
        </w:rPr>
        <w:br w:type="column"/>
      </w:r>
      <w:r w:rsidRPr="00A4296A">
        <w:rPr>
          <w:rFonts w:cs="Arial"/>
        </w:rPr>
        <w:t>To determine funding under the Addendum, IHPA</w:t>
      </w:r>
      <w:r w:rsidR="00466EB3">
        <w:rPr>
          <w:rFonts w:cs="Arial"/>
        </w:rPr>
        <w:t> </w:t>
      </w:r>
      <w:r w:rsidRPr="00A4296A">
        <w:rPr>
          <w:rFonts w:cs="Arial"/>
        </w:rPr>
        <w:t>will use up to date insurer benefit and jurisdiction payment data from the Hospital Casemix Protocol (HCP) data set at the time of reconciliation by the Administrator of the National Health Funding Pool (the Administrator). However, whilst HCP data is suitable for use in</w:t>
      </w:r>
      <w:r w:rsidR="00466EB3">
        <w:rPr>
          <w:rFonts w:cs="Arial"/>
        </w:rPr>
        <w:t> </w:t>
      </w:r>
      <w:r w:rsidRPr="00A4296A">
        <w:rPr>
          <w:rFonts w:cs="Arial"/>
        </w:rPr>
        <w:t>pricing services for private patients in public</w:t>
      </w:r>
      <w:r w:rsidR="00466EB3">
        <w:rPr>
          <w:rFonts w:cs="Arial"/>
        </w:rPr>
        <w:t> </w:t>
      </w:r>
      <w:r w:rsidRPr="00A4296A">
        <w:rPr>
          <w:rFonts w:cs="Arial"/>
        </w:rPr>
        <w:t>hospitals, it is not currently suitable for reconciliation purposes and is not reported in a</w:t>
      </w:r>
      <w:r w:rsidR="00466EB3">
        <w:rPr>
          <w:rFonts w:cs="Arial"/>
        </w:rPr>
        <w:t> </w:t>
      </w:r>
      <w:r w:rsidRPr="00A4296A">
        <w:rPr>
          <w:rFonts w:cs="Arial"/>
        </w:rPr>
        <w:t>practicable timeframe for this</w:t>
      </w:r>
      <w:r w:rsidR="00466EB3">
        <w:rPr>
          <w:rFonts w:cs="Arial"/>
        </w:rPr>
        <w:t> </w:t>
      </w:r>
      <w:r w:rsidRPr="00A4296A">
        <w:rPr>
          <w:rFonts w:cs="Arial"/>
        </w:rPr>
        <w:t>purpose. IHPA</w:t>
      </w:r>
      <w:r w:rsidR="00466EB3">
        <w:rPr>
          <w:rFonts w:cs="Arial"/>
        </w:rPr>
        <w:t> </w:t>
      </w:r>
      <w:r w:rsidRPr="00A4296A">
        <w:rPr>
          <w:rFonts w:cs="Arial"/>
        </w:rPr>
        <w:t>understands that the Commonwealth is working with states and territories to resolve this.</w:t>
      </w:r>
    </w:p>
    <w:p w14:paraId="55C08674" w14:textId="0AD938BA" w:rsidR="00D06A26" w:rsidRPr="00D06A26" w:rsidRDefault="00F15F7D" w:rsidP="00D06A26">
      <w:pPr>
        <w:pStyle w:val="Heading3"/>
      </w:pPr>
      <w:bookmarkStart w:id="106" w:name="_Toc58930516"/>
      <w:r>
        <w:t xml:space="preserve">7.3.1. </w:t>
      </w:r>
      <w:r w:rsidR="00D06A26" w:rsidRPr="00D06A26">
        <w:t>State-specific Private Patient Service Adjustments</w:t>
      </w:r>
      <w:bookmarkEnd w:id="106"/>
    </w:p>
    <w:p w14:paraId="55F2F7FD" w14:textId="407C4CD6" w:rsidR="00D06A26" w:rsidRPr="00D06A26" w:rsidRDefault="00D06A26" w:rsidP="00D06A26">
      <w:pPr>
        <w:pStyle w:val="BodyText"/>
        <w:rPr>
          <w:rFonts w:cs="Arial"/>
        </w:rPr>
      </w:pPr>
      <w:r w:rsidRPr="00D06A26">
        <w:rPr>
          <w:rFonts w:cs="Arial"/>
        </w:rPr>
        <w:t>As an interim approach, IHPA will calculate state-</w:t>
      </w:r>
      <w:r w:rsidR="00466EB3">
        <w:rPr>
          <w:rFonts w:cs="Arial"/>
        </w:rPr>
        <w:t>‍</w:t>
      </w:r>
      <w:r w:rsidRPr="00D06A26">
        <w:rPr>
          <w:rFonts w:cs="Arial"/>
        </w:rPr>
        <w:t>specific Private Patient Service Adjustments</w:t>
      </w:r>
      <w:r w:rsidR="00466EB3">
        <w:rPr>
          <w:rFonts w:cs="Arial"/>
        </w:rPr>
        <w:t> </w:t>
      </w:r>
      <w:r w:rsidRPr="00D06A26">
        <w:rPr>
          <w:rFonts w:cs="Arial"/>
        </w:rPr>
        <w:t>prospectively.</w:t>
      </w:r>
    </w:p>
    <w:p w14:paraId="65209BAB" w14:textId="141ECAE1" w:rsidR="00D06A26" w:rsidRPr="00D06A26" w:rsidRDefault="00D06A26" w:rsidP="00D06A26">
      <w:pPr>
        <w:pStyle w:val="BodyText"/>
        <w:rPr>
          <w:rFonts w:cs="Arial"/>
        </w:rPr>
      </w:pPr>
      <w:r w:rsidRPr="00D06A26">
        <w:rPr>
          <w:rFonts w:cs="Arial"/>
        </w:rPr>
        <w:t>In the event that revenue paid to a LHN does not</w:t>
      </w:r>
      <w:r w:rsidR="00466EB3">
        <w:rPr>
          <w:rFonts w:cs="Arial"/>
        </w:rPr>
        <w:t> </w:t>
      </w:r>
      <w:r w:rsidRPr="00D06A26">
        <w:rPr>
          <w:rFonts w:cs="Arial"/>
        </w:rPr>
        <w:t>meet the neutrality definition above, the</w:t>
      </w:r>
      <w:r w:rsidR="00466EB3">
        <w:rPr>
          <w:rFonts w:cs="Arial"/>
        </w:rPr>
        <w:t> </w:t>
      </w:r>
      <w:r w:rsidRPr="00D06A26">
        <w:rPr>
          <w:rFonts w:cs="Arial"/>
        </w:rPr>
        <w:t>Administrator will be required to make additional deductions to Commonwealth payments to ensure that neutrality is achieved. This approach is necessary given the different local funding models to manage private patients in each jurisdictions’ hospitals.</w:t>
      </w:r>
    </w:p>
    <w:p w14:paraId="77A2BA7D" w14:textId="28F8B776" w:rsidR="00963E6F" w:rsidRPr="00D06A26" w:rsidRDefault="00D06A26" w:rsidP="00D06A26">
      <w:pPr>
        <w:pStyle w:val="BodyText"/>
        <w:rPr>
          <w:rFonts w:cs="Arial"/>
        </w:rPr>
      </w:pPr>
      <w:r w:rsidRPr="00D06A26">
        <w:rPr>
          <w:rFonts w:cs="Arial"/>
        </w:rPr>
        <w:t>Adopting this definition allows IHPA and the Administrator to transparently assess whether funding arrangements within each state and territory are financially neutral with regards to private patients in public hospitals when calculating Commonwealth funding.</w:t>
      </w:r>
    </w:p>
    <w:bookmarkStart w:id="107" w:name="_Toc58930517"/>
    <w:p w14:paraId="436909A8" w14:textId="66E9D6D5" w:rsidR="00D06A26" w:rsidRDefault="006D035F" w:rsidP="00D06A26">
      <w:pPr>
        <w:pStyle w:val="Heading2"/>
      </w:pPr>
      <w:r w:rsidRPr="0065414C">
        <w:rPr>
          <w:noProof/>
          <w:lang w:eastAsia="en-AU" w:bidi="ar-SA"/>
        </w:rPr>
        <w:lastRenderedPageBreak/>
        <mc:AlternateContent>
          <mc:Choice Requires="wps">
            <w:drawing>
              <wp:anchor distT="0" distB="0" distL="0" distR="0" simplePos="0" relativeHeight="251778048" behindDoc="1" locked="0" layoutInCell="1" allowOverlap="1" wp14:anchorId="216E66AD" wp14:editId="7B357D45">
                <wp:simplePos x="0" y="0"/>
                <wp:positionH relativeFrom="margin">
                  <wp:posOffset>2976880</wp:posOffset>
                </wp:positionH>
                <wp:positionV relativeFrom="paragraph">
                  <wp:posOffset>29210</wp:posOffset>
                </wp:positionV>
                <wp:extent cx="2743200" cy="1148080"/>
                <wp:effectExtent l="0" t="0" r="19050" b="13970"/>
                <wp:wrapTopAndBottom/>
                <wp:docPr id="94"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4808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582588" w14:textId="77777777" w:rsidR="00C93E72" w:rsidRPr="005470B1" w:rsidRDefault="00C93E72" w:rsidP="006D035F">
                            <w:pPr>
                              <w:pStyle w:val="Questionheading"/>
                              <w:ind w:left="284"/>
                            </w:pPr>
                            <w:r>
                              <w:t>IHPA’s decision</w:t>
                            </w:r>
                          </w:p>
                          <w:p w14:paraId="7A358818" w14:textId="77777777" w:rsidR="00C93E72" w:rsidRDefault="00C93E72" w:rsidP="009A0C83">
                            <w:pPr>
                              <w:pStyle w:val="BodyText"/>
                              <w:ind w:left="284"/>
                            </w:pPr>
                            <w:r>
                              <w:t xml:space="preserve">IHPA will retain the private patient correction factor for NEP21 in all states and territories except the Northern Territory, where it will be removed. </w:t>
                            </w:r>
                          </w:p>
                          <w:p w14:paraId="13A4A295" w14:textId="2FA5D23C" w:rsidR="00C93E72" w:rsidRDefault="00C93E72" w:rsidP="001A205C">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E66AD" id="_x0000_s1054" type="#_x0000_t202" style="position:absolute;margin-left:234.4pt;margin-top:2.3pt;width:3in;height:90.4pt;z-index:-2515384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9xqwIAAF8FAAAOAAAAZHJzL2Uyb0RvYy54bWysVNuOmzAQfa/Uf7D8znIJSSBaskogVJW2&#10;F2m3H+CACVbBprYT2K723zs2IXt7qaryAGNsnznHc8bXN0PboBOVigmeYP/Kw4jyQpSMHxL84z53&#10;IoyUJrwkjeA0wQ9U4Zv1xw/XfbeigahFU1KJAISrVd8luNa6W7muKmraEnUlOsphshKyJRqG8uCW&#10;kvSA3jZu4HkLtxey7KQoqFLwNxsn8driVxUt9LeqUlSjJsHATdu3tO+9ebvra7I6SNLVrDjTIP/A&#10;oiWMQ9ILVEY0QUfJ3kG1rJBCiUpfFaJ1RVWxgloNoMb33qi5q0lHrRY4HNVdjkn9P9ji6+m7RKxM&#10;cBxixEkLNbqng0ZbMaBZbDXB8FZpo85MWFWPqR/NsmW+cLZhHDnhbDtz4jDaOv4yiLbzYLNZ7MIn&#10;c7qu3WX3u32nVjahKY8N7zrIrgdIBuaxyVR3K4qfCnGR1oQf6EZK0deUlCDat4Avto44yoDs+y+i&#10;BPLkqIUFGirZGs5wxgjQofgPl4IbHQX8DJbhDFyEUQFzvh9GXmQtAaSn7Z1U+hMVLTJBgiU4ysKT&#10;E2ga9U1LTDYuctY01lUNRz0c6zyYj8JEw0ozaZYpedinjUQnAr7M8zgGEiOYermsZRq6o2FtgiPP&#10;PKNfzXHseGmzaMKaMQbSDT9X6V29Yi/eRbsodMJgsXNCL8ucTZ6GziL3l/NslqVp5j8Znn64qllZ&#10;Um6oTh3hh3/nuHNvjl6+9MQrSW+U5/C8V+6+pjG5aPo+u8mUfjSBHvaD9XEQGTxjkr0oH8AZUoxd&#10;D7cUBLWQvzHqoeMTrH4diaQYNZ85uMtcD1Mgp2A/BYQXsDXBGqMxTPV4jRw7yQ41II/+5WIDDqyY&#10;9cYzC6BuBtDFVsT5xjHXxMuxXfV8L67/AAAA//8DAFBLAwQUAAYACAAAACEAVDh9P90AAAAJAQAA&#10;DwAAAGRycy9kb3ducmV2LnhtbEyPwU7DMBBE70j8g7VI3KgNhGJCnKpCIE5UovTQo5ssSSBeB9tN&#10;079ne4LbjmY0+6ZYTK4XI4bYeTJwPVMgkCpfd9QY2Hy8XGkQMVmqbe8JDRwxwqI8PytsXvsDveO4&#10;To3gEoq5NdCmNORSxqpFZ+PMD0jsffrgbGIZGlkHe+By18sbpebS2Y74Q2sHfGqx+l7vnQF9rJ59&#10;psN9tv35Gt9uXzEuw8qYy4tp+Qgi4ZT+wnDCZ3QomWnn91RH0RvI5prR0+kAwf6DUqx3HNR3Gciy&#10;kP8XlL8AAAD//wMAUEsBAi0AFAAGAAgAAAAhALaDOJL+AAAA4QEAABMAAAAAAAAAAAAAAAAAAAAA&#10;AFtDb250ZW50X1R5cGVzXS54bWxQSwECLQAUAAYACAAAACEAOP0h/9YAAACUAQAACwAAAAAAAAAA&#10;AAAAAAAvAQAAX3JlbHMvLnJlbHNQSwECLQAUAAYACAAAACEAokIvcasCAABfBQAADgAAAAAAAAAA&#10;AAAAAAAuAgAAZHJzL2Uyb0RvYy54bWxQSwECLQAUAAYACAAAACEAVDh9P90AAAAJAQAADwAAAAAA&#10;AAAAAAAAAAAFBQAAZHJzL2Rvd25yZXYueG1sUEsFBgAAAAAEAAQA8wAAAA8GAAAAAA==&#10;" filled="f" strokecolor="#f90">
                <v:textbox inset="0,0,0,0">
                  <w:txbxContent>
                    <w:p w14:paraId="1F582588" w14:textId="77777777" w:rsidR="00C93E72" w:rsidRPr="005470B1" w:rsidRDefault="00C93E72" w:rsidP="006D035F">
                      <w:pPr>
                        <w:pStyle w:val="Questionheading"/>
                        <w:ind w:left="284"/>
                      </w:pPr>
                      <w:r>
                        <w:t>IHPA’s decision</w:t>
                      </w:r>
                    </w:p>
                    <w:p w14:paraId="7A358818" w14:textId="77777777" w:rsidR="00C93E72" w:rsidRDefault="00C93E72" w:rsidP="009A0C83">
                      <w:pPr>
                        <w:pStyle w:val="BodyText"/>
                        <w:ind w:left="284"/>
                      </w:pPr>
                      <w:r>
                        <w:t xml:space="preserve">IHPA will retain the private patient correction factor for NEP21 in all states and territories except the Northern Territory, where it will be removed. </w:t>
                      </w:r>
                    </w:p>
                    <w:p w14:paraId="13A4A295" w14:textId="2FA5D23C" w:rsidR="00C93E72" w:rsidRDefault="00C93E72" w:rsidP="001A205C">
                      <w:pPr>
                        <w:pStyle w:val="BodyText"/>
                      </w:pPr>
                    </w:p>
                  </w:txbxContent>
                </v:textbox>
                <w10:wrap type="topAndBottom" anchorx="margin"/>
              </v:shape>
            </w:pict>
          </mc:Fallback>
        </mc:AlternateContent>
      </w:r>
      <w:r w:rsidR="00D06A26">
        <w:t>7.4</w:t>
      </w:r>
      <w:r w:rsidR="00A61606">
        <w:t>.</w:t>
      </w:r>
      <w:r w:rsidR="00D06A26">
        <w:t xml:space="preserve"> Costing private patients in public hospitals and the private patient correction factor</w:t>
      </w:r>
      <w:bookmarkEnd w:id="107"/>
    </w:p>
    <w:p w14:paraId="2FA4546A" w14:textId="47D5B4F9" w:rsidR="00D06A26" w:rsidRDefault="001A205C" w:rsidP="00D06A26">
      <w:pPr>
        <w:pStyle w:val="BodyText"/>
      </w:pPr>
      <w:r w:rsidRPr="0065414C">
        <w:rPr>
          <w:noProof/>
          <w:lang w:eastAsia="en-AU" w:bidi="ar-SA"/>
        </w:rPr>
        <mc:AlternateContent>
          <mc:Choice Requires="wps">
            <w:drawing>
              <wp:anchor distT="0" distB="0" distL="0" distR="0" simplePos="0" relativeHeight="251780096" behindDoc="1" locked="0" layoutInCell="1" allowOverlap="1" wp14:anchorId="7B0D7064" wp14:editId="6B55B05B">
                <wp:simplePos x="0" y="0"/>
                <wp:positionH relativeFrom="margin">
                  <wp:posOffset>2971800</wp:posOffset>
                </wp:positionH>
                <wp:positionV relativeFrom="paragraph">
                  <wp:posOffset>261290</wp:posOffset>
                </wp:positionV>
                <wp:extent cx="2743200" cy="1060450"/>
                <wp:effectExtent l="0" t="0" r="19050" b="25400"/>
                <wp:wrapTopAndBottom/>
                <wp:docPr id="95"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60450"/>
                        </a:xfrm>
                        <a:prstGeom prst="rect">
                          <a:avLst/>
                        </a:prstGeom>
                        <a:noFill/>
                        <a:ln w="9525">
                          <a:solidFill>
                            <a:srgbClr val="FF99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E1C8F8" w14:textId="77777777" w:rsidR="00C93E72" w:rsidRPr="005470B1" w:rsidRDefault="00C93E72" w:rsidP="006D035F">
                            <w:pPr>
                              <w:pStyle w:val="Questionheading"/>
                              <w:ind w:left="284"/>
                            </w:pPr>
                            <w:r>
                              <w:t>Next steps and future work</w:t>
                            </w:r>
                          </w:p>
                          <w:p w14:paraId="3FE78EC9" w14:textId="0AC30B32" w:rsidR="00C93E72" w:rsidRDefault="00C93E72" w:rsidP="009A0C83">
                            <w:pPr>
                              <w:pStyle w:val="BodyText"/>
                              <w:ind w:left="284"/>
                            </w:pPr>
                            <w:r w:rsidRPr="009A0C83">
                              <w:t xml:space="preserve">IHPA will continue to investigate phasing out the </w:t>
                            </w:r>
                            <w:r>
                              <w:t>p</w:t>
                            </w:r>
                            <w:r w:rsidRPr="009A0C83">
                              <w:t xml:space="preserve">rivate </w:t>
                            </w:r>
                            <w:r>
                              <w:t>p</w:t>
                            </w:r>
                            <w:r w:rsidRPr="009A0C83">
                              <w:t xml:space="preserve">atient </w:t>
                            </w:r>
                            <w:r>
                              <w:t>c</w:t>
                            </w:r>
                            <w:r w:rsidRPr="009A0C83">
                              <w:t xml:space="preserve">orrection </w:t>
                            </w:r>
                            <w:r>
                              <w:t>f</w:t>
                            </w:r>
                            <w:r w:rsidRPr="009A0C83">
                              <w:t>actor in remaining states and territories for NEP22.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D7064" id="_x0000_s1055" type="#_x0000_t202" style="position:absolute;margin-left:234pt;margin-top:20.55pt;width:3in;height:83.5pt;z-index:-251536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gESqwIAAF8FAAAOAAAAZHJzL2Uyb0RvYy54bWysVNuOmzAQfa/Uf7D8znIJSSBaskogVJW2&#10;F2m3H+CACVbBprYT2K723zs2IXt7qaryAGNsnznHc8bXN0PboBOVigmeYP/Kw4jyQpSMHxL84z53&#10;IoyUJrwkjeA0wQ9U4Zv1xw/XfbeigahFU1KJAISrVd8luNa6W7muKmraEnUlOsphshKyJRqG8uCW&#10;kvSA3jZu4HkLtxey7KQoqFLwNxsn8driVxUt9LeqUlSjJsHATdu3tO+9ebvra7I6SNLVrDjTIP/A&#10;oiWMQ9ILVEY0QUfJ3kG1rJBCiUpfFaJ1RVWxgloNoMb33qi5q0lHrRY4HNVdjkn9P9ji6+m7RKxM&#10;cDzHiJMWanRPB422YkCz2GqC4a3SRp2ZsKoeUz+aZct84WzDOHLC2XbmxGG0dfxlEG3nwWaz2IVP&#10;5nRdu8vud/tOrWxCUx4b3nWQXQ+QDMxjk6nuVhQ/FeIirQk/0I2Uoq8pKUG0bwFfbB1xlAHZ919E&#10;CeTJUQsLNFSyNZzhjBGgQ/EfLgU3Ogr4GSzDGbgIowLmfG/hhXNrCSA9be+k0p+oaJEJEizBURae&#10;nEDTqG9aYrJxkbOmsa5qOOrNsQbzUZhoWGkmzTIlD/u0kehEwJd5HsdAYgRTL5e1TEN3NKxNcOSZ&#10;Z/SrOY4dL20WTVgzxkC64ecqvatX7MW7aBeFThgsdk7oZZmzydPQWeT+cp7NsjTN/CfD0w9XNStL&#10;yg3VqSP88O8cd+7N0cuXnngl6Y3yHJ73yt3XNCYXTd9nN5nSjybQw36wPg5ig2dMshflAzhDirHr&#10;4ZaCoBbyN0Y9dHyC1a8jkRSj5jMHd5nrYQrkFOyngPACtiZYYzSGqR6vkWMn2aEG5NG/XGzAgRWz&#10;3nhmAdTNALrYijjfOOaaeDm2q57vxfUfAAAA//8DAFBLAwQUAAYACAAAACEAFut7+98AAAAKAQAA&#10;DwAAAGRycy9kb3ducmV2LnhtbEyPQU/DMAyF70j8h8hI3FjSUY1Qmk4TAnECaYMDx6w1baFxSpJ1&#10;3b/HnOBm+z09f69cz24QE4bYezKQLRQIpNo3PbUG3l4frzSImCw1dvCEBk4YYV2dn5W2aPyRtjjt&#10;Uis4hGJhDXQpjYWUse7Q2bjwIxJrHz44m3gNrWyCPXK4G+RSqZV0tif+0NkR7zusv3YHZ0Cf6gef&#10;63CTv39/Ts/XTxg34cWYy4t5cwci4Zz+zPCLz+hQMdPeH6iJYjCQrzR3STxkGQg23CrFh72BpdIZ&#10;yKqU/ytUPwAAAP//AwBQSwECLQAUAAYACAAAACEAtoM4kv4AAADhAQAAEwAAAAAAAAAAAAAAAAAA&#10;AAAAW0NvbnRlbnRfVHlwZXNdLnhtbFBLAQItABQABgAIAAAAIQA4/SH/1gAAAJQBAAALAAAAAAAA&#10;AAAAAAAAAC8BAABfcmVscy8ucmVsc1BLAQItABQABgAIAAAAIQBuAgESqwIAAF8FAAAOAAAAAAAA&#10;AAAAAAAAAC4CAABkcnMvZTJvRG9jLnhtbFBLAQItABQABgAIAAAAIQAW63v73wAAAAoBAAAPAAAA&#10;AAAAAAAAAAAAAAUFAABkcnMvZG93bnJldi54bWxQSwUGAAAAAAQABADzAAAAEQYAAAAA&#10;" filled="f" strokecolor="#f90">
                <v:textbox inset="0,0,0,0">
                  <w:txbxContent>
                    <w:p w14:paraId="1BE1C8F8" w14:textId="77777777" w:rsidR="00C93E72" w:rsidRPr="005470B1" w:rsidRDefault="00C93E72" w:rsidP="006D035F">
                      <w:pPr>
                        <w:pStyle w:val="Questionheading"/>
                        <w:ind w:left="284"/>
                      </w:pPr>
                      <w:r>
                        <w:t>Next steps and future work</w:t>
                      </w:r>
                    </w:p>
                    <w:p w14:paraId="3FE78EC9" w14:textId="0AC30B32" w:rsidR="00C93E72" w:rsidRDefault="00C93E72" w:rsidP="009A0C83">
                      <w:pPr>
                        <w:pStyle w:val="BodyText"/>
                        <w:ind w:left="284"/>
                      </w:pPr>
                      <w:r w:rsidRPr="009A0C83">
                        <w:t xml:space="preserve">IHPA will continue to investigate phasing out the </w:t>
                      </w:r>
                      <w:r>
                        <w:t>p</w:t>
                      </w:r>
                      <w:r w:rsidRPr="009A0C83">
                        <w:t xml:space="preserve">rivate </w:t>
                      </w:r>
                      <w:r>
                        <w:t>p</w:t>
                      </w:r>
                      <w:r w:rsidRPr="009A0C83">
                        <w:t xml:space="preserve">atient </w:t>
                      </w:r>
                      <w:r>
                        <w:t>c</w:t>
                      </w:r>
                      <w:r w:rsidRPr="009A0C83">
                        <w:t xml:space="preserve">orrection </w:t>
                      </w:r>
                      <w:r>
                        <w:t>f</w:t>
                      </w:r>
                      <w:r w:rsidRPr="009A0C83">
                        <w:t>actor in remaining states and territories for NEP22.</w:t>
                      </w:r>
                    </w:p>
                  </w:txbxContent>
                </v:textbox>
                <w10:wrap type="topAndBottom" anchorx="margin"/>
              </v:shape>
            </w:pict>
          </mc:Fallback>
        </mc:AlternateContent>
      </w:r>
      <w:r w:rsidR="00D06A26">
        <w:t>The collection of private patient medical expenses has been problematic in the National Hospital Cost Data Collection (NHCDC). For</w:t>
      </w:r>
      <w:r w:rsidR="00466EB3">
        <w:t> </w:t>
      </w:r>
      <w:r w:rsidR="00D06A26">
        <w:t xml:space="preserve">example, some states and territories use Special Purpose Funds to collect associated revenue (for example, the MBS) and reimburse medical practitioners. </w:t>
      </w:r>
    </w:p>
    <w:p w14:paraId="4E472CF1" w14:textId="1ED3A044" w:rsidR="00D06A26" w:rsidRDefault="00D06A26" w:rsidP="00D06A26">
      <w:pPr>
        <w:pStyle w:val="BodyText"/>
      </w:pPr>
      <w:r>
        <w:t>The private patient correction factor was introduced as an interim solution for the issue of</w:t>
      </w:r>
      <w:r w:rsidR="00466EB3">
        <w:t> </w:t>
      </w:r>
      <w:r>
        <w:t>missing private patient costs in the NHCDC. The</w:t>
      </w:r>
      <w:r w:rsidR="00466EB3">
        <w:t> </w:t>
      </w:r>
      <w:r>
        <w:t>use of the correction factor assumes that all private patient costs are missing and that these costs are spread across both private and public</w:t>
      </w:r>
      <w:r w:rsidR="00466EB3">
        <w:t> </w:t>
      </w:r>
      <w:r>
        <w:t>patients, which is not always the case. For</w:t>
      </w:r>
      <w:r w:rsidR="00466EB3">
        <w:t> </w:t>
      </w:r>
      <w:r>
        <w:t>example, some hospitals appear to report specialist medical costs for private patients, whilst</w:t>
      </w:r>
      <w:r w:rsidR="00466EB3">
        <w:t> </w:t>
      </w:r>
      <w:r>
        <w:t>others may have costs missing from both</w:t>
      </w:r>
      <w:r w:rsidR="00466EB3">
        <w:t> </w:t>
      </w:r>
      <w:r>
        <w:t xml:space="preserve">public and private patients. </w:t>
      </w:r>
    </w:p>
    <w:p w14:paraId="0DFF2516" w14:textId="1197969D" w:rsidR="000E1534" w:rsidRDefault="00D06A26" w:rsidP="00D06A26">
      <w:pPr>
        <w:pStyle w:val="BodyText"/>
      </w:pPr>
      <w:r>
        <w:t>The implementation of Australian Hospital Patient Costing Standards Version 4.0 should have addressed the issue of missing costs in the</w:t>
      </w:r>
      <w:r w:rsidR="008435DA">
        <w:t> </w:t>
      </w:r>
      <w:r>
        <w:t>NHCDC, meaning the private patient correction factor is no longer required. Stakeholders have previously supported phasing out the private patient correction factor when</w:t>
      </w:r>
      <w:r w:rsidR="00EE0C14">
        <w:t> </w:t>
      </w:r>
      <w:r>
        <w:t>feasible. While the majority of jurisdictions continue to support phasing out the private patient correction factor, they note that the process of accounting for all missing costs in</w:t>
      </w:r>
      <w:r w:rsidR="008435DA">
        <w:t> </w:t>
      </w:r>
      <w:r>
        <w:t>the</w:t>
      </w:r>
      <w:r w:rsidR="008435DA">
        <w:t> </w:t>
      </w:r>
      <w:r>
        <w:t>NHCDC is ongoing.</w:t>
      </w:r>
    </w:p>
    <w:p w14:paraId="45BB4549" w14:textId="5B62A6F3" w:rsidR="00D06A26" w:rsidRDefault="006D035F" w:rsidP="00D06A26">
      <w:pPr>
        <w:pStyle w:val="BodyText"/>
      </w:pPr>
      <w:r>
        <w:br w:type="column"/>
      </w:r>
    </w:p>
    <w:p w14:paraId="780658A0" w14:textId="035AA76D" w:rsidR="006D035F" w:rsidRDefault="006D035F" w:rsidP="00D06A26">
      <w:pPr>
        <w:pStyle w:val="BodyText"/>
      </w:pPr>
    </w:p>
    <w:p w14:paraId="3CF99817" w14:textId="103E6BD3" w:rsidR="00D06A26" w:rsidRPr="0065414C" w:rsidRDefault="00D06A26" w:rsidP="004957DB">
      <w:pPr>
        <w:pStyle w:val="Heading2"/>
        <w:spacing w:before="0"/>
        <w:rPr>
          <w:rFonts w:cs="Arial"/>
        </w:rPr>
        <w:sectPr w:rsidR="00D06A26" w:rsidRPr="0065414C" w:rsidSect="007E1BCE">
          <w:pgSz w:w="11910" w:h="16840"/>
          <w:pgMar w:top="1440" w:right="1440" w:bottom="1440" w:left="1440" w:header="0" w:footer="656" w:gutter="0"/>
          <w:cols w:num="2" w:space="340"/>
        </w:sectPr>
      </w:pPr>
    </w:p>
    <w:p w14:paraId="4E4C774E" w14:textId="77777777" w:rsidR="00592035" w:rsidRPr="0065414C" w:rsidRDefault="00592035" w:rsidP="005B7291">
      <w:pPr>
        <w:pStyle w:val="SectionNumber"/>
      </w:pPr>
      <w:bookmarkStart w:id="108" w:name="_bookmark17"/>
      <w:bookmarkStart w:id="109" w:name="_8_Setting_the"/>
      <w:bookmarkStart w:id="110" w:name="_Toc49953770"/>
      <w:bookmarkEnd w:id="108"/>
      <w:bookmarkEnd w:id="109"/>
      <w:r w:rsidRPr="0065414C">
        <w:rPr>
          <w:lang w:bidi="ar-SA"/>
        </w:rPr>
        <w:lastRenderedPageBreak/>
        <w:drawing>
          <wp:anchor distT="0" distB="0" distL="114300" distR="114300" simplePos="0" relativeHeight="251630592" behindDoc="1" locked="0" layoutInCell="1" allowOverlap="1" wp14:anchorId="5852963C" wp14:editId="735A4F0A">
            <wp:simplePos x="0" y="0"/>
            <wp:positionH relativeFrom="margin">
              <wp:posOffset>-914400</wp:posOffset>
            </wp:positionH>
            <wp:positionV relativeFrom="page">
              <wp:posOffset>954157</wp:posOffset>
            </wp:positionV>
            <wp:extent cx="5462267" cy="3577464"/>
            <wp:effectExtent l="0" t="0" r="0" b="0"/>
            <wp:wrapNone/>
            <wp:docPr id="17" name="Pictur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8</w:t>
      </w:r>
      <w:bookmarkEnd w:id="110"/>
    </w:p>
    <w:p w14:paraId="6689DA14" w14:textId="77777777" w:rsidR="00592035" w:rsidRPr="0065414C" w:rsidRDefault="008F4A1C" w:rsidP="005B7291">
      <w:pPr>
        <w:pStyle w:val="Sectionheader"/>
        <w:sectPr w:rsidR="00592035" w:rsidRPr="0065414C" w:rsidSect="00D021D5">
          <w:headerReference w:type="default" r:id="rId62"/>
          <w:pgSz w:w="11910" w:h="16840"/>
          <w:pgMar w:top="3970" w:right="1440" w:bottom="1440" w:left="1440" w:header="0" w:footer="656" w:gutter="0"/>
          <w:cols w:space="720"/>
          <w:docGrid w:linePitch="299"/>
        </w:sectPr>
      </w:pPr>
      <w:bookmarkStart w:id="111" w:name="_Toc49953771"/>
      <w:r w:rsidRPr="0065414C">
        <w:t xml:space="preserve">Data </w:t>
      </w:r>
      <w:r w:rsidR="00C02414" w:rsidRPr="0065414C">
        <w:t>c</w:t>
      </w:r>
      <w:r w:rsidRPr="0065414C">
        <w:t>ollection</w:t>
      </w:r>
      <w:bookmarkEnd w:id="111"/>
    </w:p>
    <w:p w14:paraId="51801CF0" w14:textId="77777777" w:rsidR="00C415F5" w:rsidRPr="0065414C" w:rsidRDefault="001445EA" w:rsidP="001445EA">
      <w:pPr>
        <w:pStyle w:val="Heading1"/>
        <w:ind w:left="1418" w:hanging="1191"/>
        <w:rPr>
          <w:rFonts w:cs="Arial"/>
        </w:rPr>
      </w:pPr>
      <w:bookmarkStart w:id="112" w:name="_Toc45809621"/>
      <w:bookmarkStart w:id="113" w:name="_Toc49953772"/>
      <w:bookmarkStart w:id="114" w:name="_Toc58930518"/>
      <w:r w:rsidRPr="0065414C">
        <w:rPr>
          <w:rFonts w:cs="Arial"/>
          <w:noProof/>
          <w:color w:val="FFFFFF" w:themeColor="background1"/>
          <w:lang w:eastAsia="en-AU" w:bidi="ar-SA"/>
        </w:rPr>
        <w:lastRenderedPageBreak/>
        <w:drawing>
          <wp:anchor distT="0" distB="0" distL="114300" distR="114300" simplePos="0" relativeHeight="251655168" behindDoc="1" locked="0" layoutInCell="1" allowOverlap="1" wp14:anchorId="6A972B44" wp14:editId="4463BAA0">
            <wp:simplePos x="0" y="0"/>
            <wp:positionH relativeFrom="column">
              <wp:posOffset>-914399</wp:posOffset>
            </wp:positionH>
            <wp:positionV relativeFrom="page">
              <wp:posOffset>667910</wp:posOffset>
            </wp:positionV>
            <wp:extent cx="1685418" cy="946147"/>
            <wp:effectExtent l="0" t="0" r="0" b="0"/>
            <wp:wrapNone/>
            <wp:docPr id="22" name="Picture 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685418" cy="946147"/>
                    </a:xfrm>
                    <a:prstGeom prst="rect">
                      <a:avLst/>
                    </a:prstGeom>
                    <a:noFill/>
                    <a:ln>
                      <a:noFill/>
                    </a:ln>
                  </pic:spPr>
                </pic:pic>
              </a:graphicData>
            </a:graphic>
          </wp:anchor>
        </w:drawing>
      </w:r>
      <w:r w:rsidR="00E916D8" w:rsidRPr="0065414C">
        <w:rPr>
          <w:rFonts w:cs="Arial"/>
          <w:color w:val="FFFFFF" w:themeColor="background1"/>
        </w:rPr>
        <w:t>8</w:t>
      </w:r>
      <w:r w:rsidR="00E916D8" w:rsidRPr="0065414C">
        <w:rPr>
          <w:rFonts w:cs="Arial"/>
        </w:rPr>
        <w:tab/>
      </w:r>
      <w:r w:rsidRPr="0065414C">
        <w:rPr>
          <w:rFonts w:cs="Arial"/>
        </w:rPr>
        <w:tab/>
      </w:r>
      <w:r w:rsidR="008F4A1C" w:rsidRPr="0065414C">
        <w:rPr>
          <w:rFonts w:cs="Arial"/>
        </w:rPr>
        <w:t xml:space="preserve">Data </w:t>
      </w:r>
      <w:r w:rsidR="00C02414" w:rsidRPr="0065414C">
        <w:rPr>
          <w:rFonts w:cs="Arial"/>
        </w:rPr>
        <w:t>c</w:t>
      </w:r>
      <w:r w:rsidR="008F4A1C" w:rsidRPr="0065414C">
        <w:rPr>
          <w:rFonts w:cs="Arial"/>
        </w:rPr>
        <w:t>ollection</w:t>
      </w:r>
      <w:bookmarkEnd w:id="112"/>
      <w:bookmarkEnd w:id="113"/>
      <w:bookmarkEnd w:id="114"/>
    </w:p>
    <w:p w14:paraId="3AE2FDB4" w14:textId="60FC9ACB" w:rsidR="00C415F5" w:rsidRPr="0065414C" w:rsidRDefault="008B2FF0" w:rsidP="003932A6">
      <w:pPr>
        <w:pStyle w:val="BodyText"/>
        <w:rPr>
          <w:rFonts w:cs="Arial"/>
        </w:rPr>
      </w:pPr>
      <w:r w:rsidRPr="0065414C">
        <w:rPr>
          <w:noProof/>
          <w:lang w:eastAsia="en-AU" w:bidi="ar-SA"/>
        </w:rPr>
        <mc:AlternateContent>
          <mc:Choice Requires="wps">
            <w:drawing>
              <wp:anchor distT="0" distB="0" distL="0" distR="0" simplePos="0" relativeHeight="251782144" behindDoc="1" locked="0" layoutInCell="1" allowOverlap="1" wp14:anchorId="671371AD" wp14:editId="46994F31">
                <wp:simplePos x="0" y="0"/>
                <wp:positionH relativeFrom="margin">
                  <wp:posOffset>2976880</wp:posOffset>
                </wp:positionH>
                <wp:positionV relativeFrom="paragraph">
                  <wp:posOffset>273050</wp:posOffset>
                </wp:positionV>
                <wp:extent cx="2743200" cy="2073910"/>
                <wp:effectExtent l="0" t="0" r="12700" b="8890"/>
                <wp:wrapTopAndBottom/>
                <wp:docPr id="98"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073910"/>
                        </a:xfrm>
                        <a:prstGeom prst="rect">
                          <a:avLst/>
                        </a:prstGeom>
                        <a:noFill/>
                        <a:ln w="9525">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14:paraId="72A47A60" w14:textId="77777777" w:rsidR="00C93E72" w:rsidRPr="005470B1" w:rsidRDefault="00C93E72" w:rsidP="008B2FF0">
                            <w:pPr>
                              <w:pStyle w:val="Questionheading"/>
                              <w:ind w:left="284"/>
                            </w:pPr>
                            <w:r>
                              <w:t>IHPA’s decision</w:t>
                            </w:r>
                          </w:p>
                          <w:p w14:paraId="083A9D1E" w14:textId="039DB1DE" w:rsidR="00C93E72" w:rsidRDefault="00C93E72" w:rsidP="008B2FF0">
                            <w:pPr>
                              <w:pStyle w:val="BodyText"/>
                              <w:ind w:left="284"/>
                            </w:pPr>
                            <w:r>
                              <w:t>IHPA will only use the patient level data reported through the Non-Admitted Patient National Best Endeavours Data Set for activity based funding purposes from 1 July 2021. IHPA only uses patient level data to determine the price weights in the NEP Determination.</w:t>
                            </w:r>
                          </w:p>
                          <w:p w14:paraId="2AF7B634" w14:textId="001BAA8F" w:rsidR="00C93E72" w:rsidRDefault="00C93E72" w:rsidP="008B2FF0">
                            <w:pPr>
                              <w:pStyle w:val="BodyText"/>
                              <w:ind w:left="284"/>
                            </w:pPr>
                            <w:r>
                              <w:t>IHPA will make the NBP publicly available in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371AD" id="_x0000_s1056" type="#_x0000_t202" style="position:absolute;margin-left:234.4pt;margin-top:21.5pt;width:3in;height:163.3pt;z-index:-25153433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80rgIAAGIFAAAOAAAAZHJzL2Uyb0RvYy54bWysVNtu2zAMfR+wfxD07vqaxA7qFEmcDAO6&#10;C9DuAxRZjoXZkicpcbqh/z5KjpN2fRmG+cGmLOmQhzzk7d2pbdCRKc2lyHF4E2DEBJUlF/scf3vc&#10;eilG2hBRkkYKluMnpvHd4v27276bs0jWsimZQgAi9Lzvclwb0819X9OatUTfyI4J2KykaomBpdr7&#10;pSI9oLeNHwXB1O+lKjslKdMa/hbDJl44/Kpi1HypKs0ManIMsRn3Vu69s29/cUvme0W6mtNzGOQf&#10;omgJF+D0AlUQQ9BB8TdQLadKalmZGypbX1YVp8xxADZh8Aebh5p0zHGB5Ojukib9/2Dp5+NXhXiZ&#10;4wwqJUgLNXpkJ4NW8oTizHGC5b02lp3dcKx+rcM0LmbbqbdKstRL4lXsZUm68sJZlK4m0XI53STP&#10;Nru+u+Xu+32n586hLY8zHzrwbk7gDMTjnOnuXtLvGgm5ronYs6VSsq8ZKYF06ABfXB1wtAXZ9Z9k&#10;CcGTg5EO6FSp1sYMOUaADsV/uhTc8qDwM5olMagIIwp7UTCLs9BJAoIer3dKmw9MtsgaOVagKAdP&#10;jsBp4Dcesd6E3PKmcapqBOohrZNoMhCTDS/tpj3m9M3WjUJHAsoklDJhonO+9MuTLTfQIA1vc5wG&#10;9hkkazOyEaVzZAhvBhvibsS5UG9KlgXZJt2kiZdE042XBEXhLbfrxJtuw9mkiIv1ugifbahhMq95&#10;WTJhox2bIkz+TnTn9hzkfGmLV5S02u8u1Lfuecvcfx3GKKTxexWUrf6gA3PanZyUY5ckq5OdLJ9A&#10;HEoOjQ+DCoxaqp8Y9dD0OdY/DkQxjJqPAgRmJ8RoqNHYjQYRFK7m2GA0mGszTJJDp/i+BuRBwkIu&#10;QYQVd/K4RgGh2wU0siNxHjp2Urxcu1PX0bj4DQAA//8DAFBLAwQUAAYACAAAACEA6zYTyd4AAAAK&#10;AQAADwAAAGRycy9kb3ducmV2LnhtbEyPzU7DMBCE70i8g7VI3KjdBlltiFMhEAIkLv15ADfeJhH2&#10;OordNn17lhPcdndGs99U6yl4ccYx9ZEMzGcKBFITXU+tgf3u7WEJImVLzvpIaOCKCdb17U1lSxcv&#10;tMHzNreCQyiV1kCX81BKmZoOg02zOCCxdoxjsJnXsZVutBcOD14ulNIy2J74Q2cHfOmw+d6eggF7&#10;3ST/XujF5wd97Y/+1Sfs58bc303PTyAyTvnPDL/4jA41Mx3iiVwS3sCjXjJ65qHgTmxYKcWHg4FC&#10;rzTIupL/K9Q/AAAA//8DAFBLAQItABQABgAIAAAAIQC2gziS/gAAAOEBAAATAAAAAAAAAAAAAAAA&#10;AAAAAABbQ29udGVudF9UeXBlc10ueG1sUEsBAi0AFAAGAAgAAAAhADj9If/WAAAAlAEAAAsAAAAA&#10;AAAAAAAAAAAALwEAAF9yZWxzLy5yZWxzUEsBAi0AFAAGAAgAAAAhACsT7zSuAgAAYgUAAA4AAAAA&#10;AAAAAAAAAAAALgIAAGRycy9lMm9Eb2MueG1sUEsBAi0AFAAGAAgAAAAhAOs2E8neAAAACgEAAA8A&#10;AAAAAAAAAAAAAAAACAUAAGRycy9kb3ducmV2LnhtbFBLBQYAAAAABAAEAPMAAAATBgAAAAA=&#10;" filled="f" strokecolor="#008f54 [3205]">
                <v:textbox inset="0,0,0,0">
                  <w:txbxContent>
                    <w:p w14:paraId="72A47A60" w14:textId="77777777" w:rsidR="00C93E72" w:rsidRPr="005470B1" w:rsidRDefault="00C93E72" w:rsidP="008B2FF0">
                      <w:pPr>
                        <w:pStyle w:val="Questionheading"/>
                        <w:ind w:left="284"/>
                      </w:pPr>
                      <w:r>
                        <w:t>IHPA’s decision</w:t>
                      </w:r>
                    </w:p>
                    <w:p w14:paraId="083A9D1E" w14:textId="039DB1DE" w:rsidR="00C93E72" w:rsidRDefault="00C93E72" w:rsidP="008B2FF0">
                      <w:pPr>
                        <w:pStyle w:val="BodyText"/>
                        <w:ind w:left="284"/>
                      </w:pPr>
                      <w:r>
                        <w:t>IHPA will only use the patient level data reported through the Non-Admitted Patient National Best Endeavours Data Set for activity based funding purposes from 1 July 2021. IHPA only uses patient level data to determine the price weights in the NEP Determination.</w:t>
                      </w:r>
                    </w:p>
                    <w:p w14:paraId="2AF7B634" w14:textId="001BAA8F" w:rsidR="00C93E72" w:rsidRDefault="00C93E72" w:rsidP="008B2FF0">
                      <w:pPr>
                        <w:pStyle w:val="BodyText"/>
                        <w:ind w:left="284"/>
                      </w:pPr>
                      <w:r>
                        <w:t>IHPA will make the NBP publicly available in 2021.</w:t>
                      </w:r>
                    </w:p>
                  </w:txbxContent>
                </v:textbox>
                <w10:wrap type="topAndBottom" anchorx="margin"/>
              </v:shape>
            </w:pict>
          </mc:Fallback>
        </mc:AlternateContent>
      </w:r>
    </w:p>
    <w:p w14:paraId="312BA60D" w14:textId="77777777" w:rsidR="00C415F5" w:rsidRPr="0065414C" w:rsidRDefault="00C415F5">
      <w:pPr>
        <w:rPr>
          <w:rFonts w:cs="Arial"/>
          <w:sz w:val="29"/>
        </w:rPr>
        <w:sectPr w:rsidR="00C415F5" w:rsidRPr="0065414C" w:rsidSect="008854BF">
          <w:headerReference w:type="default" r:id="rId64"/>
          <w:pgSz w:w="11910" w:h="16840"/>
          <w:pgMar w:top="1440" w:right="1440" w:bottom="1440" w:left="1440" w:header="0" w:footer="656" w:gutter="0"/>
          <w:cols w:space="720"/>
        </w:sectPr>
      </w:pPr>
    </w:p>
    <w:p w14:paraId="2EB623AC" w14:textId="0F4355B3" w:rsidR="008B2FF0" w:rsidRPr="008B2FF0" w:rsidRDefault="008B2FF0" w:rsidP="008B2FF0">
      <w:pPr>
        <w:pStyle w:val="BodyText"/>
        <w:rPr>
          <w:rFonts w:cs="Arial"/>
        </w:rPr>
      </w:pPr>
      <w:r w:rsidRPr="008B2FF0">
        <w:rPr>
          <w:rFonts w:cs="Arial"/>
        </w:rPr>
        <w:t>IHPA requires accurate activity, cost and expenditure data from states and territories on</w:t>
      </w:r>
      <w:r>
        <w:rPr>
          <w:rFonts w:cs="Arial"/>
        </w:rPr>
        <w:t> </w:t>
      </w:r>
      <w:r w:rsidRPr="008B2FF0">
        <w:rPr>
          <w:rFonts w:cs="Arial"/>
        </w:rPr>
        <w:t>a timely basis in order to perform its core determinative functions including the national efficient price (NEP) and national efficient cost</w:t>
      </w:r>
      <w:r>
        <w:rPr>
          <w:rFonts w:cs="Arial"/>
        </w:rPr>
        <w:t> </w:t>
      </w:r>
      <w:r w:rsidRPr="008B2FF0">
        <w:rPr>
          <w:rFonts w:cs="Arial"/>
        </w:rPr>
        <w:t xml:space="preserve">Determinations. </w:t>
      </w:r>
    </w:p>
    <w:p w14:paraId="1C834485" w14:textId="15833D18" w:rsidR="008B2FF0" w:rsidRPr="008B2FF0" w:rsidRDefault="008B2FF0" w:rsidP="008B2FF0">
      <w:pPr>
        <w:pStyle w:val="BodyText"/>
        <w:rPr>
          <w:rFonts w:cs="Arial"/>
        </w:rPr>
      </w:pPr>
      <w:r w:rsidRPr="008B2FF0">
        <w:rPr>
          <w:rFonts w:cs="Arial"/>
        </w:rPr>
        <w:t>Guided by the single submission, multiple</w:t>
      </w:r>
      <w:r>
        <w:rPr>
          <w:rFonts w:cs="Arial"/>
        </w:rPr>
        <w:t> </w:t>
      </w:r>
      <w:r w:rsidRPr="008B2FF0">
        <w:rPr>
          <w:rFonts w:cs="Arial"/>
        </w:rPr>
        <w:t>use</w:t>
      </w:r>
      <w:r>
        <w:rPr>
          <w:rFonts w:cs="Arial"/>
        </w:rPr>
        <w:t> </w:t>
      </w:r>
      <w:r w:rsidRPr="008B2FF0">
        <w:rPr>
          <w:rFonts w:cs="Arial"/>
        </w:rPr>
        <w:t>concept, IHPA is committed to the</w:t>
      </w:r>
      <w:r>
        <w:rPr>
          <w:rFonts w:cs="Arial"/>
        </w:rPr>
        <w:t> </w:t>
      </w:r>
      <w:r w:rsidRPr="008B2FF0">
        <w:rPr>
          <w:rFonts w:cs="Arial"/>
        </w:rPr>
        <w:t>principle of data rationalisation as outlined in the Addendum to the National Health Reform</w:t>
      </w:r>
      <w:r>
        <w:rPr>
          <w:rFonts w:cs="Arial"/>
        </w:rPr>
        <w:t> </w:t>
      </w:r>
      <w:r w:rsidRPr="008B2FF0">
        <w:rPr>
          <w:rFonts w:cs="Arial"/>
        </w:rPr>
        <w:t>Agreement 2020–25.</w:t>
      </w:r>
    </w:p>
    <w:p w14:paraId="72E85D48" w14:textId="55CB5328" w:rsidR="008B2FF0" w:rsidRPr="008B2FF0" w:rsidRDefault="008B2FF0" w:rsidP="008B2FF0">
      <w:pPr>
        <w:pStyle w:val="BodyText"/>
        <w:rPr>
          <w:rFonts w:cs="Arial"/>
        </w:rPr>
      </w:pPr>
      <w:r w:rsidRPr="0065414C">
        <w:rPr>
          <w:noProof/>
          <w:lang w:eastAsia="en-AU" w:bidi="ar-SA"/>
        </w:rPr>
        <mc:AlternateContent>
          <mc:Choice Requires="wps">
            <w:drawing>
              <wp:anchor distT="0" distB="0" distL="0" distR="0" simplePos="0" relativeHeight="251784192" behindDoc="1" locked="0" layoutInCell="1" allowOverlap="1" wp14:anchorId="442C146F" wp14:editId="4B63D1F2">
                <wp:simplePos x="0" y="0"/>
                <wp:positionH relativeFrom="margin">
                  <wp:posOffset>2976880</wp:posOffset>
                </wp:positionH>
                <wp:positionV relativeFrom="paragraph">
                  <wp:posOffset>537071</wp:posOffset>
                </wp:positionV>
                <wp:extent cx="2743200" cy="2380615"/>
                <wp:effectExtent l="0" t="0" r="12700" b="6985"/>
                <wp:wrapTopAndBottom/>
                <wp:docPr id="99"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380615"/>
                        </a:xfrm>
                        <a:prstGeom prst="rect">
                          <a:avLst/>
                        </a:prstGeom>
                        <a:noFill/>
                        <a:ln w="9525">
                          <a:solidFill>
                            <a:schemeClr val="accent2"/>
                          </a:solidFill>
                          <a:miter lim="800000"/>
                          <a:headEnd/>
                          <a:tailEnd/>
                        </a:ln>
                        <a:extLst>
                          <a:ext uri="{909E8E84-426E-40DD-AFC4-6F175D3DCCD1}">
                            <a14:hiddenFill xmlns:a14="http://schemas.microsoft.com/office/drawing/2010/main">
                              <a:solidFill>
                                <a:srgbClr val="FFFFFF"/>
                              </a:solidFill>
                            </a14:hiddenFill>
                          </a:ext>
                        </a:extLst>
                      </wps:spPr>
                      <wps:txbx>
                        <w:txbxContent>
                          <w:p w14:paraId="19596420" w14:textId="26B3B1D1" w:rsidR="00C93E72" w:rsidRPr="005470B1" w:rsidRDefault="00C93E72" w:rsidP="008B2FF0">
                            <w:pPr>
                              <w:pStyle w:val="Questionheading"/>
                              <w:ind w:left="284"/>
                            </w:pPr>
                            <w:r>
                              <w:t>N</w:t>
                            </w:r>
                            <w:r w:rsidRPr="008B2FF0">
                              <w:t>ext steps and future work</w:t>
                            </w:r>
                          </w:p>
                          <w:p w14:paraId="7738CAAC" w14:textId="218A11D9" w:rsidR="00C93E72" w:rsidRDefault="00C93E72" w:rsidP="008B2FF0">
                            <w:pPr>
                              <w:pStyle w:val="BodyText"/>
                              <w:ind w:left="284"/>
                            </w:pPr>
                            <w:r>
                              <w:t xml:space="preserve">IHPA is continuing to work with jurisdictions and other stakeholders to ensure that a publicly available NBP works to enhance policy decisions and improve patient outcomes, while offering appropriate privacy protections. </w:t>
                            </w:r>
                          </w:p>
                          <w:p w14:paraId="0BCD982C" w14:textId="73277035" w:rsidR="00C93E72" w:rsidRDefault="00C93E72" w:rsidP="008B2FF0">
                            <w:pPr>
                              <w:pStyle w:val="BodyText"/>
                              <w:ind w:left="284"/>
                            </w:pPr>
                            <w:r>
                              <w:t xml:space="preserve">IHPA will continue to work with jurisdictions, other national agencies and national data committees to progress the inclusion of the </w:t>
                            </w:r>
                            <w:r w:rsidRPr="005A7EB2">
                              <w:t>IHI</w:t>
                            </w:r>
                            <w:r>
                              <w:t xml:space="preserve"> in the national data collections.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C146F" id="_x0000_s1057" type="#_x0000_t202" style="position:absolute;margin-left:234.4pt;margin-top:42.3pt;width:3in;height:187.45pt;z-index:-25153228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dZRrwIAAGIFAAAOAAAAZHJzL2Uyb0RvYy54bWysVNtu2zAMfR+wfxD07vqaxDHqFEmcDAO6&#10;C9DuAxRZjoXZkicpcbqi/z5KjtN23cMwzA82ZUmHPOQhr29ObYOOTGkuRY7DqwAjJqgsudjn+Nv9&#10;1ksx0oaIkjRSsBw/MI1vFu/fXfddxiJZy6ZkCgGI0Fnf5bg2pst8X9OatURfyY4J2KykaomBpdr7&#10;pSI9oLeNHwXB1O+lKjslKdMa/hbDJl44/Kpi1HypKs0ManIMsRn3Vu69s29/cU2yvSJdzek5DPIP&#10;UbSEC3B6gSqIIeig+BuollMltazMFZWtL6uKU+Y4AJsw+I3NXU065rhAcnR3SZP+f7D08/GrQrzM&#10;8XyOkSAt1OienQxayROK544TLG+1sezshmP1uA7TuJhtp94qmadeEq9ib56kKy+cRelqEi2X003y&#10;ZLPru1vuvt93OnMObXmcedeBd3MCZyAe50x3t5J+10jIdU3Eni2Vkn3NSAmkQwf44uqAoy3Irv8k&#10;SwieHIx0QKdKtTZmyDECdCj+w6XglgeFn9EsiUFFGFHYi+I0mIaTc9Dj9U5p84HJFlkjxwoU5eDJ&#10;ETgN/MYj1puQW940TlWNQD2kdRJNBmKy4aXdtMecvtm6UehIQJmEUiZMdHatX55suYEGaXib4zSw&#10;jz1EMpuRjSidbQhvBhuS3Qi7/aeSzYP5Jt2kiZdE042XBEXhLbfrxJtuw9mkiIv1ugifbKhhktW8&#10;LJmw0Y5NESZ/J7pzew5yvrTFK0pa7XcX6lv3vGXuvw5jFNL4fRaUrf6gA3PanZyUYycUq5OdLB9A&#10;HEoOjQ+DCoxaqp8Y9dD0OdY/DkQxjJqPAgRmJ8RoqNHYjQYRFK7m2GA0mGszTJJDp/i+BuRBwkIu&#10;QYQVd/J4jgJCtwtoZEfiPHTspHi5dqeeR+PiFwAAAP//AwBQSwMEFAAGAAgAAAAhAGPwli7eAAAA&#10;CgEAAA8AAABkcnMvZG93bnJldi54bWxMj8FuwjAQRO+V+g/WVuqt2FCIQoiDqlZVW6kXKB9g4iWJ&#10;sNdRbCD8fbencpyd0czbcj16J844xC6QhulEgUCqg+2o0bD7eX/KQcRkyBoXCDVcMcK6ur8rTWHD&#10;hTZ43qZGcAnFwmhoU+oLKWPdojdxEnok9g5h8CaxHBppB3Phcu/kTKlMetMRL7Smx9cW6+P25DWY&#10;6ya6j+ds9vVJ37uDe3MRu6nWjw/jywpEwjH9h+EPn9GhYqZ9OJGNwmmYZzmjJw35PAPBgaVSfNiz&#10;s1guQFalvH2h+gUAAP//AwBQSwECLQAUAAYACAAAACEAtoM4kv4AAADhAQAAEwAAAAAAAAAAAAAA&#10;AAAAAAAAW0NvbnRlbnRfVHlwZXNdLnhtbFBLAQItABQABgAIAAAAIQA4/SH/1gAAAJQBAAALAAAA&#10;AAAAAAAAAAAAAC8BAABfcmVscy8ucmVsc1BLAQItABQABgAIAAAAIQAIJdZRrwIAAGIFAAAOAAAA&#10;AAAAAAAAAAAAAC4CAABkcnMvZTJvRG9jLnhtbFBLAQItABQABgAIAAAAIQBj8JYu3gAAAAoBAAAP&#10;AAAAAAAAAAAAAAAAAAkFAABkcnMvZG93bnJldi54bWxQSwUGAAAAAAQABADzAAAAFAYAAAAA&#10;" filled="f" strokecolor="#008f54 [3205]">
                <v:textbox inset="0,0,0,0">
                  <w:txbxContent>
                    <w:p w14:paraId="19596420" w14:textId="26B3B1D1" w:rsidR="00C93E72" w:rsidRPr="005470B1" w:rsidRDefault="00C93E72" w:rsidP="008B2FF0">
                      <w:pPr>
                        <w:pStyle w:val="Questionheading"/>
                        <w:ind w:left="284"/>
                      </w:pPr>
                      <w:r>
                        <w:t>N</w:t>
                      </w:r>
                      <w:r w:rsidRPr="008B2FF0">
                        <w:t>ext steps and future work</w:t>
                      </w:r>
                    </w:p>
                    <w:p w14:paraId="7738CAAC" w14:textId="218A11D9" w:rsidR="00C93E72" w:rsidRDefault="00C93E72" w:rsidP="008B2FF0">
                      <w:pPr>
                        <w:pStyle w:val="BodyText"/>
                        <w:ind w:left="284"/>
                      </w:pPr>
                      <w:r>
                        <w:t xml:space="preserve">IHPA is continuing to work with jurisdictions and other stakeholders to ensure that a publicly available NBP works to enhance policy decisions and improve patient outcomes, while offering appropriate privacy protections. </w:t>
                      </w:r>
                    </w:p>
                    <w:p w14:paraId="0BCD982C" w14:textId="73277035" w:rsidR="00C93E72" w:rsidRDefault="00C93E72" w:rsidP="008B2FF0">
                      <w:pPr>
                        <w:pStyle w:val="BodyText"/>
                        <w:ind w:left="284"/>
                      </w:pPr>
                      <w:r>
                        <w:t xml:space="preserve">IHPA will continue to work with jurisdictions, other national agencies and national data committees to progress the inclusion of the </w:t>
                      </w:r>
                      <w:r w:rsidRPr="005A7EB2">
                        <w:t>IHI</w:t>
                      </w:r>
                      <w:r>
                        <w:t xml:space="preserve"> in the national data collections.</w:t>
                      </w:r>
                    </w:p>
                  </w:txbxContent>
                </v:textbox>
                <w10:wrap type="topAndBottom" anchorx="margin"/>
              </v:shape>
            </w:pict>
          </mc:Fallback>
        </mc:AlternateContent>
      </w:r>
      <w:r w:rsidRPr="008B2FF0">
        <w:rPr>
          <w:rFonts w:cs="Arial"/>
        </w:rPr>
        <w:t>IHPA continues to advocate for the routine collection of the Individual Hospital Identifier (IHI) to provide greater transparency of the patient journey and to support implementation of new funding models. The limitations associated with the current lack of an IHI is addressed in greater detail in Chapter 11.</w:t>
      </w:r>
    </w:p>
    <w:p w14:paraId="6AFD8C81" w14:textId="46845ECB" w:rsidR="008B2FF0" w:rsidRPr="0065414C" w:rsidRDefault="008B2FF0" w:rsidP="008B2FF0">
      <w:pPr>
        <w:pStyle w:val="BodyText"/>
        <w:rPr>
          <w:rFonts w:cs="Arial"/>
          <w:b/>
          <w:bCs/>
        </w:rPr>
      </w:pPr>
      <w:r w:rsidRPr="008B2FF0">
        <w:rPr>
          <w:rFonts w:cs="Arial"/>
        </w:rPr>
        <w:t xml:space="preserve">In the </w:t>
      </w:r>
      <w:hyperlink r:id="rId65" w:history="1">
        <w:r w:rsidRPr="008B2FF0">
          <w:rPr>
            <w:rStyle w:val="Hyperlink"/>
            <w:rFonts w:cs="Arial"/>
            <w:i/>
            <w:iCs/>
          </w:rPr>
          <w:t>Pricing Framework for Australian Public Hospital Services 2020–21</w:t>
        </w:r>
      </w:hyperlink>
      <w:r w:rsidRPr="008B2FF0">
        <w:rPr>
          <w:rFonts w:cs="Arial"/>
        </w:rPr>
        <w:t>, IHPA outlined its intention to make the National Benchmarking Portal (NBP) publicly available. IHPA is continuing to work to deliver this in 2021.</w:t>
      </w:r>
    </w:p>
    <w:p w14:paraId="03FD7C7F" w14:textId="686B8D78" w:rsidR="00C415F5" w:rsidRPr="0065414C" w:rsidRDefault="00DC3AB3" w:rsidP="00B256FA">
      <w:pPr>
        <w:pStyle w:val="Heading2"/>
        <w:rPr>
          <w:rFonts w:cs="Arial"/>
        </w:rPr>
      </w:pPr>
      <w:bookmarkStart w:id="115" w:name="_Toc49953774"/>
      <w:bookmarkStart w:id="116" w:name="_Toc58930519"/>
      <w:r w:rsidRPr="0065414C">
        <w:rPr>
          <w:rFonts w:cs="Arial"/>
          <w:spacing w:val="-1"/>
        </w:rPr>
        <w:t>8.</w:t>
      </w:r>
      <w:r w:rsidR="008B2FF0">
        <w:rPr>
          <w:rFonts w:cs="Arial"/>
          <w:spacing w:val="-1"/>
        </w:rPr>
        <w:t>1</w:t>
      </w:r>
      <w:r w:rsidR="00EF5D73" w:rsidRPr="0065414C">
        <w:rPr>
          <w:rFonts w:cs="Arial"/>
          <w:spacing w:val="-1"/>
        </w:rPr>
        <w:t>.</w:t>
      </w:r>
      <w:r w:rsidRPr="0065414C">
        <w:rPr>
          <w:rFonts w:cs="Arial"/>
          <w:spacing w:val="-1"/>
        </w:rPr>
        <w:t xml:space="preserve"> </w:t>
      </w:r>
      <w:r w:rsidR="007D158C" w:rsidRPr="0065414C">
        <w:rPr>
          <w:rFonts w:cs="Arial"/>
        </w:rPr>
        <w:t>Phasing out aggregate non-admitted data reporting</w:t>
      </w:r>
      <w:bookmarkEnd w:id="115"/>
      <w:bookmarkEnd w:id="116"/>
    </w:p>
    <w:p w14:paraId="3BF50B76" w14:textId="6FB94BCB" w:rsidR="008B2FF0" w:rsidRPr="008B2FF0" w:rsidRDefault="008B2FF0" w:rsidP="008B2FF0">
      <w:pPr>
        <w:pStyle w:val="BodyText"/>
        <w:rPr>
          <w:rFonts w:cs="Arial"/>
        </w:rPr>
      </w:pPr>
      <w:r w:rsidRPr="008B2FF0">
        <w:rPr>
          <w:rFonts w:cs="Arial"/>
        </w:rPr>
        <w:t xml:space="preserve">States and territories are required to submit public hospital activity data at the patient level wherever possible on a quarterly basis. Only patient level data is used by IHPA to determine the price weights in the NEP Determination. </w:t>
      </w:r>
    </w:p>
    <w:p w14:paraId="393778A3" w14:textId="1E03FE3A" w:rsidR="00C415F5" w:rsidRDefault="008B2FF0" w:rsidP="008B2FF0">
      <w:pPr>
        <w:pStyle w:val="BodyText"/>
        <w:rPr>
          <w:rFonts w:cs="Arial"/>
        </w:rPr>
      </w:pPr>
      <w:r w:rsidRPr="008B2FF0">
        <w:rPr>
          <w:rFonts w:cs="Arial"/>
        </w:rPr>
        <w:t>The Administrator of the National Health Funding Pool (the Administrator) has advised his intention to phase out aggregate non</w:t>
      </w:r>
      <w:r w:rsidR="007C30CB">
        <w:rPr>
          <w:rFonts w:cs="Arial"/>
        </w:rPr>
        <w:noBreakHyphen/>
      </w:r>
      <w:r w:rsidRPr="008B2FF0">
        <w:rPr>
          <w:rFonts w:cs="Arial"/>
        </w:rPr>
        <w:t>admitted activity reporting for funding and</w:t>
      </w:r>
      <w:r w:rsidR="007C30CB">
        <w:rPr>
          <w:rFonts w:cs="Arial"/>
        </w:rPr>
        <w:t> </w:t>
      </w:r>
      <w:r w:rsidRPr="008B2FF0">
        <w:rPr>
          <w:rFonts w:cs="Arial"/>
        </w:rPr>
        <w:t>reconciliation purposes from 1 July 2021. IHPA</w:t>
      </w:r>
      <w:r w:rsidR="007C30CB">
        <w:rPr>
          <w:rFonts w:cs="Arial"/>
        </w:rPr>
        <w:t> </w:t>
      </w:r>
      <w:r w:rsidRPr="008B2FF0">
        <w:rPr>
          <w:rFonts w:cs="Arial"/>
        </w:rPr>
        <w:t>supports the Administrator’s proposal.</w:t>
      </w:r>
    </w:p>
    <w:p w14:paraId="6238E61D" w14:textId="3C8528C4" w:rsidR="008B2FF0" w:rsidRDefault="008B2FF0" w:rsidP="008B2FF0">
      <w:pPr>
        <w:pStyle w:val="BodyText"/>
        <w:rPr>
          <w:rFonts w:cs="Arial"/>
        </w:rPr>
      </w:pPr>
      <w:r>
        <w:rPr>
          <w:rFonts w:cs="Arial"/>
        </w:rPr>
        <w:br w:type="column"/>
      </w:r>
    </w:p>
    <w:p w14:paraId="7F3C27E5" w14:textId="77777777" w:rsidR="008B2FF0" w:rsidRDefault="008B2FF0" w:rsidP="008B2FF0">
      <w:pPr>
        <w:pStyle w:val="BodyText"/>
        <w:rPr>
          <w:rFonts w:cs="Arial"/>
        </w:rPr>
      </w:pPr>
    </w:p>
    <w:p w14:paraId="1A8F55E3" w14:textId="77777777" w:rsidR="00C415F5" w:rsidRPr="0065414C" w:rsidRDefault="00C415F5">
      <w:pPr>
        <w:spacing w:line="256" w:lineRule="auto"/>
        <w:rPr>
          <w:rFonts w:cs="Arial"/>
        </w:rPr>
        <w:sectPr w:rsidR="00C415F5" w:rsidRPr="0065414C" w:rsidSect="00CB00F0">
          <w:type w:val="continuous"/>
          <w:pgSz w:w="11910" w:h="16840"/>
          <w:pgMar w:top="1440" w:right="1440" w:bottom="1440" w:left="1440" w:header="720" w:footer="720" w:gutter="0"/>
          <w:cols w:num="2" w:space="720"/>
        </w:sectPr>
      </w:pPr>
    </w:p>
    <w:p w14:paraId="07DEA229" w14:textId="77777777" w:rsidR="00592035" w:rsidRPr="005B7291" w:rsidRDefault="00592035" w:rsidP="005B7291">
      <w:pPr>
        <w:pStyle w:val="SectionNumber"/>
        <w:rPr>
          <w:color w:val="003E2D" w:themeColor="text2"/>
        </w:rPr>
      </w:pPr>
      <w:bookmarkStart w:id="117" w:name="_9_Alternate_funding"/>
      <w:bookmarkStart w:id="118" w:name="_Toc49953775"/>
      <w:bookmarkEnd w:id="117"/>
      <w:r w:rsidRPr="005B7291">
        <w:rPr>
          <w:color w:val="003E2D" w:themeColor="text2"/>
          <w:lang w:bidi="ar-SA"/>
        </w:rPr>
        <w:lastRenderedPageBreak/>
        <w:drawing>
          <wp:anchor distT="0" distB="0" distL="114300" distR="114300" simplePos="0" relativeHeight="251641856" behindDoc="1" locked="0" layoutInCell="1" allowOverlap="1" wp14:anchorId="40FB6DAF" wp14:editId="08AB9916">
            <wp:simplePos x="0" y="0"/>
            <wp:positionH relativeFrom="margin">
              <wp:posOffset>-914400</wp:posOffset>
            </wp:positionH>
            <wp:positionV relativeFrom="page">
              <wp:posOffset>954157</wp:posOffset>
            </wp:positionV>
            <wp:extent cx="5462267" cy="3577464"/>
            <wp:effectExtent l="0" t="0" r="0" b="0"/>
            <wp:wrapNone/>
            <wp:docPr id="18" name="Picture 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5B7291">
        <w:rPr>
          <w:color w:val="003E2D" w:themeColor="text2"/>
        </w:rPr>
        <w:t>9</w:t>
      </w:r>
      <w:bookmarkEnd w:id="118"/>
    </w:p>
    <w:p w14:paraId="02FFB752" w14:textId="77777777" w:rsidR="00592035" w:rsidRPr="0065414C" w:rsidRDefault="00411C6A" w:rsidP="005B7291">
      <w:pPr>
        <w:pStyle w:val="Sectionheader"/>
        <w:ind w:right="3785"/>
        <w:sectPr w:rsidR="00592035" w:rsidRPr="0065414C" w:rsidSect="008613E1">
          <w:headerReference w:type="default" r:id="rId66"/>
          <w:pgSz w:w="11910" w:h="16840"/>
          <w:pgMar w:top="3970" w:right="1440" w:bottom="1440" w:left="1440" w:header="0" w:footer="656" w:gutter="0"/>
          <w:cols w:space="720"/>
        </w:sectPr>
      </w:pPr>
      <w:bookmarkStart w:id="119" w:name="_Toc49953776"/>
      <w:r w:rsidRPr="0065414C">
        <w:t xml:space="preserve">Treatment of other Commonwealth </w:t>
      </w:r>
      <w:r w:rsidR="00B9422E" w:rsidRPr="0065414C">
        <w:t>p</w:t>
      </w:r>
      <w:r w:rsidRPr="0065414C">
        <w:t>rograms</w:t>
      </w:r>
      <w:bookmarkEnd w:id="119"/>
    </w:p>
    <w:p w14:paraId="27286FA6" w14:textId="77777777" w:rsidR="00C415F5" w:rsidRPr="0065414C" w:rsidRDefault="001445EA" w:rsidP="009638C2">
      <w:pPr>
        <w:pStyle w:val="Heading1"/>
        <w:ind w:left="1418" w:hanging="1191"/>
        <w:rPr>
          <w:rFonts w:cs="Arial"/>
        </w:rPr>
      </w:pPr>
      <w:bookmarkStart w:id="120" w:name="_Toc45809626"/>
      <w:bookmarkStart w:id="121" w:name="_Toc49953777"/>
      <w:bookmarkStart w:id="122" w:name="_Toc58930520"/>
      <w:r w:rsidRPr="0065414C">
        <w:rPr>
          <w:rFonts w:cs="Arial"/>
          <w:noProof/>
          <w:color w:val="FFFFFF" w:themeColor="background1"/>
          <w:lang w:eastAsia="en-AU" w:bidi="ar-SA"/>
        </w:rPr>
        <w:lastRenderedPageBreak/>
        <w:drawing>
          <wp:anchor distT="0" distB="0" distL="114300" distR="114300" simplePos="0" relativeHeight="251632640" behindDoc="1" locked="0" layoutInCell="1" allowOverlap="1" wp14:anchorId="3A1C918C" wp14:editId="7508764E">
            <wp:simplePos x="0" y="0"/>
            <wp:positionH relativeFrom="column">
              <wp:posOffset>-914400</wp:posOffset>
            </wp:positionH>
            <wp:positionV relativeFrom="page">
              <wp:posOffset>652007</wp:posOffset>
            </wp:positionV>
            <wp:extent cx="1685418" cy="946146"/>
            <wp:effectExtent l="0" t="0" r="0" b="0"/>
            <wp:wrapNone/>
            <wp:docPr id="23" name="Picture 2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85418" cy="946146"/>
                    </a:xfrm>
                    <a:prstGeom prst="rect">
                      <a:avLst/>
                    </a:prstGeom>
                    <a:noFill/>
                    <a:ln>
                      <a:noFill/>
                    </a:ln>
                  </pic:spPr>
                </pic:pic>
              </a:graphicData>
            </a:graphic>
          </wp:anchor>
        </w:drawing>
      </w:r>
      <w:r w:rsidR="007004F3" w:rsidRPr="0065414C">
        <w:rPr>
          <w:rFonts w:cs="Arial"/>
        </w:rPr>
        <w:t>9</w:t>
      </w:r>
      <w:r w:rsidR="007004F3" w:rsidRPr="0065414C">
        <w:rPr>
          <w:rFonts w:cs="Arial"/>
        </w:rPr>
        <w:tab/>
      </w:r>
      <w:r w:rsidRPr="0065414C">
        <w:rPr>
          <w:rFonts w:cs="Arial"/>
        </w:rPr>
        <w:tab/>
      </w:r>
      <w:r w:rsidR="009638C2" w:rsidRPr="0065414C">
        <w:rPr>
          <w:rFonts w:cs="Arial"/>
        </w:rPr>
        <w:t xml:space="preserve">Treatment of other Commonwealth </w:t>
      </w:r>
      <w:r w:rsidR="00B9422E" w:rsidRPr="0065414C">
        <w:rPr>
          <w:rFonts w:cs="Arial"/>
        </w:rPr>
        <w:t>p</w:t>
      </w:r>
      <w:r w:rsidR="009638C2" w:rsidRPr="0065414C">
        <w:rPr>
          <w:rFonts w:cs="Arial"/>
        </w:rPr>
        <w:t>rograms</w:t>
      </w:r>
      <w:bookmarkEnd w:id="120"/>
      <w:bookmarkEnd w:id="121"/>
      <w:bookmarkEnd w:id="122"/>
    </w:p>
    <w:p w14:paraId="55500940" w14:textId="7F898B1E" w:rsidR="00C415F5" w:rsidRPr="0065414C" w:rsidRDefault="0001300D" w:rsidP="003932A6">
      <w:pPr>
        <w:pStyle w:val="BodyText"/>
        <w:rPr>
          <w:rFonts w:cs="Arial"/>
        </w:rPr>
      </w:pPr>
      <w:r w:rsidRPr="0065414C">
        <w:rPr>
          <w:noProof/>
          <w:lang w:eastAsia="en-AU" w:bidi="ar-SA"/>
        </w:rPr>
        <mc:AlternateContent>
          <mc:Choice Requires="wps">
            <w:drawing>
              <wp:anchor distT="0" distB="0" distL="0" distR="0" simplePos="0" relativeHeight="251786240" behindDoc="1" locked="0" layoutInCell="1" allowOverlap="1" wp14:anchorId="149894AA" wp14:editId="4DB13E47">
                <wp:simplePos x="0" y="0"/>
                <wp:positionH relativeFrom="margin">
                  <wp:posOffset>2975610</wp:posOffset>
                </wp:positionH>
                <wp:positionV relativeFrom="paragraph">
                  <wp:posOffset>252730</wp:posOffset>
                </wp:positionV>
                <wp:extent cx="2743200" cy="1242060"/>
                <wp:effectExtent l="0" t="0" r="19050" b="15240"/>
                <wp:wrapTopAndBottom/>
                <wp:docPr id="100" name="Text Box 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242060"/>
                        </a:xfrm>
                        <a:prstGeom prst="rect">
                          <a:avLst/>
                        </a:prstGeom>
                        <a:noFill/>
                        <a:ln w="9525">
                          <a:solidFill>
                            <a:schemeClr val="accent1"/>
                          </a:solidFill>
                          <a:miter lim="800000"/>
                          <a:headEnd/>
                          <a:tailEnd/>
                        </a:ln>
                        <a:extLst>
                          <a:ext uri="{909E8E84-426E-40DD-AFC4-6F175D3DCCD1}">
                            <a14:hiddenFill xmlns:a14="http://schemas.microsoft.com/office/drawing/2010/main">
                              <a:solidFill>
                                <a:srgbClr val="FFFFFF"/>
                              </a:solidFill>
                            </a14:hiddenFill>
                          </a:ext>
                        </a:extLst>
                      </wps:spPr>
                      <wps:txbx>
                        <w:txbxContent>
                          <w:p w14:paraId="6FCF11D8" w14:textId="77777777" w:rsidR="00C93E72" w:rsidRPr="005470B1" w:rsidRDefault="00C93E72" w:rsidP="0001300D">
                            <w:pPr>
                              <w:pStyle w:val="Questionheading"/>
                              <w:ind w:left="284"/>
                            </w:pPr>
                            <w:r>
                              <w:t>IHPA’s decision</w:t>
                            </w:r>
                          </w:p>
                          <w:p w14:paraId="0F6C2F29" w14:textId="5E24E402" w:rsidR="00C93E72" w:rsidRDefault="00C93E72" w:rsidP="0001300D">
                            <w:pPr>
                              <w:pStyle w:val="BodyText"/>
                              <w:ind w:left="284"/>
                            </w:pPr>
                            <w:r w:rsidRPr="0001300D">
                              <w:t>For the National Efficient Price Determination 2021–22, IHPA proposes no changes be made to the treatment of other Commonwealth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894AA" id="_x0000_s1058" type="#_x0000_t202" style="position:absolute;margin-left:234.3pt;margin-top:19.9pt;width:3in;height:97.8pt;z-index:-25153024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nt8sAIAAGMFAAAOAAAAZHJzL2Uyb0RvYy54bWysVF1vmzAUfZ+0/2D5nfKZhEQlVQLJNKn7&#10;kNr9AMeYYA1sZjsh3dT/vmsT0nR9mabxANfYPvcc33N9e3dqG3RkSnMpMhzeBBgxQWXJxT7D3x63&#10;XoqRNkSUpJGCZfiJaXy3fP/utu8WLJK1bEqmEIAIvei7DNfGdAvf17RmLdE3smMCJiupWmJgqPZ+&#10;qUgP6G3jR0Ew9Xupyk5JyrSGv8UwiZcOv6oYNV+qSjODmgwDN+Peyr139u0vb8lir0hXc3qmQf6B&#10;RUu4gKQXqIIYgg6Kv4FqOVVSy8rcUNn6sqo4ZU4DqAmDP9Q81KRjTgscju4ux6T/Hyz9fPyqEC+h&#10;dgGcjyAtFOmRnQxayxOK504UDO+1sfLshJP1Kw/TuJhtp946madeEq9jb56kay+cRel6Eq1W003y&#10;bI/Xd7vcfr/v9MJltPVx4UMH6c0JkgEDl0x395J+10jIvCZiz1ZKyb5mpATVoQO82jrgaAuy6z/J&#10;EsiTg5EO6FSp1nKGQ0aADuqeLhW3Oij8jGZJDDbCiMJcGCVRMHWeANLj9k5p84HJFtkgwwos5eDJ&#10;ETQN+sYlNpuQW940zlaNQH2G55NoMgiTDS/tpF3mDM7yRqEjAWsSSpkwgzyYvF7ZcgMd0vA2w2lg&#10;n8Gz9kQ2onSJDOHNEAPvRpwL9aZk82C+STdp4iXRdOMlQVF4q22eeNNtOJsUcZHnRfhsqYbJouZl&#10;yYRlO3ZFmPyd6879Ofj50hevJGm1312kb91zdsrVMv81jdFI4/fFULb6gw/MaXdyXo4ji2d9spPl&#10;E5hDyaHz4aaCoJbqJ0Y9dH2G9Y8DUQyj5qMAg9krYgzUGOzGgAgKWzNsMBrC3AxXyaFTfF8D8mBh&#10;IVdgwoo7e7ywAOp2AJ3sRJxvHXtVXI/dqpe7cfkbAAD//wMAUEsDBBQABgAIAAAAIQCLQrxD4QAA&#10;AAoBAAAPAAAAZHJzL2Rvd25yZXYueG1sTI9NT8JAFEX3Jv6HyTNxY2QqYIHaKSEmLiRsqCSwfHTG&#10;TnE+mpkB6r/3udLlyzu599xyOVjDLirEzjsBT6MMmHKNl51rBew+3h7nwGJCJ9F4pwR8qwjL6vam&#10;xEL6q9uqS51aRiEuFihAp9QXnMdGK4tx5Hvl6Pfpg8VEZ2i5DHilcGv4OMtybrFz1KCxV69aNV/1&#10;2Qp4OG3Caq8Ph9kaT7Psnddrs62FuL8bVi/AkhrSHwy/+qQOFTkd/dnJyIyAaT7PCRUwWdAEAhZU&#10;B+woYDx5ngKvSv5/QvUDAAD//wMAUEsBAi0AFAAGAAgAAAAhALaDOJL+AAAA4QEAABMAAAAAAAAA&#10;AAAAAAAAAAAAAFtDb250ZW50X1R5cGVzXS54bWxQSwECLQAUAAYACAAAACEAOP0h/9YAAACUAQAA&#10;CwAAAAAAAAAAAAAAAAAvAQAAX3JlbHMvLnJlbHNQSwECLQAUAAYACAAAACEAn0p7fLACAABjBQAA&#10;DgAAAAAAAAAAAAAAAAAuAgAAZHJzL2Uyb0RvYy54bWxQSwECLQAUAAYACAAAACEAi0K8Q+EAAAAK&#10;AQAADwAAAAAAAAAAAAAAAAAKBQAAZHJzL2Rvd25yZXYueG1sUEsFBgAAAAAEAAQA8wAAABgGAAAA&#10;AA==&#10;" filled="f" strokecolor="#7ec352 [3204]">
                <v:textbox inset="0,0,0,0">
                  <w:txbxContent>
                    <w:p w14:paraId="6FCF11D8" w14:textId="77777777" w:rsidR="00C93E72" w:rsidRPr="005470B1" w:rsidRDefault="00C93E72" w:rsidP="0001300D">
                      <w:pPr>
                        <w:pStyle w:val="Questionheading"/>
                        <w:ind w:left="284"/>
                      </w:pPr>
                      <w:r>
                        <w:t>IHPA’s decision</w:t>
                      </w:r>
                    </w:p>
                    <w:p w14:paraId="0F6C2F29" w14:textId="5E24E402" w:rsidR="00C93E72" w:rsidRDefault="00C93E72" w:rsidP="0001300D">
                      <w:pPr>
                        <w:pStyle w:val="BodyText"/>
                        <w:ind w:left="284"/>
                      </w:pPr>
                      <w:r w:rsidRPr="0001300D">
                        <w:t>For the National Efficient Price Determination 2021–22, IHPA proposes no changes be made to the treatment of other Commonwealth programs.</w:t>
                      </w:r>
                    </w:p>
                  </w:txbxContent>
                </v:textbox>
                <w10:wrap type="topAndBottom" anchorx="margin"/>
              </v:shape>
            </w:pict>
          </mc:Fallback>
        </mc:AlternateContent>
      </w:r>
    </w:p>
    <w:p w14:paraId="7A7FB3D7" w14:textId="77777777" w:rsidR="00C415F5" w:rsidRPr="0065414C" w:rsidRDefault="00C415F5">
      <w:pPr>
        <w:rPr>
          <w:rFonts w:cs="Arial"/>
          <w:sz w:val="29"/>
        </w:rPr>
        <w:sectPr w:rsidR="00C415F5" w:rsidRPr="0065414C" w:rsidSect="00A2241A">
          <w:headerReference w:type="default" r:id="rId67"/>
          <w:pgSz w:w="11910" w:h="16840"/>
          <w:pgMar w:top="1440" w:right="1440" w:bottom="1440" w:left="1440" w:header="0" w:footer="656" w:gutter="0"/>
          <w:cols w:space="720"/>
        </w:sectPr>
      </w:pPr>
    </w:p>
    <w:p w14:paraId="6B421130" w14:textId="47061B62" w:rsidR="00FC6668" w:rsidRDefault="00105691" w:rsidP="00105691">
      <w:pPr>
        <w:pStyle w:val="BodyText"/>
        <w:rPr>
          <w:rFonts w:cs="Arial"/>
        </w:rPr>
      </w:pPr>
      <w:r w:rsidRPr="00105691">
        <w:rPr>
          <w:rFonts w:cs="Arial"/>
        </w:rPr>
        <w:t>To prevent a public hospital service being funded twice, clause A9 of the Addendum to the National Health Reform Agreement (NHRA) requires IHPA to discount Commonwealth funding provided to public hospitals through programs other than the</w:t>
      </w:r>
      <w:r>
        <w:rPr>
          <w:rFonts w:cs="Arial"/>
        </w:rPr>
        <w:t> </w:t>
      </w:r>
      <w:r w:rsidRPr="00105691">
        <w:rPr>
          <w:rFonts w:cs="Arial"/>
        </w:rPr>
        <w:t>NHRA. The two major programs are blood products (through the National Blood Agreement) and Commonwealth pharmaceutical programs</w:t>
      </w:r>
      <w:r>
        <w:rPr>
          <w:rFonts w:cs="Arial"/>
        </w:rPr>
        <w:t> </w:t>
      </w:r>
      <w:r w:rsidRPr="00105691">
        <w:rPr>
          <w:rFonts w:cs="Arial"/>
        </w:rPr>
        <w:t xml:space="preserve">including: </w:t>
      </w:r>
    </w:p>
    <w:p w14:paraId="19A13C50" w14:textId="6E21A647" w:rsidR="006328CB" w:rsidRPr="006328CB" w:rsidRDefault="006328CB" w:rsidP="006328CB">
      <w:pPr>
        <w:pStyle w:val="ListParagraph"/>
      </w:pPr>
      <w:r w:rsidRPr="006328CB">
        <w:t>Highly Specialised Drugs (Section</w:t>
      </w:r>
      <w:r>
        <w:t> </w:t>
      </w:r>
      <w:r w:rsidRPr="006328CB">
        <w:t>100</w:t>
      </w:r>
      <w:r>
        <w:t> </w:t>
      </w:r>
      <w:r w:rsidRPr="006328CB">
        <w:t xml:space="preserve">funding) </w:t>
      </w:r>
    </w:p>
    <w:p w14:paraId="59938D05" w14:textId="1E5F1C1C" w:rsidR="006328CB" w:rsidRPr="006328CB" w:rsidRDefault="006328CB" w:rsidP="006328CB">
      <w:pPr>
        <w:pStyle w:val="ListParagraph"/>
      </w:pPr>
      <w:r w:rsidRPr="006328CB">
        <w:t>Pharmaceutical Reform Agreements – Pharmaceutical Benefits Scheme Access</w:t>
      </w:r>
      <w:r>
        <w:t> </w:t>
      </w:r>
      <w:r w:rsidRPr="006328CB">
        <w:t xml:space="preserve">Program </w:t>
      </w:r>
    </w:p>
    <w:p w14:paraId="0C95EF5B" w14:textId="77777777" w:rsidR="006328CB" w:rsidRPr="006328CB" w:rsidRDefault="006328CB" w:rsidP="006328CB">
      <w:pPr>
        <w:pStyle w:val="ListParagraph"/>
      </w:pPr>
      <w:r w:rsidRPr="006328CB">
        <w:t xml:space="preserve">Pharmaceutical Reform Agreements – Efficient Funding of Chemotherapy (Section 100 funding). </w:t>
      </w:r>
    </w:p>
    <w:p w14:paraId="761BC2F4" w14:textId="7D5B39BD" w:rsidR="00C415F5" w:rsidRDefault="006328CB" w:rsidP="006328CB">
      <w:pPr>
        <w:pStyle w:val="BodyText"/>
        <w:rPr>
          <w:rFonts w:cs="Arial"/>
        </w:rPr>
      </w:pPr>
      <w:r w:rsidRPr="006328CB">
        <w:rPr>
          <w:rFonts w:cs="Arial"/>
        </w:rPr>
        <w:t>The Australian Hospital Patient Costing Standards Version 4.0 includes a costing guideline related to the consumption of blood</w:t>
      </w:r>
      <w:r>
        <w:rPr>
          <w:rFonts w:cs="Arial"/>
        </w:rPr>
        <w:t> </w:t>
      </w:r>
      <w:r w:rsidRPr="006328CB">
        <w:rPr>
          <w:rFonts w:cs="Arial"/>
        </w:rPr>
        <w:t>products. The objective of Costing Guideline 6 Blood Products is to guide costing practitioners through the steps required to ensure that all blood</w:t>
      </w:r>
      <w:r>
        <w:rPr>
          <w:rFonts w:cs="Arial"/>
        </w:rPr>
        <w:t> </w:t>
      </w:r>
      <w:r w:rsidRPr="006328CB">
        <w:rPr>
          <w:rFonts w:cs="Arial"/>
        </w:rPr>
        <w:t>product consumption and expenses, which</w:t>
      </w:r>
      <w:r>
        <w:rPr>
          <w:rFonts w:cs="Arial"/>
        </w:rPr>
        <w:t> </w:t>
      </w:r>
      <w:r w:rsidRPr="006328CB">
        <w:rPr>
          <w:rFonts w:cs="Arial"/>
        </w:rPr>
        <w:t>contribute to the production of final blood</w:t>
      </w:r>
      <w:r>
        <w:rPr>
          <w:rFonts w:cs="Arial"/>
        </w:rPr>
        <w:t> </w:t>
      </w:r>
      <w:r w:rsidRPr="006328CB">
        <w:rPr>
          <w:rFonts w:cs="Arial"/>
        </w:rPr>
        <w:t>products, are included in the patient costing</w:t>
      </w:r>
      <w:r>
        <w:rPr>
          <w:rFonts w:cs="Arial"/>
        </w:rPr>
        <w:t> </w:t>
      </w:r>
      <w:r w:rsidRPr="006328CB">
        <w:rPr>
          <w:rFonts w:cs="Arial"/>
        </w:rPr>
        <w:t>process.</w:t>
      </w:r>
    </w:p>
    <w:p w14:paraId="66486F85" w14:textId="19341EAD" w:rsidR="00C415F5" w:rsidRDefault="0001300D">
      <w:pPr>
        <w:spacing w:line="256" w:lineRule="auto"/>
        <w:rPr>
          <w:rFonts w:cs="Arial"/>
        </w:rPr>
      </w:pPr>
      <w:r>
        <w:rPr>
          <w:rFonts w:cs="Arial"/>
        </w:rPr>
        <w:br w:type="column"/>
      </w:r>
    </w:p>
    <w:p w14:paraId="385F8329" w14:textId="2FC2FBF3" w:rsidR="006328CB" w:rsidRPr="0065414C" w:rsidRDefault="006328CB">
      <w:pPr>
        <w:spacing w:line="256" w:lineRule="auto"/>
        <w:rPr>
          <w:rFonts w:cs="Arial"/>
        </w:rPr>
        <w:sectPr w:rsidR="006328CB" w:rsidRPr="0065414C" w:rsidSect="003821A2">
          <w:headerReference w:type="default" r:id="rId68"/>
          <w:type w:val="continuous"/>
          <w:pgSz w:w="11910" w:h="16840"/>
          <w:pgMar w:top="1440" w:right="1440" w:bottom="1440" w:left="1440" w:header="0" w:footer="656" w:gutter="0"/>
          <w:cols w:num="2" w:space="340"/>
        </w:sectPr>
      </w:pPr>
    </w:p>
    <w:p w14:paraId="4337815A" w14:textId="77777777" w:rsidR="00592035" w:rsidRPr="0065414C" w:rsidRDefault="00592035" w:rsidP="005B7291">
      <w:pPr>
        <w:pStyle w:val="SectionNumber"/>
      </w:pPr>
      <w:bookmarkStart w:id="123" w:name="_10_Pricing_and"/>
      <w:bookmarkStart w:id="124" w:name="_Toc49953779"/>
      <w:bookmarkEnd w:id="123"/>
      <w:r w:rsidRPr="0065414C">
        <w:rPr>
          <w:lang w:bidi="ar-SA"/>
        </w:rPr>
        <w:lastRenderedPageBreak/>
        <w:drawing>
          <wp:anchor distT="0" distB="0" distL="114300" distR="114300" simplePos="0" relativeHeight="251631616" behindDoc="1" locked="0" layoutInCell="1" allowOverlap="1" wp14:anchorId="60AF955B" wp14:editId="4B01AA2F">
            <wp:simplePos x="0" y="0"/>
            <wp:positionH relativeFrom="margin">
              <wp:posOffset>-914400</wp:posOffset>
            </wp:positionH>
            <wp:positionV relativeFrom="page">
              <wp:posOffset>954157</wp:posOffset>
            </wp:positionV>
            <wp:extent cx="5462267" cy="3577464"/>
            <wp:effectExtent l="0" t="0" r="0" b="0"/>
            <wp:wrapNone/>
            <wp:docPr id="19" name="Picture 1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462267" cy="3577464"/>
                    </a:xfrm>
                    <a:prstGeom prst="rect">
                      <a:avLst/>
                    </a:prstGeom>
                    <a:noFill/>
                    <a:ln>
                      <a:noFill/>
                    </a:ln>
                  </pic:spPr>
                </pic:pic>
              </a:graphicData>
            </a:graphic>
          </wp:anchor>
        </w:drawing>
      </w:r>
      <w:r w:rsidRPr="0065414C">
        <w:t>10</w:t>
      </w:r>
      <w:bookmarkEnd w:id="124"/>
    </w:p>
    <w:p w14:paraId="436A4225" w14:textId="77777777" w:rsidR="00592035" w:rsidRPr="0065414C" w:rsidRDefault="00DF4954" w:rsidP="005B7291">
      <w:pPr>
        <w:pStyle w:val="Sectionheader"/>
        <w:ind w:right="3076"/>
        <w:sectPr w:rsidR="00592035" w:rsidRPr="0065414C" w:rsidSect="008613E1">
          <w:headerReference w:type="default" r:id="rId69"/>
          <w:pgSz w:w="11910" w:h="16840"/>
          <w:pgMar w:top="3970" w:right="1440" w:bottom="1440" w:left="1440" w:header="0" w:footer="656" w:gutter="0"/>
          <w:cols w:space="720"/>
        </w:sectPr>
      </w:pPr>
      <w:bookmarkStart w:id="125" w:name="_Toc49953780"/>
      <w:r w:rsidRPr="0065414C">
        <w:t xml:space="preserve">Setting the </w:t>
      </w:r>
      <w:r w:rsidR="00B50359" w:rsidRPr="0065414C">
        <w:t>n</w:t>
      </w:r>
      <w:r w:rsidRPr="0065414C">
        <w:t xml:space="preserve">ational </w:t>
      </w:r>
      <w:r w:rsidR="00B50359" w:rsidRPr="0065414C">
        <w:t>e</w:t>
      </w:r>
      <w:r w:rsidRPr="0065414C">
        <w:t xml:space="preserve">fficient </w:t>
      </w:r>
      <w:r w:rsidR="00B50359" w:rsidRPr="0065414C">
        <w:t>c</w:t>
      </w:r>
      <w:r w:rsidRPr="0065414C">
        <w:t>ost</w:t>
      </w:r>
      <w:bookmarkEnd w:id="125"/>
    </w:p>
    <w:p w14:paraId="5E786739" w14:textId="77777777" w:rsidR="00C415F5" w:rsidRPr="0065414C" w:rsidRDefault="007D7009" w:rsidP="005B7291">
      <w:pPr>
        <w:pStyle w:val="Heading1"/>
        <w:ind w:left="1418" w:right="1233" w:hanging="1361"/>
        <w:rPr>
          <w:rFonts w:cs="Arial"/>
        </w:rPr>
      </w:pPr>
      <w:bookmarkStart w:id="126" w:name="_Toc45809630"/>
      <w:bookmarkStart w:id="127" w:name="_Toc49953781"/>
      <w:bookmarkStart w:id="128" w:name="_Toc58930521"/>
      <w:r w:rsidRPr="0065414C">
        <w:rPr>
          <w:rFonts w:cs="Arial"/>
          <w:noProof/>
          <w:color w:val="FFFFFF" w:themeColor="background1"/>
          <w:lang w:eastAsia="en-AU" w:bidi="ar-SA"/>
        </w:rPr>
        <w:lastRenderedPageBreak/>
        <w:drawing>
          <wp:anchor distT="0" distB="0" distL="114300" distR="114300" simplePos="0" relativeHeight="251649024" behindDoc="1" locked="0" layoutInCell="1" allowOverlap="1" wp14:anchorId="19EABD05" wp14:editId="5D622A87">
            <wp:simplePos x="0" y="0"/>
            <wp:positionH relativeFrom="column">
              <wp:posOffset>-914400</wp:posOffset>
            </wp:positionH>
            <wp:positionV relativeFrom="page">
              <wp:posOffset>667054</wp:posOffset>
            </wp:positionV>
            <wp:extent cx="1685417" cy="946146"/>
            <wp:effectExtent l="0" t="0" r="0" b="0"/>
            <wp:wrapNone/>
            <wp:docPr id="24" name="Picture 2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685417" cy="946146"/>
                    </a:xfrm>
                    <a:prstGeom prst="rect">
                      <a:avLst/>
                    </a:prstGeom>
                    <a:noFill/>
                    <a:ln>
                      <a:noFill/>
                    </a:ln>
                  </pic:spPr>
                </pic:pic>
              </a:graphicData>
            </a:graphic>
          </wp:anchor>
        </w:drawing>
      </w:r>
      <w:r w:rsidR="005C05C7" w:rsidRPr="0065414C">
        <w:rPr>
          <w:rFonts w:cs="Arial"/>
          <w:color w:val="FFFFFF" w:themeColor="background1"/>
        </w:rPr>
        <w:t>10</w:t>
      </w:r>
      <w:r w:rsidR="005C05C7" w:rsidRPr="0065414C">
        <w:rPr>
          <w:rFonts w:cs="Arial"/>
        </w:rPr>
        <w:tab/>
      </w:r>
      <w:r w:rsidRPr="0065414C">
        <w:rPr>
          <w:rFonts w:cs="Arial"/>
        </w:rPr>
        <w:tab/>
      </w:r>
      <w:r w:rsidR="00DF4954" w:rsidRPr="0065414C">
        <w:rPr>
          <w:rFonts w:cs="Arial"/>
        </w:rPr>
        <w:t xml:space="preserve">Setting the </w:t>
      </w:r>
      <w:r w:rsidR="00B50359" w:rsidRPr="0065414C">
        <w:rPr>
          <w:rFonts w:cs="Arial"/>
        </w:rPr>
        <w:t>n</w:t>
      </w:r>
      <w:r w:rsidR="00DF4954" w:rsidRPr="0065414C">
        <w:rPr>
          <w:rFonts w:cs="Arial"/>
        </w:rPr>
        <w:t xml:space="preserve">ational </w:t>
      </w:r>
      <w:r w:rsidR="00B50359" w:rsidRPr="0065414C">
        <w:rPr>
          <w:rFonts w:cs="Arial"/>
        </w:rPr>
        <w:t>e</w:t>
      </w:r>
      <w:r w:rsidR="00DF4954" w:rsidRPr="0065414C">
        <w:rPr>
          <w:rFonts w:cs="Arial"/>
        </w:rPr>
        <w:t xml:space="preserve">fficient </w:t>
      </w:r>
      <w:r w:rsidR="00B50359" w:rsidRPr="0065414C">
        <w:rPr>
          <w:rFonts w:cs="Arial"/>
        </w:rPr>
        <w:t>c</w:t>
      </w:r>
      <w:r w:rsidR="00DF4954" w:rsidRPr="0065414C">
        <w:rPr>
          <w:rFonts w:cs="Arial"/>
        </w:rPr>
        <w:t>ost</w:t>
      </w:r>
      <w:bookmarkEnd w:id="126"/>
      <w:bookmarkEnd w:id="127"/>
      <w:bookmarkEnd w:id="128"/>
    </w:p>
    <w:p w14:paraId="4C1CD11E" w14:textId="77777777" w:rsidR="00C415F5" w:rsidRPr="0065414C" w:rsidRDefault="00C415F5" w:rsidP="003932A6">
      <w:pPr>
        <w:pStyle w:val="BodyText"/>
        <w:rPr>
          <w:rFonts w:cs="Arial"/>
        </w:rPr>
      </w:pPr>
    </w:p>
    <w:p w14:paraId="088F5CD2" w14:textId="77777777" w:rsidR="00C415F5" w:rsidRPr="0065414C" w:rsidRDefault="00C415F5">
      <w:pPr>
        <w:rPr>
          <w:rFonts w:cs="Arial"/>
          <w:sz w:val="29"/>
        </w:rPr>
        <w:sectPr w:rsidR="00C415F5" w:rsidRPr="0065414C" w:rsidSect="00483549">
          <w:headerReference w:type="default" r:id="rId70"/>
          <w:pgSz w:w="11910" w:h="16840"/>
          <w:pgMar w:top="1440" w:right="1440" w:bottom="1440" w:left="1440" w:header="0" w:footer="656" w:gutter="0"/>
          <w:cols w:space="720"/>
        </w:sectPr>
      </w:pPr>
    </w:p>
    <w:p w14:paraId="78938678" w14:textId="3AFF15A7" w:rsidR="00CC1647" w:rsidRPr="00CC1647" w:rsidRDefault="00CC1647" w:rsidP="001F6826">
      <w:pPr>
        <w:pStyle w:val="BodyText"/>
        <w:spacing w:before="0"/>
        <w:rPr>
          <w:rFonts w:cs="Arial"/>
        </w:rPr>
      </w:pPr>
      <w:r w:rsidRPr="00CC1647">
        <w:rPr>
          <w:rFonts w:cs="Arial"/>
        </w:rPr>
        <w:t>IHPA developed the national efficient cost (NEC) for hospitals with activity levels that are too low to</w:t>
      </w:r>
      <w:r w:rsidR="001F6826">
        <w:rPr>
          <w:rFonts w:cs="Arial"/>
        </w:rPr>
        <w:t> </w:t>
      </w:r>
      <w:r w:rsidRPr="00CC1647">
        <w:rPr>
          <w:rFonts w:cs="Arial"/>
        </w:rPr>
        <w:t>be funded on an activity basis, such as small rural</w:t>
      </w:r>
      <w:r w:rsidR="001F6826">
        <w:rPr>
          <w:rFonts w:cs="Arial"/>
        </w:rPr>
        <w:t> </w:t>
      </w:r>
      <w:r w:rsidRPr="00CC1647">
        <w:rPr>
          <w:rFonts w:cs="Arial"/>
        </w:rPr>
        <w:t>hospitals. These hospitals are funded by a block allocation based on their size, location and the type of services provided.</w:t>
      </w:r>
    </w:p>
    <w:p w14:paraId="4E9AA779" w14:textId="0FF74009" w:rsidR="00CC1647" w:rsidRPr="00CC1647" w:rsidRDefault="00CC1647" w:rsidP="00CC1647">
      <w:pPr>
        <w:pStyle w:val="BodyText"/>
        <w:rPr>
          <w:rFonts w:cs="Arial"/>
        </w:rPr>
      </w:pPr>
      <w:r w:rsidRPr="00CC1647">
        <w:rPr>
          <w:rFonts w:cs="Arial"/>
        </w:rPr>
        <w:t>A low volume threshold is currently used to determine whether a public hospital is eligible to</w:t>
      </w:r>
      <w:r w:rsidR="001F6826">
        <w:rPr>
          <w:rFonts w:cs="Arial"/>
        </w:rPr>
        <w:t> </w:t>
      </w:r>
      <w:r w:rsidRPr="00CC1647">
        <w:rPr>
          <w:rFonts w:cs="Arial"/>
        </w:rPr>
        <w:t>receive block funding. All hospital activity is</w:t>
      </w:r>
      <w:r w:rsidR="001F6826">
        <w:rPr>
          <w:rFonts w:cs="Arial"/>
        </w:rPr>
        <w:t> </w:t>
      </w:r>
      <w:r w:rsidRPr="00CC1647">
        <w:rPr>
          <w:rFonts w:cs="Arial"/>
        </w:rPr>
        <w:t>included in assessing it against the low volume</w:t>
      </w:r>
      <w:r w:rsidR="001F6826">
        <w:rPr>
          <w:rFonts w:cs="Arial"/>
        </w:rPr>
        <w:t> </w:t>
      </w:r>
      <w:r w:rsidRPr="00CC1647">
        <w:rPr>
          <w:rFonts w:cs="Arial"/>
        </w:rPr>
        <w:t>threshold, rather than just admitted acute</w:t>
      </w:r>
      <w:r w:rsidR="001F6826">
        <w:rPr>
          <w:rFonts w:cs="Arial"/>
        </w:rPr>
        <w:t> </w:t>
      </w:r>
      <w:r w:rsidRPr="00CC1647">
        <w:rPr>
          <w:rFonts w:cs="Arial"/>
        </w:rPr>
        <w:t xml:space="preserve">activity. </w:t>
      </w:r>
    </w:p>
    <w:p w14:paraId="625C1874" w14:textId="79908345" w:rsidR="00CC1647" w:rsidRDefault="00CC1647" w:rsidP="00CC1647">
      <w:pPr>
        <w:pStyle w:val="BodyText"/>
        <w:rPr>
          <w:rFonts w:cs="Arial"/>
        </w:rPr>
      </w:pPr>
      <w:r w:rsidRPr="00CC1647">
        <w:rPr>
          <w:rFonts w:cs="Arial"/>
        </w:rPr>
        <w:t>IHPA uses public hospital expenditure as reported in the National Public Hospital Establishments Database to determine the NEC for block funded hospitals. IHPA expects that continued improvements to the data collection will</w:t>
      </w:r>
      <w:r w:rsidR="001F6826">
        <w:rPr>
          <w:rFonts w:cs="Arial"/>
        </w:rPr>
        <w:t> </w:t>
      </w:r>
      <w:r w:rsidRPr="00CC1647">
        <w:rPr>
          <w:rFonts w:cs="Arial"/>
        </w:rPr>
        <w:t>lead to greater accuracy in reflecting the services</w:t>
      </w:r>
      <w:r w:rsidR="001F6826">
        <w:rPr>
          <w:rFonts w:cs="Arial"/>
        </w:rPr>
        <w:t> </w:t>
      </w:r>
      <w:r w:rsidRPr="00CC1647">
        <w:rPr>
          <w:rFonts w:cs="Arial"/>
        </w:rPr>
        <w:t>and activities undertaken by block funded</w:t>
      </w:r>
      <w:r w:rsidR="001F6826">
        <w:rPr>
          <w:rFonts w:cs="Arial"/>
        </w:rPr>
        <w:t> </w:t>
      </w:r>
      <w:r w:rsidRPr="00CC1647">
        <w:rPr>
          <w:rFonts w:cs="Arial"/>
        </w:rPr>
        <w:t>hospitals. In addition, work to price classifications for mental health and teaching and training should eventually result in more services being funded through activity based funding (ABF) rather than block funded amounts, increasing transparency of costs.</w:t>
      </w:r>
    </w:p>
    <w:p w14:paraId="6DFB3A0D" w14:textId="563F1383" w:rsidR="00C415F5" w:rsidRPr="0065414C" w:rsidRDefault="00603DEC" w:rsidP="001F6826">
      <w:pPr>
        <w:pStyle w:val="Heading2"/>
        <w:spacing w:before="0"/>
      </w:pPr>
      <w:r w:rsidRPr="0065414C">
        <w:rPr>
          <w:spacing w:val="-2"/>
        </w:rPr>
        <w:br w:type="column"/>
      </w:r>
      <w:bookmarkStart w:id="129" w:name="_Toc49953783"/>
      <w:bookmarkStart w:id="130" w:name="_Toc58930522"/>
      <w:r w:rsidR="00466DF0" w:rsidRPr="0065414C">
        <w:rPr>
          <w:spacing w:val="-2"/>
        </w:rPr>
        <w:t>10.</w:t>
      </w:r>
      <w:r w:rsidR="00CC1647">
        <w:rPr>
          <w:spacing w:val="-2"/>
        </w:rPr>
        <w:t>1</w:t>
      </w:r>
      <w:r w:rsidR="00EF5D73" w:rsidRPr="0065414C">
        <w:rPr>
          <w:spacing w:val="-2"/>
        </w:rPr>
        <w:t>.</w:t>
      </w:r>
      <w:r w:rsidR="00466DF0" w:rsidRPr="0065414C">
        <w:rPr>
          <w:spacing w:val="-2"/>
        </w:rPr>
        <w:t xml:space="preserve"> </w:t>
      </w:r>
      <w:r w:rsidR="00DF4954" w:rsidRPr="0065414C">
        <w:t>The ‘</w:t>
      </w:r>
      <w:r w:rsidR="00B50359" w:rsidRPr="0065414C">
        <w:t>fixed-plus-variable’ model</w:t>
      </w:r>
      <w:bookmarkEnd w:id="129"/>
      <w:bookmarkEnd w:id="130"/>
    </w:p>
    <w:p w14:paraId="5FF23685" w14:textId="53A055AA" w:rsidR="001F6826" w:rsidRPr="001F6826" w:rsidRDefault="001F6826" w:rsidP="001F6826">
      <w:pPr>
        <w:pStyle w:val="BodyText"/>
        <w:rPr>
          <w:rFonts w:cs="Arial"/>
        </w:rPr>
      </w:pPr>
      <w:r w:rsidRPr="001F6826">
        <w:rPr>
          <w:rFonts w:cs="Arial"/>
        </w:rPr>
        <w:t xml:space="preserve">Both ABF and block funding approaches cover services that are within the scope of the National Health Reform Agreement. The key difference is that the ABF model calculates an efficient price per episode of care, while the block funded model calculates an efficient cost for the hospital. </w:t>
      </w:r>
    </w:p>
    <w:p w14:paraId="6A228014" w14:textId="67FEE2EC" w:rsidR="001F6826" w:rsidRPr="001F6826" w:rsidRDefault="001F6826" w:rsidP="001F6826">
      <w:pPr>
        <w:pStyle w:val="BodyText"/>
        <w:rPr>
          <w:rFonts w:cs="Arial"/>
        </w:rPr>
      </w:pPr>
      <w:r w:rsidRPr="001F6826">
        <w:rPr>
          <w:rFonts w:cs="Arial"/>
        </w:rPr>
        <w:t>In 2019, IHPA worked with its Small Rural Hospital Working Group to develop a ‘fixed-</w:t>
      </w:r>
      <w:r>
        <w:rPr>
          <w:rFonts w:cs="Arial"/>
        </w:rPr>
        <w:t>‍</w:t>
      </w:r>
      <w:r w:rsidRPr="001F6826">
        <w:rPr>
          <w:rFonts w:cs="Arial"/>
        </w:rPr>
        <w:t>plus-</w:t>
      </w:r>
      <w:r>
        <w:rPr>
          <w:rFonts w:cs="Arial"/>
        </w:rPr>
        <w:t>‍</w:t>
      </w:r>
      <w:r w:rsidRPr="001F6826">
        <w:rPr>
          <w:rFonts w:cs="Arial"/>
        </w:rPr>
        <w:t>variable’ model where the total modelled cost of each hospital is based on a fixed</w:t>
      </w:r>
      <w:r>
        <w:rPr>
          <w:rFonts w:cs="Arial"/>
        </w:rPr>
        <w:t> </w:t>
      </w:r>
      <w:r w:rsidRPr="001F6826">
        <w:rPr>
          <w:rFonts w:cs="Arial"/>
        </w:rPr>
        <w:t>component as well as a variable ABF style</w:t>
      </w:r>
      <w:r>
        <w:rPr>
          <w:rFonts w:cs="Arial"/>
        </w:rPr>
        <w:t> </w:t>
      </w:r>
      <w:r w:rsidRPr="001F6826">
        <w:rPr>
          <w:rFonts w:cs="Arial"/>
        </w:rPr>
        <w:t>component. Under this approach, the fixed component decreases while the variable component increases, reflecting volume of</w:t>
      </w:r>
      <w:r>
        <w:rPr>
          <w:rFonts w:cs="Arial"/>
        </w:rPr>
        <w:t> </w:t>
      </w:r>
      <w:r w:rsidRPr="001F6826">
        <w:rPr>
          <w:rFonts w:cs="Arial"/>
        </w:rPr>
        <w:t xml:space="preserve">activity. </w:t>
      </w:r>
    </w:p>
    <w:p w14:paraId="48987175" w14:textId="7216D15D" w:rsidR="001F6826" w:rsidRPr="001F6826" w:rsidRDefault="001F6826" w:rsidP="001F6826">
      <w:pPr>
        <w:pStyle w:val="BodyText"/>
        <w:rPr>
          <w:rFonts w:cs="Arial"/>
        </w:rPr>
      </w:pPr>
      <w:r w:rsidRPr="001F6826">
        <w:rPr>
          <w:rFonts w:cs="Arial"/>
        </w:rPr>
        <w:t>The new model addresses two key objectives. It</w:t>
      </w:r>
      <w:r>
        <w:rPr>
          <w:rFonts w:cs="Arial"/>
        </w:rPr>
        <w:t> </w:t>
      </w:r>
      <w:r w:rsidRPr="001F6826">
        <w:rPr>
          <w:rFonts w:cs="Arial"/>
        </w:rPr>
        <w:t>removes the potential financial disincentive when shifting services from an ABF hospital to</w:t>
      </w:r>
      <w:r>
        <w:rPr>
          <w:rFonts w:cs="Arial"/>
        </w:rPr>
        <w:t> </w:t>
      </w:r>
      <w:r w:rsidRPr="001F6826">
        <w:rPr>
          <w:rFonts w:cs="Arial"/>
        </w:rPr>
        <w:t>one that is block-funded. It is also more responsive to changes in activity levels in block-</w:t>
      </w:r>
      <w:r>
        <w:rPr>
          <w:rFonts w:cs="Arial"/>
        </w:rPr>
        <w:t>‍</w:t>
      </w:r>
      <w:r w:rsidRPr="001F6826">
        <w:rPr>
          <w:rFonts w:cs="Arial"/>
        </w:rPr>
        <w:t xml:space="preserve">funded hospitals. </w:t>
      </w:r>
    </w:p>
    <w:p w14:paraId="5D40AFA6" w14:textId="4CDC7D41" w:rsidR="00B50359" w:rsidRPr="0065414C" w:rsidRDefault="001F6826" w:rsidP="001F6826">
      <w:pPr>
        <w:pStyle w:val="BodyText"/>
        <w:rPr>
          <w:rFonts w:cs="Arial"/>
        </w:rPr>
      </w:pPr>
      <w:r w:rsidRPr="0065414C">
        <w:rPr>
          <w:rFonts w:cs="Arial"/>
          <w:noProof/>
          <w:lang w:eastAsia="en-AU" w:bidi="ar-SA"/>
        </w:rPr>
        <mc:AlternateContent>
          <mc:Choice Requires="wps">
            <w:drawing>
              <wp:anchor distT="0" distB="0" distL="0" distR="0" simplePos="0" relativeHeight="251619321" behindDoc="1" locked="0" layoutInCell="1" allowOverlap="1" wp14:anchorId="17A6E798" wp14:editId="572A9453">
                <wp:simplePos x="0" y="0"/>
                <wp:positionH relativeFrom="margin">
                  <wp:posOffset>2971800</wp:posOffset>
                </wp:positionH>
                <wp:positionV relativeFrom="paragraph">
                  <wp:posOffset>544315</wp:posOffset>
                </wp:positionV>
                <wp:extent cx="2743200" cy="1129030"/>
                <wp:effectExtent l="0" t="0" r="19050" b="13970"/>
                <wp:wrapTopAndBottom/>
                <wp:docPr id="58" name="Text Box 2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129030"/>
                        </a:xfrm>
                        <a:prstGeom prst="rect">
                          <a:avLst/>
                        </a:prstGeom>
                        <a:noFill/>
                        <a:ln w="9525">
                          <a:solidFill>
                            <a:schemeClr val="tx2">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C4FB433" w14:textId="61D08F5D" w:rsidR="00C93E72" w:rsidRPr="005470B1" w:rsidRDefault="00C93E72" w:rsidP="001F6826">
                            <w:pPr>
                              <w:pStyle w:val="Questionheading"/>
                              <w:ind w:left="284"/>
                            </w:pPr>
                            <w:r>
                              <w:t>IHPA’s decision</w:t>
                            </w:r>
                          </w:p>
                          <w:p w14:paraId="38C0C7B1" w14:textId="63DFD0CC" w:rsidR="00C93E72" w:rsidRDefault="00C93E72" w:rsidP="001F6826">
                            <w:pPr>
                              <w:pStyle w:val="BodyText"/>
                              <w:ind w:left="284"/>
                            </w:pPr>
                            <w:r w:rsidRPr="001F6826">
                              <w:t>IHPA will continue to use the ‘fixed-</w:t>
                            </w:r>
                            <w:r>
                              <w:t>‍</w:t>
                            </w:r>
                            <w:r w:rsidRPr="001F6826">
                              <w:t>plus-</w:t>
                            </w:r>
                            <w:r>
                              <w:t>‍</w:t>
                            </w:r>
                            <w:r w:rsidRPr="001F6826">
                              <w:t>variable’ model for NEC Determination 2021–</w:t>
                            </w:r>
                            <w:r>
                              <w:t>‍</w:t>
                            </w:r>
                            <w:r w:rsidRPr="001F6826">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6E798" id="_x0000_s1059" type="#_x0000_t202" style="position:absolute;margin-left:234pt;margin-top:42.85pt;width:3in;height:88.9pt;z-index:-251697159;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E87wQIAAJYFAAAOAAAAZHJzL2Uyb0RvYy54bWysVMlu2zAQvRfoPxC8K1pty0bkwLbsokC6&#10;AEk/gJYoiyhFqiRtKS3y7x1SluM0l6KoDtRwezNv5nFu7/qGoxNVmkmR4fAmwIiKQpZMHDL87XHn&#10;pRhpQ0RJuBQ0w09U47vl+3e3XbugkawlL6lCACL0omszXBvTLnxfFzVtiL6RLRWwWUnVEANTdfBL&#10;RTpAb7gfBcHU76QqWyULqjWs5sMmXjr8qqKF+VJVmhrEMwyxGTcqN+7t6C9vyeKgSFuz4hwG+Yco&#10;GsIEOL1A5cQQdFTsDVTDCiW1rMxNIRtfVhUrqOMAbMLgDzYPNWmp4wLJ0e0lTfr/wRafT18VYmWG&#10;J1ApQRqo0SPtDVrLHkVzxwmm99pYdnbDsfq1CdM4n+2m3jqZp14Sr2NvnqRrL5xF6XoSrVbTbfJs&#10;s+u7W+6+37V64Rza8jjzoQXvpgdnIB7nTLf3sviukZCbmogDXSklu5qSEkiHDvDq6oCjLci++yRL&#10;CJ4cjXRAfaUaGzPkGAE6FP/pUnDLo4DFaJbEoCKMCtgLw2gexE4SEPR4vVXafKCyQdbIsAJFOXhy&#10;Ak4Dv/GI9SbkjnHuVMUF6jI8n0STgZjkrLSb9pjTN91whU4ElGn6yJ3hxwZYDGthYL9BoLAOMh7W&#10;xwAvEC7H+hq9YQYeFWdNhtMrFJvFrShdcIYwPtjAlYtzcd+UeR7Mt+k2Tbwkmm69JMhzb7XbJN50&#10;F84meZxvNnn4bEMPk0XNypIKy3B8SGHyd0I9P+nhCVye0itKWh32l3Tt3HdW19Ux/3UYo/jG/4sI&#10;rWIG7Zh+3zv5x7HFs9ray/IJBKXk0CyguYFRS/UTow4aRYb1jyNRFCP+UYAobVcZDTUa+9EgooCr&#10;UGGMBnNjhu5zbBU71IA8yF7IFQi3Yk5SL1FA6HYCj9+RODcq212u5+7USztd/gYAAP//AwBQSwME&#10;FAAGAAgAAAAhAB84CHLiAAAACgEAAA8AAABkcnMvZG93bnJldi54bWxMj8FOwzAQRO9I/IO1SNyo&#10;TUvTELKpEKjigFRBQQhubrwkEfY6it025esxJzjOzmj2TbkcnRV7GkLnGeFyokAQ19503CC8vqwu&#10;chAhajbaeiaEIwVYVqcnpS6MP/Az7TexEamEQ6ER2hj7QspQt+R0mPieOHmffnA6Jjk00gz6kMqd&#10;lVOlMul0x+lDq3u6a6n+2uwcQoz5vVUPHfFq/XT8WH8vZm/vj4jnZ+PtDYhIY/wLwy9+QocqMW39&#10;jk0QFuEqy9OWiJDPFyBS4FqpdNgiTLPZHGRVyv8Tqh8AAAD//wMAUEsBAi0AFAAGAAgAAAAhALaD&#10;OJL+AAAA4QEAABMAAAAAAAAAAAAAAAAAAAAAAFtDb250ZW50X1R5cGVzXS54bWxQSwECLQAUAAYA&#10;CAAAACEAOP0h/9YAAACUAQAACwAAAAAAAAAAAAAAAAAvAQAAX3JlbHMvLnJlbHNQSwECLQAUAAYA&#10;CAAAACEASUxPO8ECAACWBQAADgAAAAAAAAAAAAAAAAAuAgAAZHJzL2Uyb0RvYy54bWxQSwECLQAU&#10;AAYACAAAACEAHzgIcuIAAAAKAQAADwAAAAAAAAAAAAAAAAAbBQAAZHJzL2Rvd25yZXYueG1sUEsF&#10;BgAAAAAEAAQA8wAAACoGAAAAAA==&#10;" filled="f" strokecolor="#003e2d [3215]">
                <v:textbox inset="0,0,0,0">
                  <w:txbxContent>
                    <w:p w14:paraId="1C4FB433" w14:textId="61D08F5D" w:rsidR="00C93E72" w:rsidRPr="005470B1" w:rsidRDefault="00C93E72" w:rsidP="001F6826">
                      <w:pPr>
                        <w:pStyle w:val="Questionheading"/>
                        <w:ind w:left="284"/>
                      </w:pPr>
                      <w:r>
                        <w:t>IHPA’s decision</w:t>
                      </w:r>
                    </w:p>
                    <w:p w14:paraId="38C0C7B1" w14:textId="63DFD0CC" w:rsidR="00C93E72" w:rsidRDefault="00C93E72" w:rsidP="001F6826">
                      <w:pPr>
                        <w:pStyle w:val="BodyText"/>
                        <w:ind w:left="284"/>
                      </w:pPr>
                      <w:r w:rsidRPr="001F6826">
                        <w:t>IHPA will continue to use the ‘fixed-</w:t>
                      </w:r>
                      <w:r>
                        <w:t>‍</w:t>
                      </w:r>
                      <w:r w:rsidRPr="001F6826">
                        <w:t>plus-</w:t>
                      </w:r>
                      <w:r>
                        <w:t>‍</w:t>
                      </w:r>
                      <w:r w:rsidRPr="001F6826">
                        <w:t>variable’ model for NEC Determination 2021–</w:t>
                      </w:r>
                      <w:r>
                        <w:t>‍</w:t>
                      </w:r>
                      <w:r w:rsidRPr="001F6826">
                        <w:t>22.</w:t>
                      </w:r>
                    </w:p>
                  </w:txbxContent>
                </v:textbox>
                <w10:wrap type="topAndBottom" anchorx="margin"/>
              </v:shape>
            </w:pict>
          </mc:Fallback>
        </mc:AlternateContent>
      </w:r>
      <w:r w:rsidRPr="001F6826">
        <w:rPr>
          <w:rFonts w:cs="Arial"/>
        </w:rPr>
        <w:t xml:space="preserve">IHPA introduced the ‘fixed-plus-variable’ model for the NEC Determination 2020–21. </w:t>
      </w:r>
    </w:p>
    <w:p w14:paraId="159F68CC" w14:textId="77777777" w:rsidR="00B50359" w:rsidRPr="0065414C" w:rsidRDefault="00B50359" w:rsidP="00DF4954">
      <w:pPr>
        <w:pStyle w:val="BodyText"/>
        <w:rPr>
          <w:rFonts w:cs="Arial"/>
        </w:rPr>
      </w:pPr>
    </w:p>
    <w:p w14:paraId="1F840665" w14:textId="77777777" w:rsidR="00B50359" w:rsidRPr="0065414C" w:rsidRDefault="00B50359" w:rsidP="00DF4954">
      <w:pPr>
        <w:pStyle w:val="BodyText"/>
        <w:rPr>
          <w:rFonts w:cs="Arial"/>
        </w:rPr>
      </w:pPr>
    </w:p>
    <w:p w14:paraId="26F61195" w14:textId="77777777" w:rsidR="00B50359" w:rsidRPr="0065414C" w:rsidRDefault="00B50359" w:rsidP="00DF4954">
      <w:pPr>
        <w:pStyle w:val="BodyText"/>
        <w:rPr>
          <w:rFonts w:cs="Arial"/>
        </w:rPr>
        <w:sectPr w:rsidR="00B50359" w:rsidRPr="0065414C" w:rsidSect="00466DF0">
          <w:type w:val="continuous"/>
          <w:pgSz w:w="11910" w:h="16840"/>
          <w:pgMar w:top="1440" w:right="1440" w:bottom="1440" w:left="1440" w:header="720" w:footer="720" w:gutter="0"/>
          <w:cols w:num="2" w:space="340"/>
        </w:sectPr>
      </w:pPr>
    </w:p>
    <w:p w14:paraId="490D4025" w14:textId="77777777" w:rsidR="002531DC" w:rsidRPr="0065414C" w:rsidRDefault="002531DC" w:rsidP="005B7291">
      <w:pPr>
        <w:pStyle w:val="SectionNumber"/>
      </w:pPr>
      <w:bookmarkStart w:id="131" w:name="_Toc49953784"/>
      <w:r w:rsidRPr="0065414C">
        <w:rPr>
          <w:lang w:bidi="ar-SA"/>
        </w:rPr>
        <w:lastRenderedPageBreak/>
        <w:drawing>
          <wp:anchor distT="0" distB="0" distL="114300" distR="114300" simplePos="0" relativeHeight="251652096" behindDoc="1" locked="0" layoutInCell="1" allowOverlap="1" wp14:anchorId="5FD6F9AA" wp14:editId="5534D14A">
            <wp:simplePos x="0" y="0"/>
            <wp:positionH relativeFrom="margin">
              <wp:posOffset>-914400</wp:posOffset>
            </wp:positionH>
            <wp:positionV relativeFrom="page">
              <wp:posOffset>954157</wp:posOffset>
            </wp:positionV>
            <wp:extent cx="5462269" cy="3577465"/>
            <wp:effectExtent l="0" t="0" r="0" b="0"/>
            <wp:wrapNone/>
            <wp:docPr id="43" name="Picture 4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65414C">
        <w:t>11</w:t>
      </w:r>
      <w:bookmarkEnd w:id="131"/>
    </w:p>
    <w:p w14:paraId="1C629C11" w14:textId="5A989EB5" w:rsidR="00C415F5" w:rsidRPr="0065414C" w:rsidRDefault="002531DC" w:rsidP="005B7291">
      <w:pPr>
        <w:pStyle w:val="Sectionheader"/>
        <w:sectPr w:rsidR="00C415F5" w:rsidRPr="0065414C" w:rsidSect="002531DC">
          <w:pgSz w:w="11910" w:h="16840"/>
          <w:pgMar w:top="3969" w:right="1440" w:bottom="1440" w:left="1440" w:header="720" w:footer="720" w:gutter="0"/>
          <w:cols w:space="340"/>
        </w:sectPr>
      </w:pPr>
      <w:bookmarkStart w:id="132" w:name="_Toc49953785"/>
      <w:r w:rsidRPr="0065414C">
        <w:t>Alternat</w:t>
      </w:r>
      <w:r w:rsidR="00F9765E">
        <w:t>ive</w:t>
      </w:r>
      <w:r w:rsidRPr="0065414C">
        <w:t xml:space="preserve"> </w:t>
      </w:r>
      <w:r w:rsidR="00785B9C" w:rsidRPr="0065414C">
        <w:t>f</w:t>
      </w:r>
      <w:r w:rsidRPr="0065414C">
        <w:t xml:space="preserve">unding </w:t>
      </w:r>
      <w:r w:rsidR="00785B9C" w:rsidRPr="0065414C">
        <w:t>m</w:t>
      </w:r>
      <w:r w:rsidRPr="0065414C">
        <w:t>odels</w:t>
      </w:r>
      <w:bookmarkEnd w:id="132"/>
    </w:p>
    <w:p w14:paraId="0E09FCBD" w14:textId="7545616A" w:rsidR="00CA6827" w:rsidRPr="0065414C" w:rsidRDefault="00CA6827" w:rsidP="00CA6827">
      <w:pPr>
        <w:pStyle w:val="Heading1"/>
        <w:ind w:left="1418" w:hanging="1276"/>
        <w:rPr>
          <w:rFonts w:cs="Arial"/>
        </w:rPr>
      </w:pPr>
      <w:bookmarkStart w:id="133" w:name="_bookmark21"/>
      <w:bookmarkStart w:id="134" w:name="_Toc45809635"/>
      <w:bookmarkStart w:id="135" w:name="_Toc49953786"/>
      <w:bookmarkStart w:id="136" w:name="_Toc58930523"/>
      <w:bookmarkEnd w:id="133"/>
      <w:r w:rsidRPr="0065414C">
        <w:rPr>
          <w:rFonts w:cs="Arial"/>
          <w:noProof/>
          <w:color w:val="FFFFFF" w:themeColor="background1"/>
          <w:lang w:eastAsia="en-AU" w:bidi="ar-SA"/>
        </w:rPr>
        <w:lastRenderedPageBreak/>
        <w:drawing>
          <wp:anchor distT="0" distB="0" distL="114300" distR="114300" simplePos="0" relativeHeight="251657216" behindDoc="1" locked="0" layoutInCell="1" allowOverlap="1" wp14:anchorId="664DD840" wp14:editId="536DFD52">
            <wp:simplePos x="0" y="0"/>
            <wp:positionH relativeFrom="column">
              <wp:posOffset>-914400</wp:posOffset>
            </wp:positionH>
            <wp:positionV relativeFrom="page">
              <wp:posOffset>652007</wp:posOffset>
            </wp:positionV>
            <wp:extent cx="1685422" cy="946149"/>
            <wp:effectExtent l="0" t="0" r="0" b="0"/>
            <wp:wrapNone/>
            <wp:docPr id="44" name="Picture 4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Pr="0065414C">
        <w:rPr>
          <w:rFonts w:cs="Arial"/>
          <w:color w:val="FFFFFF" w:themeColor="background1"/>
        </w:rPr>
        <w:t>11</w:t>
      </w:r>
      <w:r w:rsidRPr="0065414C">
        <w:rPr>
          <w:rFonts w:cs="Arial"/>
        </w:rPr>
        <w:tab/>
      </w:r>
      <w:r w:rsidRPr="0065414C">
        <w:rPr>
          <w:rFonts w:cs="Arial"/>
        </w:rPr>
        <w:tab/>
      </w:r>
      <w:r w:rsidRPr="005B47BB">
        <w:rPr>
          <w:rFonts w:cs="Arial"/>
        </w:rPr>
        <w:t>Alternat</w:t>
      </w:r>
      <w:r w:rsidR="00F9765E">
        <w:rPr>
          <w:rFonts w:cs="Arial"/>
        </w:rPr>
        <w:t>ive</w:t>
      </w:r>
      <w:r w:rsidRPr="0065414C">
        <w:rPr>
          <w:rFonts w:cs="Arial"/>
        </w:rPr>
        <w:t xml:space="preserve"> </w:t>
      </w:r>
      <w:r w:rsidR="00EF5D73" w:rsidRPr="0065414C">
        <w:rPr>
          <w:rFonts w:cs="Arial"/>
        </w:rPr>
        <w:t>f</w:t>
      </w:r>
      <w:r w:rsidRPr="0065414C">
        <w:rPr>
          <w:rFonts w:cs="Arial"/>
        </w:rPr>
        <w:t xml:space="preserve">unding </w:t>
      </w:r>
      <w:r w:rsidR="00EF5D73" w:rsidRPr="0065414C">
        <w:rPr>
          <w:rFonts w:cs="Arial"/>
        </w:rPr>
        <w:t>m</w:t>
      </w:r>
      <w:r w:rsidRPr="0065414C">
        <w:rPr>
          <w:rFonts w:cs="Arial"/>
        </w:rPr>
        <w:t>odels</w:t>
      </w:r>
      <w:bookmarkEnd w:id="134"/>
      <w:bookmarkEnd w:id="135"/>
      <w:bookmarkEnd w:id="136"/>
    </w:p>
    <w:p w14:paraId="303199DB" w14:textId="77777777" w:rsidR="00CA6827" w:rsidRPr="0065414C" w:rsidRDefault="00CA6827" w:rsidP="00CA6827">
      <w:pPr>
        <w:pStyle w:val="BodyText"/>
        <w:rPr>
          <w:rFonts w:cs="Arial"/>
        </w:rPr>
      </w:pPr>
    </w:p>
    <w:p w14:paraId="79E82D10" w14:textId="77777777" w:rsidR="00CA6827" w:rsidRPr="0065414C" w:rsidRDefault="00CA6827" w:rsidP="00DE2ED2">
      <w:pPr>
        <w:pStyle w:val="Heading2"/>
        <w:rPr>
          <w:rFonts w:cs="Arial"/>
        </w:rPr>
        <w:sectPr w:rsidR="00CA6827" w:rsidRPr="0065414C" w:rsidSect="00CA6827">
          <w:headerReference w:type="default" r:id="rId71"/>
          <w:pgSz w:w="11910" w:h="16840"/>
          <w:pgMar w:top="1440" w:right="1440" w:bottom="1440" w:left="1440" w:header="0" w:footer="656" w:gutter="0"/>
          <w:cols w:space="340"/>
        </w:sectPr>
      </w:pPr>
    </w:p>
    <w:p w14:paraId="49988F3F" w14:textId="1BA43672" w:rsidR="00714F6E" w:rsidRPr="002D46F2" w:rsidRDefault="00714F6E" w:rsidP="002D46F2">
      <w:pPr>
        <w:pStyle w:val="BodyText"/>
      </w:pPr>
      <w:r w:rsidRPr="002D46F2">
        <w:t xml:space="preserve">Activity based funding (ABF) has proved to be a very effective funding mechanism since it was introduced nationally for Australian public hospitals in 2012. ABF provides transparency of funding and allows the comparison of variation in cost across public hospitals nationally. This has led to improved technical efficiencies in the delivery of public hospital services. </w:t>
      </w:r>
    </w:p>
    <w:p w14:paraId="7CBC43E7" w14:textId="58E0479C" w:rsidR="00714F6E" w:rsidRPr="002D46F2" w:rsidRDefault="00714F6E" w:rsidP="002D46F2">
      <w:pPr>
        <w:pStyle w:val="BodyText"/>
      </w:pPr>
      <w:r w:rsidRPr="002D46F2">
        <w:t>Australian governments and health providers are</w:t>
      </w:r>
      <w:r w:rsidR="008C0161" w:rsidRPr="002D46F2">
        <w:t> </w:t>
      </w:r>
      <w:r w:rsidRPr="002D46F2">
        <w:t>increasingly recognising the need for integrated health care across the entire health</w:t>
      </w:r>
      <w:r w:rsidR="008C0161" w:rsidRPr="002D46F2">
        <w:t> </w:t>
      </w:r>
      <w:r w:rsidRPr="002D46F2">
        <w:t>system, with</w:t>
      </w:r>
      <w:r w:rsidR="008C0161" w:rsidRPr="002D46F2">
        <w:t> </w:t>
      </w:r>
      <w:r w:rsidRPr="002D46F2">
        <w:t>a greater focus on hospital admission-</w:t>
      </w:r>
      <w:r w:rsidR="008C0161" w:rsidRPr="002D46F2">
        <w:t>‍</w:t>
      </w:r>
      <w:r w:rsidRPr="002D46F2">
        <w:t>avoidance programs and funding that</w:t>
      </w:r>
      <w:r w:rsidR="008C0161" w:rsidRPr="002D46F2">
        <w:t> </w:t>
      </w:r>
      <w:r w:rsidRPr="002D46F2">
        <w:t>incentivises improving patient outcomes at</w:t>
      </w:r>
      <w:r w:rsidR="008C0161" w:rsidRPr="002D46F2">
        <w:t> </w:t>
      </w:r>
      <w:r w:rsidRPr="002D46F2">
        <w:t xml:space="preserve">an efficient cost. </w:t>
      </w:r>
    </w:p>
    <w:p w14:paraId="5D85FF89" w14:textId="30848071" w:rsidR="00714F6E" w:rsidRPr="002D46F2" w:rsidRDefault="00714F6E" w:rsidP="002D46F2">
      <w:pPr>
        <w:pStyle w:val="BodyText"/>
      </w:pPr>
      <w:r w:rsidRPr="002D46F2">
        <w:t>States and territories are adopting their own approaches to patient-centred care through policies focussing on pathways of care and organisational change. This is particularly evident in New South Wales with its leading better value care initiative. However, the key challenge is adaptation of existing funding models that were</w:t>
      </w:r>
      <w:r w:rsidR="008C0161" w:rsidRPr="002D46F2">
        <w:t> </w:t>
      </w:r>
      <w:r w:rsidRPr="002D46F2">
        <w:t xml:space="preserve">not designed with flexibility in mind. </w:t>
      </w:r>
    </w:p>
    <w:p w14:paraId="1DDB63B4" w14:textId="77777777" w:rsidR="00714F6E" w:rsidRDefault="00714F6E" w:rsidP="002D46F2">
      <w:pPr>
        <w:pStyle w:val="BodyText"/>
      </w:pPr>
      <w:r w:rsidRPr="002D46F2">
        <w:t>As outlined in the Pricing Framework for Australian Public Hospital Services 2020–21, IHPA has continued to investigate alternative funding models with a view to explore how the ABF system can incorporate funding options for more innovative patient-centred models of care.</w:t>
      </w:r>
    </w:p>
    <w:p w14:paraId="6FA94A17" w14:textId="55236D89" w:rsidR="00EF5D73" w:rsidRPr="0065414C" w:rsidRDefault="005710B8" w:rsidP="00714F6E">
      <w:pPr>
        <w:pStyle w:val="Heading2"/>
        <w:spacing w:before="120"/>
      </w:pPr>
      <w:r w:rsidRPr="0065414C">
        <w:rPr>
          <w:rFonts w:eastAsia="Futura PT Book"/>
          <w:color w:val="58595B"/>
          <w:sz w:val="19"/>
          <w:szCs w:val="19"/>
        </w:rPr>
        <w:br w:type="column"/>
      </w:r>
      <w:bookmarkStart w:id="137" w:name="_Toc49953788"/>
      <w:bookmarkStart w:id="138" w:name="_Toc58930524"/>
      <w:r w:rsidR="00EF5D73" w:rsidRPr="0065414C">
        <w:t>11.</w:t>
      </w:r>
      <w:r w:rsidR="00714F6E">
        <w:t>1</w:t>
      </w:r>
      <w:r w:rsidR="00EF5D73" w:rsidRPr="0065414C">
        <w:t>. Requirements under the Addendum</w:t>
      </w:r>
      <w:bookmarkEnd w:id="137"/>
      <w:bookmarkEnd w:id="138"/>
    </w:p>
    <w:p w14:paraId="596B7B6C" w14:textId="513DB00B" w:rsidR="008C0161" w:rsidRPr="008C0161" w:rsidRDefault="008C0161" w:rsidP="008C0161">
      <w:pPr>
        <w:pStyle w:val="BodyText"/>
        <w:rPr>
          <w:rFonts w:cs="Arial"/>
        </w:rPr>
      </w:pPr>
      <w:r w:rsidRPr="008C0161">
        <w:rPr>
          <w:rFonts w:cs="Arial"/>
        </w:rPr>
        <w:t xml:space="preserve">The Addendum to the National Health Reform Agreement 2020–25 (the Addendum) provides the foundation for IHPA to support work in investigating innovative models of care and trialling new funding arrangements. </w:t>
      </w:r>
    </w:p>
    <w:p w14:paraId="1A689B0D" w14:textId="0B6ABF7F" w:rsidR="008C0161" w:rsidRPr="0065414C" w:rsidRDefault="008C0161" w:rsidP="008C0161">
      <w:pPr>
        <w:pStyle w:val="BodyText"/>
        <w:rPr>
          <w:rFonts w:cs="Arial"/>
          <w:szCs w:val="22"/>
        </w:rPr>
      </w:pPr>
      <w:r w:rsidRPr="008C0161">
        <w:rPr>
          <w:rFonts w:cs="Arial"/>
        </w:rPr>
        <w:t>The Addendum provides that the Commonwealth, states and territory governments will work together to explore trials of new and innovative approaches to public hospital funding, to improve efficiency and health outcomes. Specifically, Australian governments have agreed to:</w:t>
      </w:r>
    </w:p>
    <w:p w14:paraId="704CA399" w14:textId="20830C3F" w:rsidR="00EF5D73" w:rsidRPr="0065414C" w:rsidRDefault="00CC1A27" w:rsidP="00EF5D73">
      <w:pPr>
        <w:pStyle w:val="ListParagraph"/>
        <w:rPr>
          <w:rFonts w:cs="Arial"/>
        </w:rPr>
      </w:pPr>
      <w:r>
        <w:rPr>
          <w:rFonts w:cs="Arial"/>
        </w:rPr>
        <w:t>f</w:t>
      </w:r>
      <w:r w:rsidR="00EF5D73" w:rsidRPr="0065414C">
        <w:rPr>
          <w:rFonts w:cs="Arial"/>
        </w:rPr>
        <w:t>ocus on the outcomes that matter to</w:t>
      </w:r>
      <w:r w:rsidR="008C0161">
        <w:rPr>
          <w:rFonts w:cs="Arial"/>
        </w:rPr>
        <w:t> </w:t>
      </w:r>
      <w:r w:rsidR="00EF5D73" w:rsidRPr="0065414C">
        <w:rPr>
          <w:rFonts w:cs="Arial"/>
        </w:rPr>
        <w:t>patients</w:t>
      </w:r>
    </w:p>
    <w:p w14:paraId="472D1174" w14:textId="78074CE4" w:rsidR="00EF5D73" w:rsidRPr="0065414C" w:rsidRDefault="00CC1A27" w:rsidP="00EF5D73">
      <w:pPr>
        <w:pStyle w:val="ListParagraph"/>
        <w:rPr>
          <w:rFonts w:cs="Arial"/>
        </w:rPr>
      </w:pPr>
      <w:r>
        <w:rPr>
          <w:rFonts w:cs="Arial"/>
        </w:rPr>
        <w:t>i</w:t>
      </w:r>
      <w:r w:rsidR="00EF5D73" w:rsidRPr="0065414C">
        <w:rPr>
          <w:rFonts w:cs="Arial"/>
        </w:rPr>
        <w:t>mprove patient equity</w:t>
      </w:r>
    </w:p>
    <w:p w14:paraId="27036622" w14:textId="4FE235A8" w:rsidR="00EF5D73" w:rsidRPr="0065414C" w:rsidRDefault="00CC1A27" w:rsidP="00EF5D73">
      <w:pPr>
        <w:pStyle w:val="ListParagraph"/>
        <w:rPr>
          <w:rFonts w:cs="Arial"/>
        </w:rPr>
      </w:pPr>
      <w:r>
        <w:rPr>
          <w:rFonts w:cs="Arial"/>
        </w:rPr>
        <w:t>i</w:t>
      </w:r>
      <w:r w:rsidR="00EF5D73" w:rsidRPr="0065414C">
        <w:rPr>
          <w:rFonts w:cs="Arial"/>
        </w:rPr>
        <w:t>mprove clinical outcomes</w:t>
      </w:r>
    </w:p>
    <w:p w14:paraId="4871FBC5" w14:textId="61D5A53A" w:rsidR="00EF5D73" w:rsidRPr="0065414C" w:rsidRDefault="00CC1A27" w:rsidP="00EF5D73">
      <w:pPr>
        <w:pStyle w:val="ListParagraph"/>
        <w:rPr>
          <w:rFonts w:cs="Arial"/>
        </w:rPr>
      </w:pPr>
      <w:r>
        <w:rPr>
          <w:rFonts w:cs="Arial"/>
        </w:rPr>
        <w:t>d</w:t>
      </w:r>
      <w:r w:rsidR="00EF5D73" w:rsidRPr="0065414C">
        <w:rPr>
          <w:rFonts w:cs="Arial"/>
        </w:rPr>
        <w:t>eliver best-practice clinical care</w:t>
      </w:r>
    </w:p>
    <w:p w14:paraId="57D4911A" w14:textId="4AC0CECF" w:rsidR="00EF5D73" w:rsidRPr="0065414C" w:rsidRDefault="00CC1A27" w:rsidP="00EF5D73">
      <w:pPr>
        <w:pStyle w:val="ListParagraph"/>
        <w:rPr>
          <w:rFonts w:cs="Arial"/>
        </w:rPr>
      </w:pPr>
      <w:r>
        <w:rPr>
          <w:rFonts w:cs="Arial"/>
        </w:rPr>
        <w:t>f</w:t>
      </w:r>
      <w:r w:rsidR="00EF5D73" w:rsidRPr="0065414C">
        <w:rPr>
          <w:rFonts w:cs="Arial"/>
        </w:rPr>
        <w:t>ocus on the entire patient journey.</w:t>
      </w:r>
    </w:p>
    <w:p w14:paraId="439DD4DB" w14:textId="5F8F9154" w:rsidR="008C0161" w:rsidRPr="008C0161" w:rsidRDefault="008C0161" w:rsidP="008C0161">
      <w:pPr>
        <w:pStyle w:val="BodyText"/>
        <w:rPr>
          <w:rFonts w:cs="Arial"/>
        </w:rPr>
      </w:pPr>
      <w:r w:rsidRPr="008C0161">
        <w:rPr>
          <w:rFonts w:cs="Arial"/>
        </w:rPr>
        <w:t xml:space="preserve">Under clauses A97–A101 of the Addendum, states and territories may enter into a bilateral agreement with the Commonwealth to seek a trial of an innovative funding model. The Addendum requires IHPA to develop a funding methodology for the Council of Australian Governments Health Council (CHC) for approval by April 2021 that does not penalise states undertaking trials of innovative models of care. </w:t>
      </w:r>
    </w:p>
    <w:p w14:paraId="2033C376" w14:textId="713C2104" w:rsidR="008C0161" w:rsidRPr="0065414C" w:rsidRDefault="008C0161" w:rsidP="008C0161">
      <w:pPr>
        <w:pStyle w:val="BodyText"/>
        <w:rPr>
          <w:rFonts w:cs="Arial"/>
          <w:szCs w:val="22"/>
        </w:rPr>
      </w:pPr>
      <w:r w:rsidRPr="008C0161">
        <w:rPr>
          <w:rFonts w:cs="Arial"/>
        </w:rPr>
        <w:t>Further, should a trial be proposed, IHPA will be required to advise CHC on the application of the above-mentioned funding methodology and any issues it foresees with the proposed trial with regard to the national funding model. This advice would inform CHC consideration on the trial and any CHC decision on the continuation of the model for a further period of trial or translation as</w:t>
      </w:r>
      <w:r>
        <w:rPr>
          <w:rFonts w:cs="Arial"/>
        </w:rPr>
        <w:t> </w:t>
      </w:r>
      <w:r w:rsidRPr="008C0161">
        <w:rPr>
          <w:rFonts w:cs="Arial"/>
        </w:rPr>
        <w:t>a permanent model of care.</w:t>
      </w:r>
    </w:p>
    <w:p w14:paraId="53088AEE" w14:textId="77777777" w:rsidR="00EF5D73" w:rsidRPr="0065414C" w:rsidRDefault="00EF5D73" w:rsidP="00081B3F">
      <w:pPr>
        <w:pStyle w:val="BodyText"/>
        <w:rPr>
          <w:rFonts w:cs="Arial"/>
        </w:rPr>
      </w:pPr>
    </w:p>
    <w:p w14:paraId="09C6B2E5" w14:textId="77777777" w:rsidR="00081B3F" w:rsidRPr="0065414C" w:rsidRDefault="00081B3F" w:rsidP="00081B3F">
      <w:pPr>
        <w:pStyle w:val="BodyText"/>
        <w:rPr>
          <w:rFonts w:cs="Arial"/>
        </w:rPr>
        <w:sectPr w:rsidR="00081B3F" w:rsidRPr="0065414C" w:rsidSect="00671C3D">
          <w:type w:val="continuous"/>
          <w:pgSz w:w="11910" w:h="16840"/>
          <w:pgMar w:top="1440" w:right="1440" w:bottom="1440" w:left="1440" w:header="0" w:footer="656" w:gutter="0"/>
          <w:cols w:num="2" w:space="340"/>
        </w:sectPr>
      </w:pPr>
    </w:p>
    <w:p w14:paraId="26C9AAEC" w14:textId="602E7377" w:rsidR="00C415F5" w:rsidRPr="0065414C" w:rsidRDefault="006851D8" w:rsidP="00DC3FF3">
      <w:pPr>
        <w:pStyle w:val="Heading2"/>
        <w:spacing w:before="0"/>
        <w:rPr>
          <w:rFonts w:cs="Arial"/>
        </w:rPr>
      </w:pPr>
      <w:bookmarkStart w:id="139" w:name="_Toc49953789"/>
      <w:bookmarkStart w:id="140" w:name="_Toc58930525"/>
      <w:r w:rsidRPr="0065414C">
        <w:rPr>
          <w:rFonts w:cs="Arial"/>
        </w:rPr>
        <w:lastRenderedPageBreak/>
        <w:t>1</w:t>
      </w:r>
      <w:r w:rsidR="00081B3F" w:rsidRPr="0065414C">
        <w:rPr>
          <w:rFonts w:cs="Arial"/>
        </w:rPr>
        <w:t>1</w:t>
      </w:r>
      <w:r w:rsidRPr="0065414C">
        <w:rPr>
          <w:rFonts w:cs="Arial"/>
        </w:rPr>
        <w:t>.</w:t>
      </w:r>
      <w:r w:rsidR="008C0161">
        <w:rPr>
          <w:rFonts w:cs="Arial"/>
        </w:rPr>
        <w:t>2</w:t>
      </w:r>
      <w:r w:rsidR="00EF5D73" w:rsidRPr="0065414C">
        <w:rPr>
          <w:rFonts w:cs="Arial"/>
        </w:rPr>
        <w:t>.</w:t>
      </w:r>
      <w:r w:rsidRPr="0065414C">
        <w:rPr>
          <w:rFonts w:cs="Arial"/>
        </w:rPr>
        <w:t xml:space="preserve"> </w:t>
      </w:r>
      <w:r w:rsidR="00081B3F" w:rsidRPr="0065414C">
        <w:rPr>
          <w:rFonts w:cs="Arial"/>
        </w:rPr>
        <w:t>Innovative funding models being explored by IHPA</w:t>
      </w:r>
      <w:bookmarkEnd w:id="139"/>
      <w:bookmarkEnd w:id="140"/>
    </w:p>
    <w:p w14:paraId="43B0C8B3" w14:textId="42A17571" w:rsidR="008C0161" w:rsidRPr="0065414C" w:rsidRDefault="008C0161" w:rsidP="008C0161">
      <w:pPr>
        <w:pStyle w:val="BodyText"/>
        <w:rPr>
          <w:rFonts w:cs="Arial"/>
        </w:rPr>
      </w:pPr>
      <w:r w:rsidRPr="008C0161">
        <w:rPr>
          <w:rFonts w:cs="Arial"/>
        </w:rPr>
        <w:t>IHPA has developed a roadmap in consultation with its key advisory committees that sets out different funding models and their applicability to</w:t>
      </w:r>
      <w:r>
        <w:rPr>
          <w:rFonts w:cs="Arial"/>
        </w:rPr>
        <w:t> </w:t>
      </w:r>
      <w:r w:rsidRPr="008C0161">
        <w:rPr>
          <w:rFonts w:cs="Arial"/>
        </w:rPr>
        <w:t>different conditions and care pathways. ABF</w:t>
      </w:r>
      <w:r>
        <w:rPr>
          <w:rFonts w:cs="Arial"/>
        </w:rPr>
        <w:t> </w:t>
      </w:r>
      <w:r w:rsidRPr="008C0161">
        <w:rPr>
          <w:rFonts w:cs="Arial"/>
        </w:rPr>
        <w:t>remains the most appropriate funding model for one-off acute episodes of care usually in a hospital setting (for example, a tonsillectomy). The other major funding models under consideration are:</w:t>
      </w:r>
    </w:p>
    <w:p w14:paraId="7E9C92CC" w14:textId="77777777" w:rsidR="009C68D5" w:rsidRPr="0065414C" w:rsidRDefault="00081B3F" w:rsidP="00081B3F">
      <w:pPr>
        <w:pStyle w:val="ListParagraph"/>
        <w:rPr>
          <w:rFonts w:cs="Arial"/>
        </w:rPr>
      </w:pPr>
      <w:r w:rsidRPr="0065414C">
        <w:rPr>
          <w:rFonts w:cs="Arial"/>
        </w:rPr>
        <w:t>Bundled payments</w:t>
      </w:r>
      <w:r w:rsidR="009C68D5" w:rsidRPr="0065414C">
        <w:rPr>
          <w:rFonts w:cs="Arial"/>
        </w:rPr>
        <w:t>/pricing:</w:t>
      </w:r>
    </w:p>
    <w:p w14:paraId="6D4E0876" w14:textId="3F6F54A7" w:rsidR="008C0161" w:rsidRPr="0065414C" w:rsidRDefault="008C0161" w:rsidP="008C0161">
      <w:pPr>
        <w:pStyle w:val="ListParagraph"/>
        <w:numPr>
          <w:ilvl w:val="0"/>
          <w:numId w:val="0"/>
        </w:numPr>
        <w:ind w:left="284"/>
        <w:rPr>
          <w:rFonts w:cs="Arial"/>
        </w:rPr>
      </w:pPr>
      <w:r w:rsidRPr="008C0161">
        <w:rPr>
          <w:rFonts w:cs="Arial"/>
        </w:rPr>
        <w:t>When episodes of care are delivered across multiple settings, or over longer</w:t>
      </w:r>
      <w:r>
        <w:rPr>
          <w:rFonts w:cs="Arial"/>
        </w:rPr>
        <w:t> </w:t>
      </w:r>
      <w:r w:rsidRPr="008C0161">
        <w:rPr>
          <w:rFonts w:cs="Arial"/>
        </w:rPr>
        <w:t>periods, bundled payments may provide increased incentives for providers to address efficiency in innovative ways. The main criteria for identifying where bundled payments may be appropriate is</w:t>
      </w:r>
      <w:r>
        <w:rPr>
          <w:rFonts w:cs="Arial"/>
        </w:rPr>
        <w:t> </w:t>
      </w:r>
      <w:r w:rsidRPr="008C0161">
        <w:rPr>
          <w:rFonts w:cs="Arial"/>
        </w:rPr>
        <w:t>a clear, well-defined care pathway that</w:t>
      </w:r>
      <w:r>
        <w:rPr>
          <w:rFonts w:cs="Arial"/>
        </w:rPr>
        <w:t> </w:t>
      </w:r>
      <w:r w:rsidRPr="008C0161">
        <w:rPr>
          <w:rFonts w:cs="Arial"/>
        </w:rPr>
        <w:t>spans multiple care settings (for</w:t>
      </w:r>
      <w:r>
        <w:rPr>
          <w:rFonts w:cs="Arial"/>
        </w:rPr>
        <w:t> </w:t>
      </w:r>
      <w:r w:rsidRPr="008C0161">
        <w:rPr>
          <w:rFonts w:cs="Arial"/>
        </w:rPr>
        <w:t>example</w:t>
      </w:r>
      <w:r>
        <w:rPr>
          <w:rFonts w:cs="Arial"/>
        </w:rPr>
        <w:t> </w:t>
      </w:r>
      <w:r w:rsidRPr="008C0161">
        <w:rPr>
          <w:rFonts w:cs="Arial"/>
        </w:rPr>
        <w:t>maternity care, stroke or hip</w:t>
      </w:r>
      <w:r>
        <w:rPr>
          <w:rFonts w:cs="Arial"/>
        </w:rPr>
        <w:t> </w:t>
      </w:r>
      <w:r w:rsidRPr="008C0161">
        <w:rPr>
          <w:rFonts w:cs="Arial"/>
        </w:rPr>
        <w:t>replacement).</w:t>
      </w:r>
    </w:p>
    <w:p w14:paraId="4C3C5F18" w14:textId="77777777" w:rsidR="009C68D5" w:rsidRPr="0065414C" w:rsidRDefault="00081B3F" w:rsidP="00081B3F">
      <w:pPr>
        <w:pStyle w:val="ListParagraph"/>
        <w:rPr>
          <w:rFonts w:cs="Arial"/>
        </w:rPr>
      </w:pPr>
      <w:r w:rsidRPr="0065414C">
        <w:rPr>
          <w:rFonts w:cs="Arial"/>
        </w:rPr>
        <w:t>Capitation</w:t>
      </w:r>
      <w:r w:rsidR="009C68D5" w:rsidRPr="0065414C">
        <w:rPr>
          <w:rFonts w:cs="Arial"/>
        </w:rPr>
        <w:t xml:space="preserve"> payments:</w:t>
      </w:r>
    </w:p>
    <w:p w14:paraId="47C2B2C7" w14:textId="1058A384" w:rsidR="008C0161" w:rsidRPr="0065414C" w:rsidRDefault="008C0161" w:rsidP="008C0161">
      <w:pPr>
        <w:pStyle w:val="BodyText"/>
        <w:ind w:left="284"/>
      </w:pPr>
      <w:r w:rsidRPr="008C0161">
        <w:t>A per-person funding model pays a provider or fund holder for the care of a patient for a</w:t>
      </w:r>
      <w:r>
        <w:t> </w:t>
      </w:r>
      <w:r w:rsidRPr="008C0161">
        <w:t>defined period, where the provider is accountable for all services consumed by the</w:t>
      </w:r>
      <w:r>
        <w:t> </w:t>
      </w:r>
      <w:r w:rsidRPr="008C0161">
        <w:t>patient for that period. Capitation models typically work well for chronic conditions where the care pathway is not well defined and may extend over many years (for</w:t>
      </w:r>
      <w:r>
        <w:t> </w:t>
      </w:r>
      <w:r w:rsidRPr="008C0161">
        <w:t>example</w:t>
      </w:r>
      <w:r>
        <w:t> </w:t>
      </w:r>
      <w:r w:rsidRPr="008C0161">
        <w:t>chronic obstructive pulmonary</w:t>
      </w:r>
      <w:r>
        <w:t> </w:t>
      </w:r>
      <w:r w:rsidRPr="008C0161">
        <w:t>disease).</w:t>
      </w:r>
    </w:p>
    <w:p w14:paraId="73C01BBB" w14:textId="3EC5DA44" w:rsidR="00081B3F" w:rsidRPr="0065414C" w:rsidRDefault="008C0161" w:rsidP="00081B3F">
      <w:pPr>
        <w:pStyle w:val="Heading3"/>
        <w:rPr>
          <w:rFonts w:cs="Arial"/>
        </w:rPr>
      </w:pPr>
      <w:r>
        <w:rPr>
          <w:rFonts w:cs="Arial"/>
        </w:rPr>
        <w:br w:type="column"/>
      </w:r>
      <w:bookmarkStart w:id="141" w:name="_Toc58930526"/>
      <w:r w:rsidR="00F15F7D">
        <w:rPr>
          <w:rFonts w:cs="Arial"/>
        </w:rPr>
        <w:t xml:space="preserve">11.2.1. </w:t>
      </w:r>
      <w:r w:rsidR="009C68D5" w:rsidRPr="0065414C">
        <w:rPr>
          <w:rFonts w:cs="Arial"/>
        </w:rPr>
        <w:t>IHPA’s approach and initial</w:t>
      </w:r>
      <w:r>
        <w:rPr>
          <w:rFonts w:cs="Arial"/>
        </w:rPr>
        <w:t> </w:t>
      </w:r>
      <w:r w:rsidR="009C68D5" w:rsidRPr="0065414C">
        <w:rPr>
          <w:rFonts w:cs="Arial"/>
        </w:rPr>
        <w:t>finding</w:t>
      </w:r>
      <w:r w:rsidR="00081B3F" w:rsidRPr="0065414C">
        <w:rPr>
          <w:rFonts w:cs="Arial"/>
        </w:rPr>
        <w:t>s</w:t>
      </w:r>
      <w:bookmarkEnd w:id="141"/>
    </w:p>
    <w:p w14:paraId="2BF4C6D3" w14:textId="735F54A2" w:rsidR="00081B3F" w:rsidRDefault="008C0161" w:rsidP="00081B3F">
      <w:pPr>
        <w:pStyle w:val="BodyText"/>
        <w:rPr>
          <w:rFonts w:cs="Arial"/>
        </w:rPr>
      </w:pPr>
      <w:r w:rsidRPr="008C0161">
        <w:rPr>
          <w:rFonts w:cs="Arial"/>
        </w:rPr>
        <w:t>IHPA has conducted some initial analysis of activity data to identify the patient services that may be suitable under the considered funding models. Selected Adjacent Diagnoses Related Groups (ADRGs) were assigned potential funding models using the following approach:</w:t>
      </w:r>
    </w:p>
    <w:p w14:paraId="0A2B5ADE" w14:textId="2497DB47" w:rsidR="008C0161" w:rsidRPr="008C0161" w:rsidRDefault="008C0161" w:rsidP="008C0161">
      <w:pPr>
        <w:pStyle w:val="ListParagraph"/>
      </w:pPr>
      <w:r w:rsidRPr="008C0161">
        <w:t>A high level literature review was conducted to identify ADRGs where bundling or capitation funding have been</w:t>
      </w:r>
      <w:r>
        <w:t> </w:t>
      </w:r>
      <w:r w:rsidRPr="008C0161">
        <w:t>applied both within Australia and</w:t>
      </w:r>
      <w:r>
        <w:t> </w:t>
      </w:r>
      <w:r w:rsidRPr="008C0161">
        <w:t xml:space="preserve">internationally. </w:t>
      </w:r>
    </w:p>
    <w:p w14:paraId="3C49B2BE" w14:textId="291797B4" w:rsidR="008C0161" w:rsidRPr="008C0161" w:rsidRDefault="008C0161" w:rsidP="008C0161">
      <w:pPr>
        <w:pStyle w:val="ListParagraph"/>
      </w:pPr>
      <w:r w:rsidRPr="008C0161">
        <w:t>Findings of the literature review were then supplemented by preliminary advice from classification experts within IHPA to further identify ADRGs where bundling or</w:t>
      </w:r>
      <w:r>
        <w:t> </w:t>
      </w:r>
      <w:r w:rsidRPr="008C0161">
        <w:t xml:space="preserve">capitation may be suitable. </w:t>
      </w:r>
    </w:p>
    <w:p w14:paraId="725AF06C" w14:textId="2D0FFF6D" w:rsidR="008C0161" w:rsidRPr="008C0161" w:rsidRDefault="008C0161" w:rsidP="008C0161">
      <w:pPr>
        <w:pStyle w:val="ListParagraph"/>
      </w:pPr>
      <w:r w:rsidRPr="008C0161">
        <w:t>Analysis of 2018–19 data was undertaken to identify reporting patterns within those ADRGs identified through the literature review and classification advice. These</w:t>
      </w:r>
      <w:r>
        <w:t> </w:t>
      </w:r>
      <w:r w:rsidRPr="008C0161">
        <w:t>reporting patterns were then used</w:t>
      </w:r>
      <w:r>
        <w:t> </w:t>
      </w:r>
      <w:r w:rsidRPr="008C0161">
        <w:t>to identify other ADRGs where bundling or</w:t>
      </w:r>
      <w:r>
        <w:t> </w:t>
      </w:r>
      <w:r w:rsidRPr="008C0161">
        <w:t xml:space="preserve">capitation may be suitable. </w:t>
      </w:r>
    </w:p>
    <w:p w14:paraId="4A2BD242" w14:textId="372A37F9" w:rsidR="008C0161" w:rsidRPr="0065414C" w:rsidRDefault="008C0161" w:rsidP="00081B3F">
      <w:pPr>
        <w:pStyle w:val="BodyText"/>
        <w:rPr>
          <w:rFonts w:cs="Arial"/>
          <w:szCs w:val="22"/>
        </w:rPr>
      </w:pPr>
      <w:r w:rsidRPr="008C0161">
        <w:rPr>
          <w:rFonts w:cs="Arial"/>
          <w:szCs w:val="22"/>
        </w:rPr>
        <w:t>As expected, a large number of ADRGs are well suited to ABF. For example, appendectomy was identified as being suited to ABF both by the literature review and advice from classification experts within IHPA, due to the generally urgent, short term, one-off acute care delivered to these</w:t>
      </w:r>
      <w:r>
        <w:rPr>
          <w:rFonts w:cs="Arial"/>
          <w:szCs w:val="22"/>
        </w:rPr>
        <w:t> </w:t>
      </w:r>
      <w:r w:rsidRPr="008C0161">
        <w:rPr>
          <w:rFonts w:cs="Arial"/>
          <w:szCs w:val="22"/>
        </w:rPr>
        <w:t>patients. The predominance of unique patients and minimal activity in other streams were used to identify other ADRGs best suited to</w:t>
      </w:r>
      <w:r>
        <w:rPr>
          <w:rFonts w:cs="Arial"/>
          <w:szCs w:val="22"/>
        </w:rPr>
        <w:t> </w:t>
      </w:r>
      <w:r w:rsidRPr="008C0161">
        <w:rPr>
          <w:rFonts w:cs="Arial"/>
          <w:szCs w:val="22"/>
        </w:rPr>
        <w:t>ABF. Initial analysis also identified several ADRGs as being potentially suitable for bundled</w:t>
      </w:r>
      <w:r>
        <w:rPr>
          <w:rFonts w:cs="Arial"/>
          <w:szCs w:val="22"/>
        </w:rPr>
        <w:t> </w:t>
      </w:r>
      <w:r w:rsidRPr="008C0161">
        <w:rPr>
          <w:rFonts w:cs="Arial"/>
          <w:szCs w:val="22"/>
        </w:rPr>
        <w:t>payments or capitation payments, however</w:t>
      </w:r>
      <w:r>
        <w:rPr>
          <w:rFonts w:cs="Arial"/>
          <w:szCs w:val="22"/>
        </w:rPr>
        <w:t> </w:t>
      </w:r>
      <w:r w:rsidRPr="008C0161">
        <w:rPr>
          <w:rFonts w:cs="Arial"/>
          <w:szCs w:val="22"/>
        </w:rPr>
        <w:t>further analysis will need to be undertaken to determine which ADRGs are amenable to which funding options.</w:t>
      </w:r>
    </w:p>
    <w:p w14:paraId="4FB5E40D" w14:textId="1F7AFE6E" w:rsidR="00081B3F" w:rsidRPr="0065414C" w:rsidRDefault="005710B8" w:rsidP="005710B8">
      <w:pPr>
        <w:pStyle w:val="Heading2"/>
        <w:rPr>
          <w:rFonts w:cs="Arial"/>
        </w:rPr>
      </w:pPr>
      <w:r w:rsidRPr="0065414C">
        <w:rPr>
          <w:rFonts w:cs="Arial"/>
        </w:rPr>
        <w:br w:type="column"/>
      </w:r>
      <w:bookmarkStart w:id="142" w:name="_Toc49953790"/>
      <w:bookmarkStart w:id="143" w:name="_Toc58930527"/>
      <w:r w:rsidRPr="0065414C">
        <w:rPr>
          <w:rFonts w:cs="Arial"/>
        </w:rPr>
        <w:lastRenderedPageBreak/>
        <w:t>11.</w:t>
      </w:r>
      <w:r w:rsidR="00910B38">
        <w:rPr>
          <w:rFonts w:cs="Arial"/>
        </w:rPr>
        <w:t>3</w:t>
      </w:r>
      <w:r w:rsidRPr="0065414C">
        <w:rPr>
          <w:rFonts w:cs="Arial"/>
        </w:rPr>
        <w:t>. Development of a framework for future funding models</w:t>
      </w:r>
      <w:bookmarkEnd w:id="142"/>
      <w:bookmarkEnd w:id="143"/>
    </w:p>
    <w:p w14:paraId="66643609" w14:textId="1FB1398F" w:rsidR="00910B38" w:rsidRPr="0065414C" w:rsidRDefault="00910B38" w:rsidP="00081B3F">
      <w:pPr>
        <w:pStyle w:val="BodyText"/>
        <w:rPr>
          <w:rFonts w:cs="Arial"/>
        </w:rPr>
      </w:pPr>
      <w:r w:rsidRPr="00910B38">
        <w:rPr>
          <w:rFonts w:cs="Arial"/>
        </w:rPr>
        <w:t>IHPA is developing a framework to guide work to investigate the feasibility of future funding models at a national level. The framework will provide clear guidance to Australian governments as well as the Pricing Authority in determining its approach to trialling different funding models and</w:t>
      </w:r>
      <w:r w:rsidR="00D72D31">
        <w:rPr>
          <w:rFonts w:cs="Arial"/>
        </w:rPr>
        <w:t> </w:t>
      </w:r>
      <w:r w:rsidRPr="00910B38">
        <w:rPr>
          <w:rFonts w:cs="Arial"/>
        </w:rPr>
        <w:t>how IHPA will facilitate this work. The key objectives of the framework are to:</w:t>
      </w:r>
    </w:p>
    <w:p w14:paraId="1571CE6F" w14:textId="37EC39AD" w:rsidR="00910B38" w:rsidRPr="00910B38" w:rsidRDefault="00CC1A27" w:rsidP="00910B38">
      <w:pPr>
        <w:pStyle w:val="ListParagraph"/>
        <w:rPr>
          <w:rFonts w:cs="Arial"/>
        </w:rPr>
      </w:pPr>
      <w:r>
        <w:rPr>
          <w:rFonts w:cs="Arial"/>
        </w:rPr>
        <w:t>p</w:t>
      </w:r>
      <w:r w:rsidR="00910B38" w:rsidRPr="00910B38">
        <w:rPr>
          <w:rFonts w:cs="Arial"/>
        </w:rPr>
        <w:t xml:space="preserve">romote consideration of different funding models at the national level </w:t>
      </w:r>
    </w:p>
    <w:p w14:paraId="4A092FFF" w14:textId="0FD2B93E" w:rsidR="00910B38" w:rsidRPr="00910B38" w:rsidRDefault="00CC1A27" w:rsidP="00910B38">
      <w:pPr>
        <w:pStyle w:val="ListParagraph"/>
        <w:rPr>
          <w:rFonts w:cs="Arial"/>
        </w:rPr>
      </w:pPr>
      <w:r>
        <w:rPr>
          <w:rFonts w:cs="Arial"/>
        </w:rPr>
        <w:t>d</w:t>
      </w:r>
      <w:r w:rsidR="00910B38" w:rsidRPr="00910B38">
        <w:rPr>
          <w:rFonts w:cs="Arial"/>
        </w:rPr>
        <w:t xml:space="preserve">etermine system design considerations, critical success factors and a pathway to implementation for any proposed funding models under the current ABF framework </w:t>
      </w:r>
    </w:p>
    <w:p w14:paraId="5D8321E7" w14:textId="3B02E177" w:rsidR="00910B38" w:rsidRPr="00910B38" w:rsidRDefault="00CC1A27" w:rsidP="00910B38">
      <w:pPr>
        <w:pStyle w:val="ListParagraph"/>
        <w:rPr>
          <w:rFonts w:cs="Arial"/>
        </w:rPr>
      </w:pPr>
      <w:r>
        <w:rPr>
          <w:rFonts w:cs="Arial"/>
        </w:rPr>
        <w:t>b</w:t>
      </w:r>
      <w:r w:rsidR="00910B38" w:rsidRPr="00910B38">
        <w:rPr>
          <w:rFonts w:cs="Arial"/>
        </w:rPr>
        <w:t xml:space="preserve">uild on existing work to progress a national capitation model for complex chronic care and identify clinical cohorts and care types that would be amenable to a bundled pricing model </w:t>
      </w:r>
    </w:p>
    <w:p w14:paraId="0AB873B6" w14:textId="593DECD0" w:rsidR="00910B38" w:rsidRPr="00910B38" w:rsidRDefault="00CC1A27" w:rsidP="00910B38">
      <w:pPr>
        <w:pStyle w:val="ListParagraph"/>
        <w:rPr>
          <w:rFonts w:cs="Arial"/>
        </w:rPr>
      </w:pPr>
      <w:r>
        <w:rPr>
          <w:rFonts w:cs="Arial"/>
        </w:rPr>
        <w:t>g</w:t>
      </w:r>
      <w:r w:rsidR="00910B38" w:rsidRPr="00910B38">
        <w:rPr>
          <w:rFonts w:cs="Arial"/>
        </w:rPr>
        <w:t xml:space="preserve">uide IHPA’s approach in how it works with states, territories and clinicians </w:t>
      </w:r>
    </w:p>
    <w:p w14:paraId="613BC9F5" w14:textId="5EFA665D" w:rsidR="00910B38" w:rsidRPr="00910B38" w:rsidRDefault="00CC1A27" w:rsidP="00910B38">
      <w:pPr>
        <w:pStyle w:val="ListParagraph"/>
        <w:rPr>
          <w:rFonts w:cs="Arial"/>
        </w:rPr>
      </w:pPr>
      <w:r>
        <w:rPr>
          <w:rFonts w:cs="Arial"/>
        </w:rPr>
        <w:t>e</w:t>
      </w:r>
      <w:r w:rsidR="00910B38" w:rsidRPr="00910B38">
        <w:rPr>
          <w:rFonts w:cs="Arial"/>
        </w:rPr>
        <w:t xml:space="preserve">stablish IHPA’s remit and responsibilities in setting incentives that encourage better health outcomes and patient experiences as outlined in the Addendum </w:t>
      </w:r>
    </w:p>
    <w:p w14:paraId="4DBFA8B9" w14:textId="7C946DA2" w:rsidR="00910B38" w:rsidRPr="00910B38" w:rsidRDefault="00CC1A27" w:rsidP="00910B38">
      <w:pPr>
        <w:pStyle w:val="ListParagraph"/>
        <w:rPr>
          <w:rFonts w:cs="Arial"/>
        </w:rPr>
      </w:pPr>
      <w:r>
        <w:rPr>
          <w:rFonts w:cs="Arial"/>
        </w:rPr>
        <w:t>p</w:t>
      </w:r>
      <w:r w:rsidR="00910B38" w:rsidRPr="00910B38">
        <w:rPr>
          <w:rFonts w:cs="Arial"/>
        </w:rPr>
        <w:t>rovide reports to CHC as required regarding the outcomes of trials and their applicability to the national funding model.</w:t>
      </w:r>
    </w:p>
    <w:bookmarkStart w:id="144" w:name="_Toc58930528"/>
    <w:p w14:paraId="14C6AE8F" w14:textId="1A54216C" w:rsidR="0050196C" w:rsidRPr="0065414C" w:rsidRDefault="00910B38" w:rsidP="00910B38">
      <w:pPr>
        <w:pStyle w:val="Heading2"/>
      </w:pPr>
      <w:r w:rsidRPr="0065414C">
        <w:rPr>
          <w:noProof/>
          <w:lang w:eastAsia="en-AU" w:bidi="ar-SA"/>
        </w:rPr>
        <mc:AlternateContent>
          <mc:Choice Requires="wps">
            <w:drawing>
              <wp:anchor distT="0" distB="144145" distL="0" distR="0" simplePos="0" relativeHeight="251618296" behindDoc="1" locked="0" layoutInCell="1" allowOverlap="1" wp14:anchorId="01DE57CD" wp14:editId="110CBD33">
                <wp:simplePos x="0" y="0"/>
                <wp:positionH relativeFrom="margin">
                  <wp:posOffset>2966085</wp:posOffset>
                </wp:positionH>
                <wp:positionV relativeFrom="paragraph">
                  <wp:posOffset>718278</wp:posOffset>
                </wp:positionV>
                <wp:extent cx="2981325" cy="2286000"/>
                <wp:effectExtent l="0" t="0" r="15875" b="12700"/>
                <wp:wrapTopAndBottom/>
                <wp:docPr id="38"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2286000"/>
                        </a:xfrm>
                        <a:prstGeom prst="rect">
                          <a:avLst/>
                        </a:prstGeom>
                        <a:noFill/>
                        <a:ln w="9525">
                          <a:solidFill>
                            <a:schemeClr val="accent5">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2C9C6D9B" w14:textId="77209691" w:rsidR="00C93E72" w:rsidRPr="00693365" w:rsidRDefault="00C93E72" w:rsidP="002D46F2">
                            <w:pPr>
                              <w:pStyle w:val="Questionheading"/>
                              <w:ind w:left="284"/>
                            </w:pPr>
                            <w:bookmarkStart w:id="145" w:name="Question40"/>
                            <w:r>
                              <w:t>IHPA’s decision</w:t>
                            </w:r>
                          </w:p>
                          <w:bookmarkEnd w:id="145"/>
                          <w:p w14:paraId="25D46F61" w14:textId="418F925C" w:rsidR="00C93E72" w:rsidRDefault="00C93E72" w:rsidP="002D46F2">
                            <w:pPr>
                              <w:pStyle w:val="BodyText"/>
                              <w:ind w:left="284"/>
                            </w:pPr>
                            <w:r>
                              <w:t xml:space="preserve">IHPA will consider feedback to the Consultation Paper and conduct further consultation with jurisdictions in developing a funding methodology that supports innovative funding models for CHC approval by April 2021. </w:t>
                            </w:r>
                          </w:p>
                          <w:p w14:paraId="62D1487D" w14:textId="61C1A3DE" w:rsidR="00C93E72" w:rsidRDefault="00C93E72" w:rsidP="002D46F2">
                            <w:pPr>
                              <w:pStyle w:val="BodyText"/>
                              <w:ind w:left="284"/>
                            </w:pPr>
                            <w:r>
                              <w:t>IHPA is proposing to implement the IHI into national data sets on a best endeavours basis from 1 July 2022, and will work with those jurisdictions that are well advanced in order to develop the data specifications and pilot the submission process in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DE57CD" id="Text Box 46" o:spid="_x0000_s1060" type="#_x0000_t202" style="position:absolute;margin-left:233.55pt;margin-top:56.55pt;width:234.75pt;height:180pt;z-index:-251698184;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CddxgIAAJoFAAAOAAAAZHJzL2Uyb0RvYy54bWysVNuO2jAQfa/Uf7D8ns2FwAa0YQUEqkrb&#10;i7TbDzCOQ6wmdmobwrbaf+/YJsC2faiq8hDGtzPn2Gfm7v7YNujAlOZS5Di+iTBigsqSi12Ovzxt&#10;ggwjbYgoSSMFy/Ez0/h+/vbNXd/NWCJr2ZRMIQARetZ3Oa6N6WZhqGnNWqJvZMcELFZStcTAUO3C&#10;UpEe0NsmTKJoEvZSlZ2SlGkNs4VfxHOHX1WMmk9VpZlBTY6Bm3Ff5b5b+w3nd2S2U6SrOT3RIP/A&#10;oiVcQNIzVEEMQXvFf4NqOVVSy8rcUNmGsqo4ZU4DqImjX9Q81qRjTgtcju7O16T/Hyz9ePisEC9z&#10;PIKXEqSFN3piR4OW8ojSidMEwwdtrDq74FT9WMXZqLjdTIJlOs2CdLQcBdM0WwbxbZItx8liMVmn&#10;L/Z2Q3fKnQ/7Ts9cQvs8LnzsILs5QjIwj0umuwdJv2ok5KomYscWSsm+ZqQE0bEDvDrqcbQF2fYf&#10;ZAnkyd5IB3SsVGs5wx0jQIfHfz4/uNVBYTKZZvEoGWNEYS1JskkUOUsA6eF4p7R5x2SLbJBjBY5y&#10;8OQAmry+YYvNJuSGN41zVSNQn+PpGPDtipYNL+2iG1h/s1Wj0IGAMwmlTBi/r9m3oMTPx8DHMyIz&#10;mAcr+/mBpCsTC+Pu+VWGlhsorIa3Oc6uUOxNrkXpCBrCGx+D3kZYXn966mk0XWfrLA3SZLIO0qgo&#10;gsVmlQaTTXw7LkbFalXEL1ZinM5qXpZMWJVDMcXp35n1VNa+DM7l9EqSVrvt+co27ndy2NW28DWN&#10;wYDD/8WI1jXeP+a4PfoSSC2e9ddWls9gKiV9w4AGB0Et1XeMemgWOdbf9kQxjJr3AoxpO8sQqCHY&#10;DgERFI7m2GDkw5XxHWjfKb6rAdlbX8gFmLfizlYXFkDdDqABOBGnZmU7zPXY7bq01PlPAAAA//8D&#10;AFBLAwQUAAYACAAAACEAylOv4N0AAAALAQAADwAAAGRycy9kb3ducmV2LnhtbEyPQU/DMAyF70j8&#10;h8hI3FhahjpWmk4IaQcQlw3EOU1MU5E4XZNt5d9jTnCz/Z6ev9ds5uDFCac0RFJQLgoQSCbagXoF&#10;72/bm3sQKWuy2kdCBd+YYNNeXjS6tvFMOzztcy84hFKtFbicx1rKZBwGnRZxRGLtM05BZ16nXtpJ&#10;nzk8eHlbFJUMeiD+4PSITw7N1/4YFPjXIbgXM3frhIfd9vBsxv4jKXV9NT8+gMg45z8z/OIzOrTM&#10;1MUj2SS8grtqVbKVhXLJAzvWy6oC0bG04otsG/m/Q/sDAAD//wMAUEsBAi0AFAAGAAgAAAAhALaD&#10;OJL+AAAA4QEAABMAAAAAAAAAAAAAAAAAAAAAAFtDb250ZW50X1R5cGVzXS54bWxQSwECLQAUAAYA&#10;CAAAACEAOP0h/9YAAACUAQAACwAAAAAAAAAAAAAAAAAvAQAAX3JlbHMvLnJlbHNQSwECLQAUAAYA&#10;CAAAACEApRAnXcYCAACaBQAADgAAAAAAAAAAAAAAAAAuAgAAZHJzL2Uyb0RvYy54bWxQSwECLQAU&#10;AAYACAAAACEAylOv4N0AAAALAQAADwAAAAAAAAAAAAAAAAAgBQAAZHJzL2Rvd25yZXYueG1sUEsF&#10;BgAAAAAEAAQA8wAAACoGAAAAAA==&#10;" filled="f" strokecolor="#5f2f7e [3208]">
                <v:textbox inset="0,0,0,0">
                  <w:txbxContent>
                    <w:p w14:paraId="2C9C6D9B" w14:textId="77209691" w:rsidR="00C93E72" w:rsidRPr="00693365" w:rsidRDefault="00C93E72" w:rsidP="002D46F2">
                      <w:pPr>
                        <w:pStyle w:val="Questionheading"/>
                        <w:ind w:left="284"/>
                      </w:pPr>
                      <w:bookmarkStart w:id="170" w:name="Question40"/>
                      <w:r>
                        <w:t>IHPA’s decision</w:t>
                      </w:r>
                    </w:p>
                    <w:bookmarkEnd w:id="170"/>
                    <w:p w14:paraId="25D46F61" w14:textId="418F925C" w:rsidR="00C93E72" w:rsidRDefault="00C93E72" w:rsidP="002D46F2">
                      <w:pPr>
                        <w:pStyle w:val="BodyText"/>
                        <w:ind w:left="284"/>
                      </w:pPr>
                      <w:r>
                        <w:t xml:space="preserve">IHPA will consider feedback to the Consultation Paper and conduct further consultation with jurisdictions in developing a funding methodology that supports innovative funding models for CHC approval by April 2021. </w:t>
                      </w:r>
                    </w:p>
                    <w:p w14:paraId="62D1487D" w14:textId="61C1A3DE" w:rsidR="00C93E72" w:rsidRDefault="00C93E72" w:rsidP="002D46F2">
                      <w:pPr>
                        <w:pStyle w:val="BodyText"/>
                        <w:ind w:left="284"/>
                      </w:pPr>
                      <w:r>
                        <w:t>IHPA is proposing to implement the IHI into national data sets on a best endeavours basis from 1 July 2022, and will work with those jurisdictions that are well advanced in order to develop the data specifications and pilot the submission process in 2021.</w:t>
                      </w:r>
                    </w:p>
                  </w:txbxContent>
                </v:textbox>
                <w10:wrap type="topAndBottom" anchorx="margin"/>
              </v:shape>
            </w:pict>
          </mc:Fallback>
        </mc:AlternateContent>
      </w:r>
      <w:r>
        <w:br w:type="column"/>
      </w:r>
      <w:bookmarkStart w:id="146" w:name="_Toc49953791"/>
      <w:r w:rsidR="0050196C" w:rsidRPr="0065414C">
        <w:t>11.</w:t>
      </w:r>
      <w:r>
        <w:t>4</w:t>
      </w:r>
      <w:r w:rsidR="00FB0CD3">
        <w:t>. Individual Healthcare I</w:t>
      </w:r>
      <w:r w:rsidR="0050196C" w:rsidRPr="0065414C">
        <w:t>dentifier</w:t>
      </w:r>
      <w:bookmarkEnd w:id="144"/>
      <w:bookmarkEnd w:id="146"/>
    </w:p>
    <w:p w14:paraId="60F96160" w14:textId="1E334CD5" w:rsidR="00910B38" w:rsidRPr="00910B38" w:rsidRDefault="00910B38" w:rsidP="002D46F2">
      <w:pPr>
        <w:pStyle w:val="BodyText"/>
        <w:ind w:right="-191"/>
      </w:pPr>
      <w:r w:rsidRPr="00910B38">
        <w:t>A key barrier to more patient-centred funding models is the way that hospital services are classified and the difficulties in tracking a patient across these different settings (for example, admitted acute care or non-</w:t>
      </w:r>
      <w:r w:rsidR="002D46F2">
        <w:t>‍</w:t>
      </w:r>
      <w:r w:rsidRPr="00910B38">
        <w:t>admitted care). In 2016, IHPA undertook a program of work to explore a national bundled pricing model for maternity services (intended to cover antenatal, admission</w:t>
      </w:r>
      <w:r w:rsidR="00D72D31">
        <w:rPr>
          <w:b/>
          <w:bCs/>
        </w:rPr>
        <w:t> </w:t>
      </w:r>
      <w:r w:rsidRPr="00910B38">
        <w:t>for</w:t>
      </w:r>
      <w:r w:rsidR="00D72D31">
        <w:rPr>
          <w:b/>
          <w:bCs/>
        </w:rPr>
        <w:t> </w:t>
      </w:r>
      <w:r w:rsidRPr="00910B38">
        <w:t>delivery and postnatal services). However, this</w:t>
      </w:r>
      <w:r w:rsidR="00D72D31">
        <w:rPr>
          <w:b/>
          <w:bCs/>
        </w:rPr>
        <w:t> </w:t>
      </w:r>
      <w:r w:rsidRPr="00910B38">
        <w:t>model was not able to be implemented due to the absence of a nationally consistent unique patient identifier and consequently the inability to gain a comprehensive view of the patient journey through different health</w:t>
      </w:r>
      <w:r w:rsidR="00D72D31">
        <w:rPr>
          <w:b/>
          <w:bCs/>
        </w:rPr>
        <w:t> </w:t>
      </w:r>
      <w:r w:rsidRPr="00910B38">
        <w:t>settings and</w:t>
      </w:r>
      <w:r w:rsidR="002D46F2">
        <w:t> </w:t>
      </w:r>
      <w:r w:rsidRPr="00910B38">
        <w:t>sectors.</w:t>
      </w:r>
    </w:p>
    <w:p w14:paraId="5A198AB9" w14:textId="26DBA0D7" w:rsidR="00910B38" w:rsidRPr="00910B38" w:rsidRDefault="00910B38" w:rsidP="002D46F2">
      <w:pPr>
        <w:pStyle w:val="BodyText"/>
        <w:ind w:right="92"/>
      </w:pPr>
      <w:r w:rsidRPr="00910B38">
        <w:t>A unique patient identifier such as the Individual Healthcare Identifier (IHI) is one way to enable a</w:t>
      </w:r>
      <w:r w:rsidR="00D72D31">
        <w:rPr>
          <w:b/>
          <w:bCs/>
        </w:rPr>
        <w:t> </w:t>
      </w:r>
      <w:r w:rsidRPr="00910B38">
        <w:t>patient to be tracked across the different classification system data sets, and more accurately allow for the pathway of care to be</w:t>
      </w:r>
      <w:r w:rsidR="00D72D31">
        <w:rPr>
          <w:b/>
          <w:bCs/>
        </w:rPr>
        <w:t> </w:t>
      </w:r>
      <w:r w:rsidRPr="00910B38">
        <w:t>classified and costs attributed accordingly. Further,</w:t>
      </w:r>
      <w:r w:rsidR="00D72D31">
        <w:rPr>
          <w:b/>
          <w:bCs/>
        </w:rPr>
        <w:t> </w:t>
      </w:r>
      <w:r w:rsidRPr="00910B38">
        <w:t>a patient identifier is a key requirement to</w:t>
      </w:r>
      <w:r w:rsidR="002D46F2">
        <w:t> </w:t>
      </w:r>
      <w:r w:rsidRPr="00910B38">
        <w:t xml:space="preserve">ensure that the Commonwealth does not contribute for a patient’s care multiple times under </w:t>
      </w:r>
      <w:r w:rsidR="00976810">
        <w:t>alternative</w:t>
      </w:r>
      <w:r w:rsidR="00976810" w:rsidRPr="00910B38">
        <w:t xml:space="preserve"> </w:t>
      </w:r>
      <w:r w:rsidRPr="00910B38">
        <w:t xml:space="preserve">funding models (for example, through both ABF and the Medicare Benefits Schedule). </w:t>
      </w:r>
    </w:p>
    <w:p w14:paraId="20EBB5CC" w14:textId="77777777" w:rsidR="00910B38" w:rsidRPr="00910B38" w:rsidRDefault="00910B38" w:rsidP="002D46F2">
      <w:pPr>
        <w:pStyle w:val="BodyText"/>
        <w:ind w:right="92"/>
      </w:pPr>
      <w:r w:rsidRPr="00910B38">
        <w:t xml:space="preserve">Jurisdictions are working through varying issues relating to the provision of the IHI including privacy concerns, information technology system issues and data accuracy concerns. </w:t>
      </w:r>
    </w:p>
    <w:p w14:paraId="6936F125" w14:textId="689B4787" w:rsidR="002466F4" w:rsidRPr="0065414C" w:rsidRDefault="00910B38" w:rsidP="002D46F2">
      <w:pPr>
        <w:pStyle w:val="BodyText"/>
        <w:ind w:right="-191"/>
      </w:pPr>
      <w:r w:rsidRPr="00910B38">
        <w:t>IHPA is required to provide advice to CHC on a funding methodology that does not penalise states and territories undertaking trials of innovative models of care. It is anticipated that as part of this advice IHPA will provide a recommendation to CHC that any trial of innovative funding models is contingent on the jurisdictions agreeing to supply the IHI.</w:t>
      </w:r>
    </w:p>
    <w:p w14:paraId="7BCE144B" w14:textId="77777777" w:rsidR="00C415F5" w:rsidRPr="0065414C" w:rsidRDefault="00C415F5">
      <w:pPr>
        <w:spacing w:line="256" w:lineRule="auto"/>
        <w:rPr>
          <w:rFonts w:cs="Arial"/>
        </w:rPr>
        <w:sectPr w:rsidR="00C415F5" w:rsidRPr="0065414C" w:rsidSect="00085021">
          <w:headerReference w:type="default" r:id="rId72"/>
          <w:pgSz w:w="11910" w:h="16840"/>
          <w:pgMar w:top="1440" w:right="1440" w:bottom="1440" w:left="1440" w:header="0" w:footer="656" w:gutter="0"/>
          <w:cols w:num="2" w:space="340"/>
        </w:sectPr>
      </w:pPr>
    </w:p>
    <w:p w14:paraId="2BED8B1E" w14:textId="77777777" w:rsidR="00C82911" w:rsidRPr="0065414C" w:rsidRDefault="00C82911" w:rsidP="005B7291">
      <w:pPr>
        <w:pStyle w:val="SectionNumber"/>
      </w:pPr>
      <w:bookmarkStart w:id="147" w:name="_bookmark22"/>
      <w:bookmarkStart w:id="148" w:name="_Toc49953792"/>
      <w:bookmarkEnd w:id="147"/>
      <w:r w:rsidRPr="0065414C">
        <w:rPr>
          <w:lang w:bidi="ar-SA"/>
        </w:rPr>
        <w:lastRenderedPageBreak/>
        <w:drawing>
          <wp:anchor distT="0" distB="0" distL="114300" distR="114300" simplePos="0" relativeHeight="251660288" behindDoc="1" locked="0" layoutInCell="1" allowOverlap="1" wp14:anchorId="71C63409" wp14:editId="5BC73C32">
            <wp:simplePos x="0" y="0"/>
            <wp:positionH relativeFrom="margin">
              <wp:posOffset>-914399</wp:posOffset>
            </wp:positionH>
            <wp:positionV relativeFrom="page">
              <wp:posOffset>954157</wp:posOffset>
            </wp:positionV>
            <wp:extent cx="5462267" cy="3577465"/>
            <wp:effectExtent l="0" t="0" r="0" b="0"/>
            <wp:wrapNone/>
            <wp:docPr id="46" name="Picture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00C972BD" w:rsidRPr="0065414C">
        <w:t>12</w:t>
      </w:r>
      <w:bookmarkEnd w:id="148"/>
    </w:p>
    <w:p w14:paraId="52FEB9C4" w14:textId="77777777" w:rsidR="00586245" w:rsidRPr="0065414C" w:rsidRDefault="00C82911" w:rsidP="005B7291">
      <w:pPr>
        <w:pStyle w:val="Sectionheader"/>
        <w:ind w:right="2934"/>
      </w:pPr>
      <w:bookmarkStart w:id="149" w:name="_Toc49953793"/>
      <w:r w:rsidRPr="0065414C">
        <w:t>Pricing and funding for safety and quality</w:t>
      </w:r>
      <w:bookmarkEnd w:id="149"/>
    </w:p>
    <w:p w14:paraId="11297311" w14:textId="77777777" w:rsidR="00C972BD" w:rsidRPr="0065414C" w:rsidRDefault="00C972BD">
      <w:pPr>
        <w:spacing w:line="256" w:lineRule="auto"/>
        <w:rPr>
          <w:rFonts w:cs="Arial"/>
        </w:rPr>
        <w:sectPr w:rsidR="00C972BD" w:rsidRPr="0065414C" w:rsidSect="00C82911">
          <w:headerReference w:type="default" r:id="rId73"/>
          <w:pgSz w:w="11910" w:h="16840"/>
          <w:pgMar w:top="3969" w:right="1440" w:bottom="1440" w:left="1440" w:header="0" w:footer="658" w:gutter="0"/>
          <w:cols w:space="340"/>
        </w:sectPr>
      </w:pPr>
    </w:p>
    <w:p w14:paraId="7E300500" w14:textId="77777777" w:rsidR="00C972BD" w:rsidRPr="0065414C" w:rsidRDefault="00C972BD" w:rsidP="00A24EE9">
      <w:pPr>
        <w:pStyle w:val="Heading1"/>
        <w:ind w:left="1418" w:hanging="1276"/>
        <w:rPr>
          <w:rFonts w:cs="Arial"/>
        </w:rPr>
      </w:pPr>
      <w:bookmarkStart w:id="150" w:name="_Toc45809641"/>
      <w:bookmarkStart w:id="151" w:name="_Toc49953794"/>
      <w:bookmarkStart w:id="152" w:name="_Toc58930529"/>
      <w:r w:rsidRPr="0065414C">
        <w:rPr>
          <w:rFonts w:cs="Arial"/>
          <w:noProof/>
          <w:color w:val="FFFFFF" w:themeColor="background1"/>
          <w:lang w:eastAsia="en-AU" w:bidi="ar-SA"/>
        </w:rPr>
        <w:lastRenderedPageBreak/>
        <w:drawing>
          <wp:anchor distT="0" distB="0" distL="114300" distR="114300" simplePos="0" relativeHeight="251661312" behindDoc="1" locked="0" layoutInCell="1" allowOverlap="1" wp14:anchorId="055D3EFB" wp14:editId="6545DD7A">
            <wp:simplePos x="0" y="0"/>
            <wp:positionH relativeFrom="column">
              <wp:posOffset>-914400</wp:posOffset>
            </wp:positionH>
            <wp:positionV relativeFrom="page">
              <wp:posOffset>651179</wp:posOffset>
            </wp:positionV>
            <wp:extent cx="1685422" cy="946148"/>
            <wp:effectExtent l="0" t="0" r="0" b="0"/>
            <wp:wrapNone/>
            <wp:docPr id="47" name="Picture 4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Pr="0065414C">
        <w:rPr>
          <w:rFonts w:cs="Arial"/>
          <w:color w:val="FFFFFF" w:themeColor="background1"/>
        </w:rPr>
        <w:t>12</w:t>
      </w:r>
      <w:r w:rsidRPr="0065414C">
        <w:rPr>
          <w:rFonts w:cs="Arial"/>
        </w:rPr>
        <w:tab/>
      </w:r>
      <w:r w:rsidRPr="0065414C">
        <w:rPr>
          <w:rFonts w:cs="Arial"/>
        </w:rPr>
        <w:tab/>
        <w:t>Pricing and funding for safety and quality</w:t>
      </w:r>
      <w:bookmarkEnd w:id="150"/>
      <w:bookmarkEnd w:id="151"/>
      <w:bookmarkEnd w:id="152"/>
    </w:p>
    <w:p w14:paraId="133CC930" w14:textId="77777777" w:rsidR="00C972BD" w:rsidRPr="0065414C" w:rsidRDefault="00C972BD" w:rsidP="00C972BD">
      <w:pPr>
        <w:pStyle w:val="BodyText"/>
        <w:rPr>
          <w:rFonts w:cs="Arial"/>
        </w:rPr>
      </w:pPr>
    </w:p>
    <w:p w14:paraId="1DFEF767" w14:textId="77777777" w:rsidR="00C972BD" w:rsidRPr="0065414C" w:rsidRDefault="00C972BD" w:rsidP="00C972BD">
      <w:pPr>
        <w:pStyle w:val="BodyText"/>
        <w:rPr>
          <w:rFonts w:cs="Arial"/>
        </w:rPr>
        <w:sectPr w:rsidR="00C972BD" w:rsidRPr="0065414C" w:rsidSect="00A24EE9">
          <w:pgSz w:w="11910" w:h="16840"/>
          <w:pgMar w:top="1418" w:right="1440" w:bottom="1440" w:left="1440" w:header="0" w:footer="658" w:gutter="0"/>
          <w:cols w:space="340"/>
        </w:sectPr>
      </w:pPr>
    </w:p>
    <w:p w14:paraId="6B792793" w14:textId="2E8660E1" w:rsidR="0004788D" w:rsidRPr="0004788D" w:rsidRDefault="0004788D" w:rsidP="0004788D">
      <w:pPr>
        <w:pStyle w:val="BodyText"/>
        <w:rPr>
          <w:rFonts w:cs="Arial"/>
        </w:rPr>
      </w:pPr>
      <w:r w:rsidRPr="0004788D">
        <w:rPr>
          <w:rFonts w:cs="Arial"/>
        </w:rPr>
        <w:t>The Addendum to the National Health Reform Agreement 2020–25 (the Addendum) sees the</w:t>
      </w:r>
      <w:r>
        <w:rPr>
          <w:rFonts w:cs="Arial"/>
        </w:rPr>
        <w:t> </w:t>
      </w:r>
      <w:r w:rsidRPr="0004788D">
        <w:rPr>
          <w:rFonts w:cs="Arial"/>
        </w:rPr>
        <w:t xml:space="preserve">Commonwealth and state and territory governments recommit to improving Australian health outcomes and decreasing avoidable demand for public hospital services. </w:t>
      </w:r>
    </w:p>
    <w:p w14:paraId="21F013A9" w14:textId="5CCF0D8E" w:rsidR="0004788D" w:rsidRPr="0004788D" w:rsidRDefault="0004788D" w:rsidP="0004788D">
      <w:pPr>
        <w:pStyle w:val="BodyText"/>
        <w:rPr>
          <w:rFonts w:cs="Arial"/>
        </w:rPr>
      </w:pPr>
      <w:r w:rsidRPr="0004788D">
        <w:rPr>
          <w:rFonts w:cs="Arial"/>
        </w:rPr>
        <w:t>IHPA and the Australian Commission on Safety and Quality in Health Care (the Commission) have followed a program of collaborative work to</w:t>
      </w:r>
      <w:r>
        <w:rPr>
          <w:rFonts w:cs="Arial"/>
        </w:rPr>
        <w:t> </w:t>
      </w:r>
      <w:r w:rsidRPr="0004788D">
        <w:rPr>
          <w:rFonts w:cs="Arial"/>
        </w:rPr>
        <w:t>consider the incorporation of safety and quality measures into the national efficient price (NEP)</w:t>
      </w:r>
      <w:r>
        <w:rPr>
          <w:rFonts w:cs="Arial"/>
        </w:rPr>
        <w:t> </w:t>
      </w:r>
      <w:r w:rsidRPr="0004788D">
        <w:rPr>
          <w:rFonts w:cs="Arial"/>
        </w:rPr>
        <w:t xml:space="preserve">Determination. </w:t>
      </w:r>
    </w:p>
    <w:p w14:paraId="122F0B8C" w14:textId="21FF852E" w:rsidR="0004788D" w:rsidRPr="0004788D" w:rsidRDefault="0004788D" w:rsidP="0004788D">
      <w:pPr>
        <w:pStyle w:val="BodyText"/>
        <w:rPr>
          <w:rFonts w:cs="Arial"/>
        </w:rPr>
      </w:pPr>
      <w:r w:rsidRPr="0004788D">
        <w:rPr>
          <w:rFonts w:cs="Arial"/>
        </w:rPr>
        <w:t>IHPA was required to advise on an option or options for a comprehensive and risk adjusted model to determine how funding and pricing could</w:t>
      </w:r>
      <w:r>
        <w:rPr>
          <w:rFonts w:cs="Arial"/>
        </w:rPr>
        <w:t> </w:t>
      </w:r>
      <w:r w:rsidRPr="0004788D">
        <w:rPr>
          <w:rFonts w:cs="Arial"/>
        </w:rPr>
        <w:t>be used to improve patient outcomes across</w:t>
      </w:r>
      <w:r>
        <w:rPr>
          <w:rFonts w:cs="Arial"/>
        </w:rPr>
        <w:t> </w:t>
      </w:r>
      <w:r w:rsidRPr="0004788D">
        <w:rPr>
          <w:rFonts w:cs="Arial"/>
        </w:rPr>
        <w:t>three key areas: sentinel events, hospital</w:t>
      </w:r>
      <w:r>
        <w:rPr>
          <w:rFonts w:cs="Arial"/>
        </w:rPr>
        <w:t> </w:t>
      </w:r>
      <w:r w:rsidRPr="0004788D">
        <w:rPr>
          <w:rFonts w:cs="Arial"/>
        </w:rPr>
        <w:t>acquired complications (HACs) and</w:t>
      </w:r>
      <w:r>
        <w:rPr>
          <w:rFonts w:cs="Arial"/>
        </w:rPr>
        <w:t> </w:t>
      </w:r>
      <w:r w:rsidRPr="0004788D">
        <w:rPr>
          <w:rFonts w:cs="Arial"/>
        </w:rPr>
        <w:t xml:space="preserve">avoidable hospital readmissions. </w:t>
      </w:r>
    </w:p>
    <w:p w14:paraId="31DAA279" w14:textId="66E8DDD2" w:rsidR="0004788D" w:rsidRPr="0004788D" w:rsidRDefault="001C020D" w:rsidP="0004788D">
      <w:pPr>
        <w:pStyle w:val="BodyText"/>
        <w:rPr>
          <w:rFonts w:cs="Arial"/>
        </w:rPr>
      </w:pPr>
      <w:r w:rsidRPr="0065414C">
        <w:rPr>
          <w:noProof/>
          <w:lang w:eastAsia="en-AU" w:bidi="ar-SA"/>
        </w:rPr>
        <mc:AlternateContent>
          <mc:Choice Requires="wps">
            <w:drawing>
              <wp:anchor distT="0" distB="144145" distL="0" distR="0" simplePos="0" relativeHeight="251788288" behindDoc="1" locked="0" layoutInCell="1" allowOverlap="1" wp14:anchorId="5EA7A0B7" wp14:editId="3665FAB1">
                <wp:simplePos x="0" y="0"/>
                <wp:positionH relativeFrom="margin">
                  <wp:posOffset>2975610</wp:posOffset>
                </wp:positionH>
                <wp:positionV relativeFrom="paragraph">
                  <wp:posOffset>22225</wp:posOffset>
                </wp:positionV>
                <wp:extent cx="2915285" cy="1526540"/>
                <wp:effectExtent l="0" t="0" r="18415" b="16510"/>
                <wp:wrapTopAndBottom/>
                <wp:docPr id="101"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5285" cy="1526540"/>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E199FF6" w14:textId="77777777" w:rsidR="00C93E72" w:rsidRPr="00693365" w:rsidRDefault="00C93E72" w:rsidP="001C020D">
                            <w:pPr>
                              <w:pStyle w:val="Questionheading"/>
                              <w:ind w:left="426"/>
                            </w:pPr>
                            <w:r>
                              <w:t>IHPA’s decision</w:t>
                            </w:r>
                          </w:p>
                          <w:p w14:paraId="6055555F" w14:textId="60F2398C" w:rsidR="00C93E72" w:rsidRDefault="00C93E72" w:rsidP="001C020D">
                            <w:pPr>
                              <w:pStyle w:val="BodyText"/>
                              <w:ind w:left="426"/>
                            </w:pPr>
                            <w:r w:rsidRPr="001C020D">
                              <w:t xml:space="preserve">Per the Addendum (clause A165), IHPA will continue to assign zero NWAU to episodes with a sentinel event for the NEP Determination 2021–22 (NEP21) using Version 2.0 of the Australian Sentinel Events List published on the Commission’s </w:t>
                            </w:r>
                            <w:hyperlink r:id="rId74" w:history="1">
                              <w:r w:rsidRPr="001C020D">
                                <w:rPr>
                                  <w:rStyle w:val="Hyperlink"/>
                                </w:rPr>
                                <w:t>website</w:t>
                              </w:r>
                            </w:hyperlink>
                            <w:r w:rsidRPr="001C020D">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7A0B7" id="_x0000_s1061" type="#_x0000_t202" style="position:absolute;margin-left:234.3pt;margin-top:1.75pt;width:229.55pt;height:120.2pt;z-index:-251528192;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mltrwIAAGMFAAAOAAAAZHJzL2Uyb0RvYy54bWysVF1vmzAUfZ+0/2D5nfIRoCQqqRJIpknd&#10;h9TuBzjGBGtgM9sJ6ab+912bkLbryzSNB7jG9rnn+J7rm9tT16IjU5pLkePwKsCICSorLvY5/vaw&#10;9TKMtCGiIq0ULMePTOPb5ft3N0O/YJFsZFsxhQBE6MXQ57gxpl/4vqYN64i+kj0TMFlL1REDQ7X3&#10;K0UGQO9aPwqC1B+kqnolKdMa/pbjJF46/Lpm1Hypa80ManMM3Ix7K/fe2be/vCGLvSJ9w+mZBvkH&#10;Fh3hApJeoEpiCDoo/gaq41RJLWtzRWXny7rmlDkNoCYM/lBz35CeOS1wOLq/HJP+f7D08/GrQryC&#10;2gUhRoJ0UKQHdjJoLU8oTp0oGN5pY+XZCSfrVxFms/J6m3rreJ558Ww98+ZxtvbC6yhbJ9FqlW7i&#10;J3u8vtvl9vtDrxcuo62PC+97SG9OkAwYuGS6v5P0u0ZCFg0Re7ZSSg4NIxWoDh3gi60jjrYgu+GT&#10;rIA8ORjpgE616ixnOGQE6FD9x0vFrQ4KP6N5mERZghGFOQjTJHaeANLT9l5p84HJDtkgxwos5eDJ&#10;ETSN+qYlNpuQW962zlatQEOO50mUjMJkyys7aZc5g7OiVehIwJqEUiZMej4v/XJlxw10SMu7HGeB&#10;fUbP2hPZiMolMoS3Ywy8W3Eu1JuSzYP5JttksRdH6caLg7L0Vtsi9tJteJ2Us7IoyvDJUg3jRcOr&#10;ignLduqKMP471537c/TzpS9eSdJqv7tI37rnrXL/NY3JSNP32VC2+qMPzGl3cl6eJRbP+mQnq0cw&#10;h5Jj58NNBUEj1U+MBuj6HOsfB6IYRu1HAQazV8QUqCnYTQERFLbm2GA0hoUZr5JDr/i+AeTRwkKu&#10;wIQ1d/Z4ZgHU7QA62Yk43zr2qng5dque78blbwAAAP//AwBQSwMEFAAGAAgAAAAhALXpbd7eAAAA&#10;CQEAAA8AAABkcnMvZG93bnJldi54bWxMj8FOwzAQRO9I/IO1SNyog1vSJsSpKqBHpFKQuLrxkkSx&#10;15HttOHvMSc4jmY086baztawM/rQO5Jwv8iAITVO99RK+Hjf322AhahIK+MIJXxjgG19fVWpUrsL&#10;veH5GFuWSiiUSkIX41hyHpoOrQoLNyIl78t5q2KSvuXaq0sqt4aLLMu5VT2lhU6N+NRhMxwnK2GY&#10;/PPwuS+EeC0GbfDlQC7upLy9mXePwCLO8S8Mv/gJHerEdHIT6cCMhFW+yVNUwvIBWPILsV4DO0kQ&#10;q2UBvK74/wf1DwAAAP//AwBQSwECLQAUAAYACAAAACEAtoM4kv4AAADhAQAAEwAAAAAAAAAAAAAA&#10;AAAAAAAAW0NvbnRlbnRfVHlwZXNdLnhtbFBLAQItABQABgAIAAAAIQA4/SH/1gAAAJQBAAALAAAA&#10;AAAAAAAAAAAAAC8BAABfcmVscy8ucmVsc1BLAQItABQABgAIAAAAIQCvamltrwIAAGMFAAAOAAAA&#10;AAAAAAAAAAAAAC4CAABkcnMvZTJvRG9jLnhtbFBLAQItABQABgAIAAAAIQC16W3e3gAAAAkBAAAP&#10;AAAAAAAAAAAAAAAAAAkFAABkcnMvZG93bnJldi54bWxQSwUGAAAAAAQABADzAAAAFAYAAAAA&#10;" filled="f" strokecolor="#009ab8 [3209]">
                <v:textbox inset="0,0,0,0">
                  <w:txbxContent>
                    <w:p w14:paraId="6E199FF6" w14:textId="77777777" w:rsidR="00C93E72" w:rsidRPr="00693365" w:rsidRDefault="00C93E72" w:rsidP="001C020D">
                      <w:pPr>
                        <w:pStyle w:val="Questionheading"/>
                        <w:ind w:left="426"/>
                      </w:pPr>
                      <w:r>
                        <w:t>IHPA’s decision</w:t>
                      </w:r>
                    </w:p>
                    <w:p w14:paraId="6055555F" w14:textId="60F2398C" w:rsidR="00C93E72" w:rsidRDefault="00C93E72" w:rsidP="001C020D">
                      <w:pPr>
                        <w:pStyle w:val="BodyText"/>
                        <w:ind w:left="426"/>
                      </w:pPr>
                      <w:r w:rsidRPr="001C020D">
                        <w:t xml:space="preserve">Per the Addendum (clause A165), IHPA will continue to assign zero NWAU to episodes with a sentinel event for the NEP Determination 2021–22 (NEP21) using Version 2.0 of the Australian Sentinel Events List published on the Commission’s </w:t>
                      </w:r>
                      <w:hyperlink r:id="rId77" w:history="1">
                        <w:r w:rsidRPr="001C020D">
                          <w:rPr>
                            <w:rStyle w:val="Hyperlink"/>
                          </w:rPr>
                          <w:t>website</w:t>
                        </w:r>
                      </w:hyperlink>
                      <w:r w:rsidRPr="001C020D">
                        <w:t>.</w:t>
                      </w:r>
                    </w:p>
                  </w:txbxContent>
                </v:textbox>
                <w10:wrap type="topAndBottom" anchorx="margin"/>
              </v:shape>
            </w:pict>
          </mc:Fallback>
        </mc:AlternateContent>
      </w:r>
      <w:r w:rsidR="0004788D" w:rsidRPr="0004788D">
        <w:rPr>
          <w:rFonts w:cs="Arial"/>
        </w:rPr>
        <w:t>Funding adjustments related to sentinel events were introduced in July 2017, followed by funding</w:t>
      </w:r>
      <w:r w:rsidR="0004788D">
        <w:rPr>
          <w:rFonts w:cs="Arial"/>
        </w:rPr>
        <w:t> </w:t>
      </w:r>
      <w:r w:rsidR="0004788D" w:rsidRPr="0004788D">
        <w:rPr>
          <w:rFonts w:cs="Arial"/>
        </w:rPr>
        <w:t xml:space="preserve">adjustments for HACs in July 2018. </w:t>
      </w:r>
    </w:p>
    <w:p w14:paraId="5164027E" w14:textId="5F8F9278" w:rsidR="0004788D" w:rsidRPr="0065414C" w:rsidRDefault="0004788D" w:rsidP="0004788D">
      <w:pPr>
        <w:pStyle w:val="BodyText"/>
        <w:rPr>
          <w:rFonts w:cs="Arial"/>
        </w:rPr>
      </w:pPr>
      <w:r w:rsidRPr="0004788D">
        <w:rPr>
          <w:rFonts w:cs="Arial"/>
        </w:rPr>
        <w:t>As per clause A171 of the Addendum, IHPA is required to develop a pricing model for avoidable hospital readmissions for implementation by 1</w:t>
      </w:r>
      <w:r>
        <w:rPr>
          <w:rFonts w:cs="Arial"/>
        </w:rPr>
        <w:t> </w:t>
      </w:r>
      <w:r w:rsidRPr="0004788D">
        <w:rPr>
          <w:rFonts w:cs="Arial"/>
        </w:rPr>
        <w:t>July 2021.</w:t>
      </w:r>
    </w:p>
    <w:p w14:paraId="3013E981" w14:textId="64106A6F" w:rsidR="00654358" w:rsidRPr="0065414C" w:rsidRDefault="00A3126A" w:rsidP="00766B86">
      <w:pPr>
        <w:pStyle w:val="Heading2"/>
        <w:spacing w:before="0"/>
        <w:rPr>
          <w:rFonts w:cs="Arial"/>
        </w:rPr>
      </w:pPr>
      <w:r w:rsidRPr="0065414C">
        <w:rPr>
          <w:rFonts w:cs="Arial"/>
        </w:rPr>
        <w:br w:type="column"/>
      </w:r>
      <w:bookmarkStart w:id="153" w:name="_Toc49953796"/>
      <w:bookmarkStart w:id="154" w:name="_Toc58930530"/>
      <w:r w:rsidR="00654358" w:rsidRPr="0065414C">
        <w:rPr>
          <w:rFonts w:cs="Arial"/>
        </w:rPr>
        <w:t>12.</w:t>
      </w:r>
      <w:r w:rsidR="007C7494">
        <w:rPr>
          <w:rFonts w:cs="Arial"/>
        </w:rPr>
        <w:t>1</w:t>
      </w:r>
      <w:r w:rsidR="00654358" w:rsidRPr="0065414C">
        <w:rPr>
          <w:rFonts w:cs="Arial"/>
        </w:rPr>
        <w:t>. Sentinel events</w:t>
      </w:r>
      <w:bookmarkEnd w:id="153"/>
      <w:bookmarkEnd w:id="154"/>
    </w:p>
    <w:p w14:paraId="35DD05CC" w14:textId="77777777" w:rsidR="0004788D" w:rsidRPr="0004788D" w:rsidRDefault="0004788D" w:rsidP="0004788D">
      <w:pPr>
        <w:pStyle w:val="BodyText"/>
        <w:rPr>
          <w:rFonts w:cs="Arial"/>
        </w:rPr>
      </w:pPr>
      <w:r w:rsidRPr="0004788D">
        <w:rPr>
          <w:rFonts w:cs="Arial"/>
        </w:rPr>
        <w:t xml:space="preserve">In 2002, Australian Health Ministers agreed on the Australian Sentinel Events List, a national set of sentinel events. Sentinel events are defined by the Commission as a subset of adverse patient safety events that are wholly preventable and result in serious harm to, or death of, a patient. </w:t>
      </w:r>
    </w:p>
    <w:p w14:paraId="31126ED6" w14:textId="6FEF33DE" w:rsidR="0004788D" w:rsidRDefault="0004788D" w:rsidP="0004788D">
      <w:pPr>
        <w:pStyle w:val="BodyText"/>
        <w:rPr>
          <w:rFonts w:cs="Arial"/>
        </w:rPr>
      </w:pPr>
      <w:r w:rsidRPr="0004788D">
        <w:rPr>
          <w:rFonts w:cs="Arial"/>
        </w:rPr>
        <w:t>Since 1 July 2017, IHPA has specified that an episode of care including a sentinel event will not be funded. A zero National Weighted Activity Unit</w:t>
      </w:r>
      <w:r>
        <w:rPr>
          <w:rFonts w:cs="Arial"/>
        </w:rPr>
        <w:t> </w:t>
      </w:r>
      <w:r w:rsidRPr="0004788D">
        <w:rPr>
          <w:rFonts w:cs="Arial"/>
        </w:rPr>
        <w:t>(NWAU) is assigned to episodes with a sentinel</w:t>
      </w:r>
      <w:r>
        <w:rPr>
          <w:rFonts w:cs="Arial"/>
        </w:rPr>
        <w:t> </w:t>
      </w:r>
      <w:r w:rsidRPr="0004788D">
        <w:rPr>
          <w:rFonts w:cs="Arial"/>
        </w:rPr>
        <w:t>event. This approach is applied to all</w:t>
      </w:r>
      <w:r w:rsidR="00E4729D">
        <w:rPr>
          <w:rFonts w:cs="Arial"/>
        </w:rPr>
        <w:t> </w:t>
      </w:r>
      <w:r w:rsidRPr="0004788D">
        <w:rPr>
          <w:rFonts w:cs="Arial"/>
        </w:rPr>
        <w:t>hospitals, whether funded on an activity basis or a block funded basis. As sentinel events are not currently reported in national data sets, states</w:t>
      </w:r>
      <w:r>
        <w:rPr>
          <w:rFonts w:cs="Arial"/>
        </w:rPr>
        <w:t> </w:t>
      </w:r>
      <w:r w:rsidRPr="0004788D">
        <w:rPr>
          <w:rFonts w:cs="Arial"/>
        </w:rPr>
        <w:t>and territories submit an additional data file</w:t>
      </w:r>
      <w:r>
        <w:rPr>
          <w:rFonts w:cs="Arial"/>
        </w:rPr>
        <w:t> </w:t>
      </w:r>
      <w:r w:rsidRPr="0004788D">
        <w:rPr>
          <w:rFonts w:cs="Arial"/>
        </w:rPr>
        <w:t>identifying episodes where a sentinel event</w:t>
      </w:r>
      <w:r>
        <w:rPr>
          <w:rFonts w:cs="Arial"/>
        </w:rPr>
        <w:t> </w:t>
      </w:r>
      <w:r w:rsidRPr="0004788D">
        <w:rPr>
          <w:rFonts w:cs="Arial"/>
        </w:rPr>
        <w:t>occurred.</w:t>
      </w:r>
    </w:p>
    <w:p w14:paraId="7900D0BD" w14:textId="3D7C5C2C" w:rsidR="0004788D" w:rsidRPr="0065414C" w:rsidRDefault="0004788D" w:rsidP="0004788D">
      <w:pPr>
        <w:pStyle w:val="BodyText"/>
        <w:rPr>
          <w:rFonts w:cs="Arial"/>
        </w:rPr>
      </w:pPr>
    </w:p>
    <w:p w14:paraId="0F5B1319" w14:textId="5D710B38" w:rsidR="003430A1" w:rsidRPr="0065414C" w:rsidRDefault="00A3126A" w:rsidP="00CB6ACA">
      <w:pPr>
        <w:pStyle w:val="Heading2"/>
        <w:rPr>
          <w:rFonts w:cs="Arial"/>
        </w:rPr>
      </w:pPr>
      <w:r w:rsidRPr="0065414C">
        <w:rPr>
          <w:rFonts w:cs="Arial"/>
        </w:rPr>
        <w:br w:type="column"/>
      </w:r>
      <w:bookmarkStart w:id="155" w:name="_Toc49953797"/>
      <w:bookmarkStart w:id="156" w:name="_Toc58930531"/>
      <w:r w:rsidR="003430A1" w:rsidRPr="0065414C">
        <w:rPr>
          <w:rFonts w:cs="Arial"/>
        </w:rPr>
        <w:lastRenderedPageBreak/>
        <w:t>12.</w:t>
      </w:r>
      <w:r w:rsidR="00E4729D">
        <w:rPr>
          <w:rFonts w:cs="Arial"/>
        </w:rPr>
        <w:t>2</w:t>
      </w:r>
      <w:r w:rsidR="003430A1" w:rsidRPr="0065414C">
        <w:rPr>
          <w:rFonts w:cs="Arial"/>
        </w:rPr>
        <w:t>. Hospital acquired complications</w:t>
      </w:r>
      <w:bookmarkEnd w:id="155"/>
      <w:bookmarkEnd w:id="156"/>
    </w:p>
    <w:p w14:paraId="0875CFED" w14:textId="2F7767D6" w:rsidR="00E4729D" w:rsidRPr="00E4729D" w:rsidRDefault="00E4729D" w:rsidP="00E4729D">
      <w:pPr>
        <w:pStyle w:val="BodyText"/>
        <w:rPr>
          <w:rFonts w:cs="Arial"/>
        </w:rPr>
      </w:pPr>
      <w:r w:rsidRPr="00E4729D">
        <w:rPr>
          <w:rFonts w:cs="Arial"/>
        </w:rPr>
        <w:t>HACs are complications which occur during a</w:t>
      </w:r>
      <w:r w:rsidR="008A261E">
        <w:rPr>
          <w:rFonts w:cs="Arial"/>
        </w:rPr>
        <w:t> </w:t>
      </w:r>
      <w:r w:rsidRPr="00E4729D">
        <w:rPr>
          <w:rFonts w:cs="Arial"/>
        </w:rPr>
        <w:t>hospital stay and for which clinical risk mitigation</w:t>
      </w:r>
      <w:r w:rsidR="008A261E">
        <w:rPr>
          <w:rFonts w:cs="Arial"/>
        </w:rPr>
        <w:t> </w:t>
      </w:r>
      <w:r w:rsidRPr="00E4729D">
        <w:rPr>
          <w:rFonts w:cs="Arial"/>
        </w:rPr>
        <w:t>strategies may reduce (but not necessarily</w:t>
      </w:r>
      <w:r w:rsidR="008A261E">
        <w:rPr>
          <w:rFonts w:cs="Arial"/>
        </w:rPr>
        <w:t> </w:t>
      </w:r>
      <w:r w:rsidRPr="00E4729D">
        <w:rPr>
          <w:rFonts w:cs="Arial"/>
        </w:rPr>
        <w:t>eliminate) the risk of that complication</w:t>
      </w:r>
      <w:r w:rsidR="008A261E">
        <w:rPr>
          <w:rFonts w:cs="Arial"/>
        </w:rPr>
        <w:t> </w:t>
      </w:r>
      <w:r w:rsidRPr="00E4729D">
        <w:rPr>
          <w:rFonts w:cs="Arial"/>
        </w:rPr>
        <w:t>occurring.</w:t>
      </w:r>
    </w:p>
    <w:p w14:paraId="2AB66734" w14:textId="77777777" w:rsidR="00E4729D" w:rsidRPr="00E4729D" w:rsidRDefault="00E4729D" w:rsidP="00E4729D">
      <w:pPr>
        <w:pStyle w:val="BodyText"/>
        <w:rPr>
          <w:rFonts w:cs="Arial"/>
        </w:rPr>
      </w:pPr>
      <w:r w:rsidRPr="00E4729D">
        <w:rPr>
          <w:rFonts w:cs="Arial"/>
        </w:rPr>
        <w:t>A list of HACs was developed by a Joint Working Party of the Commission and IHPA.</w:t>
      </w:r>
    </w:p>
    <w:p w14:paraId="32A200E5" w14:textId="72312050" w:rsidR="00E4729D" w:rsidRPr="00E4729D" w:rsidRDefault="00E4729D" w:rsidP="00E4729D">
      <w:pPr>
        <w:pStyle w:val="BodyText"/>
        <w:rPr>
          <w:rFonts w:cs="Arial"/>
        </w:rPr>
      </w:pPr>
      <w:r w:rsidRPr="00E4729D">
        <w:rPr>
          <w:rFonts w:cs="Arial"/>
        </w:rPr>
        <w:t>Funding is reduced for any episode of admitted acute care where a HAC occurs. The reduction in funding reflects the incremental cost of the HAC, which is the additional cost of providing hospital</w:t>
      </w:r>
      <w:r w:rsidR="008A261E">
        <w:rPr>
          <w:rFonts w:cs="Arial"/>
        </w:rPr>
        <w:t> </w:t>
      </w:r>
      <w:r w:rsidRPr="00E4729D">
        <w:rPr>
          <w:rFonts w:cs="Arial"/>
        </w:rPr>
        <w:t>care that is attributable to the HAC. This</w:t>
      </w:r>
      <w:r w:rsidR="008A261E">
        <w:rPr>
          <w:rFonts w:cs="Arial"/>
        </w:rPr>
        <w:t> </w:t>
      </w:r>
      <w:r w:rsidRPr="00E4729D">
        <w:rPr>
          <w:rFonts w:cs="Arial"/>
        </w:rPr>
        <w:t>approach recognises that the presence of a HAC increases the complexity of an episode of care or the length of stay, driving an increase in</w:t>
      </w:r>
      <w:r w:rsidR="008A261E">
        <w:rPr>
          <w:rFonts w:cs="Arial"/>
        </w:rPr>
        <w:t> </w:t>
      </w:r>
      <w:r w:rsidRPr="00E4729D">
        <w:rPr>
          <w:rFonts w:cs="Arial"/>
        </w:rPr>
        <w:t>the cost of care.</w:t>
      </w:r>
    </w:p>
    <w:p w14:paraId="0C092437" w14:textId="7D45758F" w:rsidR="00E4729D" w:rsidRPr="00E4729D" w:rsidRDefault="00E4729D" w:rsidP="00E4729D">
      <w:pPr>
        <w:pStyle w:val="BodyText"/>
        <w:rPr>
          <w:rFonts w:cs="Arial"/>
        </w:rPr>
      </w:pPr>
      <w:r w:rsidRPr="00E4729D">
        <w:rPr>
          <w:rFonts w:cs="Arial"/>
        </w:rPr>
        <w:t xml:space="preserve">The HAC funding approach incorporates a risk adjustment model that assigns individual patient episodes with a HAC to a low, medium or high complexity score. This complexity score is used to adjust the funding reduction for an episode containing a HAC on the basis of the risk of that patient acquiring a HAC. The Commission is responsible for the ongoing curation of the HACs list to ensure it remains clinically relevant. </w:t>
      </w:r>
    </w:p>
    <w:p w14:paraId="4D0C0834" w14:textId="72B3FB60" w:rsidR="00E4729D" w:rsidRDefault="007317FE" w:rsidP="00E4729D">
      <w:pPr>
        <w:pStyle w:val="BodyText"/>
        <w:rPr>
          <w:rFonts w:cs="Arial"/>
        </w:rPr>
      </w:pPr>
      <w:r w:rsidRPr="0065414C">
        <w:rPr>
          <w:noProof/>
          <w:lang w:eastAsia="en-AU" w:bidi="ar-SA"/>
        </w:rPr>
        <mc:AlternateContent>
          <mc:Choice Requires="wps">
            <w:drawing>
              <wp:anchor distT="0" distB="144145" distL="0" distR="0" simplePos="0" relativeHeight="251792384" behindDoc="1" locked="0" layoutInCell="1" allowOverlap="1" wp14:anchorId="28123194" wp14:editId="4BB138BA">
                <wp:simplePos x="0" y="0"/>
                <wp:positionH relativeFrom="margin">
                  <wp:posOffset>0</wp:posOffset>
                </wp:positionH>
                <wp:positionV relativeFrom="paragraph">
                  <wp:posOffset>1804035</wp:posOffset>
                </wp:positionV>
                <wp:extent cx="2794635" cy="1673225"/>
                <wp:effectExtent l="0" t="0" r="24765" b="22225"/>
                <wp:wrapTopAndBottom/>
                <wp:docPr id="103"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67322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307FE01F" w14:textId="6C7622C3" w:rsidR="00C93E72" w:rsidRPr="00693365" w:rsidRDefault="00C93E72" w:rsidP="008A261E">
                            <w:pPr>
                              <w:pStyle w:val="Questionheading"/>
                              <w:ind w:left="426"/>
                            </w:pPr>
                            <w:r>
                              <w:t>Next steps and future work</w:t>
                            </w:r>
                          </w:p>
                          <w:p w14:paraId="34C5CB52" w14:textId="384A25F8" w:rsidR="00C93E72" w:rsidRDefault="00C93E72" w:rsidP="008A261E">
                            <w:pPr>
                              <w:pStyle w:val="BodyText"/>
                              <w:ind w:left="426"/>
                            </w:pPr>
                            <w:r w:rsidRPr="008A261E">
                              <w:t>IHPA is currently reviewing the risk adjustment methodology for HACs. Following</w:t>
                            </w:r>
                            <w:r>
                              <w:t> </w:t>
                            </w:r>
                            <w:r w:rsidRPr="008A261E">
                              <w:t>the finalisation of the risk adjustment model for avoidable hospital readmissions, IHPA will consider remodelling</w:t>
                            </w:r>
                            <w:r>
                              <w:t> </w:t>
                            </w:r>
                            <w:r w:rsidRPr="008A261E">
                              <w:t>the HAC risk adjustment model</w:t>
                            </w:r>
                            <w:r>
                              <w:t> </w:t>
                            </w:r>
                            <w:r w:rsidRPr="008A261E">
                              <w:t>based on this approach.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123194" id="_x0000_s1062" type="#_x0000_t202" style="position:absolute;margin-left:0;margin-top:142.05pt;width:220.05pt;height:131.75pt;z-index:-251524096;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xSUrwIAAGMFAAAOAAAAZHJzL2Uyb0RvYy54bWysVNtu2zAMfR+wfxD07voaxwnqFEmcDAO6&#10;C9DuAxRZjoXZkicpcbqi/z5KjtN23cMwzA82ZUqHPOShrm9ObYOOTGkuRY7DqwAjJqgsudjn+Nv9&#10;1ssw0oaIkjRSsBw/MI1vFu/fXffdnEWylk3JFAIQoed9l+PamG7u+5rWrCX6SnZMgLOSqiUGlmrv&#10;l4r0gN42fhQEqd9LVXZKUqY1/C0GJ144/Kpi1HypKs0ManIMuRn3Vu69s29/cU3me0W6mtNzGuQf&#10;smgJFxD0AlUQQ9BB8TdQLadKalmZKypbX1YVp8xxADZh8Bubu5p0zHGB4ujuUib9/2Dp5+NXhXgJ&#10;vQtijARpoUn37GTQSp5QkjpSsLzVxtKzDkfrcR1mcTHdpt4qmWVeEq9ib5ZkKy+cRtlqEi2X6SZ5&#10;suX13Sl33u87PXcRbX+ceddBeHOCYJCBC6a7W0m/ayTkuiZiz5ZKyb5mpATWoQN8cXTA0RZk13+S&#10;JSRPDkY6oFOlWpszFBkBOnT/4dJxy4PCz2g6S9J4ghEFX5hO4yianJMej3dKmw9MtsgaOVYgKQdP&#10;jsBp4DdusdGE3PKmcbJqBOpzPJsApPVo2fDSOt3CCpytG4WOBKRJKGXCpOfQr3a23MCENLzNcRbY&#10;x24ic1uRjSidbQhvBhuK3Qjr/lPLZsFsk22yxEuidOMlQVF4y+068dJtOJ0UcbFeF+GTTTVM5jUv&#10;SyZstuNUhMnfqe48n4OeL3PxipJW+92F+tY9b5n7r9MYhTR+nwVluz/owJx2J6fl2FXS6mQnywcQ&#10;h5LD5MNNBUYt1U+Mepj6HOsfB6IYRs1HAQKzV8RoqNHYjQYRFI7m2GA0mGszXCWHTvF9DciDhIVc&#10;gggr7uTxnAWkbhcwyY7E+daxV8XLtdv1fDcufgEAAP//AwBQSwMEFAAGAAgAAAAhAKQ4XRLdAAAA&#10;CAEAAA8AAABkcnMvZG93bnJldi54bWxMj8FOwzAQRO9I/IO1SNyo0yiUNmRTVUCPSLQgcXXjJYli&#10;ryPbacPfY05wm9WsZt5U29kacSYfescIy0UGgrhxuucW4eN9f7cGEaJirYxjQvimANv6+qpSpXYX&#10;PtD5GFuRQjiUCqGLcSylDE1HVoWFG4mT9+W8VTGdvpXaq0sKt0bmWbaSVvWcGjo10lNHzXCcLMIw&#10;+efhc7/J89fNoA29vLGLO8Tbm3n3CCLSHP+e4Rc/oUOdmE5uYh2EQUhDIkK+LpYgkl0UWRInhPvi&#10;YQWyruT/AfUPAAAA//8DAFBLAQItABQABgAIAAAAIQC2gziS/gAAAOEBAAATAAAAAAAAAAAAAAAA&#10;AAAAAABbQ29udGVudF9UeXBlc10ueG1sUEsBAi0AFAAGAAgAAAAhADj9If/WAAAAlAEAAAsAAAAA&#10;AAAAAAAAAAAALwEAAF9yZWxzLy5yZWxzUEsBAi0AFAAGAAgAAAAhAAVzFJSvAgAAYwUAAA4AAAAA&#10;AAAAAAAAAAAALgIAAGRycy9lMm9Eb2MueG1sUEsBAi0AFAAGAAgAAAAhAKQ4XRLdAAAACAEAAA8A&#10;AAAAAAAAAAAAAAAACQUAAGRycy9kb3ducmV2LnhtbFBLBQYAAAAABAAEAPMAAAATBgAAAAA=&#10;" filled="f" strokecolor="#009ab8 [3209]">
                <v:textbox inset="0,0,0,0">
                  <w:txbxContent>
                    <w:p w14:paraId="307FE01F" w14:textId="6C7622C3" w:rsidR="00C93E72" w:rsidRPr="00693365" w:rsidRDefault="00C93E72" w:rsidP="008A261E">
                      <w:pPr>
                        <w:pStyle w:val="Questionheading"/>
                        <w:ind w:left="426"/>
                      </w:pPr>
                      <w:r>
                        <w:t>Next steps and future work</w:t>
                      </w:r>
                    </w:p>
                    <w:p w14:paraId="34C5CB52" w14:textId="384A25F8" w:rsidR="00C93E72" w:rsidRDefault="00C93E72" w:rsidP="008A261E">
                      <w:pPr>
                        <w:pStyle w:val="BodyText"/>
                        <w:ind w:left="426"/>
                      </w:pPr>
                      <w:r w:rsidRPr="008A261E">
                        <w:t>IHPA is currently reviewing the risk adjustment methodology for HACs. Following</w:t>
                      </w:r>
                      <w:r>
                        <w:t> </w:t>
                      </w:r>
                      <w:r w:rsidRPr="008A261E">
                        <w:t>the finalisation of the risk adjustment model for avoidable hospital readmissions, IHPA will consider remodelling</w:t>
                      </w:r>
                      <w:r>
                        <w:t> </w:t>
                      </w:r>
                      <w:r w:rsidRPr="008A261E">
                        <w:t>the HAC risk adjustment model</w:t>
                      </w:r>
                      <w:r>
                        <w:t> </w:t>
                      </w:r>
                      <w:r w:rsidRPr="008A261E">
                        <w:t>based on this approach.</w:t>
                      </w:r>
                    </w:p>
                  </w:txbxContent>
                </v:textbox>
                <w10:wrap type="topAndBottom" anchorx="margin"/>
              </v:shape>
            </w:pict>
          </mc:Fallback>
        </mc:AlternateContent>
      </w:r>
      <w:r w:rsidRPr="0065414C">
        <w:rPr>
          <w:noProof/>
          <w:lang w:eastAsia="en-AU" w:bidi="ar-SA"/>
        </w:rPr>
        <mc:AlternateContent>
          <mc:Choice Requires="wps">
            <w:drawing>
              <wp:anchor distT="0" distB="144145" distL="0" distR="0" simplePos="0" relativeHeight="251790336" behindDoc="1" locked="0" layoutInCell="1" allowOverlap="1" wp14:anchorId="04BD0071" wp14:editId="6301567E">
                <wp:simplePos x="0" y="0"/>
                <wp:positionH relativeFrom="margin">
                  <wp:posOffset>0</wp:posOffset>
                </wp:positionH>
                <wp:positionV relativeFrom="paragraph">
                  <wp:posOffset>708660</wp:posOffset>
                </wp:positionV>
                <wp:extent cx="2794635" cy="939800"/>
                <wp:effectExtent l="0" t="0" r="24765" b="12700"/>
                <wp:wrapTopAndBottom/>
                <wp:docPr id="102"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39800"/>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413997E" w14:textId="77777777" w:rsidR="00C93E72" w:rsidRPr="00693365" w:rsidRDefault="00C93E72" w:rsidP="008A261E">
                            <w:pPr>
                              <w:pStyle w:val="Questionheading"/>
                              <w:ind w:left="426"/>
                            </w:pPr>
                            <w:r>
                              <w:t>IHPA’s decision</w:t>
                            </w:r>
                          </w:p>
                          <w:p w14:paraId="5EF4600C" w14:textId="5CF479E1" w:rsidR="00C93E72" w:rsidRDefault="00C93E72" w:rsidP="008A261E">
                            <w:pPr>
                              <w:pStyle w:val="BodyText"/>
                              <w:ind w:left="426"/>
                            </w:pPr>
                            <w:r w:rsidRPr="008A261E">
                              <w:t>IHPA will use Version 3.0 of the HAC list for</w:t>
                            </w:r>
                            <w:r>
                              <w:t> </w:t>
                            </w:r>
                            <w:r w:rsidRPr="008A261E">
                              <w:t>NEP21.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BD0071" id="_x0000_s1063" type="#_x0000_t202" style="position:absolute;margin-left:0;margin-top:55.8pt;width:220.05pt;height:74pt;z-index:-251526144;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1rwIAAGIFAAAOAAAAZHJzL2Uyb0RvYy54bWysVF1vmzAUfZ+0/2D5nfIRQiAqqZKQTJO6&#10;D6ndD3CMCdbAZrYT0k3977s2IWnXl2kaD3CN7XPP8T3Xt3entkFHpjSXIsfhTYARE1SWXOxz/O1x&#10;66UYaUNESRopWI6fmMZ3i/fvbvtuziJZy6ZkCgGI0PO+y3FtTDf3fU1r1hJ9IzsmYLKSqiUGhmrv&#10;l4r0gN42fhQEid9LVXZKUqY1/C2GSbxw+FXFqPlSVZoZ1OQYuBn3Vu69s29/cUvme0W6mtMzDfIP&#10;LFrCBSS9QBXEEHRQ/A1Uy6mSWlbmhsrWl1XFKXMaQE0Y/KHmoSYdc1rgcHR3OSb9/2Dp5+NXhXgJ&#10;tQsijARpoUiP7GTQSp5QnDhRMLzXxsqzE07Wr3WYTorZNvFWcZZ68WQ18bI4XXnhLEpX02i5TDbx&#10;sz1e3+1y+/2+03OX0dbHhQ8dpDcnSAYMXDLd3Uv6XSMh1zURe7ZUSvY1IyWoDh3gi60DjrYgu/6T&#10;LIE8ORjpgE6Vai1nOGQE6FD9p0vFrQ4KP6NZFieTKUYU5rJJlgbOEsB53N0pbT4w2SIb5FiBoxw6&#10;OYKkQd64xCYTcsubxrmqEagH0Gk0HXTJhpd20i5z/mbrRqEjAWcSSpkwyfm49MuVLTfQIA1vcwzk&#10;4Bksaw9kI0qXyBDeDDHwbsS5Tm8qlgXZJt2ksRdHycaLg6Lwltt17CXbcDYtJsV6XYTPlmoYz2te&#10;lkxYtmNThPHfme7cnoOdL23xSpJW+91F+tY9b5X7r2mMPhq/Vz/Z4g82MKfdyVl5MrN41iY7WT6B&#10;N5QcGh8uKghqqX5i1EPT51j/OBDFMGo+CvCXvSHGQI3BbgyIoLA1xwajIVyb4SY5dIrva0AeHCzk&#10;EjxYcWePKwugbgfQyE7E+dKxN8XLsVt1vRoXvwEAAP//AwBQSwMEFAAGAAgAAAAhAMFLQm7cAAAA&#10;CAEAAA8AAABkcnMvZG93bnJldi54bWxMj8FOwzAQRO9I/IO1lbhRJ1GJSIhTVUCPSNAicXXjbRIl&#10;Xke204a/ZznBcXZWM2+q7WJHcUEfekcK0nUCAqlxpqdWwedxf/8IIkRNRo+OUME3BtjWtzeVLo27&#10;0gdeDrEVHEKh1Aq6GKdSytB0aHVYuwmJvbPzVkeWvpXG6yuH21FmSZJLq3vihk5P+NxhMxxmq2CY&#10;/cvwtS+y7K0YzIiv7+TiTqm71bJ7AhFxiX/P8IvP6FAz08nNZIIYFfCQyNc0zUGwvdkkKYiTguyh&#10;yEHWlfw/oP4BAAD//wMAUEsBAi0AFAAGAAgAAAAhALaDOJL+AAAA4QEAABMAAAAAAAAAAAAAAAAA&#10;AAAAAFtDb250ZW50X1R5cGVzXS54bWxQSwECLQAUAAYACAAAACEAOP0h/9YAAACUAQAACwAAAAAA&#10;AAAAAAAAAAAvAQAAX3JlbHMvLnJlbHNQSwECLQAUAAYACAAAACEAnfo3Na8CAABiBQAADgAAAAAA&#10;AAAAAAAAAAAuAgAAZHJzL2Uyb0RvYy54bWxQSwECLQAUAAYACAAAACEAwUtCbtwAAAAIAQAADwAA&#10;AAAAAAAAAAAAAAAJBQAAZHJzL2Rvd25yZXYueG1sUEsFBgAAAAAEAAQA8wAAABIGAAAAAA==&#10;" filled="f" strokecolor="#009ab8 [3209]">
                <v:textbox inset="0,0,0,0">
                  <w:txbxContent>
                    <w:p w14:paraId="6413997E" w14:textId="77777777" w:rsidR="00C93E72" w:rsidRPr="00693365" w:rsidRDefault="00C93E72" w:rsidP="008A261E">
                      <w:pPr>
                        <w:pStyle w:val="Questionheading"/>
                        <w:ind w:left="426"/>
                      </w:pPr>
                      <w:r>
                        <w:t>IHPA’s decision</w:t>
                      </w:r>
                    </w:p>
                    <w:p w14:paraId="5EF4600C" w14:textId="5CF479E1" w:rsidR="00C93E72" w:rsidRDefault="00C93E72" w:rsidP="008A261E">
                      <w:pPr>
                        <w:pStyle w:val="BodyText"/>
                        <w:ind w:left="426"/>
                      </w:pPr>
                      <w:r w:rsidRPr="008A261E">
                        <w:t>IHPA will use Version 3.0 of the HAC list for</w:t>
                      </w:r>
                      <w:r>
                        <w:t> </w:t>
                      </w:r>
                      <w:r w:rsidRPr="008A261E">
                        <w:t>NEP21.</w:t>
                      </w:r>
                    </w:p>
                  </w:txbxContent>
                </v:textbox>
                <w10:wrap type="topAndBottom" anchorx="margin"/>
              </v:shape>
            </w:pict>
          </mc:Fallback>
        </mc:AlternateContent>
      </w:r>
      <w:r w:rsidR="00E4729D" w:rsidRPr="00E4729D">
        <w:rPr>
          <w:rFonts w:cs="Arial"/>
        </w:rPr>
        <w:t xml:space="preserve">The Commission published Version 3.0 of the HAC list in January 2020. The list is available on the Commission’s </w:t>
      </w:r>
      <w:hyperlink r:id="rId78" w:history="1">
        <w:r w:rsidR="00E4729D" w:rsidRPr="00E4729D">
          <w:rPr>
            <w:rStyle w:val="Hyperlink"/>
            <w:rFonts w:cs="Arial"/>
          </w:rPr>
          <w:t>website</w:t>
        </w:r>
      </w:hyperlink>
      <w:r w:rsidR="00E4729D" w:rsidRPr="00E4729D">
        <w:rPr>
          <w:rFonts w:cs="Arial"/>
        </w:rPr>
        <w:t>.</w:t>
      </w:r>
    </w:p>
    <w:p w14:paraId="6495EA3E" w14:textId="5E977237" w:rsidR="00E4729D" w:rsidRPr="0065414C" w:rsidRDefault="00E4729D" w:rsidP="00E4729D">
      <w:pPr>
        <w:pStyle w:val="BodyText"/>
        <w:rPr>
          <w:rFonts w:cs="Arial"/>
        </w:rPr>
      </w:pPr>
    </w:p>
    <w:p w14:paraId="276FD2D5" w14:textId="6C25B24A" w:rsidR="00926399" w:rsidRPr="0065414C" w:rsidRDefault="00A3126A" w:rsidP="00926399">
      <w:pPr>
        <w:pStyle w:val="Heading2"/>
        <w:rPr>
          <w:rFonts w:cs="Arial"/>
        </w:rPr>
      </w:pPr>
      <w:r w:rsidRPr="0065414C">
        <w:rPr>
          <w:rFonts w:cs="Arial"/>
        </w:rPr>
        <w:br w:type="column"/>
      </w:r>
      <w:bookmarkStart w:id="157" w:name="_Toc49953798"/>
      <w:bookmarkStart w:id="158" w:name="_Toc58930532"/>
      <w:r w:rsidR="00926399" w:rsidRPr="0065414C">
        <w:rPr>
          <w:rFonts w:cs="Arial"/>
        </w:rPr>
        <w:t>12.</w:t>
      </w:r>
      <w:r w:rsidR="007317FE">
        <w:rPr>
          <w:rFonts w:cs="Arial"/>
        </w:rPr>
        <w:t>3</w:t>
      </w:r>
      <w:r w:rsidR="00926399" w:rsidRPr="0065414C">
        <w:rPr>
          <w:rFonts w:cs="Arial"/>
        </w:rPr>
        <w:t>. Avoidable hospital readmissions</w:t>
      </w:r>
      <w:bookmarkEnd w:id="157"/>
      <w:bookmarkEnd w:id="158"/>
    </w:p>
    <w:p w14:paraId="54C5B7EE" w14:textId="3C7139E6" w:rsidR="007317FE" w:rsidRPr="007317FE" w:rsidRDefault="007317FE" w:rsidP="007317FE">
      <w:pPr>
        <w:pStyle w:val="BodyText"/>
        <w:rPr>
          <w:rFonts w:cs="Arial"/>
        </w:rPr>
      </w:pPr>
      <w:r w:rsidRPr="007317FE">
        <w:rPr>
          <w:rFonts w:cs="Arial"/>
        </w:rPr>
        <w:t>Unplanned hospital readmissions are a measure of potential issues with the quality, continuity and integration of care provided to patients during or subsequent to their initial hospital admission (the</w:t>
      </w:r>
      <w:r>
        <w:rPr>
          <w:rFonts w:cs="Arial"/>
        </w:rPr>
        <w:t> </w:t>
      </w:r>
      <w:r w:rsidRPr="007317FE">
        <w:rPr>
          <w:rFonts w:cs="Arial"/>
        </w:rPr>
        <w:t xml:space="preserve">index admission). Reducing the number of avoidable hospital readmissions improves patient health outcomes and decreases avoidable demand for public hospital services. </w:t>
      </w:r>
    </w:p>
    <w:p w14:paraId="402E06CB" w14:textId="2B2D2C09" w:rsidR="007317FE" w:rsidRPr="007317FE" w:rsidRDefault="007317FE" w:rsidP="007317FE">
      <w:pPr>
        <w:pStyle w:val="BodyText"/>
        <w:rPr>
          <w:rFonts w:cs="Arial"/>
        </w:rPr>
      </w:pPr>
      <w:r w:rsidRPr="007317FE">
        <w:rPr>
          <w:rFonts w:cs="Arial"/>
        </w:rPr>
        <w:t>The Commission was tasked with developing and maintaining a list of clinical conditions considered to be avoidable hospital readmissions. In</w:t>
      </w:r>
      <w:r>
        <w:rPr>
          <w:rFonts w:cs="Arial"/>
        </w:rPr>
        <w:t> </w:t>
      </w:r>
      <w:r w:rsidRPr="007317FE">
        <w:rPr>
          <w:rFonts w:cs="Arial"/>
        </w:rPr>
        <w:t>June</w:t>
      </w:r>
      <w:r>
        <w:rPr>
          <w:rFonts w:cs="Arial"/>
        </w:rPr>
        <w:t> </w:t>
      </w:r>
      <w:r w:rsidRPr="007317FE">
        <w:rPr>
          <w:rFonts w:cs="Arial"/>
        </w:rPr>
        <w:t xml:space="preserve">2017, the Australian Health Ministers’ Advisory Council approved the list of avoidable hospital readmissions and readmission diagnoses. </w:t>
      </w:r>
      <w:r w:rsidRPr="007317FE">
        <w:rPr>
          <w:rFonts w:cs="Arial"/>
          <w:b/>
          <w:bCs/>
        </w:rPr>
        <w:t xml:space="preserve">Table 2 </w:t>
      </w:r>
      <w:r w:rsidRPr="007317FE">
        <w:rPr>
          <w:rFonts w:cs="Arial"/>
        </w:rPr>
        <w:t xml:space="preserve">lists the conditions and condition-specific readmission intervals; further detail can be found on the Commission’s </w:t>
      </w:r>
      <w:hyperlink r:id="rId79" w:history="1">
        <w:r w:rsidRPr="007317FE">
          <w:rPr>
            <w:rStyle w:val="Hyperlink"/>
            <w:rFonts w:cs="Arial"/>
          </w:rPr>
          <w:t>website</w:t>
        </w:r>
      </w:hyperlink>
      <w:r w:rsidRPr="007317FE">
        <w:rPr>
          <w:rFonts w:cs="Arial"/>
        </w:rPr>
        <w:t>.</w:t>
      </w:r>
    </w:p>
    <w:p w14:paraId="40C771B6" w14:textId="411876E4" w:rsidR="007317FE" w:rsidRPr="007317FE" w:rsidRDefault="007317FE" w:rsidP="007317FE">
      <w:pPr>
        <w:pStyle w:val="BodyText"/>
        <w:rPr>
          <w:rFonts w:cs="Arial"/>
        </w:rPr>
      </w:pPr>
      <w:r w:rsidRPr="007317FE">
        <w:rPr>
          <w:rFonts w:cs="Arial"/>
        </w:rPr>
        <w:t>Under the Addendum, IHPA is required to develop a pricing model for avoidable hospital readmissions, for implementation from 1</w:t>
      </w:r>
      <w:r>
        <w:rPr>
          <w:rFonts w:cs="Arial"/>
        </w:rPr>
        <w:t> </w:t>
      </w:r>
      <w:r w:rsidRPr="007317FE">
        <w:rPr>
          <w:rFonts w:cs="Arial"/>
        </w:rPr>
        <w:t>July</w:t>
      </w:r>
      <w:r>
        <w:rPr>
          <w:rFonts w:cs="Arial"/>
        </w:rPr>
        <w:t> </w:t>
      </w:r>
      <w:r w:rsidRPr="007317FE">
        <w:rPr>
          <w:rFonts w:cs="Arial"/>
        </w:rPr>
        <w:t xml:space="preserve">2021, following approval from the Council of Australian Governments Health Council (CHC). </w:t>
      </w:r>
    </w:p>
    <w:p w14:paraId="3E623666" w14:textId="2828EE32" w:rsidR="007317FE" w:rsidRPr="007317FE" w:rsidRDefault="007317FE" w:rsidP="007317FE">
      <w:pPr>
        <w:pStyle w:val="BodyText"/>
        <w:rPr>
          <w:rFonts w:cs="Arial"/>
        </w:rPr>
      </w:pPr>
      <w:r w:rsidRPr="007317FE">
        <w:rPr>
          <w:rFonts w:cs="Arial"/>
        </w:rPr>
        <w:t>The Addendum requires the use of transitional arrangements when developing new costing methodologies, including shadow pricing and reporting for two years or a period agreed upon by the Commonwealth and a majority of states. The shadow period for avoidable hospital readmissions commenced on 1 July 2019, and</w:t>
      </w:r>
      <w:r>
        <w:rPr>
          <w:rFonts w:cs="Arial"/>
        </w:rPr>
        <w:t> </w:t>
      </w:r>
      <w:r w:rsidRPr="007317FE">
        <w:rPr>
          <w:rFonts w:cs="Arial"/>
        </w:rPr>
        <w:t>will be completed by the required implementation date of 1 July 2021.</w:t>
      </w:r>
    </w:p>
    <w:p w14:paraId="26334A36" w14:textId="7749D731" w:rsidR="007317FE" w:rsidRDefault="007317FE" w:rsidP="007317FE">
      <w:pPr>
        <w:pStyle w:val="BodyText"/>
        <w:rPr>
          <w:rFonts w:cs="Arial"/>
        </w:rPr>
      </w:pPr>
      <w:r w:rsidRPr="007317FE">
        <w:rPr>
          <w:rFonts w:cs="Arial"/>
        </w:rPr>
        <w:t>IHPA also notes that the funding adjustment for avoidable hospital readmissions is subject to back-casting at implementation, as outlined in the</w:t>
      </w:r>
      <w:r w:rsidR="00BB248D">
        <w:rPr>
          <w:rFonts w:cs="Arial"/>
        </w:rPr>
        <w:t> </w:t>
      </w:r>
      <w:r w:rsidRPr="007317FE">
        <w:rPr>
          <w:rFonts w:cs="Arial"/>
        </w:rPr>
        <w:t>Addendum.</w:t>
      </w:r>
    </w:p>
    <w:p w14:paraId="46766E0C" w14:textId="77777777" w:rsidR="00E4729D" w:rsidRPr="0065414C" w:rsidRDefault="00E4729D" w:rsidP="00A3126A">
      <w:pPr>
        <w:pStyle w:val="BodyText"/>
        <w:rPr>
          <w:rFonts w:cs="Arial"/>
        </w:rPr>
      </w:pPr>
    </w:p>
    <w:p w14:paraId="16AB09F9" w14:textId="77777777" w:rsidR="00A3126A" w:rsidRPr="0065414C" w:rsidRDefault="00A3126A" w:rsidP="00A3126A">
      <w:pPr>
        <w:rPr>
          <w:rFonts w:cs="Arial"/>
          <w:b/>
        </w:rPr>
        <w:sectPr w:rsidR="00A3126A" w:rsidRPr="0065414C" w:rsidSect="00C972BD">
          <w:type w:val="continuous"/>
          <w:pgSz w:w="11910" w:h="16840"/>
          <w:pgMar w:top="1440" w:right="1440" w:bottom="1440" w:left="1440" w:header="0" w:footer="658" w:gutter="0"/>
          <w:cols w:num="2" w:space="340"/>
        </w:sectPr>
      </w:pPr>
    </w:p>
    <w:p w14:paraId="6F264EBE" w14:textId="77777777" w:rsidR="00E4729D" w:rsidRDefault="00E4729D" w:rsidP="00A3126A">
      <w:pPr>
        <w:pStyle w:val="Figureheading"/>
        <w:rPr>
          <w:rFonts w:cs="Arial"/>
        </w:rPr>
        <w:sectPr w:rsidR="00E4729D" w:rsidSect="00CF2090">
          <w:type w:val="continuous"/>
          <w:pgSz w:w="11910" w:h="16840"/>
          <w:pgMar w:top="1440" w:right="1440" w:bottom="1440" w:left="1440" w:header="0" w:footer="658" w:gutter="0"/>
          <w:cols w:space="340"/>
        </w:sectPr>
      </w:pPr>
    </w:p>
    <w:p w14:paraId="3AAA4D47" w14:textId="0CD6B7DF" w:rsidR="00A3126A" w:rsidRPr="0065414C" w:rsidRDefault="00A3126A" w:rsidP="00A3126A">
      <w:pPr>
        <w:pStyle w:val="Figureheading"/>
        <w:rPr>
          <w:rFonts w:eastAsiaTheme="minorHAnsi" w:cs="Arial"/>
          <w:lang w:bidi="ar-SA"/>
        </w:rPr>
      </w:pPr>
      <w:r w:rsidRPr="0065414C">
        <w:rPr>
          <w:rFonts w:cs="Arial"/>
        </w:rPr>
        <w:lastRenderedPageBreak/>
        <w:t xml:space="preserve">Table </w:t>
      </w:r>
      <w:r w:rsidR="00BB248D">
        <w:rPr>
          <w:rFonts w:cs="Arial"/>
        </w:rPr>
        <w:t>2</w:t>
      </w:r>
      <w:r w:rsidRPr="0065414C">
        <w:rPr>
          <w:rFonts w:cs="Arial"/>
        </w:rPr>
        <w:t>: List of avoidable hospital readmissions and readmission intervals</w:t>
      </w:r>
    </w:p>
    <w:tbl>
      <w:tblPr>
        <w:tblStyle w:val="IHPA"/>
        <w:tblW w:w="9498" w:type="dxa"/>
        <w:tblLook w:val="04A0" w:firstRow="1" w:lastRow="0" w:firstColumn="1" w:lastColumn="0" w:noHBand="0" w:noVBand="1"/>
        <w:tblCaption w:val="Table 3: List of avoidable hospital readmissions and readmission intervals"/>
        <w:tblDescription w:val="Table with 3 columns; lists 11 readmission conditions, readmission diagnosis and readmission intervals"/>
      </w:tblPr>
      <w:tblGrid>
        <w:gridCol w:w="2694"/>
        <w:gridCol w:w="4677"/>
        <w:gridCol w:w="2127"/>
      </w:tblGrid>
      <w:tr w:rsidR="00A3126A" w:rsidRPr="0065414C" w14:paraId="0682CE39" w14:textId="77777777" w:rsidTr="00872610">
        <w:trPr>
          <w:cnfStyle w:val="100000000000" w:firstRow="1" w:lastRow="0" w:firstColumn="0" w:lastColumn="0" w:oddVBand="0" w:evenVBand="0" w:oddHBand="0" w:evenHBand="0" w:firstRowFirstColumn="0" w:firstRowLastColumn="0" w:lastRowFirstColumn="0" w:lastRowLastColumn="0"/>
          <w:trHeight w:val="376"/>
        </w:trPr>
        <w:tc>
          <w:tcPr>
            <w:tcW w:w="2694" w:type="dxa"/>
            <w:shd w:val="clear" w:color="auto" w:fill="009AB8" w:themeFill="accent6"/>
            <w:noWrap/>
            <w:hideMark/>
          </w:tcPr>
          <w:p w14:paraId="326382FF" w14:textId="77777777" w:rsidR="00A3126A" w:rsidRPr="0065414C" w:rsidRDefault="00A3126A">
            <w:pPr>
              <w:keepNext/>
              <w:spacing w:before="60" w:after="60"/>
              <w:rPr>
                <w:rFonts w:cs="Arial"/>
                <w:b/>
                <w:bCs/>
                <w:color w:val="FFFFFF" w:themeColor="background1"/>
                <w:szCs w:val="18"/>
              </w:rPr>
            </w:pPr>
            <w:r w:rsidRPr="0065414C">
              <w:rPr>
                <w:rFonts w:cs="Arial"/>
                <w:b/>
                <w:bCs/>
                <w:color w:val="FFFFFF" w:themeColor="background1"/>
                <w:szCs w:val="18"/>
              </w:rPr>
              <w:t>Readmission condition</w:t>
            </w:r>
          </w:p>
        </w:tc>
        <w:tc>
          <w:tcPr>
            <w:tcW w:w="4677" w:type="dxa"/>
            <w:shd w:val="clear" w:color="auto" w:fill="009AB8" w:themeFill="accent6"/>
            <w:noWrap/>
            <w:hideMark/>
          </w:tcPr>
          <w:p w14:paraId="2EA54130" w14:textId="77777777" w:rsidR="00A3126A" w:rsidRPr="0065414C" w:rsidRDefault="00A3126A">
            <w:pPr>
              <w:keepNext/>
              <w:spacing w:before="60" w:after="60"/>
              <w:rPr>
                <w:rFonts w:cs="Arial"/>
                <w:b/>
                <w:bCs/>
                <w:color w:val="FFFFFF" w:themeColor="background1"/>
                <w:szCs w:val="18"/>
              </w:rPr>
            </w:pPr>
            <w:r w:rsidRPr="0065414C">
              <w:rPr>
                <w:rFonts w:cs="Arial"/>
                <w:b/>
                <w:bCs/>
                <w:color w:val="FFFFFF" w:themeColor="background1"/>
                <w:szCs w:val="18"/>
              </w:rPr>
              <w:t>Readmission diagnosis</w:t>
            </w:r>
          </w:p>
        </w:tc>
        <w:tc>
          <w:tcPr>
            <w:tcW w:w="2127" w:type="dxa"/>
            <w:shd w:val="clear" w:color="auto" w:fill="009AB8" w:themeFill="accent6"/>
            <w:hideMark/>
          </w:tcPr>
          <w:p w14:paraId="14C28C08" w14:textId="77777777" w:rsidR="00A3126A" w:rsidRPr="0065414C" w:rsidRDefault="00A3126A">
            <w:pPr>
              <w:keepNext/>
              <w:spacing w:before="60" w:after="60"/>
              <w:jc w:val="center"/>
              <w:rPr>
                <w:rFonts w:cs="Arial"/>
                <w:b/>
                <w:bCs/>
                <w:color w:val="FFFFFF" w:themeColor="background1"/>
                <w:szCs w:val="18"/>
              </w:rPr>
            </w:pPr>
            <w:r w:rsidRPr="0065414C">
              <w:rPr>
                <w:rFonts w:cs="Arial"/>
                <w:b/>
                <w:bCs/>
                <w:color w:val="FFFFFF" w:themeColor="background1"/>
                <w:szCs w:val="18"/>
              </w:rPr>
              <w:t>Readmission interval</w:t>
            </w:r>
          </w:p>
        </w:tc>
      </w:tr>
      <w:tr w:rsidR="009A6700" w:rsidRPr="0065414C" w14:paraId="51CF5B28" w14:textId="77777777" w:rsidTr="00872610">
        <w:trPr>
          <w:trHeight w:val="283"/>
        </w:trPr>
        <w:tc>
          <w:tcPr>
            <w:tcW w:w="2694" w:type="dxa"/>
            <w:noWrap/>
            <w:vAlign w:val="center"/>
            <w:hideMark/>
          </w:tcPr>
          <w:p w14:paraId="632E26D7"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Pressure injury</w:t>
            </w:r>
          </w:p>
        </w:tc>
        <w:tc>
          <w:tcPr>
            <w:tcW w:w="4677" w:type="dxa"/>
            <w:tcBorders>
              <w:bottom w:val="single" w:sz="4" w:space="0" w:color="D9D9D9" w:themeColor="background2" w:themeShade="D9"/>
            </w:tcBorders>
            <w:noWrap/>
            <w:vAlign w:val="center"/>
            <w:hideMark/>
          </w:tcPr>
          <w:p w14:paraId="7C94E08A" w14:textId="77777777" w:rsidR="009A6700" w:rsidRPr="00CD6FED" w:rsidRDefault="009A6700" w:rsidP="00530F1A">
            <w:pPr>
              <w:keepNext/>
              <w:spacing w:before="20" w:after="20"/>
              <w:rPr>
                <w:rFonts w:cs="Arial"/>
                <w:color w:val="58595A"/>
                <w:szCs w:val="18"/>
              </w:rPr>
            </w:pPr>
            <w:r w:rsidRPr="00CD6FED">
              <w:rPr>
                <w:rFonts w:cs="Arial"/>
                <w:color w:val="58595A"/>
                <w:szCs w:val="18"/>
              </w:rPr>
              <w:t>Stage III ulcer</w:t>
            </w:r>
          </w:p>
        </w:tc>
        <w:tc>
          <w:tcPr>
            <w:tcW w:w="2127" w:type="dxa"/>
            <w:tcBorders>
              <w:bottom w:val="single" w:sz="4" w:space="0" w:color="D9D9D9" w:themeColor="background2" w:themeShade="D9"/>
            </w:tcBorders>
            <w:vAlign w:val="center"/>
            <w:hideMark/>
          </w:tcPr>
          <w:p w14:paraId="7677178C"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663F8721" w14:textId="77777777" w:rsidTr="00872610">
        <w:trPr>
          <w:trHeight w:val="283"/>
        </w:trPr>
        <w:tc>
          <w:tcPr>
            <w:tcW w:w="2694" w:type="dxa"/>
            <w:vAlign w:val="center"/>
            <w:hideMark/>
          </w:tcPr>
          <w:p w14:paraId="1AE8ECC5"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4CFEFDF" w14:textId="77777777" w:rsidR="009A6700" w:rsidRPr="00CD6FED" w:rsidRDefault="009A6700" w:rsidP="00530F1A">
            <w:pPr>
              <w:keepNext/>
              <w:spacing w:before="20" w:after="20"/>
              <w:rPr>
                <w:rFonts w:cs="Arial"/>
                <w:color w:val="58595A"/>
                <w:szCs w:val="18"/>
              </w:rPr>
            </w:pPr>
            <w:r w:rsidRPr="00CD6FED">
              <w:rPr>
                <w:rFonts w:cs="Arial"/>
                <w:color w:val="58595A"/>
                <w:szCs w:val="18"/>
              </w:rPr>
              <w:t>Stage IV ulcer</w:t>
            </w:r>
          </w:p>
        </w:tc>
        <w:tc>
          <w:tcPr>
            <w:tcW w:w="2127" w:type="dxa"/>
            <w:tcBorders>
              <w:top w:val="single" w:sz="4" w:space="0" w:color="D9D9D9" w:themeColor="background2" w:themeShade="D9"/>
              <w:bottom w:val="single" w:sz="4" w:space="0" w:color="D9D9D9" w:themeColor="background2" w:themeShade="D9"/>
            </w:tcBorders>
            <w:vAlign w:val="center"/>
            <w:hideMark/>
          </w:tcPr>
          <w:p w14:paraId="68322197" w14:textId="77777777" w:rsidR="009A6700" w:rsidRPr="00CD6FED" w:rsidRDefault="009A6700" w:rsidP="00530F1A">
            <w:pPr>
              <w:spacing w:before="20" w:after="20"/>
              <w:jc w:val="center"/>
              <w:rPr>
                <w:rFonts w:cs="Arial"/>
                <w:color w:val="58595A"/>
                <w:szCs w:val="18"/>
              </w:rPr>
            </w:pPr>
            <w:r w:rsidRPr="00CD6FED">
              <w:rPr>
                <w:rFonts w:cs="Arial"/>
                <w:color w:val="58595A"/>
                <w:szCs w:val="18"/>
              </w:rPr>
              <w:t>7 days</w:t>
            </w:r>
          </w:p>
        </w:tc>
      </w:tr>
      <w:tr w:rsidR="009A6700" w:rsidRPr="0065414C" w14:paraId="77FAF32E" w14:textId="77777777" w:rsidTr="00872610">
        <w:trPr>
          <w:trHeight w:val="283"/>
        </w:trPr>
        <w:tc>
          <w:tcPr>
            <w:tcW w:w="2694" w:type="dxa"/>
            <w:tcBorders>
              <w:bottom w:val="single" w:sz="4" w:space="0" w:color="D9D9D9" w:themeColor="background2" w:themeShade="D9"/>
            </w:tcBorders>
            <w:vAlign w:val="center"/>
            <w:hideMark/>
          </w:tcPr>
          <w:p w14:paraId="2E2FDEB2"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D7F271B" w14:textId="77777777" w:rsidR="009A6700" w:rsidRPr="00CD6FED" w:rsidRDefault="009A6700" w:rsidP="00530F1A">
            <w:pPr>
              <w:keepNext/>
              <w:spacing w:before="20" w:after="20"/>
              <w:rPr>
                <w:rFonts w:cs="Arial"/>
                <w:color w:val="58595A"/>
                <w:szCs w:val="18"/>
              </w:rPr>
            </w:pPr>
            <w:r w:rsidRPr="00CD6FED">
              <w:rPr>
                <w:rFonts w:cs="Arial"/>
                <w:color w:val="58595A"/>
                <w:szCs w:val="18"/>
              </w:rPr>
              <w:t>Unspecified decubitus and pressure area</w:t>
            </w:r>
          </w:p>
        </w:tc>
        <w:tc>
          <w:tcPr>
            <w:tcW w:w="2127" w:type="dxa"/>
            <w:tcBorders>
              <w:top w:val="single" w:sz="4" w:space="0" w:color="D9D9D9" w:themeColor="background2" w:themeShade="D9"/>
              <w:bottom w:val="single" w:sz="4" w:space="0" w:color="D9D9D9" w:themeColor="background2" w:themeShade="D9"/>
            </w:tcBorders>
            <w:vAlign w:val="center"/>
            <w:hideMark/>
          </w:tcPr>
          <w:p w14:paraId="120C2BDA"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A3126A" w:rsidRPr="0065414C" w14:paraId="7867881C" w14:textId="77777777" w:rsidTr="00872610">
        <w:trPr>
          <w:trHeight w:val="283"/>
        </w:trPr>
        <w:tc>
          <w:tcPr>
            <w:tcW w:w="2694" w:type="dxa"/>
            <w:tcBorders>
              <w:top w:val="single" w:sz="4" w:space="0" w:color="D9D9D9" w:themeColor="background2" w:themeShade="D9"/>
            </w:tcBorders>
            <w:noWrap/>
            <w:vAlign w:val="center"/>
            <w:hideMark/>
          </w:tcPr>
          <w:p w14:paraId="71501342"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Infections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27FFCC61" w14:textId="77777777" w:rsidR="00A3126A" w:rsidRPr="00CD6FED" w:rsidRDefault="00A3126A" w:rsidP="00530F1A">
            <w:pPr>
              <w:keepNext/>
              <w:spacing w:before="20" w:after="20"/>
              <w:rPr>
                <w:rFonts w:cs="Arial"/>
                <w:color w:val="58595A"/>
                <w:szCs w:val="18"/>
              </w:rPr>
            </w:pPr>
            <w:r w:rsidRPr="00CD6FED">
              <w:rPr>
                <w:rFonts w:cs="Arial"/>
                <w:color w:val="58595A"/>
                <w:szCs w:val="18"/>
              </w:rPr>
              <w:t>Urinary tract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1B50736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7 days</w:t>
            </w:r>
          </w:p>
        </w:tc>
      </w:tr>
      <w:tr w:rsidR="00A3126A" w:rsidRPr="0065414C" w14:paraId="07C1EF03" w14:textId="77777777" w:rsidTr="00872610">
        <w:trPr>
          <w:trHeight w:val="283"/>
        </w:trPr>
        <w:tc>
          <w:tcPr>
            <w:tcW w:w="2694" w:type="dxa"/>
            <w:vAlign w:val="center"/>
            <w:hideMark/>
          </w:tcPr>
          <w:p w14:paraId="36DD90A2"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D02776F" w14:textId="77777777" w:rsidR="00A3126A" w:rsidRPr="00CD6FED" w:rsidRDefault="00A3126A" w:rsidP="00530F1A">
            <w:pPr>
              <w:keepNext/>
              <w:spacing w:before="20" w:after="20"/>
              <w:rPr>
                <w:rFonts w:cs="Arial"/>
                <w:color w:val="58595A"/>
                <w:szCs w:val="18"/>
              </w:rPr>
            </w:pPr>
            <w:r w:rsidRPr="00CD6FED">
              <w:rPr>
                <w:rFonts w:cs="Arial"/>
                <w:color w:val="58595A"/>
                <w:szCs w:val="18"/>
              </w:rPr>
              <w:t>Surgical site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12ACBC56" w14:textId="77777777" w:rsidR="00A3126A" w:rsidRPr="00CD6FED" w:rsidRDefault="00A3126A" w:rsidP="00530F1A">
            <w:pPr>
              <w:spacing w:before="20" w:after="20"/>
              <w:jc w:val="center"/>
              <w:rPr>
                <w:rFonts w:cs="Arial"/>
                <w:color w:val="58595A"/>
                <w:szCs w:val="18"/>
              </w:rPr>
            </w:pPr>
            <w:r w:rsidRPr="00CD6FED">
              <w:rPr>
                <w:rFonts w:cs="Arial"/>
                <w:color w:val="58595A"/>
                <w:szCs w:val="18"/>
              </w:rPr>
              <w:t>30 days</w:t>
            </w:r>
          </w:p>
        </w:tc>
      </w:tr>
      <w:tr w:rsidR="00A3126A" w:rsidRPr="0065414C" w14:paraId="29E0676F" w14:textId="77777777" w:rsidTr="00872610">
        <w:trPr>
          <w:trHeight w:val="283"/>
        </w:trPr>
        <w:tc>
          <w:tcPr>
            <w:tcW w:w="2694" w:type="dxa"/>
            <w:vAlign w:val="center"/>
            <w:hideMark/>
          </w:tcPr>
          <w:p w14:paraId="35FAE94F"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5D53D69" w14:textId="77777777" w:rsidR="00A3126A" w:rsidRPr="00CD6FED" w:rsidRDefault="00A3126A" w:rsidP="00530F1A">
            <w:pPr>
              <w:keepNext/>
              <w:spacing w:before="20" w:after="20"/>
              <w:rPr>
                <w:rFonts w:cs="Arial"/>
                <w:color w:val="58595A"/>
                <w:szCs w:val="18"/>
              </w:rPr>
            </w:pPr>
            <w:r w:rsidRPr="00CD6FED">
              <w:rPr>
                <w:rFonts w:cs="Arial"/>
                <w:color w:val="58595A"/>
                <w:szCs w:val="18"/>
              </w:rPr>
              <w:t>Pneumonia</w:t>
            </w:r>
          </w:p>
        </w:tc>
        <w:tc>
          <w:tcPr>
            <w:tcW w:w="2127" w:type="dxa"/>
            <w:tcBorders>
              <w:top w:val="single" w:sz="4" w:space="0" w:color="D9D9D9" w:themeColor="background2" w:themeShade="D9"/>
              <w:bottom w:val="single" w:sz="4" w:space="0" w:color="D9D9D9" w:themeColor="background2" w:themeShade="D9"/>
            </w:tcBorders>
            <w:vAlign w:val="center"/>
            <w:hideMark/>
          </w:tcPr>
          <w:p w14:paraId="10A1CA73" w14:textId="77777777" w:rsidR="00A3126A" w:rsidRPr="00CD6FED" w:rsidRDefault="00A3126A" w:rsidP="00530F1A">
            <w:pPr>
              <w:spacing w:before="20" w:after="20"/>
              <w:jc w:val="center"/>
              <w:rPr>
                <w:rFonts w:cs="Arial"/>
                <w:color w:val="58595A"/>
                <w:szCs w:val="18"/>
              </w:rPr>
            </w:pPr>
            <w:r w:rsidRPr="00CD6FED">
              <w:rPr>
                <w:rFonts w:cs="Arial"/>
                <w:color w:val="58595A"/>
                <w:szCs w:val="18"/>
              </w:rPr>
              <w:t>7 days</w:t>
            </w:r>
          </w:p>
        </w:tc>
      </w:tr>
      <w:tr w:rsidR="00A3126A" w:rsidRPr="0065414C" w14:paraId="1BC0D0FD" w14:textId="77777777" w:rsidTr="00872610">
        <w:trPr>
          <w:trHeight w:val="283"/>
        </w:trPr>
        <w:tc>
          <w:tcPr>
            <w:tcW w:w="2694" w:type="dxa"/>
            <w:vAlign w:val="center"/>
            <w:hideMark/>
          </w:tcPr>
          <w:p w14:paraId="20ECD602"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38DAC58C" w14:textId="77777777" w:rsidR="00A3126A" w:rsidRPr="00CD6FED" w:rsidRDefault="00A3126A" w:rsidP="00530F1A">
            <w:pPr>
              <w:keepNext/>
              <w:spacing w:before="20" w:after="20"/>
              <w:rPr>
                <w:rFonts w:cs="Arial"/>
                <w:color w:val="58595A"/>
                <w:szCs w:val="18"/>
              </w:rPr>
            </w:pPr>
            <w:r w:rsidRPr="00CD6FED">
              <w:rPr>
                <w:rFonts w:cs="Arial"/>
                <w:color w:val="58595A"/>
                <w:szCs w:val="18"/>
              </w:rPr>
              <w:t>Blood stream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3BD955E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52AF6A76" w14:textId="77777777" w:rsidTr="00872610">
        <w:trPr>
          <w:trHeight w:val="283"/>
        </w:trPr>
        <w:tc>
          <w:tcPr>
            <w:tcW w:w="2694" w:type="dxa"/>
            <w:vAlign w:val="center"/>
            <w:hideMark/>
          </w:tcPr>
          <w:p w14:paraId="4F1E467C"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782F550" w14:textId="77777777" w:rsidR="00A3126A" w:rsidRPr="00CD6FED" w:rsidRDefault="00A3126A" w:rsidP="00530F1A">
            <w:pPr>
              <w:keepNext/>
              <w:spacing w:before="20" w:after="20"/>
              <w:rPr>
                <w:rFonts w:cs="Arial"/>
                <w:color w:val="58595A"/>
                <w:szCs w:val="18"/>
              </w:rPr>
            </w:pPr>
            <w:r w:rsidRPr="00CD6FED">
              <w:rPr>
                <w:rFonts w:cs="Arial"/>
                <w:color w:val="58595A"/>
                <w:szCs w:val="18"/>
              </w:rPr>
              <w:t>Central line and peripheral line associated bloodstream infection</w:t>
            </w:r>
          </w:p>
        </w:tc>
        <w:tc>
          <w:tcPr>
            <w:tcW w:w="2127" w:type="dxa"/>
            <w:tcBorders>
              <w:top w:val="single" w:sz="4" w:space="0" w:color="D9D9D9" w:themeColor="background2" w:themeShade="D9"/>
              <w:bottom w:val="single" w:sz="4" w:space="0" w:color="D9D9D9" w:themeColor="background2" w:themeShade="D9"/>
            </w:tcBorders>
            <w:vAlign w:val="center"/>
            <w:hideMark/>
          </w:tcPr>
          <w:p w14:paraId="5609D7FA"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6D6EBCC4" w14:textId="77777777" w:rsidTr="00872610">
        <w:trPr>
          <w:trHeight w:val="283"/>
        </w:trPr>
        <w:tc>
          <w:tcPr>
            <w:tcW w:w="2694" w:type="dxa"/>
            <w:vAlign w:val="center"/>
            <w:hideMark/>
          </w:tcPr>
          <w:p w14:paraId="2E940623"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FBC3B50" w14:textId="77777777" w:rsidR="00A3126A" w:rsidRPr="00CD6FED" w:rsidRDefault="00A3126A" w:rsidP="00530F1A">
            <w:pPr>
              <w:keepNext/>
              <w:spacing w:before="20" w:after="20"/>
              <w:rPr>
                <w:rFonts w:cs="Arial"/>
                <w:color w:val="58595A"/>
                <w:szCs w:val="18"/>
              </w:rPr>
            </w:pPr>
            <w:r w:rsidRPr="00CD6FED">
              <w:rPr>
                <w:rFonts w:cs="Arial"/>
                <w:color w:val="58595A"/>
                <w:szCs w:val="18"/>
              </w:rPr>
              <w:t>Multi-resistant organism</w:t>
            </w:r>
          </w:p>
        </w:tc>
        <w:tc>
          <w:tcPr>
            <w:tcW w:w="2127" w:type="dxa"/>
            <w:tcBorders>
              <w:top w:val="single" w:sz="4" w:space="0" w:color="D9D9D9" w:themeColor="background2" w:themeShade="D9"/>
              <w:bottom w:val="single" w:sz="4" w:space="0" w:color="D9D9D9" w:themeColor="background2" w:themeShade="D9"/>
            </w:tcBorders>
            <w:vAlign w:val="center"/>
            <w:hideMark/>
          </w:tcPr>
          <w:p w14:paraId="733C5AA7"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41B96F0A" w14:textId="77777777" w:rsidTr="00872610">
        <w:trPr>
          <w:trHeight w:val="283"/>
        </w:trPr>
        <w:tc>
          <w:tcPr>
            <w:tcW w:w="2694" w:type="dxa"/>
            <w:vAlign w:val="center"/>
            <w:hideMark/>
          </w:tcPr>
          <w:p w14:paraId="4C4C8E08"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2FF1B93A" w14:textId="77777777" w:rsidR="00A3126A" w:rsidRPr="00CD6FED" w:rsidRDefault="00A3126A" w:rsidP="00530F1A">
            <w:pPr>
              <w:keepNext/>
              <w:spacing w:before="20" w:after="20"/>
              <w:rPr>
                <w:rFonts w:cs="Arial"/>
                <w:color w:val="58595A"/>
                <w:szCs w:val="18"/>
              </w:rPr>
            </w:pPr>
            <w:r w:rsidRPr="00CD6FED">
              <w:rPr>
                <w:rFonts w:cs="Arial"/>
                <w:color w:val="58595A"/>
                <w:szCs w:val="18"/>
              </w:rPr>
              <w:t>Infection associated with devices, implants and grafts</w:t>
            </w:r>
          </w:p>
        </w:tc>
        <w:tc>
          <w:tcPr>
            <w:tcW w:w="2127" w:type="dxa"/>
            <w:tcBorders>
              <w:top w:val="single" w:sz="4" w:space="0" w:color="D9D9D9" w:themeColor="background2" w:themeShade="D9"/>
              <w:bottom w:val="single" w:sz="4" w:space="0" w:color="D9D9D9" w:themeColor="background2" w:themeShade="D9"/>
            </w:tcBorders>
            <w:vAlign w:val="center"/>
            <w:hideMark/>
          </w:tcPr>
          <w:p w14:paraId="675BA44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90 days</w:t>
            </w:r>
          </w:p>
        </w:tc>
      </w:tr>
      <w:tr w:rsidR="00A3126A" w:rsidRPr="0065414C" w14:paraId="2C33623D" w14:textId="77777777" w:rsidTr="00872610">
        <w:trPr>
          <w:trHeight w:val="283"/>
        </w:trPr>
        <w:tc>
          <w:tcPr>
            <w:tcW w:w="2694" w:type="dxa"/>
            <w:vAlign w:val="center"/>
            <w:hideMark/>
          </w:tcPr>
          <w:p w14:paraId="01E59E2A"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0F16854" w14:textId="77777777" w:rsidR="00A3126A" w:rsidRPr="00CD6FED" w:rsidRDefault="00A3126A" w:rsidP="00530F1A">
            <w:pPr>
              <w:keepNext/>
              <w:spacing w:before="20" w:after="20"/>
              <w:rPr>
                <w:rFonts w:cs="Arial"/>
                <w:color w:val="58595A"/>
                <w:szCs w:val="18"/>
              </w:rPr>
            </w:pPr>
            <w:r w:rsidRPr="00CD6FED">
              <w:rPr>
                <w:rFonts w:cs="Arial"/>
                <w:color w:val="58595A"/>
                <w:szCs w:val="18"/>
              </w:rPr>
              <w:t>Infection associated with prosthetic devices, implants and grafts in genital tract or urinary system</w:t>
            </w:r>
          </w:p>
        </w:tc>
        <w:tc>
          <w:tcPr>
            <w:tcW w:w="2127" w:type="dxa"/>
            <w:tcBorders>
              <w:top w:val="single" w:sz="4" w:space="0" w:color="D9D9D9" w:themeColor="background2" w:themeShade="D9"/>
              <w:bottom w:val="single" w:sz="4" w:space="0" w:color="D9D9D9" w:themeColor="background2" w:themeShade="D9"/>
            </w:tcBorders>
            <w:vAlign w:val="center"/>
            <w:hideMark/>
          </w:tcPr>
          <w:p w14:paraId="283C4BC4" w14:textId="77777777" w:rsidR="00A3126A" w:rsidRPr="00CD6FED" w:rsidRDefault="00A3126A" w:rsidP="00530F1A">
            <w:pPr>
              <w:spacing w:before="20" w:after="20"/>
              <w:jc w:val="center"/>
              <w:rPr>
                <w:rFonts w:cs="Arial"/>
                <w:color w:val="58595A"/>
                <w:szCs w:val="18"/>
              </w:rPr>
            </w:pPr>
            <w:r w:rsidRPr="00CD6FED">
              <w:rPr>
                <w:rFonts w:cs="Arial"/>
                <w:color w:val="58595A"/>
                <w:szCs w:val="18"/>
              </w:rPr>
              <w:t>30 days</w:t>
            </w:r>
          </w:p>
        </w:tc>
      </w:tr>
      <w:tr w:rsidR="00A3126A" w:rsidRPr="0065414C" w14:paraId="71B0EC5F" w14:textId="77777777" w:rsidTr="00872610">
        <w:trPr>
          <w:trHeight w:val="283"/>
        </w:trPr>
        <w:tc>
          <w:tcPr>
            <w:tcW w:w="2694" w:type="dxa"/>
            <w:vAlign w:val="center"/>
            <w:hideMark/>
          </w:tcPr>
          <w:p w14:paraId="4A4C954D"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7088E53" w14:textId="77777777" w:rsidR="00A3126A" w:rsidRPr="00CD6FED" w:rsidRDefault="00A3126A" w:rsidP="00530F1A">
            <w:pPr>
              <w:keepNext/>
              <w:spacing w:before="20" w:after="20"/>
              <w:rPr>
                <w:rFonts w:cs="Arial"/>
                <w:color w:val="58595A"/>
                <w:szCs w:val="18"/>
              </w:rPr>
            </w:pPr>
            <w:r w:rsidRPr="00CD6FED">
              <w:rPr>
                <w:rFonts w:cs="Arial"/>
                <w:color w:val="58595A"/>
                <w:szCs w:val="18"/>
              </w:rPr>
              <w:t>Infection associated with peritoneal dialysis catheter</w:t>
            </w:r>
          </w:p>
        </w:tc>
        <w:tc>
          <w:tcPr>
            <w:tcW w:w="2127" w:type="dxa"/>
            <w:tcBorders>
              <w:top w:val="single" w:sz="4" w:space="0" w:color="D9D9D9" w:themeColor="background2" w:themeShade="D9"/>
              <w:bottom w:val="single" w:sz="4" w:space="0" w:color="D9D9D9" w:themeColor="background2" w:themeShade="D9"/>
            </w:tcBorders>
            <w:vAlign w:val="center"/>
            <w:hideMark/>
          </w:tcPr>
          <w:p w14:paraId="1E4900D0"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A3126A" w:rsidRPr="0065414C" w14:paraId="0D8D2BB2" w14:textId="77777777" w:rsidTr="00872610">
        <w:trPr>
          <w:trHeight w:val="283"/>
        </w:trPr>
        <w:tc>
          <w:tcPr>
            <w:tcW w:w="2694" w:type="dxa"/>
            <w:tcBorders>
              <w:bottom w:val="single" w:sz="4" w:space="0" w:color="D9D9D9" w:themeColor="background2" w:themeShade="D9"/>
            </w:tcBorders>
            <w:vAlign w:val="center"/>
            <w:hideMark/>
          </w:tcPr>
          <w:p w14:paraId="2B68FD49"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75C9AE43" w14:textId="77777777" w:rsidR="00A3126A" w:rsidRPr="00CD6FED" w:rsidRDefault="00A3126A" w:rsidP="00530F1A">
            <w:pPr>
              <w:keepNext/>
              <w:spacing w:before="20" w:after="20"/>
              <w:rPr>
                <w:rFonts w:cs="Arial"/>
                <w:color w:val="58595A"/>
                <w:szCs w:val="18"/>
              </w:rPr>
            </w:pPr>
            <w:r w:rsidRPr="00CD6FED">
              <w:rPr>
                <w:rFonts w:cs="Arial"/>
                <w:color w:val="58595A"/>
                <w:szCs w:val="18"/>
              </w:rPr>
              <w:t>Gastrointestinal infections</w:t>
            </w:r>
          </w:p>
        </w:tc>
        <w:tc>
          <w:tcPr>
            <w:tcW w:w="2127" w:type="dxa"/>
            <w:tcBorders>
              <w:top w:val="single" w:sz="4" w:space="0" w:color="D9D9D9" w:themeColor="background2" w:themeShade="D9"/>
              <w:bottom w:val="single" w:sz="4" w:space="0" w:color="D9D9D9" w:themeColor="background2" w:themeShade="D9"/>
            </w:tcBorders>
            <w:vAlign w:val="center"/>
            <w:hideMark/>
          </w:tcPr>
          <w:p w14:paraId="552F2AE3"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28 days</w:t>
            </w:r>
          </w:p>
        </w:tc>
      </w:tr>
      <w:tr w:rsidR="009A6700" w:rsidRPr="0065414C" w14:paraId="68CDD055" w14:textId="77777777" w:rsidTr="00872610">
        <w:trPr>
          <w:trHeight w:val="283"/>
        </w:trPr>
        <w:tc>
          <w:tcPr>
            <w:tcW w:w="2694" w:type="dxa"/>
            <w:tcBorders>
              <w:top w:val="single" w:sz="4" w:space="0" w:color="D9D9D9" w:themeColor="background2" w:themeShade="D9"/>
            </w:tcBorders>
            <w:noWrap/>
            <w:vAlign w:val="center"/>
            <w:hideMark/>
          </w:tcPr>
          <w:p w14:paraId="7BD20E59"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Surgical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447D5F7F" w14:textId="77777777" w:rsidR="009A6700" w:rsidRPr="00CD6FED" w:rsidRDefault="009A6700" w:rsidP="00530F1A">
            <w:pPr>
              <w:keepNext/>
              <w:spacing w:before="20" w:after="20"/>
              <w:rPr>
                <w:rFonts w:cs="Arial"/>
                <w:color w:val="58595A"/>
                <w:szCs w:val="18"/>
              </w:rPr>
            </w:pPr>
            <w:r w:rsidRPr="00CD6FED">
              <w:rPr>
                <w:rFonts w:cs="Arial"/>
                <w:color w:val="58595A"/>
                <w:szCs w:val="18"/>
              </w:rPr>
              <w:t>Postoperative haemorrhage/haematoma</w:t>
            </w:r>
          </w:p>
        </w:tc>
        <w:tc>
          <w:tcPr>
            <w:tcW w:w="2127" w:type="dxa"/>
            <w:tcBorders>
              <w:top w:val="single" w:sz="4" w:space="0" w:color="D9D9D9" w:themeColor="background2" w:themeShade="D9"/>
              <w:bottom w:val="single" w:sz="4" w:space="0" w:color="D9D9D9" w:themeColor="background2" w:themeShade="D9"/>
            </w:tcBorders>
            <w:vAlign w:val="center"/>
            <w:hideMark/>
          </w:tcPr>
          <w:p w14:paraId="18C56C06"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73BA99A7" w14:textId="77777777" w:rsidTr="00872610">
        <w:trPr>
          <w:trHeight w:val="283"/>
        </w:trPr>
        <w:tc>
          <w:tcPr>
            <w:tcW w:w="2694" w:type="dxa"/>
            <w:vAlign w:val="center"/>
            <w:hideMark/>
          </w:tcPr>
          <w:p w14:paraId="3ABE48E3"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30FEF78B" w14:textId="77777777" w:rsidR="009A6700" w:rsidRPr="00CD6FED" w:rsidRDefault="009A6700" w:rsidP="00530F1A">
            <w:pPr>
              <w:keepNext/>
              <w:spacing w:before="20" w:after="20"/>
              <w:rPr>
                <w:rFonts w:cs="Arial"/>
                <w:color w:val="58595A"/>
                <w:szCs w:val="18"/>
              </w:rPr>
            </w:pPr>
            <w:r w:rsidRPr="00CD6FED">
              <w:rPr>
                <w:rFonts w:cs="Arial"/>
                <w:color w:val="58595A"/>
                <w:szCs w:val="18"/>
              </w:rPr>
              <w:t>Surgical wound dehiscence</w:t>
            </w:r>
          </w:p>
        </w:tc>
        <w:tc>
          <w:tcPr>
            <w:tcW w:w="2127" w:type="dxa"/>
            <w:tcBorders>
              <w:top w:val="single" w:sz="4" w:space="0" w:color="D9D9D9" w:themeColor="background2" w:themeShade="D9"/>
              <w:bottom w:val="single" w:sz="4" w:space="0" w:color="D9D9D9" w:themeColor="background2" w:themeShade="D9"/>
            </w:tcBorders>
            <w:vAlign w:val="center"/>
            <w:hideMark/>
          </w:tcPr>
          <w:p w14:paraId="406B697C"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4FAE9153" w14:textId="77777777" w:rsidTr="00872610">
        <w:trPr>
          <w:trHeight w:val="283"/>
        </w:trPr>
        <w:tc>
          <w:tcPr>
            <w:tcW w:w="2694" w:type="dxa"/>
            <w:vAlign w:val="center"/>
            <w:hideMark/>
          </w:tcPr>
          <w:p w14:paraId="58A5932D"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30C1AC2" w14:textId="77777777" w:rsidR="009A6700" w:rsidRPr="00CD6FED" w:rsidRDefault="009A6700" w:rsidP="00530F1A">
            <w:pPr>
              <w:keepNext/>
              <w:spacing w:before="20" w:after="20"/>
              <w:rPr>
                <w:rFonts w:cs="Arial"/>
                <w:color w:val="58595A"/>
                <w:szCs w:val="18"/>
              </w:rPr>
            </w:pPr>
            <w:r w:rsidRPr="00CD6FED">
              <w:rPr>
                <w:rFonts w:cs="Arial"/>
                <w:color w:val="58595A"/>
                <w:szCs w:val="18"/>
              </w:rPr>
              <w:t>Anastomotic leak</w:t>
            </w:r>
          </w:p>
        </w:tc>
        <w:tc>
          <w:tcPr>
            <w:tcW w:w="2127" w:type="dxa"/>
            <w:tcBorders>
              <w:top w:val="single" w:sz="4" w:space="0" w:color="D9D9D9" w:themeColor="background2" w:themeShade="D9"/>
              <w:bottom w:val="single" w:sz="4" w:space="0" w:color="D9D9D9" w:themeColor="background2" w:themeShade="D9"/>
            </w:tcBorders>
            <w:vAlign w:val="center"/>
            <w:hideMark/>
          </w:tcPr>
          <w:p w14:paraId="626B7684"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591D0CA5" w14:textId="77777777" w:rsidTr="00872610">
        <w:trPr>
          <w:trHeight w:val="283"/>
        </w:trPr>
        <w:tc>
          <w:tcPr>
            <w:tcW w:w="2694" w:type="dxa"/>
            <w:vAlign w:val="center"/>
            <w:hideMark/>
          </w:tcPr>
          <w:p w14:paraId="770A0227"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6018CAD" w14:textId="77777777" w:rsidR="009A6700" w:rsidRPr="00CD6FED" w:rsidRDefault="009A6700" w:rsidP="00530F1A">
            <w:pPr>
              <w:keepNext/>
              <w:spacing w:before="20" w:after="20"/>
              <w:rPr>
                <w:rFonts w:cs="Arial"/>
                <w:color w:val="58595A"/>
                <w:szCs w:val="18"/>
              </w:rPr>
            </w:pPr>
            <w:r w:rsidRPr="00CD6FED">
              <w:rPr>
                <w:rFonts w:cs="Arial"/>
                <w:color w:val="58595A"/>
                <w:szCs w:val="18"/>
              </w:rPr>
              <w:t>Pain following surgery</w:t>
            </w:r>
          </w:p>
        </w:tc>
        <w:tc>
          <w:tcPr>
            <w:tcW w:w="2127" w:type="dxa"/>
            <w:tcBorders>
              <w:top w:val="single" w:sz="4" w:space="0" w:color="D9D9D9" w:themeColor="background2" w:themeShade="D9"/>
              <w:bottom w:val="single" w:sz="4" w:space="0" w:color="D9D9D9" w:themeColor="background2" w:themeShade="D9"/>
            </w:tcBorders>
            <w:vAlign w:val="center"/>
            <w:hideMark/>
          </w:tcPr>
          <w:p w14:paraId="147EA217"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567FBAB1" w14:textId="77777777" w:rsidTr="00872610">
        <w:trPr>
          <w:trHeight w:val="283"/>
        </w:trPr>
        <w:tc>
          <w:tcPr>
            <w:tcW w:w="2694" w:type="dxa"/>
            <w:tcBorders>
              <w:bottom w:val="single" w:sz="4" w:space="0" w:color="D9D9D9" w:themeColor="background2" w:themeShade="D9"/>
            </w:tcBorders>
            <w:vAlign w:val="center"/>
            <w:hideMark/>
          </w:tcPr>
          <w:p w14:paraId="4A7AE9F0"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86D676A" w14:textId="77777777" w:rsidR="009A6700" w:rsidRPr="00CD6FED" w:rsidRDefault="009A6700" w:rsidP="00530F1A">
            <w:pPr>
              <w:keepNext/>
              <w:spacing w:before="20" w:after="20"/>
              <w:rPr>
                <w:rFonts w:cs="Arial"/>
                <w:color w:val="58595A"/>
                <w:szCs w:val="18"/>
              </w:rPr>
            </w:pPr>
            <w:r w:rsidRPr="00CD6FED">
              <w:rPr>
                <w:rFonts w:cs="Arial"/>
                <w:color w:val="58595A"/>
                <w:szCs w:val="18"/>
              </w:rPr>
              <w:t>Other surgical complications</w:t>
            </w:r>
          </w:p>
        </w:tc>
        <w:tc>
          <w:tcPr>
            <w:tcW w:w="2127" w:type="dxa"/>
            <w:tcBorders>
              <w:top w:val="single" w:sz="4" w:space="0" w:color="D9D9D9" w:themeColor="background2" w:themeShade="D9"/>
              <w:bottom w:val="single" w:sz="4" w:space="0" w:color="D9D9D9" w:themeColor="background2" w:themeShade="D9"/>
            </w:tcBorders>
            <w:vAlign w:val="center"/>
            <w:hideMark/>
          </w:tcPr>
          <w:p w14:paraId="4825356F"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28 days</w:t>
            </w:r>
          </w:p>
        </w:tc>
      </w:tr>
      <w:tr w:rsidR="009A6700" w:rsidRPr="0065414C" w14:paraId="733DE0CF" w14:textId="77777777" w:rsidTr="00872610">
        <w:trPr>
          <w:trHeight w:val="283"/>
        </w:trPr>
        <w:tc>
          <w:tcPr>
            <w:tcW w:w="2694" w:type="dxa"/>
            <w:tcBorders>
              <w:top w:val="single" w:sz="4" w:space="0" w:color="D9D9D9" w:themeColor="background2" w:themeShade="D9"/>
            </w:tcBorders>
            <w:noWrap/>
            <w:vAlign w:val="center"/>
            <w:hideMark/>
          </w:tcPr>
          <w:p w14:paraId="7D29EA32"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Respiratory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4C0A6E75" w14:textId="77777777" w:rsidR="009A6700" w:rsidRPr="00CD6FED" w:rsidRDefault="009A6700" w:rsidP="00530F1A">
            <w:pPr>
              <w:keepNext/>
              <w:spacing w:before="20" w:after="20"/>
              <w:rPr>
                <w:rFonts w:cs="Arial"/>
                <w:color w:val="58595A"/>
                <w:szCs w:val="18"/>
              </w:rPr>
            </w:pPr>
            <w:r w:rsidRPr="00CD6FED">
              <w:rPr>
                <w:rFonts w:cs="Arial"/>
                <w:color w:val="58595A"/>
                <w:szCs w:val="18"/>
              </w:rPr>
              <w:t xml:space="preserve">Respiratory failure including acute respiratory distress syndromes </w:t>
            </w:r>
          </w:p>
        </w:tc>
        <w:tc>
          <w:tcPr>
            <w:tcW w:w="2127" w:type="dxa"/>
            <w:tcBorders>
              <w:top w:val="single" w:sz="4" w:space="0" w:color="D9D9D9" w:themeColor="background2" w:themeShade="D9"/>
              <w:bottom w:val="single" w:sz="4" w:space="0" w:color="D9D9D9" w:themeColor="background2" w:themeShade="D9"/>
            </w:tcBorders>
            <w:vAlign w:val="center"/>
            <w:hideMark/>
          </w:tcPr>
          <w:p w14:paraId="473C66BB"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21 days</w:t>
            </w:r>
          </w:p>
        </w:tc>
      </w:tr>
      <w:tr w:rsidR="009A6700" w:rsidRPr="0065414C" w14:paraId="3FE2F667" w14:textId="77777777" w:rsidTr="00872610">
        <w:trPr>
          <w:trHeight w:val="283"/>
        </w:trPr>
        <w:tc>
          <w:tcPr>
            <w:tcW w:w="2694" w:type="dxa"/>
            <w:tcBorders>
              <w:bottom w:val="single" w:sz="4" w:space="0" w:color="D9D9D9" w:themeColor="background2" w:themeShade="D9"/>
            </w:tcBorders>
            <w:vAlign w:val="center"/>
            <w:hideMark/>
          </w:tcPr>
          <w:p w14:paraId="27E64CFA"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4923DC53" w14:textId="77777777" w:rsidR="009A6700" w:rsidRPr="00CD6FED" w:rsidRDefault="009A6700" w:rsidP="00530F1A">
            <w:pPr>
              <w:keepNext/>
              <w:spacing w:before="20" w:after="20"/>
              <w:rPr>
                <w:rFonts w:cs="Arial"/>
                <w:color w:val="58595A"/>
                <w:szCs w:val="18"/>
              </w:rPr>
            </w:pPr>
            <w:r w:rsidRPr="00CD6FED">
              <w:rPr>
                <w:rFonts w:cs="Arial"/>
                <w:color w:val="58595A"/>
                <w:szCs w:val="18"/>
              </w:rPr>
              <w:t>Aspiration pneumonia</w:t>
            </w:r>
          </w:p>
        </w:tc>
        <w:tc>
          <w:tcPr>
            <w:tcW w:w="2127" w:type="dxa"/>
            <w:tcBorders>
              <w:top w:val="single" w:sz="4" w:space="0" w:color="D9D9D9" w:themeColor="background2" w:themeShade="D9"/>
              <w:bottom w:val="single" w:sz="4" w:space="0" w:color="D9D9D9" w:themeColor="background2" w:themeShade="D9"/>
            </w:tcBorders>
            <w:vAlign w:val="center"/>
            <w:hideMark/>
          </w:tcPr>
          <w:p w14:paraId="7FC83D41"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A3126A" w:rsidRPr="0065414C" w14:paraId="540C2EBE"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011396C7"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Venous thromboembolism</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78BFD19" w14:textId="77777777" w:rsidR="00A3126A" w:rsidRPr="00CD6FED" w:rsidRDefault="00A3126A" w:rsidP="00530F1A">
            <w:pPr>
              <w:keepNext/>
              <w:spacing w:before="20" w:after="20"/>
              <w:rPr>
                <w:rFonts w:cs="Arial"/>
                <w:color w:val="58595A"/>
                <w:szCs w:val="18"/>
              </w:rPr>
            </w:pPr>
            <w:r w:rsidRPr="00CD6FED">
              <w:rPr>
                <w:rFonts w:cs="Arial"/>
                <w:color w:val="58595A"/>
                <w:szCs w:val="18"/>
              </w:rPr>
              <w:t>Venous thromboembolism</w:t>
            </w:r>
          </w:p>
        </w:tc>
        <w:tc>
          <w:tcPr>
            <w:tcW w:w="2127" w:type="dxa"/>
            <w:tcBorders>
              <w:top w:val="single" w:sz="4" w:space="0" w:color="D9D9D9" w:themeColor="background2" w:themeShade="D9"/>
              <w:bottom w:val="single" w:sz="4" w:space="0" w:color="D9D9D9" w:themeColor="background2" w:themeShade="D9"/>
            </w:tcBorders>
            <w:vAlign w:val="center"/>
            <w:hideMark/>
          </w:tcPr>
          <w:p w14:paraId="007999C1" w14:textId="77777777" w:rsidR="00A3126A" w:rsidRPr="00CD6FED" w:rsidRDefault="00A3126A" w:rsidP="00530F1A">
            <w:pPr>
              <w:spacing w:before="20" w:after="20"/>
              <w:jc w:val="center"/>
              <w:rPr>
                <w:rFonts w:cs="Arial"/>
                <w:color w:val="58595A"/>
                <w:szCs w:val="18"/>
              </w:rPr>
            </w:pPr>
            <w:r w:rsidRPr="00CD6FED">
              <w:rPr>
                <w:rFonts w:cs="Arial"/>
                <w:color w:val="58595A"/>
                <w:szCs w:val="18"/>
              </w:rPr>
              <w:t>90 days</w:t>
            </w:r>
          </w:p>
        </w:tc>
      </w:tr>
      <w:tr w:rsidR="00A3126A" w:rsidRPr="0065414C" w14:paraId="10E7A98B"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726A209D"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Renal failure</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C721A6C" w14:textId="77777777" w:rsidR="00A3126A" w:rsidRPr="00CD6FED" w:rsidRDefault="00A3126A" w:rsidP="00530F1A">
            <w:pPr>
              <w:keepNext/>
              <w:spacing w:before="20" w:after="20"/>
              <w:rPr>
                <w:rFonts w:cs="Arial"/>
                <w:color w:val="58595A"/>
                <w:szCs w:val="18"/>
              </w:rPr>
            </w:pPr>
            <w:r w:rsidRPr="00CD6FED">
              <w:rPr>
                <w:rFonts w:cs="Arial"/>
                <w:color w:val="58595A"/>
                <w:szCs w:val="18"/>
              </w:rPr>
              <w:t>Renal failure</w:t>
            </w:r>
          </w:p>
        </w:tc>
        <w:tc>
          <w:tcPr>
            <w:tcW w:w="2127" w:type="dxa"/>
            <w:tcBorders>
              <w:top w:val="single" w:sz="4" w:space="0" w:color="D9D9D9" w:themeColor="background2" w:themeShade="D9"/>
              <w:bottom w:val="single" w:sz="4" w:space="0" w:color="D9D9D9" w:themeColor="background2" w:themeShade="D9"/>
            </w:tcBorders>
            <w:vAlign w:val="center"/>
            <w:hideMark/>
          </w:tcPr>
          <w:p w14:paraId="706C96F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21 days</w:t>
            </w:r>
          </w:p>
        </w:tc>
      </w:tr>
      <w:tr w:rsidR="00A3126A" w:rsidRPr="0065414C" w14:paraId="549C3A5C"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225FF511"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Gastrointestinal bleeding</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56495029" w14:textId="77777777" w:rsidR="00A3126A" w:rsidRPr="00CD6FED" w:rsidRDefault="00A3126A" w:rsidP="00530F1A">
            <w:pPr>
              <w:keepNext/>
              <w:spacing w:before="20" w:after="20"/>
              <w:rPr>
                <w:rFonts w:cs="Arial"/>
                <w:color w:val="58595A"/>
                <w:szCs w:val="18"/>
              </w:rPr>
            </w:pPr>
            <w:r w:rsidRPr="00CD6FED">
              <w:rPr>
                <w:rFonts w:cs="Arial"/>
                <w:color w:val="58595A"/>
                <w:szCs w:val="18"/>
              </w:rPr>
              <w:t>Gastrointestinal bleeding</w:t>
            </w:r>
          </w:p>
        </w:tc>
        <w:tc>
          <w:tcPr>
            <w:tcW w:w="2127" w:type="dxa"/>
            <w:tcBorders>
              <w:top w:val="single" w:sz="4" w:space="0" w:color="D9D9D9" w:themeColor="background2" w:themeShade="D9"/>
              <w:bottom w:val="single" w:sz="4" w:space="0" w:color="D9D9D9" w:themeColor="background2" w:themeShade="D9"/>
            </w:tcBorders>
            <w:vAlign w:val="center"/>
            <w:hideMark/>
          </w:tcPr>
          <w:p w14:paraId="55951D92" w14:textId="77777777" w:rsidR="00A3126A" w:rsidRPr="00CD6FED" w:rsidRDefault="00A3126A" w:rsidP="00530F1A">
            <w:pPr>
              <w:spacing w:before="20" w:after="20"/>
              <w:jc w:val="center"/>
              <w:rPr>
                <w:rFonts w:cs="Arial"/>
                <w:color w:val="58595A"/>
                <w:szCs w:val="18"/>
              </w:rPr>
            </w:pPr>
            <w:r w:rsidRPr="00CD6FED">
              <w:rPr>
                <w:rFonts w:cs="Arial"/>
                <w:color w:val="58595A"/>
                <w:szCs w:val="18"/>
              </w:rPr>
              <w:t>2 days</w:t>
            </w:r>
          </w:p>
        </w:tc>
      </w:tr>
      <w:tr w:rsidR="009A6700" w:rsidRPr="0065414C" w14:paraId="4E0C689A" w14:textId="77777777" w:rsidTr="00872610">
        <w:trPr>
          <w:trHeight w:val="283"/>
        </w:trPr>
        <w:tc>
          <w:tcPr>
            <w:tcW w:w="2694" w:type="dxa"/>
            <w:tcBorders>
              <w:top w:val="single" w:sz="4" w:space="0" w:color="D9D9D9" w:themeColor="background2" w:themeShade="D9"/>
            </w:tcBorders>
            <w:noWrap/>
            <w:vAlign w:val="center"/>
            <w:hideMark/>
          </w:tcPr>
          <w:p w14:paraId="0877D0D7"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Medication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77936D6B" w14:textId="77777777" w:rsidR="009A6700" w:rsidRPr="00CD6FED" w:rsidRDefault="009A6700" w:rsidP="00530F1A">
            <w:pPr>
              <w:keepNext/>
              <w:spacing w:before="20" w:after="20"/>
              <w:rPr>
                <w:rFonts w:cs="Arial"/>
                <w:color w:val="58595A"/>
                <w:szCs w:val="18"/>
              </w:rPr>
            </w:pPr>
            <w:r w:rsidRPr="00CD6FED">
              <w:rPr>
                <w:rFonts w:cs="Arial"/>
                <w:color w:val="58595A"/>
                <w:szCs w:val="18"/>
              </w:rPr>
              <w:t>Drug related respiratory complications/depression</w:t>
            </w:r>
          </w:p>
        </w:tc>
        <w:tc>
          <w:tcPr>
            <w:tcW w:w="2127" w:type="dxa"/>
            <w:tcBorders>
              <w:top w:val="single" w:sz="4" w:space="0" w:color="D9D9D9" w:themeColor="background2" w:themeShade="D9"/>
              <w:bottom w:val="single" w:sz="4" w:space="0" w:color="D9D9D9" w:themeColor="background2" w:themeShade="D9"/>
            </w:tcBorders>
            <w:vAlign w:val="center"/>
            <w:hideMark/>
          </w:tcPr>
          <w:p w14:paraId="6DD98D3E" w14:textId="77777777" w:rsidR="009A6700" w:rsidRPr="00CD6FED" w:rsidRDefault="009A6700" w:rsidP="00530F1A">
            <w:pPr>
              <w:spacing w:before="20" w:after="20"/>
              <w:jc w:val="center"/>
              <w:rPr>
                <w:rFonts w:cs="Arial"/>
                <w:color w:val="58595A"/>
                <w:szCs w:val="18"/>
              </w:rPr>
            </w:pPr>
            <w:r w:rsidRPr="00CD6FED">
              <w:rPr>
                <w:rFonts w:cs="Arial"/>
                <w:color w:val="58595A"/>
                <w:szCs w:val="18"/>
              </w:rPr>
              <w:t>2 days</w:t>
            </w:r>
          </w:p>
        </w:tc>
      </w:tr>
      <w:tr w:rsidR="009A6700" w:rsidRPr="0065414C" w14:paraId="49A7742D" w14:textId="77777777" w:rsidTr="00872610">
        <w:trPr>
          <w:trHeight w:val="283"/>
        </w:trPr>
        <w:tc>
          <w:tcPr>
            <w:tcW w:w="2694" w:type="dxa"/>
            <w:tcBorders>
              <w:bottom w:val="single" w:sz="4" w:space="0" w:color="D9D9D9" w:themeColor="background2" w:themeShade="D9"/>
            </w:tcBorders>
            <w:vAlign w:val="center"/>
            <w:hideMark/>
          </w:tcPr>
          <w:p w14:paraId="4D15B722"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551F6F5D" w14:textId="77777777" w:rsidR="009A6700" w:rsidRPr="00CD6FED" w:rsidRDefault="009A6700" w:rsidP="00530F1A">
            <w:pPr>
              <w:keepNext/>
              <w:spacing w:before="20" w:after="20"/>
              <w:rPr>
                <w:rFonts w:cs="Arial"/>
                <w:color w:val="58595A"/>
                <w:szCs w:val="18"/>
              </w:rPr>
            </w:pPr>
            <w:r w:rsidRPr="00CD6FED">
              <w:rPr>
                <w:rFonts w:cs="Arial"/>
                <w:color w:val="58595A"/>
                <w:szCs w:val="18"/>
              </w:rPr>
              <w:t>Hypoglycaemia</w:t>
            </w:r>
          </w:p>
        </w:tc>
        <w:tc>
          <w:tcPr>
            <w:tcW w:w="2127" w:type="dxa"/>
            <w:tcBorders>
              <w:top w:val="single" w:sz="4" w:space="0" w:color="D9D9D9" w:themeColor="background2" w:themeShade="D9"/>
              <w:bottom w:val="single" w:sz="4" w:space="0" w:color="D9D9D9" w:themeColor="background2" w:themeShade="D9"/>
            </w:tcBorders>
            <w:vAlign w:val="center"/>
            <w:hideMark/>
          </w:tcPr>
          <w:p w14:paraId="32001EB9" w14:textId="77777777" w:rsidR="009A6700" w:rsidRPr="00CD6FED" w:rsidRDefault="009A6700" w:rsidP="00530F1A">
            <w:pPr>
              <w:spacing w:before="20" w:after="20"/>
              <w:jc w:val="center"/>
              <w:rPr>
                <w:rFonts w:cs="Arial"/>
                <w:color w:val="58595A"/>
                <w:szCs w:val="18"/>
              </w:rPr>
            </w:pPr>
            <w:r w:rsidRPr="00CD6FED">
              <w:rPr>
                <w:rFonts w:cs="Arial"/>
                <w:color w:val="58595A"/>
                <w:szCs w:val="18"/>
              </w:rPr>
              <w:t>4 days</w:t>
            </w:r>
          </w:p>
        </w:tc>
      </w:tr>
      <w:tr w:rsidR="00A3126A" w:rsidRPr="0065414C" w14:paraId="3C6B4683" w14:textId="77777777" w:rsidTr="00872610">
        <w:trPr>
          <w:trHeight w:val="283"/>
        </w:trPr>
        <w:tc>
          <w:tcPr>
            <w:tcW w:w="2694" w:type="dxa"/>
            <w:tcBorders>
              <w:top w:val="single" w:sz="4" w:space="0" w:color="D9D9D9" w:themeColor="background2" w:themeShade="D9"/>
              <w:bottom w:val="single" w:sz="4" w:space="0" w:color="D9D9D9" w:themeColor="background2" w:themeShade="D9"/>
            </w:tcBorders>
            <w:noWrap/>
            <w:vAlign w:val="center"/>
            <w:hideMark/>
          </w:tcPr>
          <w:p w14:paraId="3820BB70" w14:textId="77777777" w:rsidR="00A3126A" w:rsidRPr="00CD6FED" w:rsidRDefault="00A3126A"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Delirium</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5AC39067" w14:textId="77777777" w:rsidR="00A3126A" w:rsidRPr="00CD6FED" w:rsidRDefault="00A3126A" w:rsidP="00530F1A">
            <w:pPr>
              <w:keepNext/>
              <w:spacing w:before="20" w:after="20"/>
              <w:rPr>
                <w:rFonts w:cs="Arial"/>
                <w:color w:val="58595A"/>
                <w:szCs w:val="18"/>
              </w:rPr>
            </w:pPr>
            <w:r w:rsidRPr="00CD6FED">
              <w:rPr>
                <w:rFonts w:cs="Arial"/>
                <w:color w:val="58595A"/>
                <w:szCs w:val="18"/>
              </w:rPr>
              <w:t>Delirium</w:t>
            </w:r>
          </w:p>
        </w:tc>
        <w:tc>
          <w:tcPr>
            <w:tcW w:w="2127" w:type="dxa"/>
            <w:tcBorders>
              <w:top w:val="single" w:sz="4" w:space="0" w:color="D9D9D9" w:themeColor="background2" w:themeShade="D9"/>
              <w:bottom w:val="single" w:sz="4" w:space="0" w:color="D9D9D9" w:themeColor="background2" w:themeShade="D9"/>
            </w:tcBorders>
            <w:vAlign w:val="center"/>
            <w:hideMark/>
          </w:tcPr>
          <w:p w14:paraId="1B879BA8" w14:textId="77777777" w:rsidR="00A3126A" w:rsidRPr="00CD6FED" w:rsidRDefault="00A3126A" w:rsidP="00530F1A">
            <w:pPr>
              <w:spacing w:before="20" w:after="20"/>
              <w:jc w:val="center"/>
              <w:rPr>
                <w:rFonts w:cs="Arial"/>
                <w:color w:val="58595A"/>
                <w:szCs w:val="18"/>
              </w:rPr>
            </w:pPr>
            <w:r w:rsidRPr="00CD6FED">
              <w:rPr>
                <w:rFonts w:cs="Arial"/>
                <w:color w:val="58595A"/>
                <w:szCs w:val="18"/>
              </w:rPr>
              <w:t>10 days</w:t>
            </w:r>
          </w:p>
        </w:tc>
      </w:tr>
      <w:tr w:rsidR="009A6700" w:rsidRPr="0065414C" w14:paraId="6815AC1C" w14:textId="77777777" w:rsidTr="00872610">
        <w:trPr>
          <w:trHeight w:val="283"/>
        </w:trPr>
        <w:tc>
          <w:tcPr>
            <w:tcW w:w="2694" w:type="dxa"/>
            <w:tcBorders>
              <w:top w:val="single" w:sz="4" w:space="0" w:color="D9D9D9" w:themeColor="background2" w:themeShade="D9"/>
            </w:tcBorders>
            <w:noWrap/>
            <w:vAlign w:val="center"/>
            <w:hideMark/>
          </w:tcPr>
          <w:p w14:paraId="7A7CD831" w14:textId="77777777" w:rsidR="009A6700" w:rsidRPr="00CD6FED" w:rsidRDefault="009A6700" w:rsidP="00465E0B">
            <w:pPr>
              <w:pStyle w:val="ListParagraph"/>
              <w:numPr>
                <w:ilvl w:val="0"/>
                <w:numId w:val="15"/>
              </w:numPr>
              <w:tabs>
                <w:tab w:val="clear" w:pos="1418"/>
              </w:tabs>
              <w:spacing w:before="60" w:after="60" w:line="240" w:lineRule="auto"/>
              <w:ind w:left="360" w:right="0"/>
              <w:contextualSpacing/>
              <w:rPr>
                <w:rFonts w:cs="Arial"/>
                <w:color w:val="58595A"/>
                <w:sz w:val="18"/>
                <w:szCs w:val="18"/>
              </w:rPr>
            </w:pPr>
            <w:r w:rsidRPr="00CD6FED">
              <w:rPr>
                <w:rFonts w:cs="Arial"/>
                <w:color w:val="58595A"/>
                <w:sz w:val="18"/>
                <w:szCs w:val="18"/>
              </w:rPr>
              <w:t>Cardiac complications</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227ED061" w14:textId="77777777" w:rsidR="009A6700" w:rsidRPr="00CD6FED" w:rsidRDefault="009A6700" w:rsidP="00530F1A">
            <w:pPr>
              <w:keepNext/>
              <w:spacing w:before="20" w:after="20"/>
              <w:rPr>
                <w:rFonts w:cs="Arial"/>
                <w:color w:val="58595A"/>
                <w:szCs w:val="18"/>
              </w:rPr>
            </w:pPr>
            <w:r w:rsidRPr="00CD6FED">
              <w:rPr>
                <w:rFonts w:cs="Arial"/>
                <w:color w:val="58595A"/>
                <w:szCs w:val="18"/>
              </w:rPr>
              <w:t>Heart failure and pulmonary oedema</w:t>
            </w:r>
          </w:p>
        </w:tc>
        <w:tc>
          <w:tcPr>
            <w:tcW w:w="2127" w:type="dxa"/>
            <w:tcBorders>
              <w:top w:val="single" w:sz="4" w:space="0" w:color="D9D9D9" w:themeColor="background2" w:themeShade="D9"/>
              <w:bottom w:val="single" w:sz="4" w:space="0" w:color="D9D9D9" w:themeColor="background2" w:themeShade="D9"/>
            </w:tcBorders>
            <w:vAlign w:val="center"/>
            <w:hideMark/>
          </w:tcPr>
          <w:p w14:paraId="760CE763"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9A6700" w:rsidRPr="0065414C" w14:paraId="5DBB8985" w14:textId="77777777" w:rsidTr="00872610">
        <w:trPr>
          <w:trHeight w:val="283"/>
        </w:trPr>
        <w:tc>
          <w:tcPr>
            <w:tcW w:w="2694" w:type="dxa"/>
            <w:vAlign w:val="center"/>
            <w:hideMark/>
          </w:tcPr>
          <w:p w14:paraId="2278A4C9"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09567B1B" w14:textId="77777777" w:rsidR="009A6700" w:rsidRPr="00CD6FED" w:rsidRDefault="009A6700" w:rsidP="00530F1A">
            <w:pPr>
              <w:keepNext/>
              <w:spacing w:before="20" w:after="20"/>
              <w:rPr>
                <w:rFonts w:cs="Arial"/>
                <w:color w:val="58595A"/>
                <w:szCs w:val="18"/>
              </w:rPr>
            </w:pPr>
            <w:r w:rsidRPr="00CD6FED">
              <w:rPr>
                <w:rFonts w:cs="Arial"/>
                <w:color w:val="58595A"/>
                <w:szCs w:val="18"/>
              </w:rPr>
              <w:t>Ventricular arrhythmias and cardiac arrest</w:t>
            </w:r>
          </w:p>
        </w:tc>
        <w:tc>
          <w:tcPr>
            <w:tcW w:w="2127" w:type="dxa"/>
            <w:tcBorders>
              <w:top w:val="single" w:sz="4" w:space="0" w:color="D9D9D9" w:themeColor="background2" w:themeShade="D9"/>
              <w:bottom w:val="single" w:sz="4" w:space="0" w:color="D9D9D9" w:themeColor="background2" w:themeShade="D9"/>
            </w:tcBorders>
            <w:vAlign w:val="center"/>
            <w:hideMark/>
          </w:tcPr>
          <w:p w14:paraId="55BD643E"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9A6700" w:rsidRPr="0065414C" w14:paraId="73D564DD" w14:textId="77777777" w:rsidTr="00872610">
        <w:trPr>
          <w:trHeight w:val="283"/>
        </w:trPr>
        <w:tc>
          <w:tcPr>
            <w:tcW w:w="2694" w:type="dxa"/>
            <w:vAlign w:val="center"/>
            <w:hideMark/>
          </w:tcPr>
          <w:p w14:paraId="7E979BD6"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19426FDC" w14:textId="77777777" w:rsidR="009A6700" w:rsidRPr="00CD6FED" w:rsidRDefault="009A6700" w:rsidP="00530F1A">
            <w:pPr>
              <w:keepNext/>
              <w:spacing w:before="20" w:after="20"/>
              <w:rPr>
                <w:rFonts w:cs="Arial"/>
                <w:color w:val="58595A"/>
                <w:szCs w:val="18"/>
              </w:rPr>
            </w:pPr>
            <w:r w:rsidRPr="00CD6FED">
              <w:rPr>
                <w:rFonts w:cs="Arial"/>
                <w:color w:val="58595A"/>
                <w:szCs w:val="18"/>
              </w:rPr>
              <w:t>Atrial tachycardia</w:t>
            </w:r>
          </w:p>
        </w:tc>
        <w:tc>
          <w:tcPr>
            <w:tcW w:w="2127" w:type="dxa"/>
            <w:tcBorders>
              <w:top w:val="single" w:sz="4" w:space="0" w:color="D9D9D9" w:themeColor="background2" w:themeShade="D9"/>
              <w:bottom w:val="single" w:sz="4" w:space="0" w:color="D9D9D9" w:themeColor="background2" w:themeShade="D9"/>
            </w:tcBorders>
            <w:vAlign w:val="center"/>
            <w:hideMark/>
          </w:tcPr>
          <w:p w14:paraId="24C9FC00" w14:textId="77777777" w:rsidR="009A6700" w:rsidRPr="00CD6FED" w:rsidRDefault="009A6700" w:rsidP="00530F1A">
            <w:pPr>
              <w:spacing w:before="20" w:after="20"/>
              <w:jc w:val="center"/>
              <w:rPr>
                <w:rFonts w:cs="Arial"/>
                <w:color w:val="58595A"/>
                <w:szCs w:val="18"/>
              </w:rPr>
            </w:pPr>
            <w:r w:rsidRPr="00CD6FED">
              <w:rPr>
                <w:rFonts w:cs="Arial"/>
                <w:color w:val="58595A"/>
                <w:szCs w:val="18"/>
              </w:rPr>
              <w:t>14 days</w:t>
            </w:r>
          </w:p>
        </w:tc>
      </w:tr>
      <w:tr w:rsidR="009A6700" w:rsidRPr="0065414C" w14:paraId="74016E51" w14:textId="77777777" w:rsidTr="00872610">
        <w:trPr>
          <w:trHeight w:val="283"/>
        </w:trPr>
        <w:tc>
          <w:tcPr>
            <w:tcW w:w="2694" w:type="dxa"/>
            <w:tcBorders>
              <w:bottom w:val="single" w:sz="4" w:space="0" w:color="D9D9D9" w:themeColor="background2" w:themeShade="D9"/>
            </w:tcBorders>
            <w:vAlign w:val="center"/>
            <w:hideMark/>
          </w:tcPr>
          <w:p w14:paraId="5C8B5C75" w14:textId="77777777" w:rsidR="009A6700" w:rsidRPr="00CD6FED" w:rsidRDefault="009A6700"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6966DD2D" w14:textId="77777777" w:rsidR="009A6700" w:rsidRPr="00CD6FED" w:rsidRDefault="009A6700" w:rsidP="00530F1A">
            <w:pPr>
              <w:keepNext/>
              <w:spacing w:before="20" w:after="20"/>
              <w:rPr>
                <w:rFonts w:cs="Arial"/>
                <w:color w:val="58595A"/>
                <w:szCs w:val="18"/>
              </w:rPr>
            </w:pPr>
            <w:r w:rsidRPr="00CD6FED">
              <w:rPr>
                <w:rFonts w:cs="Arial"/>
                <w:color w:val="58595A"/>
                <w:szCs w:val="18"/>
              </w:rPr>
              <w:t>Acute coronary syndrome including unstable angina, STEMI and NSTEMI</w:t>
            </w:r>
          </w:p>
        </w:tc>
        <w:tc>
          <w:tcPr>
            <w:tcW w:w="2127" w:type="dxa"/>
            <w:tcBorders>
              <w:top w:val="single" w:sz="4" w:space="0" w:color="D9D9D9" w:themeColor="background2" w:themeShade="D9"/>
              <w:bottom w:val="single" w:sz="4" w:space="0" w:color="D9D9D9" w:themeColor="background2" w:themeShade="D9"/>
            </w:tcBorders>
            <w:vAlign w:val="center"/>
            <w:hideMark/>
          </w:tcPr>
          <w:p w14:paraId="2A3FFE09" w14:textId="77777777" w:rsidR="009A6700" w:rsidRPr="00CD6FED" w:rsidRDefault="009A6700" w:rsidP="00530F1A">
            <w:pPr>
              <w:spacing w:before="20" w:after="20"/>
              <w:jc w:val="center"/>
              <w:rPr>
                <w:rFonts w:cs="Arial"/>
                <w:color w:val="58595A"/>
                <w:szCs w:val="18"/>
              </w:rPr>
            </w:pPr>
            <w:r w:rsidRPr="00CD6FED">
              <w:rPr>
                <w:rFonts w:cs="Arial"/>
                <w:color w:val="58595A"/>
                <w:szCs w:val="18"/>
              </w:rPr>
              <w:t>30 days</w:t>
            </w:r>
          </w:p>
        </w:tc>
      </w:tr>
      <w:tr w:rsidR="00A3126A" w:rsidRPr="0065414C" w14:paraId="60D90112" w14:textId="77777777" w:rsidTr="00872610">
        <w:trPr>
          <w:trHeight w:val="283"/>
        </w:trPr>
        <w:tc>
          <w:tcPr>
            <w:tcW w:w="2694" w:type="dxa"/>
            <w:tcBorders>
              <w:top w:val="single" w:sz="4" w:space="0" w:color="D9D9D9" w:themeColor="background2" w:themeShade="D9"/>
            </w:tcBorders>
            <w:noWrap/>
            <w:vAlign w:val="center"/>
            <w:hideMark/>
          </w:tcPr>
          <w:p w14:paraId="75F20B77" w14:textId="77777777" w:rsidR="00A3126A" w:rsidRPr="00CD6FED" w:rsidRDefault="00A3126A" w:rsidP="00465E0B">
            <w:pPr>
              <w:rPr>
                <w:rFonts w:cs="Arial"/>
                <w:color w:val="58595A"/>
                <w:szCs w:val="18"/>
              </w:rPr>
            </w:pPr>
            <w:r w:rsidRPr="00CD6FED">
              <w:rPr>
                <w:rFonts w:cs="Arial"/>
                <w:color w:val="58595A"/>
                <w:szCs w:val="18"/>
              </w:rPr>
              <w:t>Other</w:t>
            </w:r>
          </w:p>
        </w:tc>
        <w:tc>
          <w:tcPr>
            <w:tcW w:w="4677" w:type="dxa"/>
            <w:tcBorders>
              <w:top w:val="single" w:sz="4" w:space="0" w:color="D9D9D9" w:themeColor="background2" w:themeShade="D9"/>
              <w:bottom w:val="single" w:sz="4" w:space="0" w:color="D9D9D9" w:themeColor="background2" w:themeShade="D9"/>
            </w:tcBorders>
            <w:noWrap/>
            <w:vAlign w:val="center"/>
            <w:hideMark/>
          </w:tcPr>
          <w:p w14:paraId="61AEBFC0" w14:textId="77777777" w:rsidR="00A3126A" w:rsidRPr="00CD6FED" w:rsidRDefault="00A3126A" w:rsidP="00872610">
            <w:pPr>
              <w:pStyle w:val="ListParagraph"/>
              <w:keepNext/>
              <w:numPr>
                <w:ilvl w:val="0"/>
                <w:numId w:val="15"/>
              </w:numPr>
              <w:tabs>
                <w:tab w:val="clear" w:pos="1418"/>
              </w:tabs>
              <w:spacing w:before="20" w:after="20" w:line="240" w:lineRule="auto"/>
              <w:ind w:left="360" w:right="0"/>
              <w:contextualSpacing/>
              <w:rPr>
                <w:rFonts w:cs="Arial"/>
                <w:color w:val="58595A"/>
                <w:sz w:val="18"/>
                <w:szCs w:val="18"/>
              </w:rPr>
            </w:pPr>
            <w:r w:rsidRPr="00CD6FED">
              <w:rPr>
                <w:rFonts w:cs="Arial"/>
                <w:color w:val="58595A"/>
                <w:sz w:val="18"/>
                <w:szCs w:val="18"/>
              </w:rPr>
              <w:t>Constipation</w:t>
            </w:r>
          </w:p>
        </w:tc>
        <w:tc>
          <w:tcPr>
            <w:tcW w:w="2127" w:type="dxa"/>
            <w:tcBorders>
              <w:top w:val="single" w:sz="4" w:space="0" w:color="D9D9D9" w:themeColor="background2" w:themeShade="D9"/>
              <w:bottom w:val="single" w:sz="4" w:space="0" w:color="D9D9D9" w:themeColor="background2" w:themeShade="D9"/>
            </w:tcBorders>
            <w:vAlign w:val="center"/>
            <w:hideMark/>
          </w:tcPr>
          <w:p w14:paraId="07FF1BC5" w14:textId="77777777" w:rsidR="00A3126A" w:rsidRPr="00CD6FED" w:rsidRDefault="00A3126A" w:rsidP="00530F1A">
            <w:pPr>
              <w:spacing w:before="20" w:after="20"/>
              <w:jc w:val="center"/>
              <w:rPr>
                <w:rFonts w:cs="Arial"/>
                <w:color w:val="58595A"/>
                <w:szCs w:val="18"/>
              </w:rPr>
            </w:pPr>
            <w:r w:rsidRPr="00CD6FED">
              <w:rPr>
                <w:rFonts w:cs="Arial"/>
                <w:color w:val="58595A"/>
                <w:szCs w:val="18"/>
              </w:rPr>
              <w:t>14 days</w:t>
            </w:r>
          </w:p>
        </w:tc>
      </w:tr>
      <w:tr w:rsidR="00A3126A" w:rsidRPr="0065414C" w14:paraId="2A321D00" w14:textId="77777777" w:rsidTr="00872610">
        <w:trPr>
          <w:trHeight w:val="283"/>
        </w:trPr>
        <w:tc>
          <w:tcPr>
            <w:tcW w:w="2694" w:type="dxa"/>
            <w:tcBorders>
              <w:bottom w:val="single" w:sz="4" w:space="0" w:color="D9D9D9" w:themeColor="background2" w:themeShade="D9"/>
            </w:tcBorders>
            <w:vAlign w:val="center"/>
            <w:hideMark/>
          </w:tcPr>
          <w:p w14:paraId="000B0BB3" w14:textId="77777777" w:rsidR="00A3126A" w:rsidRPr="00CD6FED" w:rsidRDefault="00A3126A" w:rsidP="00465E0B">
            <w:pPr>
              <w:rPr>
                <w:rFonts w:cs="Arial"/>
                <w:color w:val="58595A"/>
                <w:szCs w:val="18"/>
              </w:rPr>
            </w:pPr>
          </w:p>
        </w:tc>
        <w:tc>
          <w:tcPr>
            <w:tcW w:w="4677" w:type="dxa"/>
            <w:tcBorders>
              <w:top w:val="single" w:sz="4" w:space="0" w:color="D9D9D9" w:themeColor="background2" w:themeShade="D9"/>
              <w:bottom w:val="single" w:sz="4" w:space="0" w:color="D9D9D9" w:themeColor="background2" w:themeShade="D9"/>
            </w:tcBorders>
            <w:noWrap/>
            <w:vAlign w:val="center"/>
            <w:hideMark/>
          </w:tcPr>
          <w:p w14:paraId="42CC84AE" w14:textId="77777777" w:rsidR="00A3126A" w:rsidRPr="00CD6FED" w:rsidRDefault="00A3126A" w:rsidP="00872610">
            <w:pPr>
              <w:pStyle w:val="ListParagraph"/>
              <w:keepNext/>
              <w:numPr>
                <w:ilvl w:val="0"/>
                <w:numId w:val="15"/>
              </w:numPr>
              <w:tabs>
                <w:tab w:val="clear" w:pos="1418"/>
              </w:tabs>
              <w:spacing w:before="20" w:after="20" w:line="240" w:lineRule="auto"/>
              <w:ind w:left="360" w:right="0"/>
              <w:contextualSpacing/>
              <w:rPr>
                <w:rFonts w:cs="Arial"/>
                <w:color w:val="58595A"/>
                <w:sz w:val="18"/>
                <w:szCs w:val="18"/>
              </w:rPr>
            </w:pPr>
            <w:r w:rsidRPr="00CD6FED">
              <w:rPr>
                <w:rFonts w:cs="Arial"/>
                <w:color w:val="58595A"/>
                <w:sz w:val="18"/>
                <w:szCs w:val="18"/>
              </w:rPr>
              <w:t>Nausea and vomiting</w:t>
            </w:r>
          </w:p>
        </w:tc>
        <w:tc>
          <w:tcPr>
            <w:tcW w:w="2127" w:type="dxa"/>
            <w:tcBorders>
              <w:top w:val="single" w:sz="4" w:space="0" w:color="D9D9D9" w:themeColor="background2" w:themeShade="D9"/>
              <w:bottom w:val="single" w:sz="4" w:space="0" w:color="D9D9D9" w:themeColor="background2" w:themeShade="D9"/>
            </w:tcBorders>
            <w:vAlign w:val="center"/>
            <w:hideMark/>
          </w:tcPr>
          <w:p w14:paraId="3B0AD8F6" w14:textId="77777777" w:rsidR="00A3126A" w:rsidRPr="00CD6FED" w:rsidRDefault="00A3126A" w:rsidP="00530F1A">
            <w:pPr>
              <w:keepNext/>
              <w:spacing w:before="20" w:after="20"/>
              <w:ind w:left="77"/>
              <w:jc w:val="center"/>
              <w:rPr>
                <w:rFonts w:cs="Arial"/>
                <w:color w:val="58595A"/>
                <w:szCs w:val="18"/>
              </w:rPr>
            </w:pPr>
            <w:r w:rsidRPr="00CD6FED">
              <w:rPr>
                <w:rFonts w:cs="Arial"/>
                <w:color w:val="58595A"/>
                <w:szCs w:val="18"/>
              </w:rPr>
              <w:t>7 days</w:t>
            </w:r>
          </w:p>
        </w:tc>
      </w:tr>
    </w:tbl>
    <w:p w14:paraId="6D7C10A0" w14:textId="77777777" w:rsidR="00D80215" w:rsidRDefault="00D80215" w:rsidP="00A3126A">
      <w:pPr>
        <w:pStyle w:val="BodyText"/>
        <w:spacing w:before="0"/>
        <w:rPr>
          <w:rFonts w:cs="Arial"/>
        </w:rPr>
        <w:sectPr w:rsidR="00D80215" w:rsidSect="00E4729D">
          <w:pgSz w:w="11910" w:h="16840"/>
          <w:pgMar w:top="1440" w:right="1440" w:bottom="1440" w:left="1440" w:header="0" w:footer="658" w:gutter="0"/>
          <w:cols w:space="340"/>
        </w:sectPr>
      </w:pPr>
    </w:p>
    <w:p w14:paraId="7EEB4EF6" w14:textId="6B8BCE0F" w:rsidR="00926399" w:rsidRPr="0065414C" w:rsidRDefault="00E823D7" w:rsidP="00BB248D">
      <w:pPr>
        <w:pStyle w:val="Heading3"/>
        <w:spacing w:before="0"/>
        <w:rPr>
          <w:rFonts w:cs="Arial"/>
        </w:rPr>
      </w:pPr>
      <w:bookmarkStart w:id="159" w:name="_Toc58930533"/>
      <w:r>
        <w:rPr>
          <w:rFonts w:cs="Arial"/>
        </w:rPr>
        <w:lastRenderedPageBreak/>
        <w:t xml:space="preserve">12.3.1 </w:t>
      </w:r>
      <w:r w:rsidR="00926399" w:rsidRPr="0065414C">
        <w:rPr>
          <w:rFonts w:cs="Arial"/>
        </w:rPr>
        <w:t>Funding options</w:t>
      </w:r>
      <w:bookmarkEnd w:id="159"/>
    </w:p>
    <w:p w14:paraId="6B933829" w14:textId="1133223E" w:rsidR="006303E0" w:rsidRPr="006303E0" w:rsidRDefault="006303E0" w:rsidP="006303E0">
      <w:pPr>
        <w:pStyle w:val="BodyText"/>
        <w:rPr>
          <w:rFonts w:cs="Arial"/>
        </w:rPr>
      </w:pPr>
      <w:r w:rsidRPr="006303E0">
        <w:rPr>
          <w:rFonts w:cs="Arial"/>
        </w:rPr>
        <w:t>In July 2019, IHPA commenced a shadow period to analyse funding options intended to assist in preventing avoidable hospital readmissions. The</w:t>
      </w:r>
      <w:r w:rsidR="005776C2">
        <w:rPr>
          <w:rFonts w:cs="Arial"/>
        </w:rPr>
        <w:t> </w:t>
      </w:r>
      <w:r w:rsidRPr="006303E0">
        <w:rPr>
          <w:rFonts w:cs="Arial"/>
        </w:rPr>
        <w:t>shadow period allowed IHPA to assess the</w:t>
      </w:r>
      <w:r w:rsidR="005776C2">
        <w:rPr>
          <w:rFonts w:cs="Arial"/>
        </w:rPr>
        <w:t> </w:t>
      </w:r>
      <w:r w:rsidRPr="006303E0">
        <w:rPr>
          <w:rFonts w:cs="Arial"/>
        </w:rPr>
        <w:t>activity and funding impacts of the proposed</w:t>
      </w:r>
      <w:r w:rsidR="005776C2">
        <w:rPr>
          <w:rFonts w:cs="Arial"/>
        </w:rPr>
        <w:t> </w:t>
      </w:r>
      <w:r w:rsidRPr="006303E0">
        <w:rPr>
          <w:rFonts w:cs="Arial"/>
        </w:rPr>
        <w:t>funding options for avoidable hospital</w:t>
      </w:r>
      <w:r w:rsidR="005776C2">
        <w:rPr>
          <w:rFonts w:cs="Arial"/>
        </w:rPr>
        <w:t> </w:t>
      </w:r>
      <w:r w:rsidRPr="006303E0">
        <w:rPr>
          <w:rFonts w:cs="Arial"/>
        </w:rPr>
        <w:t xml:space="preserve">readmissions. </w:t>
      </w:r>
    </w:p>
    <w:p w14:paraId="5D6D8BF8" w14:textId="09DE5E4E" w:rsidR="006303E0" w:rsidRPr="0065414C" w:rsidRDefault="006303E0" w:rsidP="006303E0">
      <w:pPr>
        <w:pStyle w:val="BodyText"/>
        <w:rPr>
          <w:rFonts w:cs="Arial"/>
        </w:rPr>
      </w:pPr>
      <w:r w:rsidRPr="006303E0">
        <w:rPr>
          <w:rFonts w:cs="Arial"/>
        </w:rPr>
        <w:t>The shadow period incorporated the following funding options:</w:t>
      </w:r>
    </w:p>
    <w:p w14:paraId="4A5CD1F9" w14:textId="77777777" w:rsidR="00926399" w:rsidRPr="0065414C" w:rsidRDefault="00926399" w:rsidP="00DC379A">
      <w:pPr>
        <w:pStyle w:val="ListParagraph"/>
        <w:rPr>
          <w:rFonts w:cs="Arial"/>
        </w:rPr>
      </w:pPr>
      <w:r w:rsidRPr="0065414C">
        <w:rPr>
          <w:rFonts w:cs="Arial"/>
          <w:b/>
          <w:bCs/>
        </w:rPr>
        <w:t>Option one:</w:t>
      </w:r>
      <w:r w:rsidRPr="0065414C">
        <w:rPr>
          <w:rFonts w:cs="Arial"/>
        </w:rPr>
        <w:t xml:space="preserve"> Deduct the cost of the readmission episode from the index</w:t>
      </w:r>
      <w:r w:rsidR="00DC379A" w:rsidRPr="0065414C">
        <w:rPr>
          <w:rFonts w:cs="Arial"/>
        </w:rPr>
        <w:t> </w:t>
      </w:r>
      <w:r w:rsidRPr="0065414C">
        <w:rPr>
          <w:rFonts w:cs="Arial"/>
        </w:rPr>
        <w:t>episode.</w:t>
      </w:r>
    </w:p>
    <w:p w14:paraId="65F02561" w14:textId="77777777" w:rsidR="00926399" w:rsidRPr="0065414C" w:rsidRDefault="00926399" w:rsidP="00DC379A">
      <w:pPr>
        <w:pStyle w:val="ListParagraph"/>
        <w:rPr>
          <w:rFonts w:cs="Arial"/>
        </w:rPr>
      </w:pPr>
      <w:r w:rsidRPr="0065414C">
        <w:rPr>
          <w:rFonts w:cs="Arial"/>
          <w:b/>
          <w:bCs/>
        </w:rPr>
        <w:t xml:space="preserve">Option two: </w:t>
      </w:r>
      <w:r w:rsidRPr="0065414C">
        <w:rPr>
          <w:rFonts w:cs="Arial"/>
        </w:rPr>
        <w:t>Combine the index and readmission episodes and recalculate the</w:t>
      </w:r>
      <w:r w:rsidR="00DC379A" w:rsidRPr="0065414C">
        <w:rPr>
          <w:rFonts w:cs="Arial"/>
        </w:rPr>
        <w:t> </w:t>
      </w:r>
      <w:r w:rsidRPr="0065414C">
        <w:rPr>
          <w:rFonts w:cs="Arial"/>
        </w:rPr>
        <w:t>funding of the combined episode.</w:t>
      </w:r>
    </w:p>
    <w:p w14:paraId="48D6F7F8" w14:textId="77777777" w:rsidR="00926399" w:rsidRPr="0065414C" w:rsidRDefault="00926399" w:rsidP="00DC379A">
      <w:pPr>
        <w:pStyle w:val="ListParagraph"/>
        <w:rPr>
          <w:rFonts w:cs="Arial"/>
        </w:rPr>
      </w:pPr>
      <w:r w:rsidRPr="0065414C">
        <w:rPr>
          <w:rFonts w:cs="Arial"/>
          <w:b/>
          <w:bCs/>
        </w:rPr>
        <w:t>Option three:</w:t>
      </w:r>
      <w:r w:rsidRPr="0065414C">
        <w:rPr>
          <w:rFonts w:cs="Arial"/>
        </w:rPr>
        <w:t xml:space="preserve"> Adjust funding at the hospital level where actual rates of avoidable readmissions exceed expected rates of avoidable readmissions.</w:t>
      </w:r>
    </w:p>
    <w:p w14:paraId="79F3B6FD" w14:textId="41AC5BFA" w:rsidR="00766B86" w:rsidRPr="0065414C" w:rsidRDefault="00DA7579" w:rsidP="00766B86">
      <w:pPr>
        <w:pStyle w:val="BodyText"/>
        <w:rPr>
          <w:rFonts w:cs="Arial"/>
        </w:rPr>
      </w:pPr>
      <w:r w:rsidRPr="0065414C">
        <w:rPr>
          <w:noProof/>
          <w:lang w:eastAsia="en-AU" w:bidi="ar-SA"/>
        </w:rPr>
        <mc:AlternateContent>
          <mc:Choice Requires="wps">
            <w:drawing>
              <wp:anchor distT="0" distB="144145" distL="0" distR="0" simplePos="0" relativeHeight="251796480" behindDoc="1" locked="0" layoutInCell="1" allowOverlap="1" wp14:anchorId="3F41208C" wp14:editId="6696B40C">
                <wp:simplePos x="0" y="0"/>
                <wp:positionH relativeFrom="margin">
                  <wp:posOffset>0</wp:posOffset>
                </wp:positionH>
                <wp:positionV relativeFrom="paragraph">
                  <wp:posOffset>3643630</wp:posOffset>
                </wp:positionV>
                <wp:extent cx="2794635" cy="1379855"/>
                <wp:effectExtent l="0" t="0" r="24765" b="10795"/>
                <wp:wrapTopAndBottom/>
                <wp:docPr id="105"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7985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D112A5B" w14:textId="64E6004D" w:rsidR="00C93E72" w:rsidRPr="00693365" w:rsidRDefault="00C93E72" w:rsidP="00DA7579">
                            <w:pPr>
                              <w:pStyle w:val="Questionheading"/>
                              <w:ind w:left="426"/>
                            </w:pPr>
                            <w:r>
                              <w:t>Next steps and future work</w:t>
                            </w:r>
                          </w:p>
                          <w:p w14:paraId="4692E63C" w14:textId="600713A8" w:rsidR="00C93E72" w:rsidRDefault="00C93E72" w:rsidP="00DA7579">
                            <w:pPr>
                              <w:pStyle w:val="BodyText"/>
                              <w:ind w:left="426"/>
                            </w:pPr>
                            <w:r w:rsidRPr="00DA7579">
                              <w:t>IHPA intends to make avoidable hospital readmission rates available in the National Benchmarking Portal to allow hospitals to access and compare cost and activity data relating to readmissions.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1208C" id="_x0000_s1064" type="#_x0000_t202" style="position:absolute;margin-left:0;margin-top:286.9pt;width:220.05pt;height:108.65pt;z-index:-251520000;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VhsAIAAGMFAAAOAAAAZHJzL2Uyb0RvYy54bWysVG1vmzAQ/j5p/8HydwokQEhUUiWQTJO6&#10;F6ndD3CMCdbAZrYT0lX97zubkLbrPkzT+ABnbD93z91zd31zaht0ZEpzKTIcXgUYMUFlycU+w9/u&#10;t16KkTZElKSRgmX4gWl8s3z/7rrvFmwia9mUTCEAEXrRdxmujekWvq9pzVqir2THBGxWUrXEwFLt&#10;/VKRHtDbxp8EQeL3UpWdkpRpDX+LYRMvHX5VMWq+VJVmBjUZhtiMeyv33tm3v7wmi70iXc3pOQzy&#10;D1G0hAtweoEqiCHooPgbqJZTJbWszBWVrS+rilPmOACbMPiNzV1NOua4QHJ0d0mT/n+w9PPxq0K8&#10;hNoFMUaCtFCke3YyaC1PKEocKVjeamPp2Q1H6zEP02kx2ybeOpqnXjRdT715lK69cDZJ1/FktUo2&#10;0ZNNr+9uuft+3+mF82jr48y7DtybEziDCJwz3d1K+l0jIfOaiD1bKSX7mpESWIcO8MXVAUdbkF3/&#10;SZYQPDkY6YBOlWptzJBkBOhQ/YdLxS0PCj8ns3mUTIE4hb1wOpuncXwOerzeKW0+MNkia2RYgaQc&#10;PDkCp4HfeMR6E3LLm8bJqhGoz/A8nsQDMdnw0m7aY07gLG8UOhKQJqGUCZOcXeuXJ1tuoEMa3mY4&#10;DexjD5GFzchGlM42hDeDDcluhN3+U8nmwXyTbtLIiybJxouCovBW2zzykm04i4tpkedF+GRDDaNF&#10;zcuSCRvt2BVh9HeqO/fnoOdLX7yipNV+d6G+dc9b5v7rMEYhjd9nQdnqDzowp93JaXmaWjyrk50s&#10;H0AcSg6dD5MKjFqqnxj10PUZ1j8ORDGMmo8CBGZHxGio0diNBhEUrmbYYDSYuRlGyaFTfF8D8iBh&#10;IVcgwoo7eTxHAaHbBXSyI3GeOnZUvFy7U8+zcfkLAAD//wMAUEsDBBQABgAIAAAAIQBmvufB3QAA&#10;AAgBAAAPAAAAZHJzL2Rvd25yZXYueG1sTI/BTsMwEETvSPyDtUjcqJNQaBPiVBXQI1IpSL268ZJE&#10;ideR7bTh71lOcFzNaua9cjPbQZzRh86RgnSRgECqnemoUfD5sbtbgwhRk9GDI1TwjQE21fVVqQvj&#10;LvSO50NsBJdQKLSCNsaxkDLULVodFm5E4uzLeasjn76RxusLl9tBZknyKK3uiBdaPeJzi3V/mKyC&#10;fvIv/XGXZ9lb3psBX/fk4lap25t5+wQi4hz/nuEXn9GhYqaTm8gEMShgkajgYXXPAhwvl0kK4qRg&#10;lacpyKqU/wWqHwAAAP//AwBQSwECLQAUAAYACAAAACEAtoM4kv4AAADhAQAAEwAAAAAAAAAAAAAA&#10;AAAAAAAAW0NvbnRlbnRfVHlwZXNdLnhtbFBLAQItABQABgAIAAAAIQA4/SH/1gAAAJQBAAALAAAA&#10;AAAAAAAAAAAAAC8BAABfcmVscy8ucmVsc1BLAQItABQABgAIAAAAIQBRFIVhsAIAAGMFAAAOAAAA&#10;AAAAAAAAAAAAAC4CAABkcnMvZTJvRG9jLnhtbFBLAQItABQABgAIAAAAIQBmvufB3QAAAAgBAAAP&#10;AAAAAAAAAAAAAAAAAAoFAABkcnMvZG93bnJldi54bWxQSwUGAAAAAAQABADzAAAAFAYAAAAA&#10;" filled="f" strokecolor="#009ab8 [3209]">
                <v:textbox inset="0,0,0,0">
                  <w:txbxContent>
                    <w:p w14:paraId="6D112A5B" w14:textId="64E6004D" w:rsidR="00C93E72" w:rsidRPr="00693365" w:rsidRDefault="00C93E72" w:rsidP="00DA7579">
                      <w:pPr>
                        <w:pStyle w:val="Questionheading"/>
                        <w:ind w:left="426"/>
                      </w:pPr>
                      <w:r>
                        <w:t>Next steps and future work</w:t>
                      </w:r>
                    </w:p>
                    <w:p w14:paraId="4692E63C" w14:textId="600713A8" w:rsidR="00C93E72" w:rsidRDefault="00C93E72" w:rsidP="00DA7579">
                      <w:pPr>
                        <w:pStyle w:val="BodyText"/>
                        <w:ind w:left="426"/>
                      </w:pPr>
                      <w:r w:rsidRPr="00DA7579">
                        <w:t>IHPA intends to make avoidable hospital readmission rates available in the National Benchmarking Portal to allow hospitals to access and compare cost and activity data relating to readmissions.</w:t>
                      </w:r>
                    </w:p>
                  </w:txbxContent>
                </v:textbox>
                <w10:wrap type="topAndBottom" anchorx="margin"/>
              </v:shape>
            </w:pict>
          </mc:Fallback>
        </mc:AlternateContent>
      </w:r>
      <w:r w:rsidRPr="0065414C">
        <w:rPr>
          <w:noProof/>
          <w:lang w:eastAsia="en-AU" w:bidi="ar-SA"/>
        </w:rPr>
        <mc:AlternateContent>
          <mc:Choice Requires="wps">
            <w:drawing>
              <wp:anchor distT="0" distB="144145" distL="0" distR="0" simplePos="0" relativeHeight="251794432" behindDoc="1" locked="0" layoutInCell="1" allowOverlap="1" wp14:anchorId="6C311F03" wp14:editId="1266BD89">
                <wp:simplePos x="0" y="0"/>
                <wp:positionH relativeFrom="margin">
                  <wp:posOffset>0</wp:posOffset>
                </wp:positionH>
                <wp:positionV relativeFrom="paragraph">
                  <wp:posOffset>978535</wp:posOffset>
                </wp:positionV>
                <wp:extent cx="2794635" cy="2493010"/>
                <wp:effectExtent l="0" t="0" r="24765" b="21590"/>
                <wp:wrapTopAndBottom/>
                <wp:docPr id="104"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493010"/>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D0085A6" w14:textId="77777777" w:rsidR="00C93E72" w:rsidRPr="00693365" w:rsidRDefault="00C93E72" w:rsidP="00DA7579">
                            <w:pPr>
                              <w:pStyle w:val="Questionheading"/>
                              <w:ind w:left="426"/>
                            </w:pPr>
                            <w:r>
                              <w:t>IHPA’s decision</w:t>
                            </w:r>
                          </w:p>
                          <w:p w14:paraId="62D1B8D2" w14:textId="393E51B3" w:rsidR="00C93E72" w:rsidRDefault="00C93E72" w:rsidP="00DA7579">
                            <w:pPr>
                              <w:pStyle w:val="BodyText"/>
                              <w:ind w:left="426"/>
                            </w:pPr>
                            <w:r>
                              <w:t>For NEP21, IHPA intends to implement the avoidable hospital readmissions funding adjustment under funding option one due to its ease of application, similarity to the HACs methodology, and less disproportionate impact across jurisdictions, particularly smaller states and territories with fewer Local Hospital Networks (LHNs).</w:t>
                            </w:r>
                          </w:p>
                          <w:p w14:paraId="481421B2" w14:textId="3125D68F" w:rsidR="00C93E72" w:rsidRDefault="00C93E72" w:rsidP="00DA7579">
                            <w:pPr>
                              <w:pStyle w:val="BodyText"/>
                              <w:ind w:left="426"/>
                            </w:pPr>
                            <w:r>
                              <w:t>IHPA will seek final approval for all aspects of the proposed pricing model from CHC, as stipulated by the Addendum, for implementation from 1 July 2021.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11F03" id="_x0000_s1065" type="#_x0000_t202" style="position:absolute;margin-left:0;margin-top:77.05pt;width:220.05pt;height:196.3pt;z-index:-251522048;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6pIsAIAAGMFAAAOAAAAZHJzL2Uyb0RvYy54bWysVG1vmzAQ/j5p/8Hyd8pLCIGopEpCMk3q&#10;XqR2P8AxJlgDm9lOSFf1v+9sQtqu+zBN4wOcsf3cPXfP3fXNqW3QkSnNpchxeBVgxASVJRf7HH+7&#10;33opRtoQUZJGCpbjB6bxzeL9u+u+m7NI1rIpmUIAIvS873JcG9PNfV/TmrVEX8mOCdispGqJgaXa&#10;+6UiPaC3jR8FQeL3UpWdkpRpDX+LYRMvHH5VMWq+VJVmBjU5htiMeyv33tm3v7gm870iXc3pOQzy&#10;D1G0hAtweoEqiCHooPgbqJZTJbWszBWVrS+rilPmOACbMPiNzV1NOua4QHJ0d0mT/n+w9PPxq0K8&#10;hNoFMUaCtFCke3YyaCVPKE4cKVjeamPp2Q1H63EdppNitk28VZylXjxZTbwsTldeOIvS1TRaLpNN&#10;/GTT67tb7r7fd3ruPNr6OPOuA/fmBM4gAudMd7eSftdIyHVNxJ4tlZJ9zUgJrEMH+OLqgKMtyK7/&#10;JEsInhyMdECnSrU2ZkgyAnSo/sOl4pYHhZ/RLIuTyRQjCntRnE2gCOegx+ud0uYDky2yRo4VSMrB&#10;kyNwGviNR6w3Ibe8aZysGoH6HGfTaDoQkw0v7aY95gTO1o1CRwLSJJQyYZKza/3yZMsNdEjD2xyn&#10;gX3sITK3GdmI0tmG8GawIdmNsNt/KlkWZJt0k8ZeHCUbLw6Kwltu17GXbMPZtJgU63URPtlQw3he&#10;87JkwkY7dkUY/53qzv056PnSF68oabXfXahv3fOWuf86jFFI4/dZULb6gw7MaXdyWp5kFs/qZCfL&#10;BxCHkkPnw6QCo5bqJ0Y9dH2O9Y8DUQyj5qMAgdkRMRpqNHajQQSFqzk2GA3m2gyj5NApvq8BeZCw&#10;kEsQYcWdPJ6jgNDtAjrZkThPHTsqXq7dqefZuPgFAAD//wMAUEsDBBQABgAIAAAAIQD1R2M83AAA&#10;AAgBAAAPAAAAZHJzL2Rvd25yZXYueG1sTI9BT8MwDIXvSPyHyEjcWLqqG6w0nSZgRyQ2kLhmjWmr&#10;Jk6VpFv595gT3Gy/p+fvVdvZWXHGEHtPCpaLDARS401PrYKP9/3dA4iYNBltPaGCb4ywra+vKl0a&#10;f6EDno+pFRxCsdQKupTGUsrYdOh0XPgRibUvH5xOvIZWmqAvHO6szLNsLZ3uiT90esSnDpvhODkF&#10;wxSeh8/9Js9fN4Ox+PJGPu2Uur2Zd48gEs7pzwy/+IwONTOd/EQmCquAiyS+roolCJaLIuPhpGBV&#10;rO9B1pX8X6D+AQAA//8DAFBLAQItABQABgAIAAAAIQC2gziS/gAAAOEBAAATAAAAAAAAAAAAAAAA&#10;AAAAAABbQ29udGVudF9UeXBlc10ueG1sUEsBAi0AFAAGAAgAAAAhADj9If/WAAAAlAEAAAsAAAAA&#10;AAAAAAAAAAAALwEAAF9yZWxzLy5yZWxzUEsBAi0AFAAGAAgAAAAhAAMjqkiwAgAAYwUAAA4AAAAA&#10;AAAAAAAAAAAALgIAAGRycy9lMm9Eb2MueG1sUEsBAi0AFAAGAAgAAAAhAPVHYzzcAAAACAEAAA8A&#10;AAAAAAAAAAAAAAAACgUAAGRycy9kb3ducmV2LnhtbFBLBQYAAAAABAAEAPMAAAATBgAAAAA=&#10;" filled="f" strokecolor="#009ab8 [3209]">
                <v:textbox inset="0,0,0,0">
                  <w:txbxContent>
                    <w:p w14:paraId="6D0085A6" w14:textId="77777777" w:rsidR="00C93E72" w:rsidRPr="00693365" w:rsidRDefault="00C93E72" w:rsidP="00DA7579">
                      <w:pPr>
                        <w:pStyle w:val="Questionheading"/>
                        <w:ind w:left="426"/>
                      </w:pPr>
                      <w:r>
                        <w:t>IHPA’s decision</w:t>
                      </w:r>
                    </w:p>
                    <w:p w14:paraId="62D1B8D2" w14:textId="393E51B3" w:rsidR="00C93E72" w:rsidRDefault="00C93E72" w:rsidP="00DA7579">
                      <w:pPr>
                        <w:pStyle w:val="BodyText"/>
                        <w:ind w:left="426"/>
                      </w:pPr>
                      <w:r>
                        <w:t>For NEP21, IHPA intends to implement the avoidable hospital readmissions funding adjustment under funding option one due to its ease of application, similarity to the HACs methodology, and less disproportionate impact across jurisdictions, particularly smaller states and territories with fewer Local Hospital Networks (LHNs).</w:t>
                      </w:r>
                    </w:p>
                    <w:p w14:paraId="481421B2" w14:textId="3125D68F" w:rsidR="00C93E72" w:rsidRDefault="00C93E72" w:rsidP="00DA7579">
                      <w:pPr>
                        <w:pStyle w:val="BodyText"/>
                        <w:ind w:left="426"/>
                      </w:pPr>
                      <w:r>
                        <w:t>IHPA will seek final approval for all aspects of the proposed pricing model from CHC, as stipulated by the Addendum, for implementation from 1 July 2021.</w:t>
                      </w:r>
                    </w:p>
                  </w:txbxContent>
                </v:textbox>
                <w10:wrap type="topAndBottom" anchorx="margin"/>
              </v:shape>
            </w:pict>
          </mc:Fallback>
        </mc:AlternateContent>
      </w:r>
      <w:r w:rsidR="006303E0" w:rsidRPr="006303E0">
        <w:rPr>
          <w:rFonts w:cs="Arial"/>
        </w:rPr>
        <w:t>The funding options were analysed using activity data from 2015–16, 2016–17, 2017–18 and</w:t>
      </w:r>
      <w:r w:rsidR="00E73DF8">
        <w:rPr>
          <w:rFonts w:cs="Arial"/>
        </w:rPr>
        <w:t> </w:t>
      </w:r>
      <w:r w:rsidR="006303E0" w:rsidRPr="006303E0">
        <w:rPr>
          <w:rFonts w:cs="Arial"/>
        </w:rPr>
        <w:t>2018–19. The funding impact on total Commonwealth funding across all three funding options was shown to be relatively small.</w:t>
      </w:r>
    </w:p>
    <w:p w14:paraId="3F559692" w14:textId="6D6D065D" w:rsidR="00766B86" w:rsidRPr="0065414C" w:rsidRDefault="00DC379A" w:rsidP="00DA7579">
      <w:pPr>
        <w:pStyle w:val="Heading3"/>
      </w:pPr>
      <w:r w:rsidRPr="0065414C">
        <w:br w:type="column"/>
      </w:r>
      <w:bookmarkStart w:id="160" w:name="_Toc58930534"/>
      <w:r w:rsidR="002168F0">
        <w:t xml:space="preserve">12.3.2 </w:t>
      </w:r>
      <w:r w:rsidR="00766B86" w:rsidRPr="0065414C">
        <w:t>Scope options</w:t>
      </w:r>
      <w:bookmarkEnd w:id="160"/>
    </w:p>
    <w:p w14:paraId="27B034CB" w14:textId="4F5C2311" w:rsidR="00DA7579" w:rsidRPr="0065414C" w:rsidRDefault="00DA7579" w:rsidP="00926399">
      <w:pPr>
        <w:pStyle w:val="BodyText"/>
        <w:rPr>
          <w:rFonts w:cs="Arial"/>
        </w:rPr>
      </w:pPr>
      <w:r w:rsidRPr="00DA7579">
        <w:rPr>
          <w:rFonts w:eastAsia="Times New Roman" w:cs="Arial"/>
          <w:iCs/>
          <w:lang w:eastAsia="en-AU"/>
        </w:rPr>
        <w:t>A patient’s readmission episode may not always occur at the same hospital where they had their original (index) admission episode. The patient may be readmitted to a different hospital in the same LHN or they may be readmitted to a</w:t>
      </w:r>
      <w:r w:rsidR="005776C2">
        <w:rPr>
          <w:rFonts w:eastAsia="Times New Roman" w:cs="Arial"/>
          <w:iCs/>
          <w:lang w:eastAsia="en-AU"/>
        </w:rPr>
        <w:t> </w:t>
      </w:r>
      <w:r w:rsidRPr="00DA7579">
        <w:rPr>
          <w:rFonts w:eastAsia="Times New Roman" w:cs="Arial"/>
          <w:iCs/>
          <w:lang w:eastAsia="en-AU"/>
        </w:rPr>
        <w:t>different hospital in a different LHN. Throughout</w:t>
      </w:r>
      <w:r w:rsidR="005776C2">
        <w:rPr>
          <w:rFonts w:eastAsia="Times New Roman" w:cs="Arial"/>
          <w:iCs/>
          <w:lang w:eastAsia="en-AU"/>
        </w:rPr>
        <w:t> </w:t>
      </w:r>
      <w:r w:rsidRPr="00DA7579">
        <w:rPr>
          <w:rFonts w:eastAsia="Times New Roman" w:cs="Arial"/>
          <w:iCs/>
          <w:lang w:eastAsia="en-AU"/>
        </w:rPr>
        <w:t>the shadow period, IHPA has undertaken analysis of the three funding options under three scope options (readmissions limited to the same hospital, same LHN or same jurisdiction). The analysis of avoidable hospital readmission episodes by location over the four</w:t>
      </w:r>
      <w:r w:rsidR="005776C2">
        <w:rPr>
          <w:rFonts w:eastAsia="Times New Roman" w:cs="Arial"/>
          <w:iCs/>
          <w:lang w:eastAsia="en-AU"/>
        </w:rPr>
        <w:t> </w:t>
      </w:r>
      <w:r w:rsidRPr="00DA7579">
        <w:rPr>
          <w:rFonts w:eastAsia="Times New Roman" w:cs="Arial"/>
          <w:iCs/>
          <w:lang w:eastAsia="en-AU"/>
        </w:rPr>
        <w:t>year period indicated that:</w:t>
      </w:r>
    </w:p>
    <w:p w14:paraId="71AC692B" w14:textId="29DE5B39" w:rsidR="00926399" w:rsidRPr="0065414C" w:rsidRDefault="00744FCC" w:rsidP="00B61294">
      <w:pPr>
        <w:pStyle w:val="ListParagraph"/>
        <w:rPr>
          <w:rFonts w:cs="Arial"/>
        </w:rPr>
      </w:pPr>
      <w:r>
        <w:rPr>
          <w:rFonts w:cs="Arial"/>
        </w:rPr>
        <w:t>a</w:t>
      </w:r>
      <w:r w:rsidR="00766B86" w:rsidRPr="0065414C">
        <w:rPr>
          <w:rFonts w:cs="Arial"/>
        </w:rPr>
        <w:t>lmost half of all avoidable hospital readmissions (48 per cent) occurred when patients presented to the same hospital within the same LHN</w:t>
      </w:r>
    </w:p>
    <w:p w14:paraId="7E4B8117" w14:textId="525E52E0" w:rsidR="00926399" w:rsidRPr="0065414C" w:rsidRDefault="00766B86" w:rsidP="00B61294">
      <w:pPr>
        <w:pStyle w:val="ListParagraph"/>
        <w:rPr>
          <w:rFonts w:cs="Arial"/>
        </w:rPr>
      </w:pPr>
      <w:r w:rsidRPr="0065414C">
        <w:rPr>
          <w:rFonts w:cs="Arial"/>
        </w:rPr>
        <w:t>26.0 per cent of readmissions occurred in</w:t>
      </w:r>
      <w:r w:rsidR="00DA7579">
        <w:rPr>
          <w:rFonts w:cs="Arial"/>
        </w:rPr>
        <w:t> </w:t>
      </w:r>
      <w:r w:rsidRPr="0065414C">
        <w:rPr>
          <w:rFonts w:cs="Arial"/>
        </w:rPr>
        <w:t>a different hospital in the same LHN</w:t>
      </w:r>
    </w:p>
    <w:p w14:paraId="31A453E8" w14:textId="7B26ABC4" w:rsidR="00926399" w:rsidRPr="0065414C" w:rsidRDefault="002F3BF7" w:rsidP="002F3BF7">
      <w:pPr>
        <w:pStyle w:val="ListParagraph"/>
        <w:rPr>
          <w:rFonts w:cs="Arial"/>
        </w:rPr>
      </w:pPr>
      <w:r w:rsidRPr="0065414C">
        <w:rPr>
          <w:rFonts w:cs="Arial"/>
        </w:rPr>
        <w:t>12.3 per cent of readmissions occurred in</w:t>
      </w:r>
      <w:r w:rsidR="00DA7579">
        <w:rPr>
          <w:rFonts w:cs="Arial"/>
        </w:rPr>
        <w:t> </w:t>
      </w:r>
      <w:r w:rsidRPr="0065414C">
        <w:rPr>
          <w:rFonts w:cs="Arial"/>
        </w:rPr>
        <w:t>a different LHN in the same state or</w:t>
      </w:r>
      <w:r w:rsidR="00DA7579">
        <w:rPr>
          <w:rFonts w:cs="Arial"/>
        </w:rPr>
        <w:t> </w:t>
      </w:r>
      <w:r w:rsidRPr="0065414C">
        <w:rPr>
          <w:rFonts w:cs="Arial"/>
        </w:rPr>
        <w:t>territory</w:t>
      </w:r>
    </w:p>
    <w:p w14:paraId="0833AB33" w14:textId="77777777" w:rsidR="002F3BF7" w:rsidRPr="0065414C" w:rsidRDefault="002F3BF7" w:rsidP="002F3BF7">
      <w:pPr>
        <w:pStyle w:val="ListParagraph"/>
        <w:rPr>
          <w:rFonts w:cs="Arial"/>
        </w:rPr>
      </w:pPr>
      <w:r w:rsidRPr="0065414C">
        <w:rPr>
          <w:rFonts w:cs="Arial"/>
        </w:rPr>
        <w:t>1.5 per cent of readmissions occurred in a different state or territory.</w:t>
      </w:r>
    </w:p>
    <w:p w14:paraId="20F8170C" w14:textId="0C516030" w:rsidR="002F3BF7" w:rsidRPr="0065414C" w:rsidRDefault="00DA7579" w:rsidP="002F3BF7">
      <w:pPr>
        <w:rPr>
          <w:rFonts w:cs="Arial"/>
        </w:rPr>
      </w:pPr>
      <w:r w:rsidRPr="0065414C">
        <w:rPr>
          <w:noProof/>
          <w:lang w:eastAsia="en-AU" w:bidi="ar-SA"/>
        </w:rPr>
        <mc:AlternateContent>
          <mc:Choice Requires="wps">
            <w:drawing>
              <wp:anchor distT="0" distB="144145" distL="0" distR="0" simplePos="0" relativeHeight="251798528" behindDoc="1" locked="0" layoutInCell="1" allowOverlap="1" wp14:anchorId="541854C9" wp14:editId="50E9CD88">
                <wp:simplePos x="0" y="0"/>
                <wp:positionH relativeFrom="margin">
                  <wp:posOffset>3001645</wp:posOffset>
                </wp:positionH>
                <wp:positionV relativeFrom="paragraph">
                  <wp:posOffset>218440</wp:posOffset>
                </wp:positionV>
                <wp:extent cx="2794635" cy="1388745"/>
                <wp:effectExtent l="0" t="0" r="24765" b="20955"/>
                <wp:wrapTopAndBottom/>
                <wp:docPr id="106"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8874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273F2A72" w14:textId="77777777" w:rsidR="00C93E72" w:rsidRPr="00693365" w:rsidRDefault="00C93E72" w:rsidP="00DA7579">
                            <w:pPr>
                              <w:pStyle w:val="Questionheading"/>
                              <w:ind w:left="426"/>
                            </w:pPr>
                            <w:r>
                              <w:t>IHPA’s decision</w:t>
                            </w:r>
                          </w:p>
                          <w:p w14:paraId="2A53129B" w14:textId="7D3D01DA" w:rsidR="00C93E72" w:rsidRDefault="00C93E72" w:rsidP="00DA7579">
                            <w:pPr>
                              <w:pStyle w:val="BodyText"/>
                              <w:ind w:left="426"/>
                            </w:pPr>
                            <w:r w:rsidRPr="00DA7579">
                              <w:t>For NEP21, IHPA intends to implement the avoidable hospital readmissions funding adjustment to apply where there is a readmission to any hospital within the same</w:t>
                            </w:r>
                            <w:r>
                              <w:t> </w:t>
                            </w:r>
                            <w:r w:rsidRPr="00DA7579">
                              <w:t>jurisdiction.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854C9" id="_x0000_s1066" type="#_x0000_t202" style="position:absolute;margin-left:236.35pt;margin-top:17.2pt;width:220.05pt;height:109.35pt;z-index:-251517952;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ey4sAIAAGMFAAAOAAAAZHJzL2Uyb0RvYy54bWysVG1vmzAQ/j5p/8HydwokhJCopEogmSZ1&#10;L1K7H+AYE6yBzWwn0FX97zubkLbrPkzT+ABnbD93z91zd33TNzU6MaW5FCkOrwKMmKCy4OKQ4m/3&#10;Oy/BSBsiClJLwVL8wDS+Wb1/d921SzaRlawLphCACL3s2hRXxrRL39e0Yg3RV7JlAjZLqRpiYKkO&#10;fqFIB+hN7U+CIPY7qYpWScq0hr/5sIlXDr8sGTVfylIzg+oUQ2zGvZV77+3bX12T5UGRtuL0HAb5&#10;hygawgU4vUDlxBB0VPwNVMOpklqW5orKxpdlySlzHIBNGPzG5q4iLXNcIDm6vaRJ/z9Y+vn0VSFe&#10;QO2CGCNBGijSPesN2sgeRbEjBctbbSw9u+FoPWZhMs3nu9jbRIvEi6abqbeIko0XzifJZjZZr+Nt&#10;9GTT67tb7r7ftXrpPNr6OPOuBfemB2cQgXOm21tJv2skZFYRcWBrpWRXMVIA69ABvrg64GgLsu8+&#10;yQKCJ0cjHVBfqsbGDElGgA7Vf7hU3PKg8HMyX0TxdIYRhb1wmiTzaHYOerzeKm0+MNkga6RYgaQc&#10;PDkBp4HfeMR6E3LH69rJqhaoS/FiNpkNxGTNC7tpjzmBs6xW6ERAmoRSJkx8dq1fnmy4gQ6peZPi&#10;JLCPPUSWNiNbUTjbEF4PNiS7Fnb7TyVbBIttsk0iL5rEWy8K8txb77LIi3fhfJZP8yzLwycbahgt&#10;K14UTNhox64Io79T3bk/Bz1f+uIVJa0O+wv1nXveMvdfhzEKafw+C8pWf9CB6fe903LkkmR1spfF&#10;A4hDyaHzYVKBUUn1E6MOuj7F+seRKIZR/VGAwOyIGA01GvvRIILC1RQbjAYzM8MoObaKHypAHiQs&#10;5BpEWHInj+coIHS7gE52JM5Tx46Kl2t36nk2rn4BAAD//wMAUEsDBBQABgAIAAAAIQDTY31X3gAA&#10;AAoBAAAPAAAAZHJzL2Rvd25yZXYueG1sTI/BTsMwEETvSPyDtUjcqBM3UBLiVBXQIxIUJK5uvCRR&#10;7HVkO234e8wJjqt9mnlTbxdr2Al9GBxJyFcZMKTW6YE6CR/v+5t7YCEq0so4QgnfGGDbXF7UqtLu&#10;TG94OsSOpRAKlZLQxzhVnIe2R6vCyk1I6fflvFUxnb7j2qtzCreGiyy741YNlBp6NeFjj+14mK2E&#10;cfZP4+e+FOKlHLXB51dycSfl9dWyewAWcYl/MPzqJ3VoktPRzaQDMxKKjdgkVMK6KIAloMxF2nKU&#10;IG7XOfCm5v8nND8AAAD//wMAUEsBAi0AFAAGAAgAAAAhALaDOJL+AAAA4QEAABMAAAAAAAAAAAAA&#10;AAAAAAAAAFtDb250ZW50X1R5cGVzXS54bWxQSwECLQAUAAYACAAAACEAOP0h/9YAAACUAQAACwAA&#10;AAAAAAAAAAAAAAAvAQAAX3JlbHMvLnJlbHNQSwECLQAUAAYACAAAACEAi33suLACAABjBQAADgAA&#10;AAAAAAAAAAAAAAAuAgAAZHJzL2Uyb0RvYy54bWxQSwECLQAUAAYACAAAACEA02N9V94AAAAKAQAA&#10;DwAAAAAAAAAAAAAAAAAKBQAAZHJzL2Rvd25yZXYueG1sUEsFBgAAAAAEAAQA8wAAABUGAAAAAA==&#10;" filled="f" strokecolor="#009ab8 [3209]">
                <v:textbox inset="0,0,0,0">
                  <w:txbxContent>
                    <w:p w14:paraId="273F2A72" w14:textId="77777777" w:rsidR="00C93E72" w:rsidRPr="00693365" w:rsidRDefault="00C93E72" w:rsidP="00DA7579">
                      <w:pPr>
                        <w:pStyle w:val="Questionheading"/>
                        <w:ind w:left="426"/>
                      </w:pPr>
                      <w:r>
                        <w:t>IHPA’s decision</w:t>
                      </w:r>
                    </w:p>
                    <w:p w14:paraId="2A53129B" w14:textId="7D3D01DA" w:rsidR="00C93E72" w:rsidRDefault="00C93E72" w:rsidP="00DA7579">
                      <w:pPr>
                        <w:pStyle w:val="BodyText"/>
                        <w:ind w:left="426"/>
                      </w:pPr>
                      <w:r w:rsidRPr="00DA7579">
                        <w:t>For NEP21, IHPA intends to implement the avoidable hospital readmissions funding adjustment to apply where there is a readmission to any hospital within the same</w:t>
                      </w:r>
                      <w:r>
                        <w:t> </w:t>
                      </w:r>
                      <w:r w:rsidRPr="00DA7579">
                        <w:t>jurisdiction.</w:t>
                      </w:r>
                    </w:p>
                  </w:txbxContent>
                </v:textbox>
                <w10:wrap type="topAndBottom" anchorx="margin"/>
              </v:shape>
            </w:pict>
          </mc:Fallback>
        </mc:AlternateContent>
      </w:r>
    </w:p>
    <w:p w14:paraId="70548B43" w14:textId="77777777" w:rsidR="0060420E" w:rsidRDefault="0060420E" w:rsidP="001E1083">
      <w:pPr>
        <w:pStyle w:val="Heading3"/>
        <w:spacing w:before="0"/>
        <w:rPr>
          <w:rFonts w:cs="Arial"/>
        </w:rPr>
        <w:sectPr w:rsidR="0060420E" w:rsidSect="00D80215">
          <w:pgSz w:w="11910" w:h="16840"/>
          <w:pgMar w:top="1440" w:right="1440" w:bottom="1440" w:left="1440" w:header="0" w:footer="658" w:gutter="0"/>
          <w:cols w:num="2" w:space="340"/>
        </w:sectPr>
      </w:pPr>
    </w:p>
    <w:bookmarkStart w:id="161" w:name="_Toc58930535"/>
    <w:p w14:paraId="4C19C2D5" w14:textId="49E8DFCF" w:rsidR="00926399" w:rsidRPr="0065414C" w:rsidRDefault="007C30CB" w:rsidP="0060420E">
      <w:pPr>
        <w:pStyle w:val="Heading3"/>
        <w:spacing w:before="0"/>
        <w:rPr>
          <w:rFonts w:cs="Arial"/>
        </w:rPr>
      </w:pPr>
      <w:r w:rsidRPr="0065414C">
        <w:rPr>
          <w:noProof/>
          <w:lang w:eastAsia="en-AU" w:bidi="ar-SA"/>
        </w:rPr>
        <w:lastRenderedPageBreak/>
        <mc:AlternateContent>
          <mc:Choice Requires="wps">
            <w:drawing>
              <wp:anchor distT="0" distB="144145" distL="0" distR="0" simplePos="0" relativeHeight="251800576" behindDoc="1" locked="0" layoutInCell="1" allowOverlap="1" wp14:anchorId="0A775E86" wp14:editId="0440C74F">
                <wp:simplePos x="0" y="0"/>
                <wp:positionH relativeFrom="margin">
                  <wp:posOffset>3127375</wp:posOffset>
                </wp:positionH>
                <wp:positionV relativeFrom="paragraph">
                  <wp:posOffset>0</wp:posOffset>
                </wp:positionV>
                <wp:extent cx="2794635" cy="1379855"/>
                <wp:effectExtent l="0" t="0" r="24765" b="10795"/>
                <wp:wrapTopAndBottom/>
                <wp:docPr id="107"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7985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6AE15EB7" w14:textId="72E0F128" w:rsidR="00C93E72" w:rsidRPr="00693365" w:rsidRDefault="00C93E72" w:rsidP="00F57E9E">
                            <w:pPr>
                              <w:pStyle w:val="Questionheading"/>
                              <w:ind w:left="426"/>
                            </w:pPr>
                            <w:r>
                              <w:t>IHPA’s decision</w:t>
                            </w:r>
                          </w:p>
                          <w:p w14:paraId="62FB8831" w14:textId="100292F1" w:rsidR="00C93E72" w:rsidRDefault="00C93E72" w:rsidP="00F57E9E">
                            <w:pPr>
                              <w:pStyle w:val="BodyText"/>
                              <w:ind w:left="426"/>
                            </w:pPr>
                            <w:r w:rsidRPr="00F57E9E">
                              <w:t>IHPA will implement the avoidable hospital readmissions funding adjustment using the</w:t>
                            </w:r>
                            <w:r>
                              <w:t> </w:t>
                            </w:r>
                            <w:r w:rsidRPr="00F57E9E">
                              <w:t>finalised sets of risk factors for the</w:t>
                            </w:r>
                            <w:r>
                              <w:t> </w:t>
                            </w:r>
                            <w:r w:rsidRPr="00F57E9E">
                              <w:t>risk</w:t>
                            </w:r>
                            <w:r>
                              <w:t> </w:t>
                            </w:r>
                            <w:r w:rsidRPr="00F57E9E">
                              <w:t>adjustment model of each readmission</w:t>
                            </w:r>
                            <w:r>
                              <w:t> </w:t>
                            </w:r>
                            <w:r w:rsidRPr="00F57E9E">
                              <w:t>category.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75E86" id="_x0000_s1067" type="#_x0000_t202" style="position:absolute;margin-left:246.25pt;margin-top:0;width:220.05pt;height:108.65pt;z-index:-251515904;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VsQIAAGMFAAAOAAAAZHJzL2Uyb0RvYy54bWysVG1vmzAQ/j5p/8Hyd8pLCCFRSZVAMk3q&#10;XqR2P8AxJlgDm9lOSFf1v+9sQtqu+zBN4wOcsf3cPXfP3fXNqW3QkSnNpchweBVgxASVJRf7DH+7&#10;33opRtoQUZJGCpbhB6bxzfL9u+u+W7BI1rIpmUIAIvSi7zJcG9MtfF/TmrVEX8mOCdispGqJgaXa&#10;+6UiPaC3jR8FQeL3UpWdkpRpDX+LYRMvHX5VMWq+VJVmBjUZhtiMeyv33tm3v7wmi70iXc3pOQzy&#10;D1G0hAtweoEqiCHooPgbqJZTJbWszBWVrS+rilPmOACbMPiNzV1NOua4QHJ0d0mT/n+w9PPxq0K8&#10;hNoFM4wEaaFI9+xk0FqeUJw4UrC81cbSsxuO1mMeppNitk28dTxPvXiynnjzOF174SxK19NotUo2&#10;8ZNNr+9uuft+3+mF82jr48y7DtybEziDCJwz3d1K+l0jIfOaiD1bKSX7mpESWIcO8MXVAUdbkF3/&#10;SZYQPDkY6YBOlWptzJBkBOhQ/YdLxS0PCj+j2TxOJlOMKOyFk9k8nU7PQY/XO6XNByZbZI0MK5CU&#10;gydH4DTwG49Yb0JuedM4WTUC9RmeT6PpQEw2vLSb9pgTOMsbhY4EpEkoZcIkZ9f65cmWG+iQhrcZ&#10;TgP72ENkYTOyEaWzDeHNYEOyG2G3/1SyeTDfpJs09uIo2XhxUBTeapvHXrINZ9NiUuR5ET7ZUMN4&#10;UfOyZMJGO3ZFGP+d6s79Oej50hevKGm1312ob93zlrn/OoxRSOP3WVC2+oMOzGl3clqOnVCsTnay&#10;fABxKDl0PkwqMGqpfmLUQ9dnWP84EMUwaj4KEJgdEaOhRmM3GkRQuJphg9Fg5mYYJYdO8X0NyIOE&#10;hVyBCCvu5PEcBYRuF9DJjsR56thR8XLtTj3PxuUvAAAA//8DAFBLAwQUAAYACAAAACEAu6ipJ9wA&#10;AAAIAQAADwAAAGRycy9kb3ducmV2LnhtbEyPwU7DMBBE70j8g7VI3KhTFwoJcaoK6BGpFCSubrwk&#10;UeJ1ZDtt+HuWExxHM5p5U25mN4gThth50rBcZCCQam87ajR8vO9uHkDEZMiawRNq+MYIm+ryojSF&#10;9Wd6w9MhNYJLKBZGQ5vSWEgZ6xadiQs/IrH35YMziWVopA3mzOVukCrL1tKZjnihNSM+tVj3h8lp&#10;6Kfw3H/ucqVe894O+LInn7ZaX1/N20cQCef0F4ZffEaHipmOfiIbxaDhNld3HNXAj9jOV2oN4qhB&#10;Le9XIKtS/j9Q/QAAAP//AwBQSwECLQAUAAYACAAAACEAtoM4kv4AAADhAQAAEwAAAAAAAAAAAAAA&#10;AAAAAAAAW0NvbnRlbnRfVHlwZXNdLnhtbFBLAQItABQABgAIAAAAIQA4/SH/1gAAAJQBAAALAAAA&#10;AAAAAAAAAAAAAC8BAABfcmVscy8ucmVsc1BLAQItABQABgAIAAAAIQB/cT5VsQIAAGMFAAAOAAAA&#10;AAAAAAAAAAAAAC4CAABkcnMvZTJvRG9jLnhtbFBLAQItABQABgAIAAAAIQC7qKkn3AAAAAgBAAAP&#10;AAAAAAAAAAAAAAAAAAsFAABkcnMvZG93bnJldi54bWxQSwUGAAAAAAQABADzAAAAFAYAAAAA&#10;" filled="f" strokecolor="#009ab8 [3209]">
                <v:textbox inset="0,0,0,0">
                  <w:txbxContent>
                    <w:p w14:paraId="6AE15EB7" w14:textId="72E0F128" w:rsidR="00C93E72" w:rsidRPr="00693365" w:rsidRDefault="00C93E72" w:rsidP="00F57E9E">
                      <w:pPr>
                        <w:pStyle w:val="Questionheading"/>
                        <w:ind w:left="426"/>
                      </w:pPr>
                      <w:r>
                        <w:t>IHPA’s decision</w:t>
                      </w:r>
                    </w:p>
                    <w:p w14:paraId="62FB8831" w14:textId="100292F1" w:rsidR="00C93E72" w:rsidRDefault="00C93E72" w:rsidP="00F57E9E">
                      <w:pPr>
                        <w:pStyle w:val="BodyText"/>
                        <w:ind w:left="426"/>
                      </w:pPr>
                      <w:r w:rsidRPr="00F57E9E">
                        <w:t>IHPA will implement the avoidable hospital readmissions funding adjustment using the</w:t>
                      </w:r>
                      <w:r>
                        <w:t> </w:t>
                      </w:r>
                      <w:r w:rsidRPr="00F57E9E">
                        <w:t>finalised sets of risk factors for the</w:t>
                      </w:r>
                      <w:r>
                        <w:t> </w:t>
                      </w:r>
                      <w:r w:rsidRPr="00F57E9E">
                        <w:t>risk</w:t>
                      </w:r>
                      <w:r>
                        <w:t> </w:t>
                      </w:r>
                      <w:r w:rsidRPr="00F57E9E">
                        <w:t>adjustment model of each readmission</w:t>
                      </w:r>
                      <w:r>
                        <w:t> </w:t>
                      </w:r>
                      <w:r w:rsidRPr="00F57E9E">
                        <w:t>category.</w:t>
                      </w:r>
                    </w:p>
                  </w:txbxContent>
                </v:textbox>
                <w10:wrap type="topAndBottom" anchorx="margin"/>
              </v:shape>
            </w:pict>
          </mc:Fallback>
        </mc:AlternateContent>
      </w:r>
      <w:r w:rsidR="002168F0">
        <w:rPr>
          <w:rFonts w:cs="Arial"/>
        </w:rPr>
        <w:t xml:space="preserve">12.3.3 </w:t>
      </w:r>
      <w:r w:rsidR="00926399" w:rsidRPr="0065414C">
        <w:rPr>
          <w:rFonts w:cs="Arial"/>
        </w:rPr>
        <w:t>Approach to risk</w:t>
      </w:r>
      <w:r w:rsidR="002168F0">
        <w:rPr>
          <w:rFonts w:cs="Arial"/>
        </w:rPr>
        <w:t> </w:t>
      </w:r>
      <w:r w:rsidR="00926399" w:rsidRPr="0065414C">
        <w:rPr>
          <w:rFonts w:cs="Arial"/>
        </w:rPr>
        <w:t>adjustment</w:t>
      </w:r>
      <w:bookmarkEnd w:id="161"/>
    </w:p>
    <w:p w14:paraId="27D08F1F" w14:textId="3BE7EDFF" w:rsidR="0060420E" w:rsidRPr="0060420E" w:rsidRDefault="0060420E" w:rsidP="0060420E">
      <w:pPr>
        <w:pStyle w:val="BodyText"/>
        <w:rPr>
          <w:rFonts w:cs="Arial"/>
        </w:rPr>
      </w:pPr>
      <w:r w:rsidRPr="0060420E">
        <w:rPr>
          <w:rFonts w:cs="Arial"/>
        </w:rPr>
        <w:t>The risk adjustment model is constructed on the premise that a patient’s likelihood of experiencing a potentially avoidable hospital readmission is</w:t>
      </w:r>
      <w:r>
        <w:rPr>
          <w:rFonts w:cs="Arial"/>
        </w:rPr>
        <w:t> </w:t>
      </w:r>
      <w:r w:rsidRPr="0060420E">
        <w:rPr>
          <w:rFonts w:cs="Arial"/>
        </w:rPr>
        <w:t>the</w:t>
      </w:r>
      <w:r>
        <w:rPr>
          <w:rFonts w:cs="Arial"/>
        </w:rPr>
        <w:t> </w:t>
      </w:r>
      <w:r w:rsidRPr="0060420E">
        <w:rPr>
          <w:rFonts w:cs="Arial"/>
        </w:rPr>
        <w:t>same regardless of the funding option</w:t>
      </w:r>
      <w:r>
        <w:rPr>
          <w:rFonts w:cs="Arial"/>
        </w:rPr>
        <w:t> </w:t>
      </w:r>
      <w:r w:rsidRPr="0060420E">
        <w:rPr>
          <w:rFonts w:cs="Arial"/>
        </w:rPr>
        <w:t>considered. A risk adjustment model has been derived for each readmission condition, which assigns the risk of being readmitted for each episode of care, based on the most statistically significant and best performing risk</w:t>
      </w:r>
      <w:r>
        <w:rPr>
          <w:rFonts w:cs="Arial"/>
        </w:rPr>
        <w:t> </w:t>
      </w:r>
      <w:r w:rsidRPr="0060420E">
        <w:rPr>
          <w:rFonts w:cs="Arial"/>
        </w:rPr>
        <w:t xml:space="preserve">factors. </w:t>
      </w:r>
    </w:p>
    <w:p w14:paraId="55161835" w14:textId="0E400ABE" w:rsidR="0060420E" w:rsidRDefault="0060420E" w:rsidP="0060420E">
      <w:pPr>
        <w:pStyle w:val="BodyText"/>
        <w:rPr>
          <w:rFonts w:cs="Arial"/>
        </w:rPr>
      </w:pPr>
      <w:r w:rsidRPr="0060420E">
        <w:rPr>
          <w:rFonts w:cs="Arial"/>
        </w:rPr>
        <w:t>IHPA has finalised the risk factors in response to</w:t>
      </w:r>
      <w:r>
        <w:rPr>
          <w:rFonts w:cs="Arial"/>
        </w:rPr>
        <w:t> </w:t>
      </w:r>
      <w:r w:rsidRPr="0060420E">
        <w:rPr>
          <w:rFonts w:cs="Arial"/>
        </w:rPr>
        <w:t>stakeholder feedback, recommendations from IHPA’s Clinical Advisory Committee and advice from the University of Melbourne. A discrete set of risk factors has been developed for the risk adjustment model of each readmission category, using the top performing risk factors based on statistical importance and model contribution. This approach captures the statistically important risk factors, while trimming insignificant risk factors by not adhering to an arbitrary number</w:t>
      </w:r>
      <w:r>
        <w:rPr>
          <w:rFonts w:cs="Arial"/>
        </w:rPr>
        <w:t> </w:t>
      </w:r>
      <w:r w:rsidRPr="0060420E">
        <w:rPr>
          <w:rFonts w:cs="Arial"/>
        </w:rPr>
        <w:t>of</w:t>
      </w:r>
      <w:r>
        <w:rPr>
          <w:rFonts w:cs="Arial"/>
        </w:rPr>
        <w:t> </w:t>
      </w:r>
      <w:r w:rsidRPr="0060420E">
        <w:rPr>
          <w:rFonts w:cs="Arial"/>
        </w:rPr>
        <w:t>included risk factors for each readmission</w:t>
      </w:r>
      <w:r>
        <w:rPr>
          <w:rFonts w:cs="Arial"/>
        </w:rPr>
        <w:t> </w:t>
      </w:r>
      <w:r w:rsidRPr="0060420E">
        <w:rPr>
          <w:rFonts w:cs="Arial"/>
        </w:rPr>
        <w:t xml:space="preserve">category. </w:t>
      </w:r>
      <w:r w:rsidRPr="0060420E">
        <w:rPr>
          <w:rFonts w:cs="Arial"/>
          <w:b/>
          <w:bCs/>
        </w:rPr>
        <w:t>Table 3</w:t>
      </w:r>
      <w:r w:rsidRPr="0060420E">
        <w:rPr>
          <w:rFonts w:cs="Arial"/>
        </w:rPr>
        <w:t xml:space="preserve"> below lists the risk</w:t>
      </w:r>
      <w:r>
        <w:rPr>
          <w:rFonts w:cs="Arial"/>
        </w:rPr>
        <w:t> </w:t>
      </w:r>
      <w:r w:rsidRPr="0060420E">
        <w:rPr>
          <w:rFonts w:cs="Arial"/>
        </w:rPr>
        <w:t>factors used in each readmission model.</w:t>
      </w:r>
    </w:p>
    <w:p w14:paraId="3A9FFBC5" w14:textId="4EF0F65B" w:rsidR="00D80215" w:rsidRDefault="00D80215" w:rsidP="00D80215">
      <w:pPr>
        <w:pStyle w:val="BodyText"/>
        <w:rPr>
          <w:rFonts w:cs="Arial"/>
        </w:rPr>
      </w:pPr>
    </w:p>
    <w:p w14:paraId="2E210AF6" w14:textId="77777777" w:rsidR="00D80215" w:rsidRDefault="00D80215" w:rsidP="002F3BF7">
      <w:pPr>
        <w:pStyle w:val="Figureheading"/>
        <w:rPr>
          <w:rFonts w:cs="Arial"/>
        </w:rPr>
        <w:sectPr w:rsidR="00D80215" w:rsidSect="00D80215">
          <w:pgSz w:w="11910" w:h="16840"/>
          <w:pgMar w:top="1440" w:right="1440" w:bottom="1440" w:left="1440" w:header="0" w:footer="658" w:gutter="0"/>
          <w:cols w:num="2" w:space="340"/>
        </w:sectPr>
      </w:pPr>
    </w:p>
    <w:p w14:paraId="6A23A6E5" w14:textId="6AFBCFC6" w:rsidR="002F3BF7" w:rsidRPr="0065414C" w:rsidRDefault="002F3BF7" w:rsidP="002F3BF7">
      <w:pPr>
        <w:pStyle w:val="Figureheading"/>
        <w:rPr>
          <w:rFonts w:eastAsiaTheme="minorHAnsi" w:cs="Arial"/>
          <w:lang w:bidi="ar-SA"/>
        </w:rPr>
      </w:pPr>
      <w:r w:rsidRPr="0065414C">
        <w:rPr>
          <w:rFonts w:cs="Arial"/>
        </w:rPr>
        <w:lastRenderedPageBreak/>
        <w:t xml:space="preserve">Table </w:t>
      </w:r>
      <w:r w:rsidR="0060420E">
        <w:rPr>
          <w:rFonts w:cs="Arial"/>
        </w:rPr>
        <w:t>3</w:t>
      </w:r>
      <w:r w:rsidRPr="0065414C">
        <w:rPr>
          <w:rFonts w:cs="Arial"/>
        </w:rPr>
        <w:t>: Risk factor</w:t>
      </w:r>
      <w:r w:rsidR="005A63BA">
        <w:rPr>
          <w:rFonts w:cs="Arial"/>
        </w:rPr>
        <w:t>s for each readmission category</w:t>
      </w:r>
    </w:p>
    <w:tbl>
      <w:tblPr>
        <w:tblStyle w:val="TableGrid"/>
        <w:tblW w:w="9435" w:type="dxa"/>
        <w:tblBorders>
          <w:top w:val="none" w:sz="0" w:space="0" w:color="auto"/>
          <w:left w:val="none" w:sz="0" w:space="0" w:color="auto"/>
          <w:bottom w:val="single" w:sz="8" w:space="0" w:color="D9D9D9" w:themeColor="background1" w:themeShade="D9"/>
          <w:right w:val="none" w:sz="0" w:space="0" w:color="auto"/>
        </w:tblBorders>
        <w:tblLayout w:type="fixed"/>
        <w:tblLook w:val="04A0" w:firstRow="1" w:lastRow="0" w:firstColumn="1" w:lastColumn="0" w:noHBand="0" w:noVBand="1"/>
        <w:tblCaption w:val="Risk factors for each readmission category"/>
        <w:tblDescription w:val="Tabel with 13 columns lists the risk factors used in each readmission condition within the readmission risk adjustment model"/>
      </w:tblPr>
      <w:tblGrid>
        <w:gridCol w:w="2981"/>
        <w:gridCol w:w="537"/>
        <w:gridCol w:w="538"/>
        <w:gridCol w:w="538"/>
        <w:gridCol w:w="538"/>
        <w:gridCol w:w="538"/>
        <w:gridCol w:w="538"/>
        <w:gridCol w:w="537"/>
        <w:gridCol w:w="538"/>
        <w:gridCol w:w="538"/>
        <w:gridCol w:w="538"/>
        <w:gridCol w:w="538"/>
        <w:gridCol w:w="538"/>
      </w:tblGrid>
      <w:tr w:rsidR="00EF131C" w:rsidRPr="0065414C" w14:paraId="6FB49057" w14:textId="77777777" w:rsidTr="007C30CB">
        <w:trPr>
          <w:cantSplit/>
          <w:trHeight w:val="2721"/>
          <w:tblHeader/>
        </w:trPr>
        <w:tc>
          <w:tcPr>
            <w:tcW w:w="2981" w:type="dxa"/>
            <w:tcBorders>
              <w:top w:val="nil"/>
              <w:bottom w:val="nil"/>
              <w:right w:val="single" w:sz="4" w:space="0" w:color="007289" w:themeColor="accent6" w:themeShade="BF"/>
            </w:tcBorders>
            <w:shd w:val="clear" w:color="auto" w:fill="009AB8" w:themeFill="accent6"/>
            <w:vAlign w:val="center"/>
            <w:hideMark/>
          </w:tcPr>
          <w:p w14:paraId="74C68AC9" w14:textId="77777777" w:rsidR="002F3BF7" w:rsidRPr="0065414C" w:rsidRDefault="002F3BF7">
            <w:pPr>
              <w:spacing w:before="50" w:after="50"/>
              <w:rPr>
                <w:rFonts w:cs="Arial"/>
                <w:b/>
                <w:color w:val="FFFFFF" w:themeColor="background1"/>
                <w:sz w:val="18"/>
                <w:szCs w:val="18"/>
              </w:rPr>
            </w:pPr>
            <w:r w:rsidRPr="0065414C">
              <w:rPr>
                <w:rFonts w:cs="Arial"/>
                <w:b/>
                <w:color w:val="FFFFFF" w:themeColor="background1"/>
                <w:sz w:val="18"/>
                <w:szCs w:val="18"/>
              </w:rPr>
              <w:t>Readmission category</w:t>
            </w:r>
          </w:p>
        </w:tc>
        <w:tc>
          <w:tcPr>
            <w:tcW w:w="537"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7FC73AED"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 Pressure injury</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192C8452"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2. infections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5BDCF8C2"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3. Surgical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7400271"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4. Respiratory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7DAA8C54"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5. Venous thromboembolism</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12D66635" w14:textId="5E6CF51E"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6. Renal failure</w:t>
            </w:r>
          </w:p>
        </w:tc>
        <w:tc>
          <w:tcPr>
            <w:tcW w:w="537"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61BC41D"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7. Gastrointestinal bleeding</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323F639A"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8. Medical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4DCE755"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9. Delirium</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69A3804B"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10. Cardiac complications</w:t>
            </w:r>
          </w:p>
        </w:tc>
        <w:tc>
          <w:tcPr>
            <w:tcW w:w="538" w:type="dxa"/>
            <w:tcBorders>
              <w:top w:val="nil"/>
              <w:left w:val="single" w:sz="4" w:space="0" w:color="007289" w:themeColor="accent6" w:themeShade="BF"/>
              <w:bottom w:val="nil"/>
              <w:right w:val="single" w:sz="4" w:space="0" w:color="007289" w:themeColor="accent6" w:themeShade="BF"/>
            </w:tcBorders>
            <w:shd w:val="clear" w:color="auto" w:fill="009AB8" w:themeFill="accent6"/>
            <w:textDirection w:val="btLr"/>
            <w:hideMark/>
          </w:tcPr>
          <w:p w14:paraId="407DA3F9"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11. Constipation</w:t>
            </w:r>
          </w:p>
        </w:tc>
        <w:tc>
          <w:tcPr>
            <w:tcW w:w="538" w:type="dxa"/>
            <w:tcBorders>
              <w:top w:val="nil"/>
              <w:left w:val="single" w:sz="4" w:space="0" w:color="007289" w:themeColor="accent6" w:themeShade="BF"/>
              <w:bottom w:val="nil"/>
            </w:tcBorders>
            <w:shd w:val="clear" w:color="auto" w:fill="009AB8" w:themeFill="accent6"/>
            <w:textDirection w:val="btLr"/>
            <w:hideMark/>
          </w:tcPr>
          <w:p w14:paraId="2F08626C" w14:textId="77777777" w:rsidR="002F3BF7" w:rsidRPr="0065414C" w:rsidRDefault="002F3BF7">
            <w:pPr>
              <w:spacing w:before="50" w:after="50"/>
              <w:ind w:left="113" w:right="113"/>
              <w:rPr>
                <w:rFonts w:cs="Arial"/>
                <w:b/>
                <w:color w:val="FFFFFF" w:themeColor="background1"/>
                <w:sz w:val="18"/>
                <w:szCs w:val="18"/>
              </w:rPr>
            </w:pPr>
            <w:r w:rsidRPr="0065414C">
              <w:rPr>
                <w:rFonts w:cs="Arial"/>
                <w:b/>
                <w:color w:val="FFFFFF" w:themeColor="background1"/>
                <w:sz w:val="18"/>
                <w:szCs w:val="18"/>
              </w:rPr>
              <w:t>12. Nausea and vomiting</w:t>
            </w:r>
          </w:p>
        </w:tc>
      </w:tr>
      <w:tr w:rsidR="002F3BF7" w:rsidRPr="0065414C" w14:paraId="651D756D" w14:textId="77777777" w:rsidTr="007C30CB">
        <w:tc>
          <w:tcPr>
            <w:tcW w:w="2981" w:type="dxa"/>
            <w:tcBorders>
              <w:top w:val="nil"/>
              <w:bottom w:val="single" w:sz="4" w:space="0" w:color="D9D9D9" w:themeColor="background1" w:themeShade="D9"/>
              <w:right w:val="single" w:sz="4" w:space="0" w:color="D9D9D9" w:themeColor="background1" w:themeShade="D9"/>
            </w:tcBorders>
            <w:vAlign w:val="center"/>
            <w:hideMark/>
          </w:tcPr>
          <w:p w14:paraId="7D1241E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Age group</w:t>
            </w:r>
          </w:p>
        </w:tc>
        <w:tc>
          <w:tcPr>
            <w:tcW w:w="53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773520" w14:textId="77777777" w:rsidR="002F3BF7" w:rsidRPr="00EF131C" w:rsidRDefault="002F3BF7" w:rsidP="00EF131C">
            <w:pPr>
              <w:spacing w:before="50" w:after="50"/>
              <w:jc w:val="center"/>
              <w:rPr>
                <w:rFonts w:cs="Arial"/>
                <w:color w:val="58595A"/>
                <w:sz w:val="18"/>
                <w:szCs w:val="18"/>
              </w:rPr>
            </w:pP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83DF05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3AA3D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3ABF4E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6DE0EB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FE6639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8634D3" w14:textId="77777777" w:rsidR="002F3BF7" w:rsidRPr="00EF131C" w:rsidRDefault="002F3BF7" w:rsidP="00EF131C">
            <w:pPr>
              <w:spacing w:before="50" w:after="50"/>
              <w:jc w:val="center"/>
              <w:rPr>
                <w:rFonts w:cs="Arial"/>
                <w:color w:val="58595A"/>
                <w:sz w:val="18"/>
                <w:szCs w:val="18"/>
              </w:rPr>
            </w:pP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A54E4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FB7F8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FB29A9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1E0F38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nil"/>
              <w:left w:val="single" w:sz="4" w:space="0" w:color="D9D9D9" w:themeColor="background1" w:themeShade="D9"/>
              <w:bottom w:val="single" w:sz="4" w:space="0" w:color="D9D9D9" w:themeColor="background1" w:themeShade="D9"/>
            </w:tcBorders>
            <w:vAlign w:val="center"/>
          </w:tcPr>
          <w:p w14:paraId="4DEBAB75" w14:textId="77777777" w:rsidR="002F3BF7" w:rsidRPr="00EF131C" w:rsidRDefault="002F3BF7" w:rsidP="00EF131C">
            <w:pPr>
              <w:spacing w:before="50" w:after="50"/>
              <w:jc w:val="center"/>
              <w:rPr>
                <w:rFonts w:cs="Arial"/>
                <w:color w:val="58595A"/>
                <w:sz w:val="18"/>
                <w:szCs w:val="18"/>
              </w:rPr>
            </w:pPr>
          </w:p>
        </w:tc>
      </w:tr>
      <w:tr w:rsidR="002F3BF7" w:rsidRPr="0065414C" w14:paraId="0391B97B"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62ED334"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Major diagnostic category (MDC)</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694E5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BEFB21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8F8BE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6EF5C55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5A0D14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5898B00" w14:textId="6FEA8C90"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A662A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22390D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97838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16FA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08F8C9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6E1054C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64AEAD27"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8854CF9"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Emergency admission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E6A32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70DFFF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205BE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726BD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BA0A0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3D167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92F4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6BE5B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FD03B2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79A38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F82540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75DE1A9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4DFFC846"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35A815"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Diagnosis-related group (DRG) type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7DEB3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6B5A9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22211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FFF04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5C858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97C775F"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FC48B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77F2A3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4844D1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28F1B0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70D2FB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FED4F15" w14:textId="77777777" w:rsidR="002F3BF7" w:rsidRPr="00EF131C" w:rsidRDefault="002F3BF7" w:rsidP="00EF131C">
            <w:pPr>
              <w:spacing w:before="50" w:after="50"/>
              <w:jc w:val="center"/>
              <w:rPr>
                <w:rFonts w:cs="Arial"/>
                <w:color w:val="58595A"/>
                <w:sz w:val="18"/>
                <w:szCs w:val="18"/>
              </w:rPr>
            </w:pPr>
          </w:p>
        </w:tc>
      </w:tr>
      <w:tr w:rsidR="002F3BF7" w:rsidRPr="0065414C" w14:paraId="615BA5C7"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8B2F1C8"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Gender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F263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D76B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50BB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9340A9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C87E8B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F7EA54"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5E592A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37C6F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DD9CC3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7B96C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53E00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5BC64BED"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38100FD2"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3F3A59A"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Transfer status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24C4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8FC43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67442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0AF563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8BCDC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B623BE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A133B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498D5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BFC2E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A50DA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08C10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1E27786" w14:textId="77777777" w:rsidR="002F3BF7" w:rsidRPr="00EF131C" w:rsidRDefault="002F3BF7" w:rsidP="00EF131C">
            <w:pPr>
              <w:spacing w:before="50" w:after="50"/>
              <w:jc w:val="center"/>
              <w:rPr>
                <w:rFonts w:cs="Arial"/>
                <w:color w:val="58595A"/>
                <w:sz w:val="18"/>
                <w:szCs w:val="18"/>
              </w:rPr>
            </w:pPr>
          </w:p>
        </w:tc>
      </w:tr>
      <w:tr w:rsidR="002F3BF7" w:rsidRPr="0065414C" w14:paraId="4B98B266"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3BB158"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Patient remoteness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C0F76C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84D7DA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DA27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F326C3A"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C6EB15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D95CF8F" w14:textId="511B883B"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7489E7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F3AB9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09DB4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2EFBF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084977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59B338D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28EC1C33"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C00DD8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Indigenous status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3F622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2A5516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30B1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6067C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E5ED3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CB353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C4988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31D4DC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3EF0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961F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F937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308853B" w14:textId="77777777" w:rsidR="002F3BF7" w:rsidRPr="00EF131C" w:rsidRDefault="002F3BF7" w:rsidP="00EF131C">
            <w:pPr>
              <w:spacing w:before="50" w:after="50"/>
              <w:jc w:val="center"/>
              <w:rPr>
                <w:rFonts w:cs="Arial"/>
                <w:color w:val="58595A"/>
                <w:sz w:val="18"/>
                <w:szCs w:val="18"/>
              </w:rPr>
            </w:pPr>
          </w:p>
        </w:tc>
      </w:tr>
      <w:tr w:rsidR="002F3BF7" w:rsidRPr="0065414C" w14:paraId="348E3906"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029C6F"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Obesity</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801E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ACC7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5BB9B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3F0BC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588198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474E91"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9DEF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0F2935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50B9B8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959FD2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51B81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60FBB38" w14:textId="77777777" w:rsidR="002F3BF7" w:rsidRPr="00EF131C" w:rsidRDefault="002F3BF7" w:rsidP="00EF131C">
            <w:pPr>
              <w:spacing w:before="50" w:after="50"/>
              <w:jc w:val="center"/>
              <w:rPr>
                <w:rFonts w:cs="Arial"/>
                <w:color w:val="58595A"/>
                <w:sz w:val="18"/>
                <w:szCs w:val="18"/>
              </w:rPr>
            </w:pPr>
          </w:p>
        </w:tc>
      </w:tr>
      <w:tr w:rsidR="002F3BF7" w:rsidRPr="0065414C" w14:paraId="58EC4517"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F2E6150"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Hospital Acquired Complication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5814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1755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3A075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3998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A81A3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166DF"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D4652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938A7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D77795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779B5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68EEE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4688613" w14:textId="77777777" w:rsidR="002F3BF7" w:rsidRPr="00EF131C" w:rsidRDefault="002F3BF7" w:rsidP="00EF131C">
            <w:pPr>
              <w:spacing w:before="50" w:after="50"/>
              <w:jc w:val="center"/>
              <w:rPr>
                <w:rFonts w:cs="Arial"/>
                <w:color w:val="58595A"/>
                <w:sz w:val="18"/>
                <w:szCs w:val="18"/>
              </w:rPr>
            </w:pPr>
          </w:p>
        </w:tc>
      </w:tr>
      <w:tr w:rsidR="002F3BF7" w:rsidRPr="0065414C" w14:paraId="6B78FC91"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B237A6A"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ICU hours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C26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F9F47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D254CA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FA9C6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4FE1C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967E5E"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7AB0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7D2A60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3807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8492B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7FE436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06C07EE" w14:textId="77777777" w:rsidR="002F3BF7" w:rsidRPr="00EF131C" w:rsidRDefault="002F3BF7" w:rsidP="00EF131C">
            <w:pPr>
              <w:spacing w:before="50" w:after="50"/>
              <w:jc w:val="center"/>
              <w:rPr>
                <w:rFonts w:cs="Arial"/>
                <w:color w:val="58595A"/>
                <w:sz w:val="18"/>
                <w:szCs w:val="18"/>
              </w:rPr>
            </w:pPr>
          </w:p>
        </w:tc>
      </w:tr>
      <w:tr w:rsidR="002F3BF7" w:rsidRPr="0065414C" w14:paraId="7078E955"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7E2EFB"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Malnutrition</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2DD00A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6F5D6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5F75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32454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3D1702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C852F3"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423096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2C4EB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D4B95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D635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CCBE70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6A778B" w14:textId="77777777" w:rsidR="002F3BF7" w:rsidRPr="00EF131C" w:rsidRDefault="002F3BF7" w:rsidP="00EF131C">
            <w:pPr>
              <w:spacing w:before="50" w:after="50"/>
              <w:jc w:val="center"/>
              <w:rPr>
                <w:rFonts w:cs="Arial"/>
                <w:color w:val="58595A"/>
                <w:sz w:val="18"/>
                <w:szCs w:val="18"/>
              </w:rPr>
            </w:pPr>
          </w:p>
        </w:tc>
      </w:tr>
      <w:tr w:rsidR="002F3BF7" w:rsidRPr="0065414C" w14:paraId="30C2C5C9"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9C59E9"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Short stay outlier flag</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323F8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8BCBA05"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93BB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DB3C20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427606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A96145"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0593D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4AD8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816CB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53427B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CE511F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AEF1343" w14:textId="77777777" w:rsidR="002F3BF7" w:rsidRPr="00EF131C" w:rsidRDefault="002F3BF7" w:rsidP="00EF131C">
            <w:pPr>
              <w:spacing w:before="50" w:after="50"/>
              <w:jc w:val="center"/>
              <w:rPr>
                <w:rFonts w:cs="Arial"/>
                <w:color w:val="58595A"/>
                <w:sz w:val="18"/>
                <w:szCs w:val="18"/>
              </w:rPr>
            </w:pPr>
          </w:p>
        </w:tc>
      </w:tr>
      <w:tr w:rsidR="002F3BF7" w:rsidRPr="0065414C" w14:paraId="3C18B9F3"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2A7EB2"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Number of procedures in the index episode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4B41D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2A2A94E7"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E9F1E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69055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CFE349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3567CA"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DB9AC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CDC1C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590927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64FB38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AA702C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4228A1A" w14:textId="77777777" w:rsidR="002F3BF7" w:rsidRPr="00EF131C" w:rsidRDefault="002F3BF7" w:rsidP="00EF131C">
            <w:pPr>
              <w:spacing w:before="50" w:after="50"/>
              <w:jc w:val="center"/>
              <w:rPr>
                <w:rFonts w:cs="Arial"/>
                <w:color w:val="58595A"/>
                <w:sz w:val="18"/>
                <w:szCs w:val="18"/>
              </w:rPr>
            </w:pPr>
          </w:p>
        </w:tc>
      </w:tr>
      <w:tr w:rsidR="002F3BF7" w:rsidRPr="0065414C" w14:paraId="739260B7"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A26317" w14:textId="77777777" w:rsidR="002F3BF7" w:rsidRPr="00EF131C" w:rsidRDefault="002F3BF7" w:rsidP="00EF131C">
            <w:pPr>
              <w:spacing w:before="50" w:after="50"/>
              <w:rPr>
                <w:rFonts w:cs="Arial"/>
                <w:color w:val="58595A"/>
                <w:sz w:val="18"/>
                <w:szCs w:val="18"/>
              </w:rPr>
            </w:pPr>
            <w:r w:rsidRPr="00EF131C">
              <w:rPr>
                <w:rFonts w:cs="Arial"/>
                <w:color w:val="58595A"/>
                <w:sz w:val="18"/>
                <w:szCs w:val="18"/>
              </w:rPr>
              <w:t>Number of admissions in the past year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FC02B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4A552F93"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0EED9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BCEBB4" w14:textId="1A964256"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AB474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DA8EC3"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A3C77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2857B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EBA748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163A5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9C8CB6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73050A3" w14:textId="77777777" w:rsidR="002F3BF7" w:rsidRPr="00EF131C" w:rsidRDefault="002F3BF7" w:rsidP="00EF131C">
            <w:pPr>
              <w:spacing w:before="50" w:after="50"/>
              <w:jc w:val="center"/>
              <w:rPr>
                <w:rFonts w:cs="Arial"/>
                <w:color w:val="58595A"/>
                <w:sz w:val="18"/>
                <w:szCs w:val="18"/>
              </w:rPr>
            </w:pPr>
          </w:p>
        </w:tc>
      </w:tr>
      <w:tr w:rsidR="002F3BF7" w:rsidRPr="0065414C" w14:paraId="61DCB80E"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1955513" w14:textId="77777777" w:rsidR="002F3BF7" w:rsidRPr="00EF131C" w:rsidRDefault="002F3BF7" w:rsidP="00EF131C">
            <w:pPr>
              <w:spacing w:before="50" w:after="50"/>
              <w:rPr>
                <w:rFonts w:cs="Arial"/>
                <w:b/>
                <w:color w:val="58595A"/>
                <w:sz w:val="18"/>
                <w:szCs w:val="18"/>
              </w:rPr>
            </w:pPr>
            <w:r w:rsidRPr="00EF131C">
              <w:rPr>
                <w:rFonts w:cs="Arial"/>
                <w:b/>
                <w:color w:val="58595A"/>
                <w:sz w:val="18"/>
                <w:szCs w:val="18"/>
              </w:rPr>
              <w:t>Charlson comorbidity flags: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8ED98D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0D28E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9E6F3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1CDC2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3773C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C61736E"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96308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CFB42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03E4C1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F958E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D58F1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3DFF592" w14:textId="77777777" w:rsidR="002F3BF7" w:rsidRPr="00EF131C" w:rsidRDefault="002F3BF7" w:rsidP="00EF131C">
            <w:pPr>
              <w:spacing w:before="50" w:after="50"/>
              <w:jc w:val="center"/>
              <w:rPr>
                <w:rFonts w:cs="Arial"/>
                <w:color w:val="58595A"/>
                <w:sz w:val="18"/>
                <w:szCs w:val="18"/>
              </w:rPr>
            </w:pPr>
          </w:p>
        </w:tc>
      </w:tr>
      <w:tr w:rsidR="002F3BF7" w:rsidRPr="0065414C" w14:paraId="10D582CC"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B8DDF01"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Acute myocardial infarction</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B1151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83B4C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BC105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4CAA00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949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35154D"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7F238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2FC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1155B3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B59B0B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DC2A0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B442894" w14:textId="77777777" w:rsidR="002F3BF7" w:rsidRPr="00EF131C" w:rsidRDefault="002F3BF7" w:rsidP="00EF131C">
            <w:pPr>
              <w:spacing w:before="50" w:after="50"/>
              <w:jc w:val="center"/>
              <w:rPr>
                <w:rFonts w:cs="Arial"/>
                <w:color w:val="58595A"/>
                <w:sz w:val="18"/>
                <w:szCs w:val="18"/>
              </w:rPr>
            </w:pPr>
          </w:p>
        </w:tc>
      </w:tr>
      <w:tr w:rsidR="002F3BF7" w:rsidRPr="0065414C" w14:paraId="3A5C1754"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A077518"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Cerebral vascular accident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24014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F518EF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E60D2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930A7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06A3F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CD4846"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5A5D7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C0E61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D46DE5C"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CD548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A2F8D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D589515" w14:textId="77777777" w:rsidR="002F3BF7" w:rsidRPr="00EF131C" w:rsidRDefault="002F3BF7" w:rsidP="00EF131C">
            <w:pPr>
              <w:spacing w:before="50" w:after="50"/>
              <w:jc w:val="center"/>
              <w:rPr>
                <w:rFonts w:cs="Arial"/>
                <w:color w:val="58595A"/>
                <w:sz w:val="18"/>
                <w:szCs w:val="18"/>
              </w:rPr>
            </w:pPr>
          </w:p>
        </w:tc>
      </w:tr>
      <w:tr w:rsidR="002F3BF7" w:rsidRPr="0065414C" w14:paraId="40D90D5C"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F7BD0A"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Congestive heart failure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01C2C6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E165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F7558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98AB6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F4715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AC4E00"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392F7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EBD6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15C63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D6291C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7FA97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194B464" w14:textId="77777777" w:rsidR="002F3BF7" w:rsidRPr="00EF131C" w:rsidRDefault="002F3BF7" w:rsidP="00EF131C">
            <w:pPr>
              <w:spacing w:before="50" w:after="50"/>
              <w:jc w:val="center"/>
              <w:rPr>
                <w:rFonts w:cs="Arial"/>
                <w:color w:val="58595A"/>
                <w:sz w:val="18"/>
                <w:szCs w:val="18"/>
              </w:rPr>
            </w:pPr>
          </w:p>
        </w:tc>
      </w:tr>
      <w:tr w:rsidR="002F3BF7" w:rsidRPr="0065414C" w14:paraId="481B5548"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61E262A1"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Dementia</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EEA8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C269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524B6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3B2407C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4B818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B5449B"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15AE1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C3D87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54CEC2"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8CCDC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BF3B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95334BF" w14:textId="77777777" w:rsidR="002F3BF7" w:rsidRPr="00EF131C" w:rsidRDefault="002F3BF7" w:rsidP="00EF131C">
            <w:pPr>
              <w:spacing w:before="50" w:after="50"/>
              <w:jc w:val="center"/>
              <w:rPr>
                <w:rFonts w:cs="Arial"/>
                <w:color w:val="58595A"/>
                <w:sz w:val="18"/>
                <w:szCs w:val="18"/>
              </w:rPr>
            </w:pPr>
          </w:p>
        </w:tc>
      </w:tr>
      <w:tr w:rsidR="002F3BF7" w:rsidRPr="0065414C" w14:paraId="3CDBBFC3"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BA39973"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Diabetes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E42B90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C0283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6D493E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3C27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2C8B28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8761F52"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9C2F5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0D09F9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87BAF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1CCF1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4200F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32C12D8" w14:textId="77777777" w:rsidR="002F3BF7" w:rsidRPr="00EF131C" w:rsidRDefault="002F3BF7" w:rsidP="00EF131C">
            <w:pPr>
              <w:spacing w:before="50" w:after="50"/>
              <w:jc w:val="center"/>
              <w:rPr>
                <w:rFonts w:cs="Arial"/>
                <w:color w:val="58595A"/>
                <w:sz w:val="18"/>
                <w:szCs w:val="18"/>
              </w:rPr>
            </w:pPr>
          </w:p>
        </w:tc>
      </w:tr>
      <w:tr w:rsidR="002F3BF7" w:rsidRPr="0065414C" w14:paraId="0D089CA8"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55866C4"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Diabetes complications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6B5F9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140184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2EF1FA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9DF95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972ACB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F58877F" w14:textId="6E395895"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2531AF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493EF52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5007E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0C4C09E1"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C23B1D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hideMark/>
          </w:tcPr>
          <w:p w14:paraId="606B3CCE"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r>
      <w:tr w:rsidR="002F3BF7" w:rsidRPr="0065414C" w14:paraId="21447547"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1E6E8923"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Peptic ulcer</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18FCEB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4FA3BD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ED7710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A17773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145BE9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BAC99FD"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79C6C8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6FC78E5"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B6BAB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25C9F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C0AC4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99E8441" w14:textId="77777777" w:rsidR="002F3BF7" w:rsidRPr="00EF131C" w:rsidRDefault="002F3BF7" w:rsidP="00EF131C">
            <w:pPr>
              <w:spacing w:before="50" w:after="50"/>
              <w:jc w:val="center"/>
              <w:rPr>
                <w:rFonts w:cs="Arial"/>
                <w:color w:val="58595A"/>
                <w:sz w:val="18"/>
                <w:szCs w:val="18"/>
              </w:rPr>
            </w:pPr>
          </w:p>
        </w:tc>
      </w:tr>
      <w:tr w:rsidR="002F3BF7" w:rsidRPr="0065414C" w14:paraId="5A9DD6C5"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A53D917"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Pulmonary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5DBC3F5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9D5D8D9"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ECCF2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6D4E31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018B8DB"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3F7878AF"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BBAA43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23ADF9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A0AF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7D513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4A122D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14C1671F" w14:textId="77777777" w:rsidR="002F3BF7" w:rsidRPr="00EF131C" w:rsidRDefault="002F3BF7" w:rsidP="00EF131C">
            <w:pPr>
              <w:spacing w:before="50" w:after="50"/>
              <w:jc w:val="center"/>
              <w:rPr>
                <w:rFonts w:cs="Arial"/>
                <w:color w:val="58595A"/>
                <w:sz w:val="18"/>
                <w:szCs w:val="18"/>
              </w:rPr>
            </w:pPr>
          </w:p>
        </w:tc>
      </w:tr>
      <w:tr w:rsidR="002F3BF7" w:rsidRPr="0065414C" w14:paraId="0E8AD052"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4451A7B" w14:textId="77777777" w:rsidR="002F3BF7" w:rsidRPr="00EF131C" w:rsidRDefault="002F3BF7" w:rsidP="00EF131C">
            <w:pPr>
              <w:spacing w:before="50" w:after="50"/>
              <w:ind w:left="315"/>
              <w:rPr>
                <w:rFonts w:cs="Arial"/>
                <w:color w:val="58595A"/>
                <w:sz w:val="18"/>
                <w:szCs w:val="18"/>
              </w:rPr>
            </w:pPr>
            <w:r w:rsidRPr="00EF131C">
              <w:rPr>
                <w:rFonts w:cs="Arial"/>
                <w:color w:val="58595A"/>
                <w:sz w:val="18"/>
                <w:szCs w:val="18"/>
              </w:rPr>
              <w:t>Renal disease</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1A15D58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2AC49D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9AB69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85BC31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358AD24"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1BF6F8C0"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CB199D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467C0D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5EF6E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5334900"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B843E3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B54C809" w14:textId="77777777" w:rsidR="002F3BF7" w:rsidRPr="00EF131C" w:rsidRDefault="002F3BF7" w:rsidP="00EF131C">
            <w:pPr>
              <w:spacing w:before="50" w:after="50"/>
              <w:jc w:val="center"/>
              <w:rPr>
                <w:rFonts w:cs="Arial"/>
                <w:color w:val="58595A"/>
                <w:sz w:val="18"/>
                <w:szCs w:val="18"/>
              </w:rPr>
            </w:pPr>
          </w:p>
        </w:tc>
      </w:tr>
      <w:tr w:rsidR="002F3BF7" w:rsidRPr="0065414C" w14:paraId="21273CE2"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E66A577" w14:textId="77777777" w:rsidR="002F3BF7" w:rsidRPr="00EF131C" w:rsidRDefault="002F3BF7" w:rsidP="00EF131C">
            <w:pPr>
              <w:spacing w:before="50" w:after="50"/>
              <w:rPr>
                <w:rFonts w:cs="Arial"/>
                <w:b/>
                <w:color w:val="58595A"/>
                <w:sz w:val="18"/>
                <w:szCs w:val="18"/>
              </w:rPr>
            </w:pPr>
            <w:r w:rsidRPr="00EF131C">
              <w:rPr>
                <w:rFonts w:cs="Arial"/>
                <w:b/>
                <w:color w:val="58595A"/>
                <w:sz w:val="18"/>
                <w:szCs w:val="18"/>
              </w:rPr>
              <w:t>Chronic condition flags: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2E6B19A"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2738460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4E32F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A9A254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69567F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CC15D25"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11F310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04A9AD0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0595B"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50FA8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8A73036"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0F13911" w14:textId="77777777" w:rsidR="002F3BF7" w:rsidRPr="00EF131C" w:rsidRDefault="002F3BF7" w:rsidP="00EF131C">
            <w:pPr>
              <w:spacing w:before="50" w:after="50"/>
              <w:jc w:val="center"/>
              <w:rPr>
                <w:rFonts w:cs="Arial"/>
                <w:color w:val="58595A"/>
                <w:sz w:val="18"/>
                <w:szCs w:val="18"/>
              </w:rPr>
            </w:pPr>
          </w:p>
        </w:tc>
      </w:tr>
      <w:tr w:rsidR="002F3BF7" w:rsidRPr="0065414C" w14:paraId="18D23C13"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79577FAB"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Arthritis and osteoarthritis</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2CC9AD98"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0157E6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39F1B9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9F3734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B9B81A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7C9C958" w14:textId="77777777" w:rsidR="002F3BF7" w:rsidRPr="00EF131C" w:rsidRDefault="002F3BF7" w:rsidP="00EF131C">
            <w:pPr>
              <w:spacing w:before="50" w:after="50"/>
              <w:jc w:val="center"/>
              <w:rPr>
                <w:rFonts w:cs="Arial"/>
                <w:color w:val="58595A"/>
                <w:sz w:val="18"/>
                <w:szCs w:val="18"/>
              </w:rPr>
            </w:pP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733E2176"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196ACAC"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6AFF3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CF2001"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0B939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F2AD24A" w14:textId="77777777" w:rsidR="002F3BF7" w:rsidRPr="00EF131C" w:rsidRDefault="002F3BF7" w:rsidP="00EF131C">
            <w:pPr>
              <w:spacing w:before="50" w:after="50"/>
              <w:jc w:val="center"/>
              <w:rPr>
                <w:rFonts w:cs="Arial"/>
                <w:color w:val="58595A"/>
                <w:sz w:val="18"/>
                <w:szCs w:val="18"/>
              </w:rPr>
            </w:pPr>
          </w:p>
        </w:tc>
      </w:tr>
      <w:tr w:rsidR="002F3BF7" w:rsidRPr="0065414C" w14:paraId="464B60F2" w14:textId="77777777" w:rsidTr="007C30CB">
        <w:tc>
          <w:tcPr>
            <w:tcW w:w="2981"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hideMark/>
          </w:tcPr>
          <w:p w14:paraId="54575A8D" w14:textId="77777777" w:rsidR="002F3BF7" w:rsidRPr="00EF131C" w:rsidRDefault="002F3BF7" w:rsidP="00EF131C">
            <w:pPr>
              <w:tabs>
                <w:tab w:val="left" w:pos="354"/>
              </w:tabs>
              <w:spacing w:before="50" w:after="50"/>
              <w:ind w:left="315"/>
              <w:rPr>
                <w:rFonts w:cs="Arial"/>
                <w:color w:val="58595A"/>
                <w:sz w:val="18"/>
                <w:szCs w:val="18"/>
              </w:rPr>
            </w:pPr>
            <w:r w:rsidRPr="00EF131C">
              <w:rPr>
                <w:rFonts w:cs="Arial"/>
                <w:color w:val="58595A"/>
                <w:sz w:val="18"/>
                <w:szCs w:val="18"/>
              </w:rPr>
              <w:t>Asthma without COPD</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639AF29"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E018CDD"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C85D35F"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350AE29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DA397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hideMark/>
          </w:tcPr>
          <w:p w14:paraId="07E83E34" w14:textId="77777777" w:rsidR="002F3BF7" w:rsidRPr="00EF131C" w:rsidRDefault="002F3BF7" w:rsidP="00EF131C">
            <w:pPr>
              <w:spacing w:before="50" w:after="50"/>
              <w:jc w:val="center"/>
              <w:rPr>
                <w:rFonts w:cs="Arial"/>
                <w:color w:val="58595A"/>
                <w:sz w:val="18"/>
                <w:szCs w:val="18"/>
              </w:rPr>
            </w:pPr>
            <w:r w:rsidRPr="00EF131C">
              <w:rPr>
                <w:rFonts w:ascii="Segoe UI Symbol" w:hAnsi="Segoe UI Symbol" w:cs="Segoe UI Symbol"/>
                <w:color w:val="58595A"/>
                <w:sz w:val="18"/>
                <w:szCs w:val="18"/>
              </w:rPr>
              <w:t>✓</w:t>
            </w:r>
          </w:p>
        </w:tc>
        <w:tc>
          <w:tcPr>
            <w:tcW w:w="537"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73A6F348"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66CFF94E"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9C11C2"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212F3"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7DB517" w14:textId="77777777" w:rsidR="002F3BF7" w:rsidRPr="00EF131C" w:rsidRDefault="002F3BF7" w:rsidP="00EF131C">
            <w:pPr>
              <w:spacing w:before="50" w:after="50"/>
              <w:jc w:val="center"/>
              <w:rPr>
                <w:rFonts w:cs="Arial"/>
                <w:color w:val="58595A"/>
                <w:sz w:val="18"/>
                <w:szCs w:val="18"/>
              </w:rPr>
            </w:pPr>
          </w:p>
        </w:tc>
        <w:tc>
          <w:tcPr>
            <w:tcW w:w="538"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79911C3" w14:textId="77777777" w:rsidR="002F3BF7" w:rsidRPr="00EF131C" w:rsidRDefault="002F3BF7" w:rsidP="00EF131C">
            <w:pPr>
              <w:spacing w:before="50" w:after="50"/>
              <w:jc w:val="center"/>
              <w:rPr>
                <w:rFonts w:cs="Arial"/>
                <w:color w:val="58595A"/>
                <w:sz w:val="18"/>
                <w:szCs w:val="18"/>
              </w:rPr>
            </w:pPr>
          </w:p>
        </w:tc>
      </w:tr>
      <w:tr w:rsidR="002F3BF7" w:rsidRPr="0065414C" w14:paraId="2B85820A" w14:textId="77777777" w:rsidTr="007C30CB">
        <w:tc>
          <w:tcPr>
            <w:tcW w:w="2981" w:type="dxa"/>
            <w:tcBorders>
              <w:top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CF401A0" w14:textId="77777777" w:rsidR="002F3BF7" w:rsidRPr="00EF131C" w:rsidRDefault="002F3BF7" w:rsidP="00EF131C">
            <w:pPr>
              <w:spacing w:before="50" w:after="50"/>
              <w:rPr>
                <w:rFonts w:cs="Arial"/>
                <w:b/>
                <w:color w:val="58595A"/>
                <w:sz w:val="18"/>
                <w:szCs w:val="18"/>
              </w:rPr>
            </w:pPr>
            <w:r w:rsidRPr="00EF131C">
              <w:rPr>
                <w:rFonts w:cs="Arial"/>
                <w:b/>
                <w:color w:val="58595A"/>
                <w:sz w:val="18"/>
                <w:szCs w:val="18"/>
              </w:rPr>
              <w:t>Total number of risk factors:</w:t>
            </w:r>
          </w:p>
        </w:tc>
        <w:tc>
          <w:tcPr>
            <w:tcW w:w="537"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37EF529C"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7</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340EB55"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11</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1C9112B8"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5</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0487D39F"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11</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69CE25C5"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48BDA73"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7"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4482620"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8</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7EEB63E0"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276388CE"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30840733"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9</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right w:val="single" w:sz="4" w:space="0" w:color="D9D9D9" w:themeColor="background1" w:themeShade="D9"/>
            </w:tcBorders>
            <w:vAlign w:val="center"/>
            <w:hideMark/>
          </w:tcPr>
          <w:p w14:paraId="54150A7D"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10</w:t>
            </w:r>
          </w:p>
        </w:tc>
        <w:tc>
          <w:tcPr>
            <w:tcW w:w="538" w:type="dxa"/>
            <w:tcBorders>
              <w:top w:val="single" w:sz="4" w:space="0" w:color="D9D9D9" w:themeColor="background1" w:themeShade="D9"/>
              <w:left w:val="single" w:sz="4" w:space="0" w:color="D9D9D9" w:themeColor="background1" w:themeShade="D9"/>
              <w:bottom w:val="single" w:sz="8" w:space="0" w:color="D9D9D9" w:themeColor="background1" w:themeShade="D9"/>
            </w:tcBorders>
            <w:vAlign w:val="center"/>
            <w:hideMark/>
          </w:tcPr>
          <w:p w14:paraId="46404AE1" w14:textId="77777777" w:rsidR="002F3BF7" w:rsidRPr="00EF131C" w:rsidRDefault="002F3BF7" w:rsidP="00EF131C">
            <w:pPr>
              <w:spacing w:before="50" w:after="50"/>
              <w:jc w:val="center"/>
              <w:rPr>
                <w:rFonts w:cs="Arial"/>
                <w:color w:val="58595A"/>
                <w:sz w:val="18"/>
                <w:szCs w:val="18"/>
              </w:rPr>
            </w:pPr>
            <w:r w:rsidRPr="00EF131C">
              <w:rPr>
                <w:rFonts w:cs="Arial"/>
                <w:color w:val="58595A"/>
                <w:sz w:val="18"/>
                <w:szCs w:val="18"/>
              </w:rPr>
              <w:t>6</w:t>
            </w:r>
          </w:p>
        </w:tc>
      </w:tr>
    </w:tbl>
    <w:p w14:paraId="3BDA8D7A" w14:textId="78259BC2" w:rsidR="002F3BF7" w:rsidRPr="0065414C" w:rsidRDefault="002F3BF7" w:rsidP="00926399">
      <w:pPr>
        <w:pStyle w:val="BodyText"/>
        <w:rPr>
          <w:rFonts w:cs="Arial"/>
        </w:rPr>
        <w:sectPr w:rsidR="002F3BF7" w:rsidRPr="0065414C" w:rsidSect="00D80215">
          <w:pgSz w:w="11910" w:h="16840"/>
          <w:pgMar w:top="1440" w:right="1440" w:bottom="1440" w:left="1440" w:header="0" w:footer="658" w:gutter="0"/>
          <w:cols w:space="340"/>
        </w:sectPr>
      </w:pPr>
    </w:p>
    <w:p w14:paraId="20BB2BEC" w14:textId="77777777" w:rsidR="00F57E9E" w:rsidRDefault="00F57E9E" w:rsidP="002F3BF7">
      <w:pPr>
        <w:pStyle w:val="Heading3"/>
        <w:rPr>
          <w:rFonts w:cs="Arial"/>
        </w:rPr>
        <w:sectPr w:rsidR="00F57E9E" w:rsidSect="00C972BD">
          <w:type w:val="continuous"/>
          <w:pgSz w:w="11910" w:h="16840"/>
          <w:pgMar w:top="1440" w:right="1440" w:bottom="1440" w:left="1440" w:header="0" w:footer="658" w:gutter="0"/>
          <w:cols w:num="2" w:space="340"/>
        </w:sectPr>
      </w:pPr>
    </w:p>
    <w:p w14:paraId="219894A0" w14:textId="225C830A" w:rsidR="00EB5043" w:rsidRPr="0065414C" w:rsidRDefault="004707DD" w:rsidP="00F57E9E">
      <w:pPr>
        <w:pStyle w:val="Heading3"/>
        <w:spacing w:before="0"/>
        <w:rPr>
          <w:rFonts w:cs="Arial"/>
        </w:rPr>
      </w:pPr>
      <w:bookmarkStart w:id="162" w:name="_Toc58930536"/>
      <w:r>
        <w:rPr>
          <w:rFonts w:cs="Arial"/>
        </w:rPr>
        <w:lastRenderedPageBreak/>
        <w:t xml:space="preserve">12.3.4 </w:t>
      </w:r>
      <w:r w:rsidR="002F3BF7" w:rsidRPr="0065414C">
        <w:rPr>
          <w:rFonts w:cs="Arial"/>
        </w:rPr>
        <w:t>Individual Healthcare Identifier</w:t>
      </w:r>
      <w:bookmarkEnd w:id="162"/>
    </w:p>
    <w:p w14:paraId="778A5A19" w14:textId="4792B4A6" w:rsidR="00F57E9E" w:rsidRDefault="004707DD" w:rsidP="00EB5043">
      <w:pPr>
        <w:pStyle w:val="BodyText"/>
        <w:rPr>
          <w:rFonts w:cs="Arial"/>
        </w:rPr>
      </w:pPr>
      <w:r w:rsidRPr="0065414C">
        <w:rPr>
          <w:noProof/>
          <w:lang w:eastAsia="en-AU" w:bidi="ar-SA"/>
        </w:rPr>
        <mc:AlternateContent>
          <mc:Choice Requires="wps">
            <w:drawing>
              <wp:anchor distT="0" distB="144145" distL="0" distR="0" simplePos="0" relativeHeight="251804672" behindDoc="1" locked="0" layoutInCell="1" allowOverlap="1" wp14:anchorId="62291E97" wp14:editId="70085C98">
                <wp:simplePos x="0" y="0"/>
                <wp:positionH relativeFrom="margin">
                  <wp:posOffset>0</wp:posOffset>
                </wp:positionH>
                <wp:positionV relativeFrom="paragraph">
                  <wp:posOffset>2670175</wp:posOffset>
                </wp:positionV>
                <wp:extent cx="2794635" cy="2371725"/>
                <wp:effectExtent l="0" t="0" r="24765" b="28575"/>
                <wp:wrapTopAndBottom/>
                <wp:docPr id="109"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237172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79700A2D" w14:textId="5FC881C5" w:rsidR="00C93E72" w:rsidRPr="00693365" w:rsidRDefault="00C93E72" w:rsidP="004707DD">
                            <w:pPr>
                              <w:pStyle w:val="Questionheading"/>
                              <w:ind w:left="426"/>
                            </w:pPr>
                            <w:r>
                              <w:t>Next steps and future work</w:t>
                            </w:r>
                          </w:p>
                          <w:p w14:paraId="6AF1DBC3" w14:textId="69F041F3" w:rsidR="00C93E72" w:rsidRDefault="00C93E72" w:rsidP="004707DD">
                            <w:pPr>
                              <w:pStyle w:val="BodyText"/>
                              <w:ind w:left="426"/>
                            </w:pPr>
                            <w:r>
                              <w:t xml:space="preserve">IHPA recognises the limitations of the Medicare PIN, most notably that the Medicare PIN cannot be provided to jurisdictions, resulting in jurisdictions being unable to replicate analysis which reduces the transparency of any national pricing model. </w:t>
                            </w:r>
                          </w:p>
                          <w:p w14:paraId="5A434BF2" w14:textId="0FCE22BA" w:rsidR="00C93E72" w:rsidRDefault="00C93E72" w:rsidP="004707DD">
                            <w:pPr>
                              <w:pStyle w:val="BodyText"/>
                              <w:ind w:left="426"/>
                            </w:pPr>
                            <w:r>
                              <w:t>IHPA will continue to work with jurisdictions to provide as much transparency as possible, through the sharing of linked datasets, where IHPA has the authority to 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91E97" id="_x0000_s1068" type="#_x0000_t202" style="position:absolute;margin-left:0;margin-top:210.25pt;width:220.05pt;height:186.75pt;z-index:-251511808;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5/GsAIAAGMFAAAOAAAAZHJzL2Uyb0RvYy54bWysVG1vmzAQ/j5p/8Hyd8pLCCGopEpCMk3q&#10;XqR2P8AxJlgDm9lOSFf1v+9sQtqu+zBN4wOcOfu5e3zP3fXNqW3QkSnNpchxeBVgxASVJRf7HH+7&#10;33opRtoQUZJGCpbjB6bxzeL9u+u+y1gka9mUTCEAETrruxzXxnSZ72tas5boK9kxAc5KqpYYWKq9&#10;XyrSA3rb+FEQJH4vVdkpSZnW8LcYnHjh8KuKUfOlqjQzqMkx5GbcW7n3zr79xTXJ9op0NafnNMg/&#10;ZNESLiDoBaoghqCD4m+gWk6V1LIyV1S2vqwqTpnjAGzC4Dc2dzXpmOMCl6O7yzXp/wdLPx+/KsRL&#10;qF0wx0iQFop0z04GreQJxYkjBctbbSw963C0HtdhOilm28RbxfPUiyeriTeP05UXzqJ0NY2Wy2QT&#10;P9nr9d0pd97vO525iLY+zrzrILw5QTDIwAXT3a2k3zUScl0TsWdLpWRfM1IC69ABvjg64GgLsus/&#10;yRKSJwcjHdCpUq3NGS4ZATpU/+FSccuDws9oNo+TyRQjCr5oMoPsp+ekx+Od0uYDky2yRo4VSMrB&#10;kyNwGviNW2w0Ibe8aZysGoH6HM+nAGk9Wja8tE63sAJn60ahIwFpEkqZMMk59KudLTfQIQ1vc5wG&#10;9rGbSGZvZCNKZxvCm8GGy26Edf+pZPNgvkk3aezFUbLx4qAovOV2HXvJNpxNi0mxXhfhk001jLOa&#10;lyUTNtuxK8L471R37s9Bz5e+eEVJq/3uQn3rnrfM/ddpjEIav8+CstUfdGBOu5PTchxZPKuTnSwf&#10;QBxKDp0PkwqMWqqfGPXQ9TnWPw5EMYyajwIEZkfEaKjR2I0GERSO5thgNJhrM4ySQ6f4vgbkQcJC&#10;LkGEFXfyeM4CUrcL6GRH4jx17Kh4uXa7nmfj4hcAAAD//wMAUEsDBBQABgAIAAAAIQCTs/pC3AAA&#10;AAgBAAAPAAAAZHJzL2Rvd25yZXYueG1sTI/NTsMwEITvSLyDtUjcqN0o/CRkU1VAj0i0IHF14yWJ&#10;Eq8j22nD22NOcBzNaOabarPYUZzIh94xwnqlQBA3zvTcIny8724eQISo2ejRMSF8U4BNfXlR6dK4&#10;M+/pdIitSCUcSo3QxTiVUoamI6vDyk3Eyfty3uqYpG+l8fqcyu0oM6XupNU9p4VOT/TUUTMcZosw&#10;zP55+NwVWfZaDGaklzd2cYt4fbVsH0FEWuJfGH7xEzrUienoZjZBjAjpSETIM3ULItl5rtYgjgj3&#10;Ra5A1pX8f6D+AQAA//8DAFBLAQItABQABgAIAAAAIQC2gziS/gAAAOEBAAATAAAAAAAAAAAAAAAA&#10;AAAAAABbQ29udGVudF9UeXBlc10ueG1sUEsBAi0AFAAGAAgAAAAhADj9If/WAAAAlAEAAAsAAAAA&#10;AAAAAAAAAAAALwEAAF9yZWxzLy5yZWxzUEsBAi0AFAAGAAgAAAAhANSDn8awAgAAYwUAAA4AAAAA&#10;AAAAAAAAAAAALgIAAGRycy9lMm9Eb2MueG1sUEsBAi0AFAAGAAgAAAAhAJOz+kLcAAAACAEAAA8A&#10;AAAAAAAAAAAAAAAACgUAAGRycy9kb3ducmV2LnhtbFBLBQYAAAAABAAEAPMAAAATBgAAAAA=&#10;" filled="f" strokecolor="#009ab8 [3209]">
                <v:textbox inset="0,0,0,0">
                  <w:txbxContent>
                    <w:p w14:paraId="79700A2D" w14:textId="5FC881C5" w:rsidR="00C93E72" w:rsidRPr="00693365" w:rsidRDefault="00C93E72" w:rsidP="004707DD">
                      <w:pPr>
                        <w:pStyle w:val="Questionheading"/>
                        <w:ind w:left="426"/>
                      </w:pPr>
                      <w:r>
                        <w:t>Next steps and future work</w:t>
                      </w:r>
                    </w:p>
                    <w:p w14:paraId="6AF1DBC3" w14:textId="69F041F3" w:rsidR="00C93E72" w:rsidRDefault="00C93E72" w:rsidP="004707DD">
                      <w:pPr>
                        <w:pStyle w:val="BodyText"/>
                        <w:ind w:left="426"/>
                      </w:pPr>
                      <w:r>
                        <w:t xml:space="preserve">IHPA recognises the limitations of the Medicare PIN, most notably that the Medicare PIN cannot be provided to jurisdictions, resulting in jurisdictions being unable to replicate analysis which reduces the transparency of any national pricing model. </w:t>
                      </w:r>
                    </w:p>
                    <w:p w14:paraId="5A434BF2" w14:textId="0FCE22BA" w:rsidR="00C93E72" w:rsidRDefault="00C93E72" w:rsidP="004707DD">
                      <w:pPr>
                        <w:pStyle w:val="BodyText"/>
                        <w:ind w:left="426"/>
                      </w:pPr>
                      <w:r>
                        <w:t>IHPA will continue to work with jurisdictions to provide as much transparency as possible, through the sharing of linked datasets, where IHPA has the authority to do so.</w:t>
                      </w:r>
                    </w:p>
                  </w:txbxContent>
                </v:textbox>
                <w10:wrap type="topAndBottom" anchorx="margin"/>
              </v:shape>
            </w:pict>
          </mc:Fallback>
        </mc:AlternateContent>
      </w:r>
      <w:r w:rsidRPr="0065414C">
        <w:rPr>
          <w:noProof/>
          <w:lang w:eastAsia="en-AU" w:bidi="ar-SA"/>
        </w:rPr>
        <mc:AlternateContent>
          <mc:Choice Requires="wps">
            <w:drawing>
              <wp:anchor distT="0" distB="144145" distL="0" distR="0" simplePos="0" relativeHeight="251802624" behindDoc="1" locked="0" layoutInCell="1" allowOverlap="1" wp14:anchorId="4EB8DF93" wp14:editId="3FD548CF">
                <wp:simplePos x="0" y="0"/>
                <wp:positionH relativeFrom="margin">
                  <wp:posOffset>0</wp:posOffset>
                </wp:positionH>
                <wp:positionV relativeFrom="paragraph">
                  <wp:posOffset>1134673</wp:posOffset>
                </wp:positionV>
                <wp:extent cx="2794635" cy="1379855"/>
                <wp:effectExtent l="0" t="0" r="24765" b="10795"/>
                <wp:wrapTopAndBottom/>
                <wp:docPr id="108" name="Text Box 4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1379855"/>
                        </a:xfrm>
                        <a:prstGeom prst="rect">
                          <a:avLst/>
                        </a:prstGeom>
                        <a:noFill/>
                        <a:ln w="9525">
                          <a:solidFill>
                            <a:schemeClr val="accent6"/>
                          </a:solidFill>
                          <a:miter lim="800000"/>
                          <a:headEnd/>
                          <a:tailEnd/>
                        </a:ln>
                        <a:extLst>
                          <a:ext uri="{909E8E84-426E-40DD-AFC4-6F175D3DCCD1}">
                            <a14:hiddenFill xmlns:a14="http://schemas.microsoft.com/office/drawing/2010/main">
                              <a:solidFill>
                                <a:srgbClr val="FFFFFF"/>
                              </a:solidFill>
                            </a14:hiddenFill>
                          </a:ext>
                        </a:extLst>
                      </wps:spPr>
                      <wps:txbx>
                        <w:txbxContent>
                          <w:p w14:paraId="5648788B" w14:textId="77777777" w:rsidR="00C93E72" w:rsidRPr="00693365" w:rsidRDefault="00C93E72" w:rsidP="004707DD">
                            <w:pPr>
                              <w:pStyle w:val="Questionheading"/>
                              <w:ind w:left="426"/>
                            </w:pPr>
                            <w:r>
                              <w:t>IHPA’s decision</w:t>
                            </w:r>
                          </w:p>
                          <w:p w14:paraId="354553C0" w14:textId="27367B75" w:rsidR="00C93E72" w:rsidRDefault="00C93E72" w:rsidP="004707DD">
                            <w:pPr>
                              <w:pStyle w:val="BodyText"/>
                              <w:ind w:left="426"/>
                            </w:pPr>
                            <w:r w:rsidRPr="004707DD">
                              <w:t>IHPA will use the Medicare PIN to implement the adjustment for avoidable hospital readmissions, with a view to using the Individual Healthcare Identifier as soon as</w:t>
                            </w:r>
                            <w:r>
                              <w:t> </w:t>
                            </w:r>
                            <w:r w:rsidRPr="004707DD">
                              <w:t>it</w:t>
                            </w:r>
                            <w:r>
                              <w:t> </w:t>
                            </w:r>
                            <w:r w:rsidRPr="004707DD">
                              <w:t>is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8DF93" id="_x0000_s1069" type="#_x0000_t202" style="position:absolute;margin-left:0;margin-top:89.35pt;width:220.05pt;height:108.65pt;z-index:-251513856;visibility:visible;mso-wrap-style:square;mso-width-percent:0;mso-height-percent:0;mso-wrap-distance-left:0;mso-wrap-distance-top:0;mso-wrap-distance-right:0;mso-wrap-distance-bottom:11.3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StAsQIAAGMFAAAOAAAAZHJzL2Uyb0RvYy54bWysVG1vmzAQ/j5p/8HydwokQEhUUiWQTJO6&#10;F6ndD3CMCdbAZrYT0lX97zubkLbrPkzT+ABnbD93z91zd31zaht0ZEpzKTIcXgUYMUFlycU+w9/u&#10;t16KkTZElKSRgmX4gWl8s3z/7rrvFmwia9mUTCEAEXrRdxmujekWvq9pzVqir2THBGxWUrXEwFLt&#10;/VKRHtDbxp8EQeL3UpWdkpRpDX+LYRMvHX5VMWq+VJVmBjUZhtiMeyv33tm3v7wmi70iXc3pOQzy&#10;D1G0hAtweoEqiCHooPgbqJZTJbWszBWVrS+rilPmOACbMPiNzV1NOua4QHJ0d0mT/n+w9PPxq0K8&#10;hNoFUCpBWijSPTsZtJYnFCWOFCxvtbH07Iaj9ZiH6bSYbRNvHc1TL5qup948StdeOJuk63iyWiWb&#10;6Mmm13e33H2/7/TCebT1ceZdB+7NCZxBBM6Z7m4l/a6RkHlNxJ6tlJJ9zUgJrEMH+OLqgKMtyK7/&#10;JEsInhyMdECnSrU2ZkgyAnSo/sOl4pYHhZ+T2TxKpjFGFPbC6WyexvE56PF6p7T5wGSLrJFhBZJy&#10;8OQInAZ+4xHrTcgtbxonq0agPsPzeBIPxGTDS7tpjzmBs7xR6EhAmoRSJkxydq1fnmy5gQ5peJvh&#10;NLCPPUQWNiMbUTrbEN4MNiS7EXb7TyWbB/NNukkjL5okGy8KisJbbfPIS7bhLC6mRZ4X4ZMNNYwW&#10;NS9LJmy0Y1eE0d+p7tyfg54vffGKklb73YX61j1vmfuvwxiFNH6fBWWrP+jAnHYnp+VoavGsTnay&#10;fABxKDl0PkwqMGqpfmLUQ9dnWP84EMUwaj4KEJgdEaOhRmM3GkRQuJphg9Fg5mYYJYdO8X0NyIOE&#10;hVyBCCvu5PEcBYRuF9DJjsR56thR8XLtTj3PxuUvAAAA//8DAFBLAwQUAAYACAAAACEAInZ8adwA&#10;AAAIAQAADwAAAGRycy9kb3ducmV2LnhtbEyPwU7DMBBE70j8g7VI3KjdULVNiFNVQI9IUJC4uvGS&#10;RInXke204e9ZTnCcndXMm3I3u0GcMcTOk4blQoFAqr3tqNHw8X6424KIyZA1gyfU8I0RdtX1VWkK&#10;6y/0hudjagSHUCyMhjalsZAy1i06Exd+RGLvywdnEsvQSBvMhcPdIDOl1tKZjrihNSM+tlj3x8lp&#10;6Kfw1H8e8ix7yXs74PMr+bTX+vZm3j+ASDinv2f4xWd0qJjp5CeyUQwaeEji62a7AcH2aqWWIE4a&#10;7vO1AlmV8v+A6gcAAP//AwBQSwECLQAUAAYACAAAACEAtoM4kv4AAADhAQAAEwAAAAAAAAAAAAAA&#10;AAAAAAAAW0NvbnRlbnRfVHlwZXNdLnhtbFBLAQItABQABgAIAAAAIQA4/SH/1gAAAJQBAAALAAAA&#10;AAAAAAAAAAAAAC8BAABfcmVscy8ucmVsc1BLAQItABQABgAIAAAAIQCWqStAsQIAAGMFAAAOAAAA&#10;AAAAAAAAAAAAAC4CAABkcnMvZTJvRG9jLnhtbFBLAQItABQABgAIAAAAIQAidnxp3AAAAAgBAAAP&#10;AAAAAAAAAAAAAAAAAAsFAABkcnMvZG93bnJldi54bWxQSwUGAAAAAAQABADzAAAAFAYAAAAA&#10;" filled="f" strokecolor="#009ab8 [3209]">
                <v:textbox inset="0,0,0,0">
                  <w:txbxContent>
                    <w:p w14:paraId="5648788B" w14:textId="77777777" w:rsidR="00C93E72" w:rsidRPr="00693365" w:rsidRDefault="00C93E72" w:rsidP="004707DD">
                      <w:pPr>
                        <w:pStyle w:val="Questionheading"/>
                        <w:ind w:left="426"/>
                      </w:pPr>
                      <w:r>
                        <w:t>IHPA’s decision</w:t>
                      </w:r>
                    </w:p>
                    <w:p w14:paraId="354553C0" w14:textId="27367B75" w:rsidR="00C93E72" w:rsidRDefault="00C93E72" w:rsidP="004707DD">
                      <w:pPr>
                        <w:pStyle w:val="BodyText"/>
                        <w:ind w:left="426"/>
                      </w:pPr>
                      <w:r w:rsidRPr="004707DD">
                        <w:t>IHPA will use the Medicare PIN to implement the adjustment for avoidable hospital readmissions, with a view to using the Individual Healthcare Identifier as soon as</w:t>
                      </w:r>
                      <w:r>
                        <w:t> </w:t>
                      </w:r>
                      <w:r w:rsidRPr="004707DD">
                        <w:t>it</w:t>
                      </w:r>
                      <w:r>
                        <w:t> </w:t>
                      </w:r>
                      <w:r w:rsidRPr="004707DD">
                        <w:t>is available.</w:t>
                      </w:r>
                    </w:p>
                  </w:txbxContent>
                </v:textbox>
                <w10:wrap type="topAndBottom" anchorx="margin"/>
              </v:shape>
            </w:pict>
          </mc:Fallback>
        </mc:AlternateContent>
      </w:r>
      <w:r w:rsidR="00F57E9E" w:rsidRPr="00F57E9E">
        <w:rPr>
          <w:rFonts w:cs="Arial"/>
        </w:rPr>
        <w:t>Throughout the shadow period, IHPA has evaluated the feasibility of implementing the assessed scope and funding options, with the understanding that currently there is not a national patient identifier available in national data sets used by IHPA.</w:t>
      </w:r>
    </w:p>
    <w:p w14:paraId="428F6A74" w14:textId="44BADBAB" w:rsidR="00F57E9E" w:rsidRPr="0065414C" w:rsidRDefault="00F57E9E" w:rsidP="00EB5043">
      <w:pPr>
        <w:pStyle w:val="BodyText"/>
        <w:rPr>
          <w:rFonts w:cs="Arial"/>
        </w:rPr>
      </w:pPr>
    </w:p>
    <w:p w14:paraId="204C6F96" w14:textId="521BD1AD" w:rsidR="002F3BF7" w:rsidRPr="0065414C" w:rsidRDefault="002F3BF7" w:rsidP="002F3BF7">
      <w:pPr>
        <w:pStyle w:val="Heading3"/>
        <w:spacing w:before="0"/>
        <w:rPr>
          <w:rFonts w:cs="Arial"/>
        </w:rPr>
      </w:pPr>
      <w:r w:rsidRPr="0065414C">
        <w:rPr>
          <w:rFonts w:cs="Arial"/>
        </w:rPr>
        <w:br w:type="column"/>
      </w:r>
      <w:bookmarkStart w:id="163" w:name="_Toc58930537"/>
      <w:r w:rsidR="004707DD">
        <w:rPr>
          <w:rFonts w:cs="Arial"/>
        </w:rPr>
        <w:t xml:space="preserve">12.3.5 </w:t>
      </w:r>
      <w:r w:rsidRPr="0065414C">
        <w:rPr>
          <w:rFonts w:cs="Arial"/>
        </w:rPr>
        <w:t>Readmissions across financial</w:t>
      </w:r>
      <w:r w:rsidR="005B7291">
        <w:rPr>
          <w:rFonts w:cs="Arial"/>
        </w:rPr>
        <w:t> </w:t>
      </w:r>
      <w:r w:rsidRPr="0065414C">
        <w:rPr>
          <w:rFonts w:cs="Arial"/>
        </w:rPr>
        <w:t>years</w:t>
      </w:r>
      <w:bookmarkEnd w:id="163"/>
    </w:p>
    <w:p w14:paraId="7DD503C7" w14:textId="77777777" w:rsidR="004707DD" w:rsidRPr="004707DD" w:rsidRDefault="004707DD" w:rsidP="004707DD">
      <w:pPr>
        <w:pStyle w:val="BodyText"/>
        <w:rPr>
          <w:rFonts w:cs="Arial"/>
        </w:rPr>
      </w:pPr>
      <w:r w:rsidRPr="004707DD">
        <w:rPr>
          <w:rFonts w:cs="Arial"/>
        </w:rPr>
        <w:t xml:space="preserve">IHPA recognises the need to accurately capture and adjust for readmission episodes that occur across financial years. In reviewing 2015–16, 2016–17, 2017–18 and 2018–19 data of all avoidable hospital readmissions within or across financial years, the analysis revealed that while the majority of readmissions occurred within the same financial year, approximately 2.8 per cent occurred across financial years. </w:t>
      </w:r>
    </w:p>
    <w:p w14:paraId="1E14576B" w14:textId="6FFEF0FC" w:rsidR="004707DD" w:rsidRPr="0065414C" w:rsidRDefault="004707DD" w:rsidP="004707DD">
      <w:pPr>
        <w:pStyle w:val="BodyText"/>
        <w:rPr>
          <w:rFonts w:cs="Arial"/>
        </w:rPr>
      </w:pPr>
      <w:r w:rsidRPr="004707DD">
        <w:rPr>
          <w:rFonts w:cs="Arial"/>
        </w:rPr>
        <w:t>Therefore, as part of the implementation of a funding adjustment for readmissions, IHPA notes that it may be necessary for the Administrator of the National Health Funding Pool to make minor funding adjustments post-reconciliation to account for any newly identified readmissions with index episodes in the previous financial year.</w:t>
      </w:r>
    </w:p>
    <w:p w14:paraId="7A7814E1" w14:textId="1047B8C9" w:rsidR="00EB5043" w:rsidRPr="0065414C" w:rsidRDefault="004707DD" w:rsidP="002F3BF7">
      <w:pPr>
        <w:pStyle w:val="Heading3"/>
        <w:rPr>
          <w:rFonts w:cs="Arial"/>
        </w:rPr>
      </w:pPr>
      <w:bookmarkStart w:id="164" w:name="_Toc58930538"/>
      <w:r>
        <w:rPr>
          <w:rFonts w:cs="Arial"/>
        </w:rPr>
        <w:t xml:space="preserve">12.3.6 </w:t>
      </w:r>
      <w:r w:rsidR="00EB5043" w:rsidRPr="0065414C">
        <w:rPr>
          <w:rFonts w:cs="Arial"/>
        </w:rPr>
        <w:t>Commercial readmissions software</w:t>
      </w:r>
      <w:bookmarkEnd w:id="164"/>
    </w:p>
    <w:p w14:paraId="6BC5E59C" w14:textId="14E9791C" w:rsidR="00EB5043" w:rsidRPr="0065414C" w:rsidRDefault="00DF1A74" w:rsidP="00EB5043">
      <w:pPr>
        <w:pStyle w:val="BodyText"/>
        <w:rPr>
          <w:rFonts w:cs="Arial"/>
        </w:rPr>
      </w:pPr>
      <w:r w:rsidRPr="00DF1A74">
        <w:rPr>
          <w:rFonts w:cs="Arial"/>
        </w:rPr>
        <w:t>IHPA engaged 3M Australia Pty Ltd to develop a</w:t>
      </w:r>
      <w:r w:rsidR="005776C2">
        <w:rPr>
          <w:rFonts w:cs="Arial"/>
        </w:rPr>
        <w:t> </w:t>
      </w:r>
      <w:r w:rsidRPr="00DF1A74">
        <w:rPr>
          <w:rFonts w:cs="Arial"/>
        </w:rPr>
        <w:t>readmissions software tool, based on their</w:t>
      </w:r>
      <w:r w:rsidR="005776C2">
        <w:rPr>
          <w:rFonts w:cs="Arial"/>
        </w:rPr>
        <w:t> </w:t>
      </w:r>
      <w:r w:rsidRPr="00DF1A74">
        <w:rPr>
          <w:rFonts w:cs="Arial"/>
        </w:rPr>
        <w:t>existing Potentially Preventable Readmissions</w:t>
      </w:r>
      <w:r w:rsidR="005776C2">
        <w:rPr>
          <w:rFonts w:cs="Arial"/>
        </w:rPr>
        <w:t> </w:t>
      </w:r>
      <w:r w:rsidRPr="00DF1A74">
        <w:rPr>
          <w:rFonts w:cs="Arial"/>
        </w:rPr>
        <w:t>software. The software tool is applicable to the nationally admitted patient data set to identify and link avoidable hospital readmissions, and can be used to determine whether a readmission is clinically related to a prior admission based on the patient’s diagnosis and procedures in the index admission and the reason for readmission. This allows investigation of a broader scope of avoidable hospital readmission conditions than the current list.</w:t>
      </w:r>
    </w:p>
    <w:p w14:paraId="220684D7" w14:textId="77777777" w:rsidR="00EB5043" w:rsidRPr="0065414C" w:rsidRDefault="002F3BF7" w:rsidP="00EB5043">
      <w:pPr>
        <w:pStyle w:val="BodyText"/>
        <w:rPr>
          <w:rFonts w:cs="Arial"/>
        </w:rPr>
      </w:pPr>
      <w:r w:rsidRPr="0065414C">
        <w:rPr>
          <w:rFonts w:cs="Arial"/>
        </w:rPr>
        <w:t xml:space="preserve">The project is scheduled for completion at the end of 2021. IHPA will provide updates and seek stakeholder feedback in the </w:t>
      </w:r>
      <w:r w:rsidRPr="0065414C">
        <w:rPr>
          <w:rFonts w:cs="Arial"/>
          <w:i/>
        </w:rPr>
        <w:t>Consultation Paper on the Pricing Framework for Australian Public Hospital Services 2022–23</w:t>
      </w:r>
      <w:r w:rsidR="00EB5043" w:rsidRPr="0065414C">
        <w:rPr>
          <w:rFonts w:cs="Arial"/>
          <w:i/>
          <w:iCs/>
        </w:rPr>
        <w:t>.</w:t>
      </w:r>
    </w:p>
    <w:p w14:paraId="6F22E69F" w14:textId="136F38ED" w:rsidR="00EB5043" w:rsidRPr="0065414C" w:rsidRDefault="00EB5043" w:rsidP="003430A1">
      <w:pPr>
        <w:pStyle w:val="BodyText"/>
        <w:rPr>
          <w:rFonts w:cs="Arial"/>
        </w:rPr>
      </w:pPr>
    </w:p>
    <w:p w14:paraId="0E4CFB96" w14:textId="77777777" w:rsidR="003430A1" w:rsidRPr="0065414C" w:rsidRDefault="003430A1" w:rsidP="003430A1">
      <w:pPr>
        <w:pStyle w:val="BodyText"/>
        <w:rPr>
          <w:rFonts w:cs="Arial"/>
        </w:rPr>
        <w:sectPr w:rsidR="003430A1" w:rsidRPr="0065414C" w:rsidSect="00F57E9E">
          <w:pgSz w:w="11910" w:h="16840"/>
          <w:pgMar w:top="1440" w:right="1440" w:bottom="1440" w:left="1440" w:header="0" w:footer="658" w:gutter="0"/>
          <w:cols w:num="2" w:space="340"/>
        </w:sectPr>
      </w:pPr>
    </w:p>
    <w:p w14:paraId="64CB0EB7" w14:textId="77777777" w:rsidR="00D3193A" w:rsidRDefault="003F223E" w:rsidP="00A617A7">
      <w:pPr>
        <w:pStyle w:val="BodyText"/>
        <w:rPr>
          <w:rFonts w:cs="Arial"/>
          <w:color w:val="FFFFFF" w:themeColor="background1"/>
        </w:rPr>
      </w:pPr>
      <w:bookmarkStart w:id="165" w:name="Appendix_A_—_List_of_consultation_questi"/>
      <w:bookmarkStart w:id="166" w:name="_bookmark23"/>
      <w:bookmarkEnd w:id="165"/>
      <w:bookmarkEnd w:id="166"/>
      <w:r w:rsidRPr="0065414C">
        <w:rPr>
          <w:rFonts w:cs="Arial"/>
          <w:noProof/>
          <w:color w:val="FFFFFF" w:themeColor="background1"/>
          <w:sz w:val="20"/>
          <w:lang w:eastAsia="en-AU" w:bidi="ar-SA"/>
        </w:rPr>
        <w:lastRenderedPageBreak/>
        <w:drawing>
          <wp:anchor distT="0" distB="0" distL="114300" distR="114300" simplePos="0" relativeHeight="251639808" behindDoc="1" locked="0" layoutInCell="1" allowOverlap="1" wp14:anchorId="49FB6845" wp14:editId="0FD83676">
            <wp:simplePos x="0" y="0"/>
            <wp:positionH relativeFrom="column">
              <wp:posOffset>-914400</wp:posOffset>
            </wp:positionH>
            <wp:positionV relativeFrom="page">
              <wp:posOffset>0</wp:posOffset>
            </wp:positionV>
            <wp:extent cx="7562850" cy="10697845"/>
            <wp:effectExtent l="0" t="0" r="0" b="8255"/>
            <wp:wrapNone/>
            <wp:docPr id="3" name="Picture 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pic:cNvPr>
                    <pic:cNvPicPr/>
                  </pic:nvPicPr>
                  <pic:blipFill>
                    <a:blip r:embed="rId80"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 w:val="36"/>
          <w:lang w:eastAsia="en-AU" w:bidi="ar-SA"/>
        </w:rPr>
        <w:drawing>
          <wp:inline distT="0" distB="0" distL="0" distR="0" wp14:anchorId="12CC17E9" wp14:editId="15DEFD86">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60EB530" w14:textId="26B0B98D" w:rsidR="00C415F5" w:rsidRPr="0065414C" w:rsidRDefault="00603DEC" w:rsidP="00D3193A">
      <w:pPr>
        <w:pStyle w:val="BodyText"/>
        <w:spacing w:before="9720"/>
        <w:rPr>
          <w:rFonts w:cs="Arial"/>
          <w:color w:val="FFFFFF" w:themeColor="background1"/>
        </w:rPr>
      </w:pPr>
      <w:r w:rsidRPr="0065414C">
        <w:rPr>
          <w:rFonts w:cs="Arial"/>
          <w:color w:val="FFFFFF" w:themeColor="background1"/>
        </w:rPr>
        <w:t>Independent Hospital Pricing Authority</w:t>
      </w:r>
    </w:p>
    <w:p w14:paraId="7D49A071" w14:textId="77777777" w:rsidR="00C415F5" w:rsidRPr="0065414C" w:rsidRDefault="00603DEC" w:rsidP="00A617A7">
      <w:pPr>
        <w:pStyle w:val="BodyText"/>
        <w:rPr>
          <w:rFonts w:cs="Arial"/>
          <w:color w:val="FFFFFF" w:themeColor="background1"/>
        </w:rPr>
      </w:pPr>
      <w:r w:rsidRPr="0065414C">
        <w:rPr>
          <w:rFonts w:cs="Arial"/>
          <w:color w:val="FFFFFF" w:themeColor="background1"/>
        </w:rPr>
        <w:t>Level 6, 1 Oxford Street</w:t>
      </w:r>
    </w:p>
    <w:p w14:paraId="0C9CFD20" w14:textId="77777777" w:rsidR="00C415F5" w:rsidRPr="0065414C" w:rsidRDefault="00603DEC" w:rsidP="00A617A7">
      <w:pPr>
        <w:pStyle w:val="BodyText"/>
        <w:rPr>
          <w:rFonts w:cs="Arial"/>
          <w:color w:val="FFFFFF" w:themeColor="background1"/>
        </w:rPr>
      </w:pPr>
      <w:r w:rsidRPr="0065414C">
        <w:rPr>
          <w:rFonts w:cs="Arial"/>
          <w:color w:val="FFFFFF" w:themeColor="background1"/>
        </w:rPr>
        <w:t>Sydney NSW 2000</w:t>
      </w:r>
    </w:p>
    <w:p w14:paraId="7DA761A7"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Phone</w:t>
      </w:r>
      <w:r w:rsidR="00A617A7" w:rsidRPr="0065414C">
        <w:rPr>
          <w:rFonts w:cs="Arial"/>
          <w:b/>
          <w:color w:val="FFFFFF" w:themeColor="background1"/>
        </w:rPr>
        <w:tab/>
      </w:r>
      <w:r w:rsidRPr="0065414C">
        <w:rPr>
          <w:rFonts w:cs="Arial"/>
          <w:color w:val="FFFFFF" w:themeColor="background1"/>
        </w:rPr>
        <w:t>02 8215 1100</w:t>
      </w:r>
    </w:p>
    <w:p w14:paraId="195A4A3E" w14:textId="77777777" w:rsidR="00C415F5" w:rsidRPr="0065414C" w:rsidRDefault="00603DEC" w:rsidP="00A617A7">
      <w:pPr>
        <w:pStyle w:val="BodyText"/>
        <w:rPr>
          <w:rFonts w:cs="Arial"/>
          <w:color w:val="FFFFFF" w:themeColor="background1"/>
        </w:rPr>
      </w:pPr>
      <w:r w:rsidRPr="0065414C">
        <w:rPr>
          <w:rFonts w:cs="Arial"/>
          <w:b/>
          <w:color w:val="FFFFFF" w:themeColor="background1"/>
        </w:rPr>
        <w:t>Email</w:t>
      </w:r>
      <w:r w:rsidRPr="0065414C">
        <w:rPr>
          <w:rFonts w:cs="Arial"/>
          <w:b/>
          <w:color w:val="FFFFFF" w:themeColor="background1"/>
        </w:rPr>
        <w:tab/>
      </w:r>
      <w:hyperlink r:id="rId81" w:history="1">
        <w:r w:rsidR="004B213F" w:rsidRPr="00F36701">
          <w:rPr>
            <w:rStyle w:val="Hyperlink"/>
            <w:rFonts w:cs="Arial"/>
            <w:color w:val="7EC352" w:themeColor="accent1"/>
          </w:rPr>
          <w:t>enquiries.ihpa@ihpa.gov.au</w:t>
        </w:r>
      </w:hyperlink>
    </w:p>
    <w:p w14:paraId="37DEE8B1" w14:textId="77777777" w:rsidR="00A617A7" w:rsidRPr="0065414C" w:rsidRDefault="00603DEC" w:rsidP="00A617A7">
      <w:pPr>
        <w:pStyle w:val="BodyText"/>
        <w:rPr>
          <w:rFonts w:cs="Arial"/>
          <w:color w:val="FFFFFF" w:themeColor="background1"/>
        </w:rPr>
      </w:pPr>
      <w:r w:rsidRPr="0065414C">
        <w:rPr>
          <w:rFonts w:cs="Arial"/>
          <w:b/>
          <w:color w:val="FFFFFF" w:themeColor="background1"/>
        </w:rPr>
        <w:t>Twitter</w:t>
      </w:r>
      <w:r w:rsidR="00A617A7" w:rsidRPr="0065414C">
        <w:rPr>
          <w:rFonts w:cs="Arial"/>
          <w:b/>
          <w:color w:val="FFFFFF" w:themeColor="background1"/>
        </w:rPr>
        <w:tab/>
      </w:r>
      <w:hyperlink r:id="rId82">
        <w:r w:rsidRPr="0065414C">
          <w:rPr>
            <w:rFonts w:cs="Arial"/>
            <w:color w:val="FFFFFF" w:themeColor="background1"/>
          </w:rPr>
          <w:t>@IHPAnews</w:t>
        </w:r>
      </w:hyperlink>
      <w:r w:rsidRPr="0065414C">
        <w:rPr>
          <w:rFonts w:cs="Arial"/>
          <w:color w:val="FFFFFF" w:themeColor="background1"/>
        </w:rPr>
        <w:t xml:space="preserve"> </w:t>
      </w:r>
    </w:p>
    <w:p w14:paraId="7D91A2AB" w14:textId="516490D3" w:rsidR="00C415F5" w:rsidRPr="00F36701" w:rsidRDefault="004A6F49" w:rsidP="00A617A7">
      <w:pPr>
        <w:pStyle w:val="BodyText"/>
        <w:rPr>
          <w:rFonts w:cs="Arial"/>
          <w:color w:val="7EC352" w:themeColor="accent1"/>
        </w:rPr>
      </w:pPr>
      <w:hyperlink r:id="rId83" w:history="1">
        <w:r w:rsidR="00A617A7" w:rsidRPr="00F36701">
          <w:rPr>
            <w:rStyle w:val="Hyperlink"/>
            <w:rFonts w:cs="Arial"/>
            <w:color w:val="7EC352" w:themeColor="accent1"/>
          </w:rPr>
          <w:t>www.ihpa.gov.au</w:t>
        </w:r>
      </w:hyperlink>
    </w:p>
    <w:sectPr w:rsidR="00C415F5" w:rsidRPr="00F36701" w:rsidSect="00D3193A">
      <w:headerReference w:type="default" r:id="rId84"/>
      <w:footerReference w:type="default" r:id="rId85"/>
      <w:pgSz w:w="11910" w:h="16840"/>
      <w:pgMar w:top="1135" w:right="1440" w:bottom="1440" w:left="1440" w:header="0" w:footer="0"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CFA92" w16cex:dateUtc="2020-12-10T08:50:00Z"/>
  <w16cex:commentExtensible w16cex:durableId="237CFE3A" w16cex:dateUtc="2020-12-10T09:06:00Z"/>
  <w16cex:commentExtensible w16cex:durableId="237D035C" w16cex:dateUtc="2020-12-10T09:28:00Z"/>
  <w16cex:commentExtensible w16cex:durableId="237DDB42" w16cex:dateUtc="2020-12-11T00:49:00Z"/>
  <w16cex:commentExtensible w16cex:durableId="237DE41E" w16cex:dateUtc="2020-12-11T01:27:00Z"/>
  <w16cex:commentExtensible w16cex:durableId="237DE562" w16cex:dateUtc="2020-12-11T01:32:00Z"/>
  <w16cex:commentExtensible w16cex:durableId="237DE617" w16cex:dateUtc="2020-12-11T01:35:00Z"/>
  <w16cex:commentExtensible w16cex:durableId="237DE864" w16cex:dateUtc="2020-12-11T01:45:00Z"/>
  <w16cex:commentExtensible w16cex:durableId="237DE9B1" w16cex:dateUtc="2020-12-11T01:5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3528492" w16cid:durableId="237CFA92"/>
  <w16cid:commentId w16cid:paraId="7A9E2243" w16cid:durableId="237CFE3A"/>
  <w16cid:commentId w16cid:paraId="7EEFCD63" w16cid:durableId="237D035C"/>
  <w16cid:commentId w16cid:paraId="47BFCB53" w16cid:durableId="237DDB42"/>
  <w16cid:commentId w16cid:paraId="1FDCD0CE" w16cid:durableId="237DE41E"/>
  <w16cid:commentId w16cid:paraId="6C2A8960" w16cid:durableId="237DE562"/>
  <w16cid:commentId w16cid:paraId="4CB665FF" w16cid:durableId="237DE617"/>
  <w16cid:commentId w16cid:paraId="7B6EBC41" w16cid:durableId="237DE864"/>
  <w16cid:commentId w16cid:paraId="2F08EECD" w16cid:durableId="237DE9B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D2286A" w14:textId="77777777" w:rsidR="00C93E72" w:rsidRDefault="00C93E72">
      <w:r>
        <w:separator/>
      </w:r>
    </w:p>
  </w:endnote>
  <w:endnote w:type="continuationSeparator" w:id="0">
    <w:p w14:paraId="78C083C7" w14:textId="77777777" w:rsidR="00C93E72" w:rsidRDefault="00C93E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Times New Roman"/>
    <w:charset w:val="00"/>
    <w:family w:val="auto"/>
    <w:pitch w:val="variable"/>
    <w:sig w:usb0="A10000FF" w:usb1="4000005B" w:usb2="00000000" w:usb3="00000000" w:csb0="000001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utura PT Book">
    <w:altName w:val="Segoe UI Light"/>
    <w:panose1 w:val="00000000000000000000"/>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utura PT Heavy">
    <w:altName w:val="Century Gothic"/>
    <w:panose1 w:val="00000000000000000000"/>
    <w:charset w:val="00"/>
    <w:family w:val="swiss"/>
    <w:notTrueType/>
    <w:pitch w:val="variable"/>
    <w:sig w:usb0="A00002FF" w:usb1="5000204A" w:usb2="00000000" w:usb3="00000000" w:csb0="00000097" w:csb1="00000000"/>
  </w:font>
  <w:font w:name="Futura PT Bold">
    <w:altName w:val="Century Gothic"/>
    <w:panose1 w:val="00000000000000000000"/>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E0368" w14:textId="1DB345B1"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1</w:t>
    </w:r>
    <w:r w:rsidRPr="00460625">
      <w:rPr>
        <w:noProof/>
        <w:color w:val="003E2D"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89E36E" w14:textId="40078961"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3</w:t>
    </w:r>
    <w:r w:rsidRPr="00460625">
      <w:rPr>
        <w:noProof/>
        <w:color w:val="003E2D"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F02CCF" w14:textId="5671928B"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7</w:t>
    </w:r>
    <w:r w:rsidRPr="00460625">
      <w:rPr>
        <w:noProof/>
        <w:color w:val="003E2D"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4B720" w14:textId="61450CDD"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9</w:t>
    </w:r>
    <w:r w:rsidRPr="00460625">
      <w:rPr>
        <w:noProof/>
        <w:color w:val="003E2D"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0C98B" w14:textId="1CF3B2CF"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13</w:t>
    </w:r>
    <w:r w:rsidRPr="00460625">
      <w:rPr>
        <w:noProof/>
        <w:color w:val="003E2D" w:themeColor="text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87D3D3" w14:textId="4FA36065" w:rsidR="00C93E72" w:rsidRDefault="00C93E72" w:rsidP="00986BFB">
    <w:pPr>
      <w:tabs>
        <w:tab w:val="left" w:pos="638"/>
        <w:tab w:val="left" w:pos="8789"/>
      </w:tabs>
      <w:spacing w:before="16"/>
      <w:ind w:left="20"/>
      <w:rPr>
        <w:sz w:val="20"/>
      </w:rPr>
    </w:pPr>
    <w:r w:rsidRPr="00460625">
      <w:rPr>
        <w:rFonts w:cs="Arial"/>
        <w:b/>
        <w:color w:val="003E2D"/>
        <w:spacing w:val="-3"/>
        <w:sz w:val="18"/>
      </w:rPr>
      <w:t>IHPA</w:t>
    </w:r>
    <w:r w:rsidRPr="00460625">
      <w:rPr>
        <w:rFonts w:cs="Arial"/>
        <w:b/>
        <w:color w:val="003E2D"/>
        <w:spacing w:val="-3"/>
        <w:sz w:val="18"/>
      </w:rPr>
      <w:tab/>
    </w:r>
    <w:r w:rsidRPr="00460625">
      <w:rPr>
        <w:rFonts w:cs="Arial"/>
        <w:color w:val="003E2D"/>
        <w:sz w:val="18"/>
      </w:rPr>
      <w:t>Pricing Framework for Australian Public Hospital Services</w:t>
    </w:r>
    <w:r w:rsidRPr="00460625">
      <w:rPr>
        <w:rFonts w:cs="Arial"/>
        <w:color w:val="003E2D"/>
        <w:spacing w:val="-10"/>
        <w:sz w:val="18"/>
      </w:rPr>
      <w:t xml:space="preserve"> </w:t>
    </w:r>
    <w:r w:rsidRPr="00460625">
      <w:rPr>
        <w:rFonts w:cs="Arial"/>
        <w:color w:val="003E2D"/>
        <w:spacing w:val="-6"/>
        <w:sz w:val="18"/>
      </w:rPr>
      <w:t>202</w:t>
    </w:r>
    <w:r>
      <w:rPr>
        <w:rFonts w:cs="Arial"/>
        <w:color w:val="003E2D"/>
        <w:spacing w:val="-6"/>
        <w:sz w:val="18"/>
      </w:rPr>
      <w:t>1</w:t>
    </w:r>
    <w:r w:rsidRPr="00460625">
      <w:rPr>
        <w:rFonts w:cs="Arial"/>
        <w:color w:val="003E2D"/>
        <w:spacing w:val="-6"/>
        <w:sz w:val="18"/>
      </w:rPr>
      <w:t>–2</w:t>
    </w:r>
    <w:r>
      <w:rPr>
        <w:rFonts w:cs="Arial"/>
        <w:color w:val="003E2D"/>
        <w:spacing w:val="-6"/>
        <w:sz w:val="18"/>
      </w:rPr>
      <w:t>2</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4A6F49">
      <w:rPr>
        <w:noProof/>
        <w:color w:val="003E2D" w:themeColor="text1"/>
        <w:sz w:val="18"/>
        <w:szCs w:val="18"/>
      </w:rPr>
      <w:t>29</w:t>
    </w:r>
    <w:r w:rsidRPr="00460625">
      <w:rPr>
        <w:noProof/>
        <w:color w:val="003E2D" w:themeColor="text1"/>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6D2E15" w14:textId="77777777" w:rsidR="00C93E72" w:rsidRDefault="00C93E72"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E78E12" w14:textId="77777777" w:rsidR="00C93E72" w:rsidRDefault="00C93E72">
      <w:r>
        <w:separator/>
      </w:r>
    </w:p>
  </w:footnote>
  <w:footnote w:type="continuationSeparator" w:id="0">
    <w:p w14:paraId="728EC28C" w14:textId="77777777" w:rsidR="00C93E72" w:rsidRDefault="00C93E72">
      <w:r>
        <w:continuationSeparator/>
      </w:r>
    </w:p>
  </w:footnote>
  <w:footnote w:id="1">
    <w:p w14:paraId="1344D884" w14:textId="3B7E76DA" w:rsidR="00C93E72" w:rsidRPr="006C38DE" w:rsidRDefault="00C93E72" w:rsidP="006C38DE">
      <w:pPr>
        <w:pStyle w:val="Footnote"/>
        <w:keepLines/>
      </w:pPr>
      <w:r w:rsidRPr="00BB2570">
        <w:rPr>
          <w:rStyle w:val="FootnoteReference"/>
        </w:rPr>
        <w:footnoteRef/>
      </w:r>
      <w:r w:rsidRPr="006C38DE">
        <w:t xml:space="preserve"> </w:t>
      </w:r>
      <w:r w:rsidRPr="006C38DE">
        <w:rPr>
          <w:rStyle w:val="FootnoteChar"/>
        </w:rPr>
        <w:t>The Council of Australian Governments has been disbanded, and the ongoing status of CHC is to be determined at a future time.</w:t>
      </w:r>
      <w:r>
        <w:rPr>
          <w:rStyle w:val="FootnoteChar"/>
        </w:rPr>
        <w:t xml:space="preserve"> </w:t>
      </w:r>
      <w:r w:rsidRPr="004A2E5F">
        <w:rPr>
          <w:rStyle w:val="FootnoteChar"/>
        </w:rPr>
        <w:t>IHPA will provide further advice on how it will fulfil the requirements of the Addendum once national health committee arrangements are known.</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9CAD7" w14:textId="2BAC1D2F" w:rsidR="00C93E72" w:rsidRDefault="00C93E72">
    <w:pPr>
      <w:pStyle w:val="Header"/>
    </w:pPr>
    <w:r>
      <w:rPr>
        <w:noProof/>
        <w:lang w:eastAsia="en-AU" w:bidi="ar-SA"/>
      </w:rPr>
      <mc:AlternateContent>
        <mc:Choice Requires="wps">
          <w:drawing>
            <wp:anchor distT="0" distB="0" distL="114300" distR="114300" simplePos="0" relativeHeight="251659264" behindDoc="0" locked="0" layoutInCell="1" allowOverlap="1" wp14:anchorId="04E870C4" wp14:editId="52003E64">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076DB237" id="Rectangle 66" o:spid="_x0000_s1026" alt="&quot;&quot;" style="position:absolute;margin-left:-1in;margin-top:-.75pt;width:594.75pt;height:84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RxmAIAAIgFAAAOAAAAZHJzL2Uyb0RvYy54bWysVFFPGzEMfp+0/xDlfdy10AIVV1SBmCYh&#10;QMDEc8glvUi5OEvSXrtfPye5uzKG9jCtD2kc25/t72xfXO5aTbbCeQWmopOjkhJhONTKrCv6/fnm&#10;yxklPjBTMw1GVHQvPL1cfv500dmFmEIDuhaOIIjxi85WtAnBLorC80a0zB+BFQaVElzLAopuXdSO&#10;dYje6mJalvOiA1dbB1x4j6/XWUmXCV9KwcO9lF4EoiuKuYV0unS+xrNYXrDF2jHbKN6nwf4hi5Yp&#10;g0FHqGsWGNk49QdUq7gDDzIccWgLkFJxkWrAaiblu2qeGmZFqgXJ8Xakyf8/WH63fXBE1RWdzykx&#10;rMVv9IisMbPWguAbEtRZv0C7J/vgesnjNVa7k66N/1gH2SVS9yOpYhcIx8fT2ez4eDqjhKNuUs7P&#10;Ts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TqcouLea17cas2mvAHthgrvH8nSN9kEPV+mgfcHFsYpRUcUMx9gV5cENwlXIWwJXDxerVTLD&#10;kbUs3JonyyN4ZDW25fPuhTnb927Avr+DYXLZ4l0LZ9voaWC1CSBV6u8Drz3fOO6pcfrVFPfJWzlZ&#10;HRbo8hcAAAD//wMAUEsDBBQABgAIAAAAIQDl3oxh4AAAAA0BAAAPAAAAZHJzL2Rvd25yZXYueG1s&#10;TI/BTsMwEETvSPyDtUjcWqcorUIap4oqcag4tSAkbm7sJhH2OthuY/6ezQlus7uj2TfVLlnDbtqH&#10;waGA1TIDprF1asBOwPvby6IAFqJEJY1DLeBHB9jV93eVLJWb8Khvp9gxCsFQSgF9jGPJeWh7bWVY&#10;ulEj3S7OWxlp9B1XXk4Ubg1/yrINt3JA+tDLUe973X6drlbA/jB9NKY4fHaFfW5eEz/65jsJ8fiQ&#10;mi2wqFP8M8OMT+hQE9PZXVEFZgQsVnlOZeKs1sBmR5avSZ1JbQra8bri/1vUvwAAAP//AwBQSwEC&#10;LQAUAAYACAAAACEAtoM4kv4AAADhAQAAEwAAAAAAAAAAAAAAAAAAAAAAW0NvbnRlbnRfVHlwZXNd&#10;LnhtbFBLAQItABQABgAIAAAAIQA4/SH/1gAAAJQBAAALAAAAAAAAAAAAAAAAAC8BAABfcmVscy8u&#10;cmVsc1BLAQItABQABgAIAAAAIQDBrxRxmAIAAIgFAAAOAAAAAAAAAAAAAAAAAC4CAABkcnMvZTJv&#10;RG9jLnhtbFBLAQItABQABgAIAAAAIQDl3oxh4AAAAA0BAAAPAAAAAAAAAAAAAAAAAPIEAABkcnMv&#10;ZG93bnJldi54bWxQSwUGAAAAAAQABADzAAAA/wUAAAAA&#10;" fillcolor="#003e2d [3215]" stroked="f" strokeweight="2p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59AA09" w14:textId="77777777" w:rsidR="00C93E72" w:rsidRDefault="00C93E72" w:rsidP="003932A6">
    <w:pPr>
      <w:pStyle w:val="BodyText"/>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DC2C" w14:textId="77777777" w:rsidR="00C93E72" w:rsidRDefault="00C93E72"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B41639" w14:textId="77777777" w:rsidR="00C93E72" w:rsidRDefault="00C93E72" w:rsidP="003932A6">
    <w:pPr>
      <w:pStyle w:val="BodyText"/>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019BF" w14:textId="77777777" w:rsidR="00C93E72" w:rsidRDefault="00C93E72" w:rsidP="003932A6">
    <w:pPr>
      <w:pStyle w:val="BodyText"/>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F81A9" w14:textId="77777777" w:rsidR="00C93E72" w:rsidRDefault="00C93E72"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4AF96B" w14:textId="77777777" w:rsidR="00C93E72" w:rsidRDefault="00C93E72" w:rsidP="003932A6">
    <w:pPr>
      <w:pStyle w:val="BodyText"/>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B21384" w14:textId="77777777" w:rsidR="00C93E72" w:rsidRDefault="00C93E72" w:rsidP="003932A6">
    <w:pPr>
      <w:pStyle w:val="BodyText"/>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0DB404" w14:textId="77777777" w:rsidR="00C93E72" w:rsidRDefault="00C93E72"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6E2D06" w14:textId="77777777" w:rsidR="00C93E72" w:rsidRDefault="00C93E72" w:rsidP="003932A6">
    <w:pPr>
      <w:pStyle w:val="BodyText"/>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89A33" w14:textId="77777777" w:rsidR="00C93E72" w:rsidRDefault="00C93E72" w:rsidP="003932A6">
    <w:pPr>
      <w:pStyle w:val="BodyTex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A8A0E" w14:textId="77777777" w:rsidR="00C93E72" w:rsidRDefault="00C93E72" w:rsidP="003932A6">
    <w:pPr>
      <w:pStyle w:val="BodyText"/>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70BAF" w14:textId="77777777" w:rsidR="00C93E72" w:rsidRDefault="00C93E72"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F404F" w14:textId="77777777" w:rsidR="00C93E72" w:rsidRDefault="00C93E72" w:rsidP="003932A6">
    <w:pPr>
      <w:pStyle w:val="BodyText"/>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C683" w14:textId="77777777" w:rsidR="00C93E72" w:rsidRDefault="00C93E72" w:rsidP="003932A6">
    <w:pPr>
      <w:pStyle w:val="BodyText"/>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01866" w14:textId="77777777" w:rsidR="00C93E72" w:rsidRDefault="00C93E72"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80728" w14:textId="77777777" w:rsidR="00C93E72" w:rsidRDefault="00C93E72" w:rsidP="003932A6">
    <w:pPr>
      <w:pStyle w:val="BodyText"/>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E87E3" w14:textId="77777777" w:rsidR="00C93E72" w:rsidRDefault="00C93E72" w:rsidP="003932A6">
    <w:pPr>
      <w:pStyle w:val="BodyText"/>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DE492" w14:textId="77777777" w:rsidR="00C93E72" w:rsidRDefault="00C93E72" w:rsidP="003932A6">
    <w:pPr>
      <w:pStyle w:val="BodyTex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32E5" w14:textId="77777777" w:rsidR="00C93E72" w:rsidRDefault="00C93E72" w:rsidP="003932A6">
    <w:pPr>
      <w:pStyle w:val="BodyText"/>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2C171" w14:textId="77777777" w:rsidR="00C93E72" w:rsidRDefault="00C93E72" w:rsidP="003932A6">
    <w:pPr>
      <w:pStyle w:val="BodyText"/>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E476D" w14:textId="77777777" w:rsidR="00C93E72" w:rsidRDefault="00C93E72" w:rsidP="003932A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F69DE8" w14:textId="77777777" w:rsidR="00C93E72" w:rsidRDefault="00C93E72" w:rsidP="003932A6">
    <w:pPr>
      <w:pStyle w:val="BodyTex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499294" w14:textId="77777777" w:rsidR="00C93E72" w:rsidRDefault="00C93E72" w:rsidP="003932A6">
    <w:pPr>
      <w:pStyle w:val="BodyText"/>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20F847" w14:textId="237B03F5" w:rsidR="00C93E72" w:rsidRDefault="00C93E72" w:rsidP="003932A6">
    <w:pPr>
      <w:pStyle w:val="BodyText"/>
      <w:rPr>
        <w:sz w:val="2"/>
      </w:rPr>
    </w:pPr>
    <w:r>
      <w:rPr>
        <w:noProof/>
        <w:lang w:eastAsia="en-AU" w:bidi="ar-SA"/>
      </w:rPr>
      <mc:AlternateContent>
        <mc:Choice Requires="wps">
          <w:drawing>
            <wp:anchor distT="0" distB="0" distL="114300" distR="114300" simplePos="0" relativeHeight="251661312" behindDoc="0" locked="0" layoutInCell="1" allowOverlap="1" wp14:anchorId="41539FE7" wp14:editId="761B0046">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21C9286" id="Rectangle 71" o:spid="_x0000_s1026" alt="&quot;&quot;" style="position:absolute;margin-left:-1in;margin-top:0;width:594.75pt;height:8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u3lwIAAIgFAAAOAAAAZHJzL2Uyb0RvYy54bWysVFFPGzEMfp+0/xDlfdy1UAoVV1SBmCYh&#10;QMDEc8glvUi5OEvSXrtfPye5uzKG9jCtD2kc25/t72xfXO5aTbbCeQWmopOjkhJhONTKrCv6/fnm&#10;yxklPjBTMw1GVHQvPL1cfv500dmFmEIDuhaOIIjxi85WtAnBLorC80a0zB+BFQaVElzLAopuXdSO&#10;dYje6mJalqdFB662DrjwHl+vs5IuE76Ugod7Kb0IRFcUcwvpdOl8jWexvGCLtWO2UbxPg/1DFi1T&#10;BoOOUNcsMLJx6g+oVnEHHmQ44tAWIKXiItWA1UzKd9U8NcyKVAuS4+1Ik/9/sPxu++CIqis6n1Bi&#10;WIvf6BFZY2atBcE3JKizfoF2T/bB9ZLHa6x2J10b/7EOskuk7kdSxS4Qjo/z2ez4eDqjhKNuUp6e&#10;zc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5lMU3FvN61uN2bRXgL2AHY3ZpWu0D3q4SgftCy6OVYyKKmY4xq4oD24QrkLeErh6uFitkhmO&#10;rGXh1jxZHsEjq7Etn3cvzNm+dwP2/R0Mk8sW71o420ZPA6tNAKlSfx947fnGcU+N06+muE/eysnq&#10;sECXvwAAAP//AwBQSwMEFAAGAAgAAAAhAA60KNfhAAAACwEAAA8AAABkcnMvZG93bnJldi54bWxM&#10;j8FOwzAQRO9I/IO1SNxau5BWIY1TRZU4VJzaIiRubrxNIux1iN3G/D3uCS6rXc1o9k25idawK46+&#10;dyRhMRfAkBqne2olvB9fZzkwHxRpZRyhhB/0sKnu70pVaDfRHq+H0LIUQr5QEroQhoJz33RolZ+7&#10;ASlpZzdaFdI5tlyPakrh1vAnIVbcqp7Sh04NuO2w+TpcrITtbvqoTb77bHP7Ur9Fvh/r7yjl40Os&#10;18ACxvBnhht+QocqMZ3chbRnRsJskWWpTJCQ5k0X2XIJ7JS2Vf4sgFcl/9+h+gUAAP//AwBQSwEC&#10;LQAUAAYACAAAACEAtoM4kv4AAADhAQAAEwAAAAAAAAAAAAAAAAAAAAAAW0NvbnRlbnRfVHlwZXNd&#10;LnhtbFBLAQItABQABgAIAAAAIQA4/SH/1gAAAJQBAAALAAAAAAAAAAAAAAAAAC8BAABfcmVscy8u&#10;cmVsc1BLAQItABQABgAIAAAAIQCFOKu3lwIAAIgFAAAOAAAAAAAAAAAAAAAAAC4CAABkcnMvZTJv&#10;RG9jLnhtbFBLAQItABQABgAIAAAAIQAOtCjX4QAAAAsBAAAPAAAAAAAAAAAAAAAAAPEEAABkcnMv&#10;ZG93bnJldi54bWxQSwUGAAAAAAQABADzAAAA/wUAAAAA&#10;" fillcolor="#003e2d [3215]" stroked="f" strokeweight="2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EC5BE" w14:textId="77777777" w:rsidR="00C93E72" w:rsidRDefault="00C93E72" w:rsidP="003932A6">
    <w:pPr>
      <w:pStyle w:val="BodyTex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622A20" w14:textId="77777777" w:rsidR="00C93E72" w:rsidRDefault="00C93E72"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9CD3A2" w14:textId="77777777" w:rsidR="00C93E72" w:rsidRDefault="00C93E72" w:rsidP="003932A6">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0F63F" w14:textId="77777777" w:rsidR="00C93E72" w:rsidRDefault="00C93E72" w:rsidP="003932A6">
    <w:pPr>
      <w:pStyle w:val="BodyTex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223DD" w14:textId="77777777" w:rsidR="00C93E72" w:rsidRDefault="00C93E72"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F6F42E" w14:textId="77777777" w:rsidR="00C93E72" w:rsidRDefault="00C93E72" w:rsidP="003932A6">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Question mark to left of Consultation questions title" style="width:18.8pt;height:17.55pt;visibility:visible;mso-wrap-style:square" o:bullet="t">
        <v:imagedata r:id="rId1" o:title="Question mark to left of Consultation questions 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1"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2" w15:restartNumberingAfterBreak="0">
    <w:nsid w:val="2BE06A58"/>
    <w:multiLevelType w:val="hybridMultilevel"/>
    <w:tmpl w:val="541E623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3F7B1620"/>
    <w:multiLevelType w:val="hybridMultilevel"/>
    <w:tmpl w:val="3DCAE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15"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16"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pStyle w:val="ListL2"/>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17"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4"/>
  </w:num>
  <w:num w:numId="2">
    <w:abstractNumId w:val="16"/>
  </w:num>
  <w:num w:numId="3">
    <w:abstractNumId w:val="10"/>
  </w:num>
  <w:num w:numId="4">
    <w:abstractNumId w:val="11"/>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2"/>
    <w:lvlOverride w:ilvl="0">
      <w:startOverride w:val="1"/>
    </w:lvlOverride>
    <w:lvlOverride w:ilvl="1"/>
    <w:lvlOverride w:ilvl="2"/>
    <w:lvlOverride w:ilvl="3"/>
    <w:lvlOverride w:ilvl="4"/>
    <w:lvlOverride w:ilvl="5"/>
    <w:lvlOverride w:ilvl="6"/>
    <w:lvlOverride w:ilvl="7"/>
    <w:lvlOverride w:ilvl="8"/>
  </w:num>
  <w:num w:numId="16">
    <w:abstractNumId w:val="12"/>
  </w:num>
  <w:num w:numId="17">
    <w:abstractNumId w:val="13"/>
  </w:num>
  <w:num w:numId="18">
    <w:abstractNumId w:val="15"/>
  </w:num>
  <w:num w:numId="19">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F5"/>
    <w:rsid w:val="000000D5"/>
    <w:rsid w:val="0000133A"/>
    <w:rsid w:val="00004438"/>
    <w:rsid w:val="00004D42"/>
    <w:rsid w:val="00011A81"/>
    <w:rsid w:val="0001300D"/>
    <w:rsid w:val="000213D0"/>
    <w:rsid w:val="0002557D"/>
    <w:rsid w:val="00031882"/>
    <w:rsid w:val="00032268"/>
    <w:rsid w:val="0003549A"/>
    <w:rsid w:val="000367EA"/>
    <w:rsid w:val="000410D1"/>
    <w:rsid w:val="00046B94"/>
    <w:rsid w:val="0004788D"/>
    <w:rsid w:val="00052900"/>
    <w:rsid w:val="00053037"/>
    <w:rsid w:val="000532FD"/>
    <w:rsid w:val="00055369"/>
    <w:rsid w:val="00055D6E"/>
    <w:rsid w:val="000604A9"/>
    <w:rsid w:val="00061F0E"/>
    <w:rsid w:val="00062330"/>
    <w:rsid w:val="000655B0"/>
    <w:rsid w:val="00066FBA"/>
    <w:rsid w:val="00071E45"/>
    <w:rsid w:val="00073029"/>
    <w:rsid w:val="0007598B"/>
    <w:rsid w:val="000800FF"/>
    <w:rsid w:val="00081B3F"/>
    <w:rsid w:val="00083531"/>
    <w:rsid w:val="00085021"/>
    <w:rsid w:val="00087076"/>
    <w:rsid w:val="000872A9"/>
    <w:rsid w:val="00092753"/>
    <w:rsid w:val="00092838"/>
    <w:rsid w:val="00092A17"/>
    <w:rsid w:val="00092EEE"/>
    <w:rsid w:val="000957E2"/>
    <w:rsid w:val="000961D7"/>
    <w:rsid w:val="000A14FA"/>
    <w:rsid w:val="000A51F9"/>
    <w:rsid w:val="000A64EE"/>
    <w:rsid w:val="000A65F1"/>
    <w:rsid w:val="000D1E90"/>
    <w:rsid w:val="000E1534"/>
    <w:rsid w:val="000E3C0A"/>
    <w:rsid w:val="000E4744"/>
    <w:rsid w:val="000E5FBE"/>
    <w:rsid w:val="000E6ED4"/>
    <w:rsid w:val="000F519D"/>
    <w:rsid w:val="00101182"/>
    <w:rsid w:val="001031CF"/>
    <w:rsid w:val="00103FBF"/>
    <w:rsid w:val="00104482"/>
    <w:rsid w:val="00105691"/>
    <w:rsid w:val="00105E29"/>
    <w:rsid w:val="00110D57"/>
    <w:rsid w:val="001115FE"/>
    <w:rsid w:val="00111C89"/>
    <w:rsid w:val="0011392B"/>
    <w:rsid w:val="001142D0"/>
    <w:rsid w:val="001153DD"/>
    <w:rsid w:val="00120DFD"/>
    <w:rsid w:val="001233F1"/>
    <w:rsid w:val="001254E6"/>
    <w:rsid w:val="001268FC"/>
    <w:rsid w:val="00130AC5"/>
    <w:rsid w:val="001311FF"/>
    <w:rsid w:val="0014198E"/>
    <w:rsid w:val="001422F1"/>
    <w:rsid w:val="00142818"/>
    <w:rsid w:val="001445EA"/>
    <w:rsid w:val="00145199"/>
    <w:rsid w:val="00151012"/>
    <w:rsid w:val="0016039E"/>
    <w:rsid w:val="00170601"/>
    <w:rsid w:val="00172D34"/>
    <w:rsid w:val="00173189"/>
    <w:rsid w:val="00173326"/>
    <w:rsid w:val="00176FCE"/>
    <w:rsid w:val="00181BBB"/>
    <w:rsid w:val="001846F4"/>
    <w:rsid w:val="00185E73"/>
    <w:rsid w:val="0018711E"/>
    <w:rsid w:val="00194354"/>
    <w:rsid w:val="00195F80"/>
    <w:rsid w:val="00196BF9"/>
    <w:rsid w:val="001A111A"/>
    <w:rsid w:val="001A205C"/>
    <w:rsid w:val="001A38F5"/>
    <w:rsid w:val="001A4606"/>
    <w:rsid w:val="001B2C5D"/>
    <w:rsid w:val="001C020D"/>
    <w:rsid w:val="001C054E"/>
    <w:rsid w:val="001C2185"/>
    <w:rsid w:val="001C5085"/>
    <w:rsid w:val="001C5C18"/>
    <w:rsid w:val="001C5F9D"/>
    <w:rsid w:val="001D24BF"/>
    <w:rsid w:val="001E1083"/>
    <w:rsid w:val="001E25A4"/>
    <w:rsid w:val="001E3200"/>
    <w:rsid w:val="001E39F0"/>
    <w:rsid w:val="001E4266"/>
    <w:rsid w:val="001F0A91"/>
    <w:rsid w:val="001F6826"/>
    <w:rsid w:val="00203458"/>
    <w:rsid w:val="002044B8"/>
    <w:rsid w:val="00206CEB"/>
    <w:rsid w:val="00210661"/>
    <w:rsid w:val="00210AB3"/>
    <w:rsid w:val="002117A9"/>
    <w:rsid w:val="002168F0"/>
    <w:rsid w:val="00216997"/>
    <w:rsid w:val="00226772"/>
    <w:rsid w:val="00226C02"/>
    <w:rsid w:val="00234851"/>
    <w:rsid w:val="00235055"/>
    <w:rsid w:val="00237BBC"/>
    <w:rsid w:val="00241E9D"/>
    <w:rsid w:val="00245E05"/>
    <w:rsid w:val="002466F4"/>
    <w:rsid w:val="00247ED8"/>
    <w:rsid w:val="00250B41"/>
    <w:rsid w:val="002512EE"/>
    <w:rsid w:val="002531DC"/>
    <w:rsid w:val="0025456E"/>
    <w:rsid w:val="00261F23"/>
    <w:rsid w:val="00267951"/>
    <w:rsid w:val="00271FD4"/>
    <w:rsid w:val="00277183"/>
    <w:rsid w:val="00277AD9"/>
    <w:rsid w:val="00290C67"/>
    <w:rsid w:val="00291377"/>
    <w:rsid w:val="002958E3"/>
    <w:rsid w:val="002973BD"/>
    <w:rsid w:val="002A04D3"/>
    <w:rsid w:val="002A1FE5"/>
    <w:rsid w:val="002A636F"/>
    <w:rsid w:val="002B548B"/>
    <w:rsid w:val="002B7CD8"/>
    <w:rsid w:val="002C14FB"/>
    <w:rsid w:val="002C1539"/>
    <w:rsid w:val="002C1C84"/>
    <w:rsid w:val="002C358E"/>
    <w:rsid w:val="002C65AA"/>
    <w:rsid w:val="002D0AB6"/>
    <w:rsid w:val="002D46F2"/>
    <w:rsid w:val="002D5002"/>
    <w:rsid w:val="002E1E29"/>
    <w:rsid w:val="002E3887"/>
    <w:rsid w:val="002E466C"/>
    <w:rsid w:val="002E5500"/>
    <w:rsid w:val="002F0C2D"/>
    <w:rsid w:val="002F3BF7"/>
    <w:rsid w:val="002F723C"/>
    <w:rsid w:val="00307DCD"/>
    <w:rsid w:val="003117C5"/>
    <w:rsid w:val="003119C6"/>
    <w:rsid w:val="00316737"/>
    <w:rsid w:val="00316CEA"/>
    <w:rsid w:val="003171E4"/>
    <w:rsid w:val="003175FB"/>
    <w:rsid w:val="00320CAF"/>
    <w:rsid w:val="0033209F"/>
    <w:rsid w:val="00335888"/>
    <w:rsid w:val="00336A11"/>
    <w:rsid w:val="00337557"/>
    <w:rsid w:val="0034122F"/>
    <w:rsid w:val="0034182F"/>
    <w:rsid w:val="00342612"/>
    <w:rsid w:val="003430A1"/>
    <w:rsid w:val="00346C0C"/>
    <w:rsid w:val="00350641"/>
    <w:rsid w:val="00353279"/>
    <w:rsid w:val="00354CA1"/>
    <w:rsid w:val="0036071A"/>
    <w:rsid w:val="00363642"/>
    <w:rsid w:val="003643C2"/>
    <w:rsid w:val="0036671B"/>
    <w:rsid w:val="00372311"/>
    <w:rsid w:val="003821A2"/>
    <w:rsid w:val="00382CDF"/>
    <w:rsid w:val="00382D02"/>
    <w:rsid w:val="003856C3"/>
    <w:rsid w:val="0039124F"/>
    <w:rsid w:val="00391837"/>
    <w:rsid w:val="00391CF0"/>
    <w:rsid w:val="00392586"/>
    <w:rsid w:val="003932A6"/>
    <w:rsid w:val="00393EC9"/>
    <w:rsid w:val="00395A1D"/>
    <w:rsid w:val="003A3D50"/>
    <w:rsid w:val="003B3038"/>
    <w:rsid w:val="003B32FC"/>
    <w:rsid w:val="003B4291"/>
    <w:rsid w:val="003C1208"/>
    <w:rsid w:val="003D2632"/>
    <w:rsid w:val="003D6550"/>
    <w:rsid w:val="003E0305"/>
    <w:rsid w:val="003E0D91"/>
    <w:rsid w:val="003E3A07"/>
    <w:rsid w:val="003E629D"/>
    <w:rsid w:val="003E7A8F"/>
    <w:rsid w:val="003F223E"/>
    <w:rsid w:val="0041121C"/>
    <w:rsid w:val="00411C6A"/>
    <w:rsid w:val="0041717A"/>
    <w:rsid w:val="00423A45"/>
    <w:rsid w:val="00424FFF"/>
    <w:rsid w:val="00434B8B"/>
    <w:rsid w:val="00435B7D"/>
    <w:rsid w:val="004362BC"/>
    <w:rsid w:val="00437BB3"/>
    <w:rsid w:val="004458C7"/>
    <w:rsid w:val="00451BB9"/>
    <w:rsid w:val="00451BDF"/>
    <w:rsid w:val="00451DA5"/>
    <w:rsid w:val="00456016"/>
    <w:rsid w:val="0045686F"/>
    <w:rsid w:val="00456DE9"/>
    <w:rsid w:val="004571F9"/>
    <w:rsid w:val="00460625"/>
    <w:rsid w:val="00461B89"/>
    <w:rsid w:val="00462A55"/>
    <w:rsid w:val="00465E0B"/>
    <w:rsid w:val="00466C58"/>
    <w:rsid w:val="00466DF0"/>
    <w:rsid w:val="00466EB3"/>
    <w:rsid w:val="00466FDD"/>
    <w:rsid w:val="004707DD"/>
    <w:rsid w:val="00471C14"/>
    <w:rsid w:val="00483549"/>
    <w:rsid w:val="00483670"/>
    <w:rsid w:val="0048475E"/>
    <w:rsid w:val="00485759"/>
    <w:rsid w:val="00485FA3"/>
    <w:rsid w:val="00487B16"/>
    <w:rsid w:val="00487D44"/>
    <w:rsid w:val="0049377B"/>
    <w:rsid w:val="004957DB"/>
    <w:rsid w:val="004A0BEE"/>
    <w:rsid w:val="004A2E5F"/>
    <w:rsid w:val="004A32F6"/>
    <w:rsid w:val="004A6F49"/>
    <w:rsid w:val="004B213F"/>
    <w:rsid w:val="004B7808"/>
    <w:rsid w:val="004B7AE4"/>
    <w:rsid w:val="004C16C2"/>
    <w:rsid w:val="004C3925"/>
    <w:rsid w:val="004C553D"/>
    <w:rsid w:val="004D161C"/>
    <w:rsid w:val="004D5FB9"/>
    <w:rsid w:val="004E5A87"/>
    <w:rsid w:val="004E6519"/>
    <w:rsid w:val="004F0384"/>
    <w:rsid w:val="0050196C"/>
    <w:rsid w:val="00502B71"/>
    <w:rsid w:val="00502E75"/>
    <w:rsid w:val="00510BE2"/>
    <w:rsid w:val="0051182E"/>
    <w:rsid w:val="00515EF2"/>
    <w:rsid w:val="005206BB"/>
    <w:rsid w:val="00521325"/>
    <w:rsid w:val="00521BAC"/>
    <w:rsid w:val="00530F1A"/>
    <w:rsid w:val="005315B0"/>
    <w:rsid w:val="00531DB6"/>
    <w:rsid w:val="005413B6"/>
    <w:rsid w:val="005441D6"/>
    <w:rsid w:val="00544ADD"/>
    <w:rsid w:val="0054645A"/>
    <w:rsid w:val="005470B1"/>
    <w:rsid w:val="0055006F"/>
    <w:rsid w:val="005504A5"/>
    <w:rsid w:val="00552EA0"/>
    <w:rsid w:val="00554858"/>
    <w:rsid w:val="00560A33"/>
    <w:rsid w:val="00565212"/>
    <w:rsid w:val="00566C45"/>
    <w:rsid w:val="005710B8"/>
    <w:rsid w:val="005719F9"/>
    <w:rsid w:val="005744DD"/>
    <w:rsid w:val="00575A98"/>
    <w:rsid w:val="0057671C"/>
    <w:rsid w:val="005776C2"/>
    <w:rsid w:val="00580880"/>
    <w:rsid w:val="005813D3"/>
    <w:rsid w:val="00581833"/>
    <w:rsid w:val="00585810"/>
    <w:rsid w:val="00586245"/>
    <w:rsid w:val="00587B30"/>
    <w:rsid w:val="005907C8"/>
    <w:rsid w:val="00590B50"/>
    <w:rsid w:val="00592035"/>
    <w:rsid w:val="005A02E6"/>
    <w:rsid w:val="005A02F4"/>
    <w:rsid w:val="005A10FB"/>
    <w:rsid w:val="005A12A3"/>
    <w:rsid w:val="005A3E64"/>
    <w:rsid w:val="005A4492"/>
    <w:rsid w:val="005A63BA"/>
    <w:rsid w:val="005A7829"/>
    <w:rsid w:val="005A7EB2"/>
    <w:rsid w:val="005B18E2"/>
    <w:rsid w:val="005B47BB"/>
    <w:rsid w:val="005B637D"/>
    <w:rsid w:val="005B7291"/>
    <w:rsid w:val="005C05C7"/>
    <w:rsid w:val="005C3B62"/>
    <w:rsid w:val="005C526E"/>
    <w:rsid w:val="005C62B2"/>
    <w:rsid w:val="005D0AA1"/>
    <w:rsid w:val="005E0247"/>
    <w:rsid w:val="005E07D0"/>
    <w:rsid w:val="005E60F1"/>
    <w:rsid w:val="005E758E"/>
    <w:rsid w:val="005F35B3"/>
    <w:rsid w:val="005F56FB"/>
    <w:rsid w:val="006007E6"/>
    <w:rsid w:val="006013F3"/>
    <w:rsid w:val="006027EE"/>
    <w:rsid w:val="006035E0"/>
    <w:rsid w:val="00603DEC"/>
    <w:rsid w:val="0060420E"/>
    <w:rsid w:val="00604289"/>
    <w:rsid w:val="006043DB"/>
    <w:rsid w:val="00604786"/>
    <w:rsid w:val="00604A4A"/>
    <w:rsid w:val="006062C8"/>
    <w:rsid w:val="006131A2"/>
    <w:rsid w:val="0061606F"/>
    <w:rsid w:val="0062185D"/>
    <w:rsid w:val="00622C52"/>
    <w:rsid w:val="00624820"/>
    <w:rsid w:val="00625158"/>
    <w:rsid w:val="00626152"/>
    <w:rsid w:val="006261A2"/>
    <w:rsid w:val="0063004D"/>
    <w:rsid w:val="006303E0"/>
    <w:rsid w:val="00630EEC"/>
    <w:rsid w:val="00631737"/>
    <w:rsid w:val="006328CB"/>
    <w:rsid w:val="00636D81"/>
    <w:rsid w:val="00637B6E"/>
    <w:rsid w:val="006500A1"/>
    <w:rsid w:val="0065414C"/>
    <w:rsid w:val="00654358"/>
    <w:rsid w:val="00654399"/>
    <w:rsid w:val="0066325A"/>
    <w:rsid w:val="00663BD5"/>
    <w:rsid w:val="006673D9"/>
    <w:rsid w:val="00670FFD"/>
    <w:rsid w:val="00671C3D"/>
    <w:rsid w:val="00675279"/>
    <w:rsid w:val="006765B9"/>
    <w:rsid w:val="00677ACA"/>
    <w:rsid w:val="006813E0"/>
    <w:rsid w:val="006824B5"/>
    <w:rsid w:val="006851D8"/>
    <w:rsid w:val="00687BE3"/>
    <w:rsid w:val="00693365"/>
    <w:rsid w:val="00697D4D"/>
    <w:rsid w:val="006A0034"/>
    <w:rsid w:val="006A2389"/>
    <w:rsid w:val="006A55CA"/>
    <w:rsid w:val="006A63C7"/>
    <w:rsid w:val="006B1EF9"/>
    <w:rsid w:val="006B5059"/>
    <w:rsid w:val="006C03EC"/>
    <w:rsid w:val="006C181D"/>
    <w:rsid w:val="006C1EE2"/>
    <w:rsid w:val="006C38DE"/>
    <w:rsid w:val="006C7DE8"/>
    <w:rsid w:val="006D035F"/>
    <w:rsid w:val="006D28DA"/>
    <w:rsid w:val="006D4474"/>
    <w:rsid w:val="006D53C3"/>
    <w:rsid w:val="006D6A77"/>
    <w:rsid w:val="006D7011"/>
    <w:rsid w:val="006D742D"/>
    <w:rsid w:val="006E0657"/>
    <w:rsid w:val="006E086D"/>
    <w:rsid w:val="006E2628"/>
    <w:rsid w:val="006E364C"/>
    <w:rsid w:val="006E3BEF"/>
    <w:rsid w:val="006E73E5"/>
    <w:rsid w:val="006F1AF8"/>
    <w:rsid w:val="006F377F"/>
    <w:rsid w:val="006F4825"/>
    <w:rsid w:val="006F7F9C"/>
    <w:rsid w:val="007004F3"/>
    <w:rsid w:val="00701C94"/>
    <w:rsid w:val="00703819"/>
    <w:rsid w:val="007053EF"/>
    <w:rsid w:val="00714F6E"/>
    <w:rsid w:val="00720E9E"/>
    <w:rsid w:val="007317FE"/>
    <w:rsid w:val="00733076"/>
    <w:rsid w:val="00733DAE"/>
    <w:rsid w:val="00734D00"/>
    <w:rsid w:val="00737171"/>
    <w:rsid w:val="007417A1"/>
    <w:rsid w:val="007424D5"/>
    <w:rsid w:val="00744FCC"/>
    <w:rsid w:val="007450F4"/>
    <w:rsid w:val="0075255F"/>
    <w:rsid w:val="0075392B"/>
    <w:rsid w:val="00765BCD"/>
    <w:rsid w:val="00766B86"/>
    <w:rsid w:val="00773885"/>
    <w:rsid w:val="00773B63"/>
    <w:rsid w:val="00775A65"/>
    <w:rsid w:val="0078263D"/>
    <w:rsid w:val="00784FE2"/>
    <w:rsid w:val="00785B9C"/>
    <w:rsid w:val="00796C77"/>
    <w:rsid w:val="007A1BB9"/>
    <w:rsid w:val="007A31BD"/>
    <w:rsid w:val="007A574D"/>
    <w:rsid w:val="007A5F7D"/>
    <w:rsid w:val="007A655F"/>
    <w:rsid w:val="007B17E8"/>
    <w:rsid w:val="007B2A99"/>
    <w:rsid w:val="007B2BC7"/>
    <w:rsid w:val="007B53B8"/>
    <w:rsid w:val="007B651B"/>
    <w:rsid w:val="007B7DDF"/>
    <w:rsid w:val="007C1C22"/>
    <w:rsid w:val="007C30CB"/>
    <w:rsid w:val="007C6A5E"/>
    <w:rsid w:val="007C6EAA"/>
    <w:rsid w:val="007C7494"/>
    <w:rsid w:val="007D03E9"/>
    <w:rsid w:val="007D158C"/>
    <w:rsid w:val="007D7009"/>
    <w:rsid w:val="007E1BCE"/>
    <w:rsid w:val="007F200C"/>
    <w:rsid w:val="00805EB2"/>
    <w:rsid w:val="00811FA8"/>
    <w:rsid w:val="0081421D"/>
    <w:rsid w:val="00815595"/>
    <w:rsid w:val="008245FD"/>
    <w:rsid w:val="00836E78"/>
    <w:rsid w:val="008419B7"/>
    <w:rsid w:val="00842063"/>
    <w:rsid w:val="00842554"/>
    <w:rsid w:val="008435DA"/>
    <w:rsid w:val="00844DC3"/>
    <w:rsid w:val="00847364"/>
    <w:rsid w:val="00847A1D"/>
    <w:rsid w:val="00860863"/>
    <w:rsid w:val="00860A5C"/>
    <w:rsid w:val="008613E1"/>
    <w:rsid w:val="00863E94"/>
    <w:rsid w:val="008659C2"/>
    <w:rsid w:val="00866A44"/>
    <w:rsid w:val="00872387"/>
    <w:rsid w:val="00872610"/>
    <w:rsid w:val="00876F74"/>
    <w:rsid w:val="00877F49"/>
    <w:rsid w:val="00880F6F"/>
    <w:rsid w:val="008843AB"/>
    <w:rsid w:val="008854BF"/>
    <w:rsid w:val="0088552B"/>
    <w:rsid w:val="008920DA"/>
    <w:rsid w:val="00892CBD"/>
    <w:rsid w:val="00896233"/>
    <w:rsid w:val="00896433"/>
    <w:rsid w:val="008970C2"/>
    <w:rsid w:val="008A071B"/>
    <w:rsid w:val="008A261E"/>
    <w:rsid w:val="008A42EE"/>
    <w:rsid w:val="008B279A"/>
    <w:rsid w:val="008B27A0"/>
    <w:rsid w:val="008B2FF0"/>
    <w:rsid w:val="008C0161"/>
    <w:rsid w:val="008C32CC"/>
    <w:rsid w:val="008C3683"/>
    <w:rsid w:val="008C4FFB"/>
    <w:rsid w:val="008D349E"/>
    <w:rsid w:val="008D3AE5"/>
    <w:rsid w:val="008D752D"/>
    <w:rsid w:val="008D7E01"/>
    <w:rsid w:val="008F007F"/>
    <w:rsid w:val="008F1F57"/>
    <w:rsid w:val="008F2C0D"/>
    <w:rsid w:val="008F4A1C"/>
    <w:rsid w:val="0090015E"/>
    <w:rsid w:val="009015DE"/>
    <w:rsid w:val="00902023"/>
    <w:rsid w:val="00903F28"/>
    <w:rsid w:val="00904AB4"/>
    <w:rsid w:val="00905DA0"/>
    <w:rsid w:val="0091055E"/>
    <w:rsid w:val="00910B38"/>
    <w:rsid w:val="00911DF7"/>
    <w:rsid w:val="00913201"/>
    <w:rsid w:val="009152DF"/>
    <w:rsid w:val="009170A3"/>
    <w:rsid w:val="00925C8B"/>
    <w:rsid w:val="00926399"/>
    <w:rsid w:val="009314EC"/>
    <w:rsid w:val="00931E8F"/>
    <w:rsid w:val="00936F6B"/>
    <w:rsid w:val="00940B98"/>
    <w:rsid w:val="00941602"/>
    <w:rsid w:val="0094308A"/>
    <w:rsid w:val="00944DA4"/>
    <w:rsid w:val="00951BC2"/>
    <w:rsid w:val="0095450E"/>
    <w:rsid w:val="00960F20"/>
    <w:rsid w:val="009638C2"/>
    <w:rsid w:val="00963E6F"/>
    <w:rsid w:val="0096661B"/>
    <w:rsid w:val="00966706"/>
    <w:rsid w:val="00971899"/>
    <w:rsid w:val="00971D0E"/>
    <w:rsid w:val="00973A60"/>
    <w:rsid w:val="009749C7"/>
    <w:rsid w:val="00976810"/>
    <w:rsid w:val="00977B7B"/>
    <w:rsid w:val="00977E6C"/>
    <w:rsid w:val="0098002A"/>
    <w:rsid w:val="009836EB"/>
    <w:rsid w:val="00983BD0"/>
    <w:rsid w:val="00985EB9"/>
    <w:rsid w:val="00986BFB"/>
    <w:rsid w:val="00991937"/>
    <w:rsid w:val="0099204A"/>
    <w:rsid w:val="009948E5"/>
    <w:rsid w:val="009A0C83"/>
    <w:rsid w:val="009A20F4"/>
    <w:rsid w:val="009A40EF"/>
    <w:rsid w:val="009A6700"/>
    <w:rsid w:val="009A6CF9"/>
    <w:rsid w:val="009B2BAD"/>
    <w:rsid w:val="009C1A8E"/>
    <w:rsid w:val="009C228E"/>
    <w:rsid w:val="009C68D5"/>
    <w:rsid w:val="009D2CA5"/>
    <w:rsid w:val="009D2DEC"/>
    <w:rsid w:val="009D713B"/>
    <w:rsid w:val="009E12C3"/>
    <w:rsid w:val="009E18BA"/>
    <w:rsid w:val="009E23A6"/>
    <w:rsid w:val="009E3F98"/>
    <w:rsid w:val="009E5E65"/>
    <w:rsid w:val="009F04E4"/>
    <w:rsid w:val="009F0DC9"/>
    <w:rsid w:val="009F0F1F"/>
    <w:rsid w:val="009F24E1"/>
    <w:rsid w:val="009F4D5D"/>
    <w:rsid w:val="00A00E05"/>
    <w:rsid w:val="00A0212B"/>
    <w:rsid w:val="00A0719B"/>
    <w:rsid w:val="00A07AEB"/>
    <w:rsid w:val="00A13963"/>
    <w:rsid w:val="00A15177"/>
    <w:rsid w:val="00A20ED3"/>
    <w:rsid w:val="00A2204F"/>
    <w:rsid w:val="00A2241A"/>
    <w:rsid w:val="00A23AAB"/>
    <w:rsid w:val="00A24EE9"/>
    <w:rsid w:val="00A266AF"/>
    <w:rsid w:val="00A3126A"/>
    <w:rsid w:val="00A4296A"/>
    <w:rsid w:val="00A44F64"/>
    <w:rsid w:val="00A5128C"/>
    <w:rsid w:val="00A54416"/>
    <w:rsid w:val="00A54DBB"/>
    <w:rsid w:val="00A605AD"/>
    <w:rsid w:val="00A60C40"/>
    <w:rsid w:val="00A61606"/>
    <w:rsid w:val="00A617A7"/>
    <w:rsid w:val="00A6405D"/>
    <w:rsid w:val="00A71013"/>
    <w:rsid w:val="00A75D61"/>
    <w:rsid w:val="00A80F85"/>
    <w:rsid w:val="00A81C79"/>
    <w:rsid w:val="00A8798D"/>
    <w:rsid w:val="00A914D5"/>
    <w:rsid w:val="00A938F7"/>
    <w:rsid w:val="00A94A2D"/>
    <w:rsid w:val="00AA1554"/>
    <w:rsid w:val="00AA266A"/>
    <w:rsid w:val="00AB028F"/>
    <w:rsid w:val="00AB1495"/>
    <w:rsid w:val="00AB4EFE"/>
    <w:rsid w:val="00AC0C51"/>
    <w:rsid w:val="00AC22C8"/>
    <w:rsid w:val="00AD3676"/>
    <w:rsid w:val="00AD4FC5"/>
    <w:rsid w:val="00AE0084"/>
    <w:rsid w:val="00AE1ECC"/>
    <w:rsid w:val="00AE6553"/>
    <w:rsid w:val="00AF2431"/>
    <w:rsid w:val="00AF25BA"/>
    <w:rsid w:val="00B0206B"/>
    <w:rsid w:val="00B02240"/>
    <w:rsid w:val="00B05EF1"/>
    <w:rsid w:val="00B10F05"/>
    <w:rsid w:val="00B1180C"/>
    <w:rsid w:val="00B14BC9"/>
    <w:rsid w:val="00B17301"/>
    <w:rsid w:val="00B222AE"/>
    <w:rsid w:val="00B22772"/>
    <w:rsid w:val="00B22F1A"/>
    <w:rsid w:val="00B23364"/>
    <w:rsid w:val="00B256FA"/>
    <w:rsid w:val="00B260CF"/>
    <w:rsid w:val="00B2611D"/>
    <w:rsid w:val="00B27105"/>
    <w:rsid w:val="00B303FB"/>
    <w:rsid w:val="00B35CEF"/>
    <w:rsid w:val="00B37C93"/>
    <w:rsid w:val="00B41F85"/>
    <w:rsid w:val="00B50359"/>
    <w:rsid w:val="00B52AD1"/>
    <w:rsid w:val="00B55D42"/>
    <w:rsid w:val="00B55E0C"/>
    <w:rsid w:val="00B56514"/>
    <w:rsid w:val="00B609E1"/>
    <w:rsid w:val="00B61294"/>
    <w:rsid w:val="00B6185B"/>
    <w:rsid w:val="00B6238A"/>
    <w:rsid w:val="00B643B1"/>
    <w:rsid w:val="00B6721F"/>
    <w:rsid w:val="00B71222"/>
    <w:rsid w:val="00B8147B"/>
    <w:rsid w:val="00B84008"/>
    <w:rsid w:val="00B8675E"/>
    <w:rsid w:val="00B86839"/>
    <w:rsid w:val="00B9422E"/>
    <w:rsid w:val="00B95834"/>
    <w:rsid w:val="00B96CC8"/>
    <w:rsid w:val="00B97176"/>
    <w:rsid w:val="00BA1222"/>
    <w:rsid w:val="00BA4D19"/>
    <w:rsid w:val="00BA7EE4"/>
    <w:rsid w:val="00BB248D"/>
    <w:rsid w:val="00BB2570"/>
    <w:rsid w:val="00BB62E8"/>
    <w:rsid w:val="00BC52DA"/>
    <w:rsid w:val="00BC7AFE"/>
    <w:rsid w:val="00BD414E"/>
    <w:rsid w:val="00BD4E90"/>
    <w:rsid w:val="00BE0CB4"/>
    <w:rsid w:val="00BE25FA"/>
    <w:rsid w:val="00BE27D4"/>
    <w:rsid w:val="00BE6C3C"/>
    <w:rsid w:val="00BF18D0"/>
    <w:rsid w:val="00BF4BBD"/>
    <w:rsid w:val="00C00A81"/>
    <w:rsid w:val="00C02414"/>
    <w:rsid w:val="00C03F5E"/>
    <w:rsid w:val="00C0452D"/>
    <w:rsid w:val="00C0792E"/>
    <w:rsid w:val="00C23175"/>
    <w:rsid w:val="00C415F5"/>
    <w:rsid w:val="00C43A92"/>
    <w:rsid w:val="00C45203"/>
    <w:rsid w:val="00C47934"/>
    <w:rsid w:val="00C57678"/>
    <w:rsid w:val="00C6270B"/>
    <w:rsid w:val="00C64233"/>
    <w:rsid w:val="00C658F7"/>
    <w:rsid w:val="00C761B3"/>
    <w:rsid w:val="00C82911"/>
    <w:rsid w:val="00C84D82"/>
    <w:rsid w:val="00C850EC"/>
    <w:rsid w:val="00C87021"/>
    <w:rsid w:val="00C92EDA"/>
    <w:rsid w:val="00C93E72"/>
    <w:rsid w:val="00C972BD"/>
    <w:rsid w:val="00CA0EA6"/>
    <w:rsid w:val="00CA1531"/>
    <w:rsid w:val="00CA6827"/>
    <w:rsid w:val="00CB00F0"/>
    <w:rsid w:val="00CB12E3"/>
    <w:rsid w:val="00CB6ACA"/>
    <w:rsid w:val="00CC14D3"/>
    <w:rsid w:val="00CC1647"/>
    <w:rsid w:val="00CC1A27"/>
    <w:rsid w:val="00CC5903"/>
    <w:rsid w:val="00CD13AA"/>
    <w:rsid w:val="00CD6FED"/>
    <w:rsid w:val="00CE0C57"/>
    <w:rsid w:val="00CE3160"/>
    <w:rsid w:val="00CF158E"/>
    <w:rsid w:val="00CF1B45"/>
    <w:rsid w:val="00CF2090"/>
    <w:rsid w:val="00CF539E"/>
    <w:rsid w:val="00D021D5"/>
    <w:rsid w:val="00D055E1"/>
    <w:rsid w:val="00D06176"/>
    <w:rsid w:val="00D06A26"/>
    <w:rsid w:val="00D07D18"/>
    <w:rsid w:val="00D101B4"/>
    <w:rsid w:val="00D141FD"/>
    <w:rsid w:val="00D25B72"/>
    <w:rsid w:val="00D269BA"/>
    <w:rsid w:val="00D27903"/>
    <w:rsid w:val="00D302A7"/>
    <w:rsid w:val="00D3193A"/>
    <w:rsid w:val="00D32313"/>
    <w:rsid w:val="00D34A4C"/>
    <w:rsid w:val="00D3691D"/>
    <w:rsid w:val="00D36A19"/>
    <w:rsid w:val="00D442EF"/>
    <w:rsid w:val="00D5434D"/>
    <w:rsid w:val="00D61D8E"/>
    <w:rsid w:val="00D66EDB"/>
    <w:rsid w:val="00D7003E"/>
    <w:rsid w:val="00D7198C"/>
    <w:rsid w:val="00D72D31"/>
    <w:rsid w:val="00D73CE8"/>
    <w:rsid w:val="00D769DB"/>
    <w:rsid w:val="00D80215"/>
    <w:rsid w:val="00D82327"/>
    <w:rsid w:val="00D946E5"/>
    <w:rsid w:val="00DA7579"/>
    <w:rsid w:val="00DB15D7"/>
    <w:rsid w:val="00DB6474"/>
    <w:rsid w:val="00DC379A"/>
    <w:rsid w:val="00DC3AB3"/>
    <w:rsid w:val="00DC3FF3"/>
    <w:rsid w:val="00DC7289"/>
    <w:rsid w:val="00DC7857"/>
    <w:rsid w:val="00DD0C64"/>
    <w:rsid w:val="00DD4726"/>
    <w:rsid w:val="00DD4F60"/>
    <w:rsid w:val="00DD5CA2"/>
    <w:rsid w:val="00DE0214"/>
    <w:rsid w:val="00DE1D27"/>
    <w:rsid w:val="00DE22E8"/>
    <w:rsid w:val="00DE2ED2"/>
    <w:rsid w:val="00DE578F"/>
    <w:rsid w:val="00DE7C4D"/>
    <w:rsid w:val="00DF1A74"/>
    <w:rsid w:val="00DF4660"/>
    <w:rsid w:val="00DF4954"/>
    <w:rsid w:val="00E01EDD"/>
    <w:rsid w:val="00E14119"/>
    <w:rsid w:val="00E15F92"/>
    <w:rsid w:val="00E2107E"/>
    <w:rsid w:val="00E263FA"/>
    <w:rsid w:val="00E314EE"/>
    <w:rsid w:val="00E31D9D"/>
    <w:rsid w:val="00E31F89"/>
    <w:rsid w:val="00E32FB4"/>
    <w:rsid w:val="00E34F49"/>
    <w:rsid w:val="00E37FD6"/>
    <w:rsid w:val="00E4260D"/>
    <w:rsid w:val="00E44392"/>
    <w:rsid w:val="00E4729D"/>
    <w:rsid w:val="00E51C81"/>
    <w:rsid w:val="00E564DC"/>
    <w:rsid w:val="00E574AF"/>
    <w:rsid w:val="00E65CE7"/>
    <w:rsid w:val="00E6759E"/>
    <w:rsid w:val="00E711D6"/>
    <w:rsid w:val="00E72457"/>
    <w:rsid w:val="00E73DF8"/>
    <w:rsid w:val="00E74C51"/>
    <w:rsid w:val="00E7785D"/>
    <w:rsid w:val="00E80FAE"/>
    <w:rsid w:val="00E823D7"/>
    <w:rsid w:val="00E8398A"/>
    <w:rsid w:val="00E853B9"/>
    <w:rsid w:val="00E916D8"/>
    <w:rsid w:val="00E941CF"/>
    <w:rsid w:val="00EA1F97"/>
    <w:rsid w:val="00EB4CDF"/>
    <w:rsid w:val="00EB5043"/>
    <w:rsid w:val="00EB6A43"/>
    <w:rsid w:val="00EB7EB7"/>
    <w:rsid w:val="00EC6FDC"/>
    <w:rsid w:val="00EC74B9"/>
    <w:rsid w:val="00ED389B"/>
    <w:rsid w:val="00ED4F4C"/>
    <w:rsid w:val="00EE0C14"/>
    <w:rsid w:val="00EE1BDC"/>
    <w:rsid w:val="00EE269D"/>
    <w:rsid w:val="00EE77E8"/>
    <w:rsid w:val="00EF131C"/>
    <w:rsid w:val="00EF55DC"/>
    <w:rsid w:val="00EF5D73"/>
    <w:rsid w:val="00EF63A7"/>
    <w:rsid w:val="00EF6ACE"/>
    <w:rsid w:val="00F012E7"/>
    <w:rsid w:val="00F0205B"/>
    <w:rsid w:val="00F02A36"/>
    <w:rsid w:val="00F03ABE"/>
    <w:rsid w:val="00F05820"/>
    <w:rsid w:val="00F0630A"/>
    <w:rsid w:val="00F14A75"/>
    <w:rsid w:val="00F15927"/>
    <w:rsid w:val="00F15F7D"/>
    <w:rsid w:val="00F20645"/>
    <w:rsid w:val="00F21A93"/>
    <w:rsid w:val="00F258E3"/>
    <w:rsid w:val="00F32DC1"/>
    <w:rsid w:val="00F34E6D"/>
    <w:rsid w:val="00F35899"/>
    <w:rsid w:val="00F36701"/>
    <w:rsid w:val="00F42929"/>
    <w:rsid w:val="00F43091"/>
    <w:rsid w:val="00F57333"/>
    <w:rsid w:val="00F57E9E"/>
    <w:rsid w:val="00F601BD"/>
    <w:rsid w:val="00F601DF"/>
    <w:rsid w:val="00F61D95"/>
    <w:rsid w:val="00F62597"/>
    <w:rsid w:val="00F67277"/>
    <w:rsid w:val="00F71656"/>
    <w:rsid w:val="00F72B49"/>
    <w:rsid w:val="00F72FE3"/>
    <w:rsid w:val="00F73BE5"/>
    <w:rsid w:val="00F75A56"/>
    <w:rsid w:val="00F77943"/>
    <w:rsid w:val="00F8026E"/>
    <w:rsid w:val="00F83327"/>
    <w:rsid w:val="00F83A35"/>
    <w:rsid w:val="00F83C0F"/>
    <w:rsid w:val="00F855FD"/>
    <w:rsid w:val="00F90618"/>
    <w:rsid w:val="00F93BCE"/>
    <w:rsid w:val="00F9765E"/>
    <w:rsid w:val="00FB0CD3"/>
    <w:rsid w:val="00FB7586"/>
    <w:rsid w:val="00FB76C3"/>
    <w:rsid w:val="00FC0098"/>
    <w:rsid w:val="00FC15E6"/>
    <w:rsid w:val="00FC276D"/>
    <w:rsid w:val="00FC2BB6"/>
    <w:rsid w:val="00FC2D2A"/>
    <w:rsid w:val="00FC3E95"/>
    <w:rsid w:val="00FC57ED"/>
    <w:rsid w:val="00FC6668"/>
    <w:rsid w:val="00FD16F8"/>
    <w:rsid w:val="00FE6E7E"/>
    <w:rsid w:val="00FF0D92"/>
    <w:rsid w:val="00FF4A2A"/>
    <w:rsid w:val="00FF4F1F"/>
    <w:rsid w:val="00FF5F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A58452A"/>
  <w15:docId w15:val="{1B18190E-754B-4B1B-B032-14F097A7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ED389B"/>
    <w:pPr>
      <w:numPr>
        <w:numId w:val="19"/>
      </w:numPr>
      <w:tabs>
        <w:tab w:val="right" w:leader="dot" w:pos="9021"/>
      </w:tabs>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39"/>
    <w:qFormat/>
    <w:rsid w:val="00D7003E"/>
    <w:pPr>
      <w:tabs>
        <w:tab w:val="right" w:leader="dot" w:pos="9021"/>
      </w:tabs>
      <w:spacing w:after="120"/>
      <w:ind w:left="907" w:firstLine="255"/>
    </w:pPr>
    <w:rPr>
      <w:rFonts w:eastAsia="Tahoma" w:cs="Tahoma"/>
      <w:color w:val="58595A"/>
      <w:sz w:val="1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
    <w:basedOn w:val="Normal"/>
    <w:link w:val="ListParagraphChar"/>
    <w:uiPriority w:val="34"/>
    <w:qFormat/>
    <w:rsid w:val="00066FBA"/>
    <w:pPr>
      <w:numPr>
        <w:ilvl w:val="1"/>
        <w:numId w:val="2"/>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3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ListParagraph"/>
    <w:link w:val="ListL2Char"/>
    <w:qFormat/>
    <w:rsid w:val="00DE2ED2"/>
    <w:pPr>
      <w:numPr>
        <w:ilvl w:val="2"/>
      </w:numPr>
      <w:ind w:left="567" w:hanging="283"/>
    </w:pPr>
  </w:style>
  <w:style w:type="paragraph" w:customStyle="1" w:styleId="ListWhite">
    <w:name w:val="List White"/>
    <w:basedOn w:val="ListParagraph"/>
    <w:link w:val="ListWhiteChar"/>
    <w:qFormat/>
    <w:rsid w:val="001031CF"/>
    <w:pPr>
      <w:numPr>
        <w:ilvl w:val="0"/>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
    <w:basedOn w:val="DefaultParagraphFont"/>
    <w:link w:val="ListParagraph"/>
    <w:uiPriority w:val="34"/>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DE2ED2"/>
    <w:rPr>
      <w:rFonts w:ascii="Arial" w:eastAsia="Futura PT Book" w:hAnsi="Arial" w:cs="Futura PT Book"/>
      <w:color w:val="58595B"/>
      <w:sz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clear" w:pos="9021"/>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ED389B"/>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iPriority w:val="99"/>
    <w:semiHidden/>
    <w:unhideWhenUsed/>
    <w:rsid w:val="00DB6474"/>
    <w:rPr>
      <w:sz w:val="20"/>
      <w:szCs w:val="20"/>
    </w:rPr>
  </w:style>
  <w:style w:type="character" w:customStyle="1" w:styleId="CommentTextChar">
    <w:name w:val="Comment Text Char"/>
    <w:basedOn w:val="DefaultParagraphFont"/>
    <w:link w:val="CommentText"/>
    <w:uiPriority w:val="99"/>
    <w:semiHidden/>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unhideWhenUsed/>
    <w:rsid w:val="00DB6474"/>
    <w:pPr>
      <w:spacing w:after="100"/>
      <w:ind w:left="660"/>
    </w:pPr>
  </w:style>
  <w:style w:type="paragraph" w:styleId="TOC5">
    <w:name w:val="toc 5"/>
    <w:basedOn w:val="Normal"/>
    <w:next w:val="Normal"/>
    <w:autoRedefine/>
    <w:uiPriority w:val="39"/>
    <w:semiHidden/>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ilvl w:val="0"/>
        <w:numId w:val="18"/>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UnresolvedMention">
    <w:name w:val="Unresolved Mention"/>
    <w:basedOn w:val="DefaultParagraphFont"/>
    <w:uiPriority w:val="99"/>
    <w:semiHidden/>
    <w:unhideWhenUsed/>
    <w:rsid w:val="00DE1D27"/>
    <w:rPr>
      <w:color w:val="605E5C"/>
      <w:shd w:val="clear" w:color="auto" w:fill="E1DFDD"/>
    </w:rPr>
  </w:style>
  <w:style w:type="paragraph" w:styleId="Revision">
    <w:name w:val="Revision"/>
    <w:hidden/>
    <w:uiPriority w:val="99"/>
    <w:semiHidden/>
    <w:rsid w:val="00703819"/>
    <w:pPr>
      <w:widowControl/>
      <w:autoSpaceDE/>
      <w:autoSpaceDN/>
    </w:pPr>
    <w:rPr>
      <w:rFonts w:ascii="Arial" w:eastAsia="Futura PT Book" w:hAnsi="Arial" w:cs="Futura PT Book"/>
      <w:lang w:val="en-A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2.xml"/><Relationship Id="rId26" Type="http://schemas.openxmlformats.org/officeDocument/2006/relationships/hyperlink" Target="http://www.federalfinancialrelations.gov.au/content/npa/health/other/NHRA_2020-25_Addendum_consolidated.pdf" TargetMode="External"/><Relationship Id="rId39" Type="http://schemas.openxmlformats.org/officeDocument/2006/relationships/image" Target="media/image14.png"/><Relationship Id="rId21" Type="http://schemas.openxmlformats.org/officeDocument/2006/relationships/header" Target="header6.xml"/><Relationship Id="rId34" Type="http://schemas.openxmlformats.org/officeDocument/2006/relationships/footer" Target="footer5.xml"/><Relationship Id="rId42" Type="http://schemas.openxmlformats.org/officeDocument/2006/relationships/header" Target="header14.xml"/><Relationship Id="rId47" Type="http://schemas.openxmlformats.org/officeDocument/2006/relationships/image" Target="media/image17.png"/><Relationship Id="rId50" Type="http://schemas.openxmlformats.org/officeDocument/2006/relationships/header" Target="header18.xml"/><Relationship Id="rId55" Type="http://schemas.openxmlformats.org/officeDocument/2006/relationships/image" Target="media/image18.png"/><Relationship Id="rId63" Type="http://schemas.openxmlformats.org/officeDocument/2006/relationships/image" Target="media/image20.png"/><Relationship Id="rId68" Type="http://schemas.openxmlformats.org/officeDocument/2006/relationships/header" Target="header25.xml"/><Relationship Id="rId84" Type="http://schemas.openxmlformats.org/officeDocument/2006/relationships/header" Target="header31.xml"/><Relationship Id="rId89" Type="http://schemas.microsoft.com/office/2018/08/relationships/commentsExtensible" Target="commentsExtensible.xml"/><Relationship Id="rId7" Type="http://schemas.openxmlformats.org/officeDocument/2006/relationships/endnotes" Target="endnotes.xml"/><Relationship Id="rId71" Type="http://schemas.openxmlformats.org/officeDocument/2006/relationships/header" Target="header28.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footer" Target="footer4.xml"/><Relationship Id="rId11" Type="http://schemas.openxmlformats.org/officeDocument/2006/relationships/image" Target="media/image4.jpg"/><Relationship Id="rId24" Type="http://schemas.openxmlformats.org/officeDocument/2006/relationships/header" Target="header7.xml"/><Relationship Id="rId32" Type="http://schemas.openxmlformats.org/officeDocument/2006/relationships/image" Target="media/image11.png"/><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image" Target="media/image16.png"/><Relationship Id="rId53" Type="http://schemas.openxmlformats.org/officeDocument/2006/relationships/hyperlink" Target="https://www.ihpa.gov.au/publications/ihpa-work-program-2020-21" TargetMode="External"/><Relationship Id="rId58" Type="http://schemas.openxmlformats.org/officeDocument/2006/relationships/header" Target="header20.xml"/><Relationship Id="rId66" Type="http://schemas.openxmlformats.org/officeDocument/2006/relationships/header" Target="header23.xml"/><Relationship Id="rId74" Type="http://schemas.openxmlformats.org/officeDocument/2006/relationships/hyperlink" Target="https://www.safetyandquality.gov.au/our-work/indicators/australian-sentinel-events-list" TargetMode="External"/><Relationship Id="rId79" Type="http://schemas.openxmlformats.org/officeDocument/2006/relationships/hyperlink" Target="https://www.safetyandquality.gov.au/our-work/indicators/avoidable-hospital-readmissions"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ihpa.gov.au/publications/fundamental-review-national-efficient-price" TargetMode="External"/><Relationship Id="rId82" Type="http://schemas.openxmlformats.org/officeDocument/2006/relationships/hyperlink" Target="https://twitter.com/ihpanews?lang=en" TargetMode="External"/><Relationship Id="rId90" Type="http://schemas.microsoft.com/office/2016/09/relationships/commentsIds" Target="commentsIds.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4.xml"/><Relationship Id="rId22" Type="http://schemas.openxmlformats.org/officeDocument/2006/relationships/footer" Target="footer3.xml"/><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image" Target="media/image15.png"/><Relationship Id="rId48" Type="http://schemas.openxmlformats.org/officeDocument/2006/relationships/header" Target="header16.xml"/><Relationship Id="rId56" Type="http://schemas.openxmlformats.org/officeDocument/2006/relationships/header" Target="header19.xml"/><Relationship Id="rId64" Type="http://schemas.openxmlformats.org/officeDocument/2006/relationships/header" Target="header22.xml"/><Relationship Id="rId69" Type="http://schemas.openxmlformats.org/officeDocument/2006/relationships/header" Target="header26.xml"/><Relationship Id="rId77" Type="http://schemas.openxmlformats.org/officeDocument/2006/relationships/hyperlink" Target="https://www.safetyandquality.gov.au/our-work/indicators/australian-sentinel-events-list" TargetMode="External"/><Relationship Id="rId8" Type="http://schemas.openxmlformats.org/officeDocument/2006/relationships/image" Target="media/image2.jpeg"/><Relationship Id="rId51" Type="http://schemas.openxmlformats.org/officeDocument/2006/relationships/hyperlink" Target="https://www.ihpa.gov.au/what-we-do/classifications/emergency-care/emergency-department-icd-10-am-tenth-edition-principal-diagnosis-short-list" TargetMode="External"/><Relationship Id="rId72" Type="http://schemas.openxmlformats.org/officeDocument/2006/relationships/header" Target="header29.xml"/><Relationship Id="rId80" Type="http://schemas.openxmlformats.org/officeDocument/2006/relationships/image" Target="media/image21.jpeg"/><Relationship Id="rId85" Type="http://schemas.openxmlformats.org/officeDocument/2006/relationships/footer" Target="footer7.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www.federalfinancialrelations.gov.au/content/national_health_reform.aspx" TargetMode="External"/><Relationship Id="rId33" Type="http://schemas.openxmlformats.org/officeDocument/2006/relationships/header" Target="header10.xml"/><Relationship Id="rId38" Type="http://schemas.openxmlformats.org/officeDocument/2006/relationships/image" Target="media/image13.png"/><Relationship Id="rId46" Type="http://schemas.openxmlformats.org/officeDocument/2006/relationships/header" Target="header15.xml"/><Relationship Id="rId59" Type="http://schemas.openxmlformats.org/officeDocument/2006/relationships/hyperlink" Target="https://www.ihpa.gov.au/publications/national-pricing-model-technical-specifications-2018-19" TargetMode="External"/><Relationship Id="rId67" Type="http://schemas.openxmlformats.org/officeDocument/2006/relationships/header" Target="header24.xml"/><Relationship Id="rId20" Type="http://schemas.openxmlformats.org/officeDocument/2006/relationships/image" Target="media/image7.png"/><Relationship Id="rId41" Type="http://schemas.openxmlformats.org/officeDocument/2006/relationships/footer" Target="footer6.xml"/><Relationship Id="rId54" Type="http://schemas.openxmlformats.org/officeDocument/2006/relationships/hyperlink" Target="https://www.ihpa.gov.au/publications/australian-mental-health-care-classification-pricing-feasibility-report-2020-21" TargetMode="External"/><Relationship Id="rId62" Type="http://schemas.openxmlformats.org/officeDocument/2006/relationships/header" Target="header21.xml"/><Relationship Id="rId70" Type="http://schemas.openxmlformats.org/officeDocument/2006/relationships/header" Target="header27.xml"/><Relationship Id="rId83" Type="http://schemas.openxmlformats.org/officeDocument/2006/relationships/hyperlink" Target="http://www.ihpa.gov.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8.png"/><Relationship Id="rId28" Type="http://schemas.openxmlformats.org/officeDocument/2006/relationships/header" Target="header8.xml"/><Relationship Id="rId36" Type="http://schemas.openxmlformats.org/officeDocument/2006/relationships/header" Target="header11.xml"/><Relationship Id="rId49" Type="http://schemas.openxmlformats.org/officeDocument/2006/relationships/header" Target="header17.xml"/><Relationship Id="rId57" Type="http://schemas.openxmlformats.org/officeDocument/2006/relationships/image" Target="media/image19.png"/><Relationship Id="rId10" Type="http://schemas.openxmlformats.org/officeDocument/2006/relationships/header" Target="header1.xml"/><Relationship Id="rId31" Type="http://schemas.openxmlformats.org/officeDocument/2006/relationships/header" Target="header9.xml"/><Relationship Id="rId44" Type="http://schemas.openxmlformats.org/officeDocument/2006/relationships/hyperlink" Target="https://www.ihpa.gov.au/publications/annual-review-general-list-scope-public-hospital-services-1" TargetMode="External"/><Relationship Id="rId52" Type="http://schemas.openxmlformats.org/officeDocument/2006/relationships/hyperlink" Target="https://www.ihpa.gov.au/what-we-do/classifications/emergency-care/emergency-department-icd-10-am-tenth-edition-principal-diagnosis-short-list" TargetMode="External"/><Relationship Id="rId60" Type="http://schemas.openxmlformats.org/officeDocument/2006/relationships/hyperlink" Target="https://www.ihpa.gov.au/publications/fundamental-review-national-efficient-price" TargetMode="External"/><Relationship Id="rId65" Type="http://schemas.openxmlformats.org/officeDocument/2006/relationships/hyperlink" Target="https://www.ihpa.gov.au/publications/pricing-framework-australian-public-hospital-services-2020-21" TargetMode="External"/><Relationship Id="rId73" Type="http://schemas.openxmlformats.org/officeDocument/2006/relationships/header" Target="header30.xml"/><Relationship Id="rId78" Type="http://schemas.openxmlformats.org/officeDocument/2006/relationships/hyperlink" Target="https://www.safetyandquality.gov.au/our-work/indicators/australian-sentinel-events-list" TargetMode="External"/><Relationship Id="rId81" Type="http://schemas.openxmlformats.org/officeDocument/2006/relationships/hyperlink" Target="mailto:enquiries.ihpa@ihpa.gov.au" TargetMode="External"/><Relationship Id="rId86"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5C1B6-1513-4A5B-B7A5-307083579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9580</Words>
  <Characters>57517</Characters>
  <Application>Microsoft Office Word</Application>
  <DocSecurity>4</DocSecurity>
  <Lines>479</Lines>
  <Paragraphs>133</Paragraphs>
  <ScaleCrop>false</ScaleCrop>
  <HeadingPairs>
    <vt:vector size="2" baseType="variant">
      <vt:variant>
        <vt:lpstr>Title</vt:lpstr>
      </vt:variant>
      <vt:variant>
        <vt:i4>1</vt:i4>
      </vt:variant>
    </vt:vector>
  </HeadingPairs>
  <TitlesOfParts>
    <vt:vector size="1" baseType="lpstr">
      <vt:lpstr>Consultation Paper on the Pricing Framework for Australian Public Hospital Services 2020-21</vt:lpstr>
    </vt:vector>
  </TitlesOfParts>
  <Company/>
  <LinksUpToDate>false</LinksUpToDate>
  <CharactersWithSpaces>66964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Consultation Paper on the Pricing Framework for Australian Public Hospital Services 2020-21</dc:title>
  <dc:subject/>
  <dc:creator>IHPA - Independent Hospital Pricing Authority</dc:creator>
  <cp:keywords/>
  <dc:description/>
  <cp:lastModifiedBy>LYNCH, Alex</cp:lastModifiedBy>
  <cp:revision>2</cp:revision>
  <cp:lastPrinted>2020-09-08T06:09:00Z</cp:lastPrinted>
  <dcterms:created xsi:type="dcterms:W3CDTF">2021-03-01T03:45:00Z</dcterms:created>
  <dcterms:modified xsi:type="dcterms:W3CDTF">2021-03-01T03:45:00Z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ies>
</file>