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iCs/>
          <w:sz w:val="28"/>
          <w:szCs w:val="28"/>
        </w:rPr>
        <w:id w:val="1049189734"/>
        <w:docPartObj>
          <w:docPartGallery w:val="Cover Pages"/>
          <w:docPartUnique/>
        </w:docPartObj>
      </w:sdtPr>
      <w:sdtEndPr>
        <w:rPr>
          <w:b w:val="0"/>
          <w:bCs w:val="0"/>
          <w:iCs w:val="0"/>
        </w:rPr>
      </w:sdtEndPr>
      <w:sdtContent>
        <w:p w:rsidR="00EB2D3D" w:rsidRPr="00D21AC0" w:rsidRDefault="00B95032" w:rsidP="00D21AC0">
          <w:pPr>
            <w:rPr>
              <w:b/>
              <w:noProof/>
              <w:sz w:val="36"/>
              <w:szCs w:val="36"/>
              <w:lang w:eastAsia="en-AU"/>
            </w:rPr>
          </w:pPr>
          <w:r w:rsidRPr="00D21AC0">
            <w:rPr>
              <w:b/>
              <w:noProof/>
              <w:sz w:val="36"/>
              <w:szCs w:val="36"/>
              <w:lang w:eastAsia="en-AU"/>
            </w:rPr>
            <w:drawing>
              <wp:anchor distT="0" distB="0" distL="114300" distR="114300" simplePos="0" relativeHeight="251662336" behindDoc="1" locked="0" layoutInCell="1" allowOverlap="1" wp14:anchorId="27EBD48B" wp14:editId="1D45ABF8">
                <wp:simplePos x="0" y="0"/>
                <wp:positionH relativeFrom="column">
                  <wp:posOffset>-499729</wp:posOffset>
                </wp:positionH>
                <wp:positionV relativeFrom="paragraph">
                  <wp:posOffset>-1003108</wp:posOffset>
                </wp:positionV>
                <wp:extent cx="7772400" cy="11291777"/>
                <wp:effectExtent l="0" t="0" r="0" b="5080"/>
                <wp:wrapNone/>
                <wp:docPr id="165" name="Picture 165" descr="&quot; &quot;"/>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1291777"/>
                        </a:xfrm>
                        <a:prstGeom prst="rect">
                          <a:avLst/>
                        </a:prstGeom>
                      </pic:spPr>
                    </pic:pic>
                  </a:graphicData>
                </a:graphic>
                <wp14:sizeRelH relativeFrom="page">
                  <wp14:pctWidth>0</wp14:pctWidth>
                </wp14:sizeRelH>
                <wp14:sizeRelV relativeFrom="page">
                  <wp14:pctHeight>0</wp14:pctHeight>
                </wp14:sizeRelV>
              </wp:anchor>
            </w:drawing>
          </w:r>
          <w:r w:rsidR="00C63F3A" w:rsidRPr="00D21AC0">
            <w:rPr>
              <w:b/>
              <w:noProof/>
              <w:sz w:val="36"/>
              <w:szCs w:val="36"/>
              <w:lang w:eastAsia="en-AU"/>
            </w:rPr>
            <w:drawing>
              <wp:anchor distT="0" distB="0" distL="114300" distR="114300" simplePos="0" relativeHeight="251660288" behindDoc="0" locked="0" layoutInCell="1" allowOverlap="1" wp14:anchorId="14E309E9" wp14:editId="64FFE7B0">
                <wp:simplePos x="0" y="0"/>
                <wp:positionH relativeFrom="column">
                  <wp:posOffset>5840095</wp:posOffset>
                </wp:positionH>
                <wp:positionV relativeFrom="paragraph">
                  <wp:posOffset>19050</wp:posOffset>
                </wp:positionV>
                <wp:extent cx="1057275" cy="1440180"/>
                <wp:effectExtent l="0" t="0" r="0" b="0"/>
                <wp:wrapNone/>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pa_logo_cmyk.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275" cy="1440180"/>
                        </a:xfrm>
                        <a:prstGeom prst="rect">
                          <a:avLst/>
                        </a:prstGeom>
                      </pic:spPr>
                    </pic:pic>
                  </a:graphicData>
                </a:graphic>
                <wp14:sizeRelH relativeFrom="margin">
                  <wp14:pctWidth>0</wp14:pctWidth>
                </wp14:sizeRelH>
                <wp14:sizeRelV relativeFrom="margin">
                  <wp14:pctHeight>0</wp14:pctHeight>
                </wp14:sizeRelV>
              </wp:anchor>
            </w:drawing>
          </w:r>
          <w:r w:rsidR="00EB2D3D" w:rsidRPr="00D21AC0">
            <w:rPr>
              <w:b/>
              <w:noProof/>
              <w:sz w:val="36"/>
              <w:szCs w:val="36"/>
              <w:lang w:eastAsia="en-AU"/>
            </w:rPr>
            <w:t>Indepe</w:t>
          </w:r>
          <w:r w:rsidR="00C63F3A" w:rsidRPr="00D21AC0">
            <w:rPr>
              <w:b/>
              <w:noProof/>
              <w:sz w:val="36"/>
              <w:szCs w:val="36"/>
              <w:lang w:eastAsia="en-AU"/>
            </w:rPr>
            <w:t>ndent Hospital Pricing Authority</w:t>
          </w:r>
        </w:p>
        <w:p w:rsidR="00EB2D3D" w:rsidRPr="006F0A93" w:rsidRDefault="00183BCA" w:rsidP="00AD4FFC">
          <w:pPr>
            <w:pStyle w:val="TitlePlain"/>
          </w:pPr>
          <w:r>
            <w:t>Technical Specifications 2015</w:t>
          </w:r>
          <w:r>
            <w:noBreakHyphen/>
            <w:t>16</w:t>
          </w:r>
        </w:p>
        <w:p w:rsidR="00EB2D3D" w:rsidRPr="006F0A93" w:rsidRDefault="00460371" w:rsidP="00AD4FFC">
          <w:pPr>
            <w:pStyle w:val="SubtitlePlain"/>
          </w:pPr>
          <w:r>
            <w:t xml:space="preserve">National Pricing Model </w:t>
          </w:r>
        </w:p>
        <w:p w:rsidR="00EB2D3D" w:rsidRPr="006F0A93" w:rsidRDefault="00460371" w:rsidP="00AD4FFC">
          <w:pPr>
            <w:pStyle w:val="VesionanddatePlain"/>
          </w:pPr>
          <w:r>
            <w:t xml:space="preserve">Version </w:t>
          </w:r>
          <w:r w:rsidR="009B622C">
            <w:t>1.0</w:t>
          </w:r>
        </w:p>
        <w:p w:rsidR="00EB2D3D" w:rsidRPr="006F0A93" w:rsidRDefault="006958AA" w:rsidP="00AD4FFC">
          <w:pPr>
            <w:pStyle w:val="VesionanddatePlain"/>
          </w:pPr>
          <w:r>
            <w:t>February 2015</w:t>
          </w:r>
        </w:p>
        <w:p w:rsidR="00EB2D3D" w:rsidRPr="0007116B" w:rsidRDefault="00822CBA" w:rsidP="00AD4FFC">
          <w:pPr>
            <w:pStyle w:val="VersionandDatePlain"/>
            <w:sectPr w:rsidR="00EB2D3D" w:rsidRPr="0007116B" w:rsidSect="00A03408">
              <w:footerReference w:type="default" r:id="rId11"/>
              <w:pgSz w:w="11906" w:h="16838"/>
              <w:pgMar w:top="709" w:right="720" w:bottom="720" w:left="720" w:header="709" w:footer="709" w:gutter="0"/>
              <w:pgNumType w:start="0"/>
              <w:cols w:space="708"/>
              <w:titlePg/>
              <w:docGrid w:linePitch="360"/>
            </w:sectPr>
          </w:pPr>
        </w:p>
      </w:sdtContent>
    </w:sdt>
    <w:p w:rsidR="00185C14" w:rsidRPr="00AF08A0" w:rsidRDefault="00460371" w:rsidP="00AD4FFC">
      <w:pPr>
        <w:pStyle w:val="Reportcopyright"/>
      </w:pPr>
      <w:r>
        <w:rPr>
          <w:rStyle w:val="Strong"/>
          <w:b/>
          <w:bCs w:val="0"/>
        </w:rPr>
        <w:lastRenderedPageBreak/>
        <w:t>National Pricing Model</w:t>
      </w:r>
      <w:r w:rsidR="00C97E1B">
        <w:t xml:space="preserve"> </w:t>
      </w:r>
      <w:r>
        <w:t>Technical Specifications 201</w:t>
      </w:r>
      <w:r w:rsidR="00183BCA">
        <w:t>5</w:t>
      </w:r>
      <w:r>
        <w:t>-1</w:t>
      </w:r>
      <w:r w:rsidR="00183BCA">
        <w:t>6</w:t>
      </w:r>
      <w:r w:rsidR="00185C14" w:rsidRPr="00AF08A0">
        <w:t xml:space="preserve"> </w:t>
      </w:r>
    </w:p>
    <w:p w:rsidR="00185C14" w:rsidRDefault="00B94FB5" w:rsidP="00AD4FFC">
      <w:r>
        <w:t xml:space="preserve">© Commonwealth of Australia </w:t>
      </w:r>
      <w:r w:rsidR="00913D0D">
        <w:t>201</w:t>
      </w:r>
      <w:r w:rsidR="006958AA">
        <w:t>5</w:t>
      </w:r>
    </w:p>
    <w:p w:rsidR="001A6C59" w:rsidRDefault="00185C14" w:rsidP="00AD4FFC">
      <w: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w:t>
      </w:r>
      <w:r w:rsidR="005F53D8">
        <w:t>Independent Hospital Pricing Authority</w:t>
      </w:r>
      <w:r>
        <w:t xml:space="preserve"> to do so.</w:t>
      </w:r>
    </w:p>
    <w:p w:rsidR="0076228A" w:rsidRDefault="0076228A" w:rsidP="00AD4FFC">
      <w:pPr>
        <w:sectPr w:rsidR="0076228A" w:rsidSect="00460371">
          <w:footerReference w:type="even" r:id="rId12"/>
          <w:footerReference w:type="default" r:id="rId13"/>
          <w:headerReference w:type="first" r:id="rId14"/>
          <w:pgSz w:w="11907" w:h="16839" w:code="9"/>
          <w:pgMar w:top="1440" w:right="1440" w:bottom="1440" w:left="1440" w:header="709" w:footer="709" w:gutter="0"/>
          <w:cols w:space="708"/>
          <w:titlePg/>
          <w:docGrid w:linePitch="360"/>
        </w:sectPr>
      </w:pPr>
      <w:bookmarkStart w:id="0" w:name="_Toc304362254"/>
    </w:p>
    <w:p w:rsidR="00460371" w:rsidRDefault="00C97E1B" w:rsidP="009B622C">
      <w:pPr>
        <w:pStyle w:val="Heading1"/>
        <w:tabs>
          <w:tab w:val="clear" w:pos="1492"/>
          <w:tab w:val="left" w:pos="3784"/>
        </w:tabs>
        <w:ind w:firstLine="0"/>
      </w:pPr>
      <w:bookmarkStart w:id="1" w:name="_Toc412550703"/>
      <w:r>
        <w:lastRenderedPageBreak/>
        <w:t xml:space="preserve">Table of </w:t>
      </w:r>
      <w:r w:rsidR="00460371" w:rsidRPr="009225AC">
        <w:t>Contents</w:t>
      </w:r>
      <w:bookmarkEnd w:id="1"/>
      <w:r w:rsidR="0076228A">
        <w:tab/>
      </w:r>
    </w:p>
    <w:bookmarkEnd w:id="0"/>
    <w:p w:rsidR="00D8256E" w:rsidRDefault="00460371">
      <w:pPr>
        <w:pStyle w:val="TOC1"/>
        <w:rPr>
          <w:rFonts w:eastAsiaTheme="minorEastAsia"/>
          <w:b w:val="0"/>
          <w:sz w:val="22"/>
          <w:lang w:eastAsia="en-AU"/>
        </w:rPr>
      </w:pPr>
      <w:r>
        <w:fldChar w:fldCharType="begin"/>
      </w:r>
      <w:r>
        <w:instrText xml:space="preserve"> TOC \o "1-3" \h \z \t "Exec summary 1,1" </w:instrText>
      </w:r>
      <w:r>
        <w:fldChar w:fldCharType="separate"/>
      </w:r>
      <w:hyperlink w:anchor="_Toc412550703" w:history="1">
        <w:r w:rsidR="00D8256E" w:rsidRPr="00520436">
          <w:rPr>
            <w:rStyle w:val="Hyperlink"/>
          </w:rPr>
          <w:t>Table of Contents</w:t>
        </w:r>
        <w:r w:rsidR="00D8256E">
          <w:rPr>
            <w:webHidden/>
          </w:rPr>
          <w:tab/>
        </w:r>
        <w:r w:rsidR="00D8256E">
          <w:rPr>
            <w:webHidden/>
          </w:rPr>
          <w:fldChar w:fldCharType="begin"/>
        </w:r>
        <w:r w:rsidR="00D8256E">
          <w:rPr>
            <w:webHidden/>
          </w:rPr>
          <w:instrText xml:space="preserve"> PAGEREF _Toc412550703 \h </w:instrText>
        </w:r>
        <w:r w:rsidR="00D8256E">
          <w:rPr>
            <w:webHidden/>
          </w:rPr>
        </w:r>
        <w:r w:rsidR="00D8256E">
          <w:rPr>
            <w:webHidden/>
          </w:rPr>
          <w:fldChar w:fldCharType="separate"/>
        </w:r>
        <w:r w:rsidR="00D8256E">
          <w:rPr>
            <w:webHidden/>
          </w:rPr>
          <w:t>1</w:t>
        </w:r>
        <w:r w:rsidR="00D8256E">
          <w:rPr>
            <w:webHidden/>
          </w:rPr>
          <w:fldChar w:fldCharType="end"/>
        </w:r>
      </w:hyperlink>
    </w:p>
    <w:p w:rsidR="00D8256E" w:rsidRDefault="00822CBA">
      <w:pPr>
        <w:pStyle w:val="TOC1"/>
        <w:rPr>
          <w:rFonts w:eastAsiaTheme="minorEastAsia"/>
          <w:b w:val="0"/>
          <w:sz w:val="22"/>
          <w:lang w:eastAsia="en-AU"/>
        </w:rPr>
      </w:pPr>
      <w:hyperlink w:anchor="_Toc412550704" w:history="1">
        <w:r w:rsidR="00D8256E" w:rsidRPr="00520436">
          <w:rPr>
            <w:rStyle w:val="Hyperlink"/>
          </w:rPr>
          <w:t>Table of acronyms and abbreviations</w:t>
        </w:r>
        <w:r w:rsidR="00D8256E">
          <w:rPr>
            <w:webHidden/>
          </w:rPr>
          <w:tab/>
        </w:r>
        <w:r w:rsidR="00D8256E">
          <w:rPr>
            <w:webHidden/>
          </w:rPr>
          <w:fldChar w:fldCharType="begin"/>
        </w:r>
        <w:r w:rsidR="00D8256E">
          <w:rPr>
            <w:webHidden/>
          </w:rPr>
          <w:instrText xml:space="preserve"> PAGEREF _Toc412550704 \h </w:instrText>
        </w:r>
        <w:r w:rsidR="00D8256E">
          <w:rPr>
            <w:webHidden/>
          </w:rPr>
        </w:r>
        <w:r w:rsidR="00D8256E">
          <w:rPr>
            <w:webHidden/>
          </w:rPr>
          <w:fldChar w:fldCharType="separate"/>
        </w:r>
        <w:r w:rsidR="00D8256E">
          <w:rPr>
            <w:webHidden/>
          </w:rPr>
          <w:t>4</w:t>
        </w:r>
        <w:r w:rsidR="00D8256E">
          <w:rPr>
            <w:webHidden/>
          </w:rPr>
          <w:fldChar w:fldCharType="end"/>
        </w:r>
      </w:hyperlink>
    </w:p>
    <w:p w:rsidR="00D8256E" w:rsidRDefault="00822CBA">
      <w:pPr>
        <w:pStyle w:val="TOC1"/>
        <w:rPr>
          <w:rFonts w:eastAsiaTheme="minorEastAsia"/>
          <w:b w:val="0"/>
          <w:sz w:val="22"/>
          <w:lang w:eastAsia="en-AU"/>
        </w:rPr>
      </w:pPr>
      <w:hyperlink w:anchor="_Toc412550705" w:history="1">
        <w:r w:rsidR="00D8256E" w:rsidRPr="00520436">
          <w:rPr>
            <w:rStyle w:val="Hyperlink"/>
          </w:rPr>
          <w:t>1</w:t>
        </w:r>
        <w:r w:rsidR="00D8256E">
          <w:rPr>
            <w:rFonts w:eastAsiaTheme="minorEastAsia"/>
            <w:b w:val="0"/>
            <w:sz w:val="22"/>
            <w:lang w:eastAsia="en-AU"/>
          </w:rPr>
          <w:tab/>
        </w:r>
        <w:r w:rsidR="00D8256E" w:rsidRPr="00520436">
          <w:rPr>
            <w:rStyle w:val="Hyperlink"/>
          </w:rPr>
          <w:t>Overview of process</w:t>
        </w:r>
        <w:r w:rsidR="00D8256E">
          <w:rPr>
            <w:webHidden/>
          </w:rPr>
          <w:tab/>
        </w:r>
        <w:r w:rsidR="00D8256E">
          <w:rPr>
            <w:webHidden/>
          </w:rPr>
          <w:fldChar w:fldCharType="begin"/>
        </w:r>
        <w:r w:rsidR="00D8256E">
          <w:rPr>
            <w:webHidden/>
          </w:rPr>
          <w:instrText xml:space="preserve"> PAGEREF _Toc412550705 \h </w:instrText>
        </w:r>
        <w:r w:rsidR="00D8256E">
          <w:rPr>
            <w:webHidden/>
          </w:rPr>
        </w:r>
        <w:r w:rsidR="00D8256E">
          <w:rPr>
            <w:webHidden/>
          </w:rPr>
          <w:fldChar w:fldCharType="separate"/>
        </w:r>
        <w:r w:rsidR="00D8256E">
          <w:rPr>
            <w:webHidden/>
          </w:rPr>
          <w:t>5</w:t>
        </w:r>
        <w:r w:rsidR="00D8256E">
          <w:rPr>
            <w:webHidden/>
          </w:rPr>
          <w:fldChar w:fldCharType="end"/>
        </w:r>
      </w:hyperlink>
    </w:p>
    <w:p w:rsidR="00D8256E" w:rsidRDefault="00822CBA">
      <w:pPr>
        <w:pStyle w:val="TOC2"/>
        <w:rPr>
          <w:rFonts w:eastAsiaTheme="minorEastAsia"/>
          <w:color w:val="auto"/>
          <w:lang w:eastAsia="en-AU"/>
        </w:rPr>
      </w:pPr>
      <w:hyperlink w:anchor="_Toc412550706" w:history="1">
        <w:r w:rsidR="00D8256E" w:rsidRPr="00520436">
          <w:rPr>
            <w:rStyle w:val="Hyperlink"/>
          </w:rPr>
          <w:t>1.1</w:t>
        </w:r>
        <w:r w:rsidR="00D8256E">
          <w:rPr>
            <w:rFonts w:eastAsiaTheme="minorEastAsia"/>
            <w:color w:val="auto"/>
            <w:lang w:eastAsia="en-AU"/>
          </w:rPr>
          <w:tab/>
        </w:r>
        <w:r w:rsidR="00D8256E" w:rsidRPr="00520436">
          <w:rPr>
            <w:rStyle w:val="Hyperlink"/>
          </w:rPr>
          <w:t>Backcasting</w:t>
        </w:r>
        <w:r w:rsidR="00D8256E">
          <w:rPr>
            <w:webHidden/>
          </w:rPr>
          <w:tab/>
        </w:r>
        <w:r w:rsidR="00D8256E">
          <w:rPr>
            <w:webHidden/>
          </w:rPr>
          <w:fldChar w:fldCharType="begin"/>
        </w:r>
        <w:r w:rsidR="00D8256E">
          <w:rPr>
            <w:webHidden/>
          </w:rPr>
          <w:instrText xml:space="preserve"> PAGEREF _Toc412550706 \h </w:instrText>
        </w:r>
        <w:r w:rsidR="00D8256E">
          <w:rPr>
            <w:webHidden/>
          </w:rPr>
        </w:r>
        <w:r w:rsidR="00D8256E">
          <w:rPr>
            <w:webHidden/>
          </w:rPr>
          <w:fldChar w:fldCharType="separate"/>
        </w:r>
        <w:r w:rsidR="00D8256E">
          <w:rPr>
            <w:webHidden/>
          </w:rPr>
          <w:t>9</w:t>
        </w:r>
        <w:r w:rsidR="00D8256E">
          <w:rPr>
            <w:webHidden/>
          </w:rPr>
          <w:fldChar w:fldCharType="end"/>
        </w:r>
      </w:hyperlink>
    </w:p>
    <w:p w:rsidR="00D8256E" w:rsidRDefault="00822CBA">
      <w:pPr>
        <w:pStyle w:val="TOC1"/>
        <w:rPr>
          <w:rFonts w:eastAsiaTheme="minorEastAsia"/>
          <w:b w:val="0"/>
          <w:sz w:val="22"/>
          <w:lang w:eastAsia="en-AU"/>
        </w:rPr>
      </w:pPr>
      <w:hyperlink w:anchor="_Toc412550707" w:history="1">
        <w:r w:rsidR="00D8256E" w:rsidRPr="00520436">
          <w:rPr>
            <w:rStyle w:val="Hyperlink"/>
          </w:rPr>
          <w:t>2</w:t>
        </w:r>
        <w:r w:rsidR="00D8256E">
          <w:rPr>
            <w:rFonts w:eastAsiaTheme="minorEastAsia"/>
            <w:b w:val="0"/>
            <w:sz w:val="22"/>
            <w:lang w:eastAsia="en-AU"/>
          </w:rPr>
          <w:tab/>
        </w:r>
        <w:r w:rsidR="00D8256E" w:rsidRPr="00520436">
          <w:rPr>
            <w:rStyle w:val="Hyperlink"/>
          </w:rPr>
          <w:t>Acute admitted care cost model</w:t>
        </w:r>
        <w:r w:rsidR="00D8256E">
          <w:rPr>
            <w:webHidden/>
          </w:rPr>
          <w:tab/>
        </w:r>
        <w:r w:rsidR="00D8256E">
          <w:rPr>
            <w:webHidden/>
          </w:rPr>
          <w:fldChar w:fldCharType="begin"/>
        </w:r>
        <w:r w:rsidR="00D8256E">
          <w:rPr>
            <w:webHidden/>
          </w:rPr>
          <w:instrText xml:space="preserve"> PAGEREF _Toc412550707 \h </w:instrText>
        </w:r>
        <w:r w:rsidR="00D8256E">
          <w:rPr>
            <w:webHidden/>
          </w:rPr>
        </w:r>
        <w:r w:rsidR="00D8256E">
          <w:rPr>
            <w:webHidden/>
          </w:rPr>
          <w:fldChar w:fldCharType="separate"/>
        </w:r>
        <w:r w:rsidR="00D8256E">
          <w:rPr>
            <w:webHidden/>
          </w:rPr>
          <w:t>12</w:t>
        </w:r>
        <w:r w:rsidR="00D8256E">
          <w:rPr>
            <w:webHidden/>
          </w:rPr>
          <w:fldChar w:fldCharType="end"/>
        </w:r>
      </w:hyperlink>
    </w:p>
    <w:p w:rsidR="00D8256E" w:rsidRDefault="00822CBA">
      <w:pPr>
        <w:pStyle w:val="TOC2"/>
        <w:rPr>
          <w:rFonts w:eastAsiaTheme="minorEastAsia"/>
          <w:color w:val="auto"/>
          <w:lang w:eastAsia="en-AU"/>
        </w:rPr>
      </w:pPr>
      <w:hyperlink w:anchor="_Toc412550708" w:history="1">
        <w:r w:rsidR="00D8256E" w:rsidRPr="00520436">
          <w:rPr>
            <w:rStyle w:val="Hyperlink"/>
          </w:rPr>
          <w:t>2.1</w:t>
        </w:r>
        <w:r w:rsidR="00D8256E">
          <w:rPr>
            <w:rFonts w:eastAsiaTheme="minorEastAsia"/>
            <w:color w:val="auto"/>
            <w:lang w:eastAsia="en-AU"/>
          </w:rPr>
          <w:tab/>
        </w:r>
        <w:r w:rsidR="00D8256E" w:rsidRPr="00520436">
          <w:rPr>
            <w:rStyle w:val="Hyperlink"/>
          </w:rPr>
          <w:t>General Issues</w:t>
        </w:r>
        <w:r w:rsidR="00D8256E">
          <w:rPr>
            <w:webHidden/>
          </w:rPr>
          <w:tab/>
        </w:r>
        <w:r w:rsidR="00D8256E">
          <w:rPr>
            <w:webHidden/>
          </w:rPr>
          <w:fldChar w:fldCharType="begin"/>
        </w:r>
        <w:r w:rsidR="00D8256E">
          <w:rPr>
            <w:webHidden/>
          </w:rPr>
          <w:instrText xml:space="preserve"> PAGEREF _Toc412550708 \h </w:instrText>
        </w:r>
        <w:r w:rsidR="00D8256E">
          <w:rPr>
            <w:webHidden/>
          </w:rPr>
        </w:r>
        <w:r w:rsidR="00D8256E">
          <w:rPr>
            <w:webHidden/>
          </w:rPr>
          <w:fldChar w:fldCharType="separate"/>
        </w:r>
        <w:r w:rsidR="00D8256E">
          <w:rPr>
            <w:webHidden/>
          </w:rPr>
          <w:t>12</w:t>
        </w:r>
        <w:r w:rsidR="00D8256E">
          <w:rPr>
            <w:webHidden/>
          </w:rPr>
          <w:fldChar w:fldCharType="end"/>
        </w:r>
      </w:hyperlink>
    </w:p>
    <w:p w:rsidR="00D8256E" w:rsidRDefault="00822CBA">
      <w:pPr>
        <w:pStyle w:val="TOC3"/>
        <w:rPr>
          <w:rFonts w:eastAsiaTheme="minorEastAsia"/>
          <w:i w:val="0"/>
          <w:color w:val="auto"/>
          <w:lang w:eastAsia="en-AU"/>
        </w:rPr>
      </w:pPr>
      <w:hyperlink w:anchor="_Toc412550709" w:history="1">
        <w:r w:rsidR="00D8256E" w:rsidRPr="00520436">
          <w:rPr>
            <w:rStyle w:val="Hyperlink"/>
          </w:rPr>
          <w:t>2.1.1</w:t>
        </w:r>
        <w:r w:rsidR="00D8256E">
          <w:rPr>
            <w:rFonts w:eastAsiaTheme="minorEastAsia"/>
            <w:i w:val="0"/>
            <w:color w:val="auto"/>
            <w:lang w:eastAsia="en-AU"/>
          </w:rPr>
          <w:tab/>
        </w:r>
        <w:r w:rsidR="00D8256E" w:rsidRPr="00520436">
          <w:rPr>
            <w:rStyle w:val="Hyperlink"/>
          </w:rPr>
          <w:t>Cost unit</w:t>
        </w:r>
        <w:r w:rsidR="00D8256E">
          <w:rPr>
            <w:webHidden/>
          </w:rPr>
          <w:tab/>
        </w:r>
        <w:r w:rsidR="00D8256E">
          <w:rPr>
            <w:webHidden/>
          </w:rPr>
          <w:fldChar w:fldCharType="begin"/>
        </w:r>
        <w:r w:rsidR="00D8256E">
          <w:rPr>
            <w:webHidden/>
          </w:rPr>
          <w:instrText xml:space="preserve"> PAGEREF _Toc412550709 \h </w:instrText>
        </w:r>
        <w:r w:rsidR="00D8256E">
          <w:rPr>
            <w:webHidden/>
          </w:rPr>
        </w:r>
        <w:r w:rsidR="00D8256E">
          <w:rPr>
            <w:webHidden/>
          </w:rPr>
          <w:fldChar w:fldCharType="separate"/>
        </w:r>
        <w:r w:rsidR="00D8256E">
          <w:rPr>
            <w:webHidden/>
          </w:rPr>
          <w:t>12</w:t>
        </w:r>
        <w:r w:rsidR="00D8256E">
          <w:rPr>
            <w:webHidden/>
          </w:rPr>
          <w:fldChar w:fldCharType="end"/>
        </w:r>
      </w:hyperlink>
    </w:p>
    <w:p w:rsidR="00D8256E" w:rsidRDefault="00822CBA">
      <w:pPr>
        <w:pStyle w:val="TOC3"/>
        <w:rPr>
          <w:rFonts w:eastAsiaTheme="minorEastAsia"/>
          <w:i w:val="0"/>
          <w:color w:val="auto"/>
          <w:lang w:eastAsia="en-AU"/>
        </w:rPr>
      </w:pPr>
      <w:hyperlink w:anchor="_Toc412550710" w:history="1">
        <w:r w:rsidR="00D8256E" w:rsidRPr="00520436">
          <w:rPr>
            <w:rStyle w:val="Hyperlink"/>
          </w:rPr>
          <w:t>2.1.2</w:t>
        </w:r>
        <w:r w:rsidR="00D8256E">
          <w:rPr>
            <w:rFonts w:eastAsiaTheme="minorEastAsia"/>
            <w:i w:val="0"/>
            <w:color w:val="auto"/>
            <w:lang w:eastAsia="en-AU"/>
          </w:rPr>
          <w:tab/>
        </w:r>
        <w:r w:rsidR="00D8256E" w:rsidRPr="00520436">
          <w:rPr>
            <w:rStyle w:val="Hyperlink"/>
          </w:rPr>
          <w:t>In-scope activity</w:t>
        </w:r>
        <w:r w:rsidR="00D8256E">
          <w:rPr>
            <w:webHidden/>
          </w:rPr>
          <w:tab/>
        </w:r>
        <w:r w:rsidR="00D8256E">
          <w:rPr>
            <w:webHidden/>
          </w:rPr>
          <w:fldChar w:fldCharType="begin"/>
        </w:r>
        <w:r w:rsidR="00D8256E">
          <w:rPr>
            <w:webHidden/>
          </w:rPr>
          <w:instrText xml:space="preserve"> PAGEREF _Toc412550710 \h </w:instrText>
        </w:r>
        <w:r w:rsidR="00D8256E">
          <w:rPr>
            <w:webHidden/>
          </w:rPr>
        </w:r>
        <w:r w:rsidR="00D8256E">
          <w:rPr>
            <w:webHidden/>
          </w:rPr>
          <w:fldChar w:fldCharType="separate"/>
        </w:r>
        <w:r w:rsidR="00D8256E">
          <w:rPr>
            <w:webHidden/>
          </w:rPr>
          <w:t>12</w:t>
        </w:r>
        <w:r w:rsidR="00D8256E">
          <w:rPr>
            <w:webHidden/>
          </w:rPr>
          <w:fldChar w:fldCharType="end"/>
        </w:r>
      </w:hyperlink>
    </w:p>
    <w:p w:rsidR="00D8256E" w:rsidRDefault="00822CBA">
      <w:pPr>
        <w:pStyle w:val="TOC3"/>
        <w:rPr>
          <w:rFonts w:eastAsiaTheme="minorEastAsia"/>
          <w:i w:val="0"/>
          <w:color w:val="auto"/>
          <w:lang w:eastAsia="en-AU"/>
        </w:rPr>
      </w:pPr>
      <w:hyperlink w:anchor="_Toc412550711" w:history="1">
        <w:r w:rsidR="00D8256E" w:rsidRPr="00520436">
          <w:rPr>
            <w:rStyle w:val="Hyperlink"/>
          </w:rPr>
          <w:t>2.1.3</w:t>
        </w:r>
        <w:r w:rsidR="00D8256E">
          <w:rPr>
            <w:rFonts w:eastAsiaTheme="minorEastAsia"/>
            <w:i w:val="0"/>
            <w:color w:val="auto"/>
            <w:lang w:eastAsia="en-AU"/>
          </w:rPr>
          <w:tab/>
        </w:r>
        <w:r w:rsidR="00D8256E" w:rsidRPr="00520436">
          <w:rPr>
            <w:rStyle w:val="Hyperlink"/>
          </w:rPr>
          <w:t>In-scope patients</w:t>
        </w:r>
        <w:r w:rsidR="00D8256E">
          <w:rPr>
            <w:webHidden/>
          </w:rPr>
          <w:tab/>
        </w:r>
        <w:r w:rsidR="00D8256E">
          <w:rPr>
            <w:webHidden/>
          </w:rPr>
          <w:fldChar w:fldCharType="begin"/>
        </w:r>
        <w:r w:rsidR="00D8256E">
          <w:rPr>
            <w:webHidden/>
          </w:rPr>
          <w:instrText xml:space="preserve"> PAGEREF _Toc412550711 \h </w:instrText>
        </w:r>
        <w:r w:rsidR="00D8256E">
          <w:rPr>
            <w:webHidden/>
          </w:rPr>
        </w:r>
        <w:r w:rsidR="00D8256E">
          <w:rPr>
            <w:webHidden/>
          </w:rPr>
          <w:fldChar w:fldCharType="separate"/>
        </w:r>
        <w:r w:rsidR="00D8256E">
          <w:rPr>
            <w:webHidden/>
          </w:rPr>
          <w:t>12</w:t>
        </w:r>
        <w:r w:rsidR="00D8256E">
          <w:rPr>
            <w:webHidden/>
          </w:rPr>
          <w:fldChar w:fldCharType="end"/>
        </w:r>
      </w:hyperlink>
    </w:p>
    <w:p w:rsidR="00D8256E" w:rsidRDefault="00822CBA">
      <w:pPr>
        <w:pStyle w:val="TOC3"/>
        <w:rPr>
          <w:rFonts w:eastAsiaTheme="minorEastAsia"/>
          <w:i w:val="0"/>
          <w:color w:val="auto"/>
          <w:lang w:eastAsia="en-AU"/>
        </w:rPr>
      </w:pPr>
      <w:hyperlink w:anchor="_Toc412550712" w:history="1">
        <w:r w:rsidR="00D8256E" w:rsidRPr="00520436">
          <w:rPr>
            <w:rStyle w:val="Hyperlink"/>
          </w:rPr>
          <w:t>2.1.4</w:t>
        </w:r>
        <w:r w:rsidR="00D8256E">
          <w:rPr>
            <w:rFonts w:eastAsiaTheme="minorEastAsia"/>
            <w:i w:val="0"/>
            <w:color w:val="auto"/>
            <w:lang w:eastAsia="en-AU"/>
          </w:rPr>
          <w:tab/>
        </w:r>
        <w:r w:rsidR="00D8256E" w:rsidRPr="00520436">
          <w:rPr>
            <w:rStyle w:val="Hyperlink"/>
          </w:rPr>
          <w:t>Classification</w:t>
        </w:r>
        <w:r w:rsidR="00D8256E">
          <w:rPr>
            <w:webHidden/>
          </w:rPr>
          <w:tab/>
        </w:r>
        <w:r w:rsidR="00D8256E">
          <w:rPr>
            <w:webHidden/>
          </w:rPr>
          <w:fldChar w:fldCharType="begin"/>
        </w:r>
        <w:r w:rsidR="00D8256E">
          <w:rPr>
            <w:webHidden/>
          </w:rPr>
          <w:instrText xml:space="preserve"> PAGEREF _Toc412550712 \h </w:instrText>
        </w:r>
        <w:r w:rsidR="00D8256E">
          <w:rPr>
            <w:webHidden/>
          </w:rPr>
        </w:r>
        <w:r w:rsidR="00D8256E">
          <w:rPr>
            <w:webHidden/>
          </w:rPr>
          <w:fldChar w:fldCharType="separate"/>
        </w:r>
        <w:r w:rsidR="00D8256E">
          <w:rPr>
            <w:webHidden/>
          </w:rPr>
          <w:t>13</w:t>
        </w:r>
        <w:r w:rsidR="00D8256E">
          <w:rPr>
            <w:webHidden/>
          </w:rPr>
          <w:fldChar w:fldCharType="end"/>
        </w:r>
      </w:hyperlink>
    </w:p>
    <w:p w:rsidR="00D8256E" w:rsidRDefault="00822CBA">
      <w:pPr>
        <w:pStyle w:val="TOC2"/>
        <w:rPr>
          <w:rFonts w:eastAsiaTheme="minorEastAsia"/>
          <w:color w:val="auto"/>
          <w:lang w:eastAsia="en-AU"/>
        </w:rPr>
      </w:pPr>
      <w:hyperlink w:anchor="_Toc412550713" w:history="1">
        <w:r w:rsidR="00D8256E" w:rsidRPr="00520436">
          <w:rPr>
            <w:rStyle w:val="Hyperlink"/>
          </w:rPr>
          <w:t>2.2</w:t>
        </w:r>
        <w:r w:rsidR="00D8256E">
          <w:rPr>
            <w:rFonts w:eastAsiaTheme="minorEastAsia"/>
            <w:color w:val="auto"/>
            <w:lang w:eastAsia="en-AU"/>
          </w:rPr>
          <w:tab/>
        </w:r>
        <w:r w:rsidR="00D8256E" w:rsidRPr="00520436">
          <w:rPr>
            <w:rStyle w:val="Hyperlink"/>
          </w:rPr>
          <w:t>Analysis of costs to derive NWAU for acute admitted care</w:t>
        </w:r>
        <w:r w:rsidR="00D8256E">
          <w:rPr>
            <w:webHidden/>
          </w:rPr>
          <w:tab/>
        </w:r>
        <w:r w:rsidR="00D8256E">
          <w:rPr>
            <w:webHidden/>
          </w:rPr>
          <w:fldChar w:fldCharType="begin"/>
        </w:r>
        <w:r w:rsidR="00D8256E">
          <w:rPr>
            <w:webHidden/>
          </w:rPr>
          <w:instrText xml:space="preserve"> PAGEREF _Toc412550713 \h </w:instrText>
        </w:r>
        <w:r w:rsidR="00D8256E">
          <w:rPr>
            <w:webHidden/>
          </w:rPr>
        </w:r>
        <w:r w:rsidR="00D8256E">
          <w:rPr>
            <w:webHidden/>
          </w:rPr>
          <w:fldChar w:fldCharType="separate"/>
        </w:r>
        <w:r w:rsidR="00D8256E">
          <w:rPr>
            <w:webHidden/>
          </w:rPr>
          <w:t>13</w:t>
        </w:r>
        <w:r w:rsidR="00D8256E">
          <w:rPr>
            <w:webHidden/>
          </w:rPr>
          <w:fldChar w:fldCharType="end"/>
        </w:r>
      </w:hyperlink>
    </w:p>
    <w:p w:rsidR="00D8256E" w:rsidRDefault="00822CBA">
      <w:pPr>
        <w:pStyle w:val="TOC3"/>
        <w:rPr>
          <w:rFonts w:eastAsiaTheme="minorEastAsia"/>
          <w:i w:val="0"/>
          <w:color w:val="auto"/>
          <w:lang w:eastAsia="en-AU"/>
        </w:rPr>
      </w:pPr>
      <w:hyperlink w:anchor="_Toc412550714" w:history="1">
        <w:r w:rsidR="00D8256E" w:rsidRPr="00520436">
          <w:rPr>
            <w:rStyle w:val="Hyperlink"/>
          </w:rPr>
          <w:t>2.2.1</w:t>
        </w:r>
        <w:r w:rsidR="00D8256E">
          <w:rPr>
            <w:rFonts w:eastAsiaTheme="minorEastAsia"/>
            <w:i w:val="0"/>
            <w:color w:val="auto"/>
            <w:lang w:eastAsia="en-AU"/>
          </w:rPr>
          <w:tab/>
        </w:r>
        <w:r w:rsidR="00D8256E" w:rsidRPr="00520436">
          <w:rPr>
            <w:rStyle w:val="Hyperlink"/>
          </w:rPr>
          <w:t>Data preparation</w:t>
        </w:r>
        <w:r w:rsidR="00D8256E">
          <w:rPr>
            <w:webHidden/>
          </w:rPr>
          <w:tab/>
        </w:r>
        <w:r w:rsidR="00D8256E">
          <w:rPr>
            <w:webHidden/>
          </w:rPr>
          <w:fldChar w:fldCharType="begin"/>
        </w:r>
        <w:r w:rsidR="00D8256E">
          <w:rPr>
            <w:webHidden/>
          </w:rPr>
          <w:instrText xml:space="preserve"> PAGEREF _Toc412550714 \h </w:instrText>
        </w:r>
        <w:r w:rsidR="00D8256E">
          <w:rPr>
            <w:webHidden/>
          </w:rPr>
        </w:r>
        <w:r w:rsidR="00D8256E">
          <w:rPr>
            <w:webHidden/>
          </w:rPr>
          <w:fldChar w:fldCharType="separate"/>
        </w:r>
        <w:r w:rsidR="00D8256E">
          <w:rPr>
            <w:webHidden/>
          </w:rPr>
          <w:t>14</w:t>
        </w:r>
        <w:r w:rsidR="00D8256E">
          <w:rPr>
            <w:webHidden/>
          </w:rPr>
          <w:fldChar w:fldCharType="end"/>
        </w:r>
      </w:hyperlink>
    </w:p>
    <w:p w:rsidR="00D8256E" w:rsidRDefault="00822CBA">
      <w:pPr>
        <w:pStyle w:val="TOC3"/>
        <w:rPr>
          <w:rFonts w:eastAsiaTheme="minorEastAsia"/>
          <w:i w:val="0"/>
          <w:color w:val="auto"/>
          <w:lang w:eastAsia="en-AU"/>
        </w:rPr>
      </w:pPr>
      <w:hyperlink w:anchor="_Toc412550715" w:history="1">
        <w:r w:rsidR="00D8256E" w:rsidRPr="00520436">
          <w:rPr>
            <w:rStyle w:val="Hyperlink"/>
          </w:rPr>
          <w:t>2.2.2</w:t>
        </w:r>
        <w:r w:rsidR="00D8256E">
          <w:rPr>
            <w:rFonts w:eastAsiaTheme="minorEastAsia"/>
            <w:i w:val="0"/>
            <w:color w:val="auto"/>
            <w:lang w:eastAsia="en-AU"/>
          </w:rPr>
          <w:tab/>
        </w:r>
        <w:r w:rsidR="00D8256E" w:rsidRPr="00520436">
          <w:rPr>
            <w:rStyle w:val="Hyperlink"/>
          </w:rPr>
          <w:t>Stratification and weighting</w:t>
        </w:r>
        <w:r w:rsidR="00D8256E">
          <w:rPr>
            <w:webHidden/>
          </w:rPr>
          <w:tab/>
        </w:r>
        <w:r w:rsidR="00D8256E">
          <w:rPr>
            <w:webHidden/>
          </w:rPr>
          <w:fldChar w:fldCharType="begin"/>
        </w:r>
        <w:r w:rsidR="00D8256E">
          <w:rPr>
            <w:webHidden/>
          </w:rPr>
          <w:instrText xml:space="preserve"> PAGEREF _Toc412550715 \h </w:instrText>
        </w:r>
        <w:r w:rsidR="00D8256E">
          <w:rPr>
            <w:webHidden/>
          </w:rPr>
        </w:r>
        <w:r w:rsidR="00D8256E">
          <w:rPr>
            <w:webHidden/>
          </w:rPr>
          <w:fldChar w:fldCharType="separate"/>
        </w:r>
        <w:r w:rsidR="00D8256E">
          <w:rPr>
            <w:webHidden/>
          </w:rPr>
          <w:t>15</w:t>
        </w:r>
        <w:r w:rsidR="00D8256E">
          <w:rPr>
            <w:webHidden/>
          </w:rPr>
          <w:fldChar w:fldCharType="end"/>
        </w:r>
      </w:hyperlink>
    </w:p>
    <w:p w:rsidR="00D8256E" w:rsidRDefault="00822CBA">
      <w:pPr>
        <w:pStyle w:val="TOC3"/>
        <w:rPr>
          <w:rFonts w:eastAsiaTheme="minorEastAsia"/>
          <w:i w:val="0"/>
          <w:color w:val="auto"/>
          <w:lang w:eastAsia="en-AU"/>
        </w:rPr>
      </w:pPr>
      <w:hyperlink w:anchor="_Toc412550716" w:history="1">
        <w:r w:rsidR="00D8256E" w:rsidRPr="00520436">
          <w:rPr>
            <w:rStyle w:val="Hyperlink"/>
          </w:rPr>
          <w:t>2.2.3</w:t>
        </w:r>
        <w:r w:rsidR="00D8256E">
          <w:rPr>
            <w:rFonts w:eastAsiaTheme="minorEastAsia"/>
            <w:i w:val="0"/>
            <w:color w:val="auto"/>
            <w:lang w:eastAsia="en-AU"/>
          </w:rPr>
          <w:tab/>
        </w:r>
        <w:r w:rsidR="00D8256E" w:rsidRPr="00520436">
          <w:rPr>
            <w:rStyle w:val="Hyperlink"/>
          </w:rPr>
          <w:t>Inlier bounds</w:t>
        </w:r>
        <w:r w:rsidR="00D8256E">
          <w:rPr>
            <w:webHidden/>
          </w:rPr>
          <w:tab/>
        </w:r>
        <w:r w:rsidR="00D8256E">
          <w:rPr>
            <w:webHidden/>
          </w:rPr>
          <w:fldChar w:fldCharType="begin"/>
        </w:r>
        <w:r w:rsidR="00D8256E">
          <w:rPr>
            <w:webHidden/>
          </w:rPr>
          <w:instrText xml:space="preserve"> PAGEREF _Toc412550716 \h </w:instrText>
        </w:r>
        <w:r w:rsidR="00D8256E">
          <w:rPr>
            <w:webHidden/>
          </w:rPr>
        </w:r>
        <w:r w:rsidR="00D8256E">
          <w:rPr>
            <w:webHidden/>
          </w:rPr>
          <w:fldChar w:fldCharType="separate"/>
        </w:r>
        <w:r w:rsidR="00D8256E">
          <w:rPr>
            <w:webHidden/>
          </w:rPr>
          <w:t>15</w:t>
        </w:r>
        <w:r w:rsidR="00D8256E">
          <w:rPr>
            <w:webHidden/>
          </w:rPr>
          <w:fldChar w:fldCharType="end"/>
        </w:r>
      </w:hyperlink>
    </w:p>
    <w:p w:rsidR="00D8256E" w:rsidRDefault="00822CBA">
      <w:pPr>
        <w:pStyle w:val="TOC3"/>
        <w:rPr>
          <w:rFonts w:eastAsiaTheme="minorEastAsia"/>
          <w:i w:val="0"/>
          <w:color w:val="auto"/>
          <w:lang w:eastAsia="en-AU"/>
        </w:rPr>
      </w:pPr>
      <w:hyperlink w:anchor="_Toc412550717" w:history="1">
        <w:r w:rsidR="00D8256E" w:rsidRPr="00520436">
          <w:rPr>
            <w:rStyle w:val="Hyperlink"/>
          </w:rPr>
          <w:t>2.2.4</w:t>
        </w:r>
        <w:r w:rsidR="00D8256E">
          <w:rPr>
            <w:rFonts w:eastAsiaTheme="minorEastAsia"/>
            <w:i w:val="0"/>
            <w:color w:val="auto"/>
            <w:lang w:eastAsia="en-AU"/>
          </w:rPr>
          <w:tab/>
        </w:r>
        <w:r w:rsidR="00D8256E" w:rsidRPr="00520436">
          <w:rPr>
            <w:rStyle w:val="Hyperlink"/>
          </w:rPr>
          <w:t>Classification of patient-level cost data in relevant categories</w:t>
        </w:r>
        <w:r w:rsidR="00D8256E">
          <w:rPr>
            <w:webHidden/>
          </w:rPr>
          <w:tab/>
        </w:r>
        <w:r w:rsidR="00D8256E">
          <w:rPr>
            <w:webHidden/>
          </w:rPr>
          <w:fldChar w:fldCharType="begin"/>
        </w:r>
        <w:r w:rsidR="00D8256E">
          <w:rPr>
            <w:webHidden/>
          </w:rPr>
          <w:instrText xml:space="preserve"> PAGEREF _Toc412550717 \h </w:instrText>
        </w:r>
        <w:r w:rsidR="00D8256E">
          <w:rPr>
            <w:webHidden/>
          </w:rPr>
        </w:r>
        <w:r w:rsidR="00D8256E">
          <w:rPr>
            <w:webHidden/>
          </w:rPr>
          <w:fldChar w:fldCharType="separate"/>
        </w:r>
        <w:r w:rsidR="00D8256E">
          <w:rPr>
            <w:webHidden/>
          </w:rPr>
          <w:t>16</w:t>
        </w:r>
        <w:r w:rsidR="00D8256E">
          <w:rPr>
            <w:webHidden/>
          </w:rPr>
          <w:fldChar w:fldCharType="end"/>
        </w:r>
      </w:hyperlink>
    </w:p>
    <w:p w:rsidR="00D8256E" w:rsidRDefault="00822CBA">
      <w:pPr>
        <w:pStyle w:val="TOC3"/>
        <w:rPr>
          <w:rFonts w:eastAsiaTheme="minorEastAsia"/>
          <w:i w:val="0"/>
          <w:color w:val="auto"/>
          <w:lang w:eastAsia="en-AU"/>
        </w:rPr>
      </w:pPr>
      <w:hyperlink w:anchor="_Toc412550718" w:history="1">
        <w:r w:rsidR="00D8256E" w:rsidRPr="00520436">
          <w:rPr>
            <w:rStyle w:val="Hyperlink"/>
          </w:rPr>
          <w:t>2.2.5</w:t>
        </w:r>
        <w:r w:rsidR="00D8256E">
          <w:rPr>
            <w:rFonts w:eastAsiaTheme="minorEastAsia"/>
            <w:i w:val="0"/>
            <w:color w:val="auto"/>
            <w:lang w:eastAsia="en-AU"/>
          </w:rPr>
          <w:tab/>
        </w:r>
        <w:r w:rsidR="00D8256E" w:rsidRPr="00520436">
          <w:rPr>
            <w:rStyle w:val="Hyperlink"/>
          </w:rPr>
          <w:t>Determine ICU adjustment level and deduct associated costs</w:t>
        </w:r>
        <w:r w:rsidR="00D8256E">
          <w:rPr>
            <w:webHidden/>
          </w:rPr>
          <w:tab/>
        </w:r>
        <w:r w:rsidR="00D8256E">
          <w:rPr>
            <w:webHidden/>
          </w:rPr>
          <w:fldChar w:fldCharType="begin"/>
        </w:r>
        <w:r w:rsidR="00D8256E">
          <w:rPr>
            <w:webHidden/>
          </w:rPr>
          <w:instrText xml:space="preserve"> PAGEREF _Toc412550718 \h </w:instrText>
        </w:r>
        <w:r w:rsidR="00D8256E">
          <w:rPr>
            <w:webHidden/>
          </w:rPr>
        </w:r>
        <w:r w:rsidR="00D8256E">
          <w:rPr>
            <w:webHidden/>
          </w:rPr>
          <w:fldChar w:fldCharType="separate"/>
        </w:r>
        <w:r w:rsidR="00D8256E">
          <w:rPr>
            <w:webHidden/>
          </w:rPr>
          <w:t>17</w:t>
        </w:r>
        <w:r w:rsidR="00D8256E">
          <w:rPr>
            <w:webHidden/>
          </w:rPr>
          <w:fldChar w:fldCharType="end"/>
        </w:r>
      </w:hyperlink>
    </w:p>
    <w:p w:rsidR="00D8256E" w:rsidRDefault="00822CBA">
      <w:pPr>
        <w:pStyle w:val="TOC3"/>
        <w:rPr>
          <w:rFonts w:eastAsiaTheme="minorEastAsia"/>
          <w:i w:val="0"/>
          <w:color w:val="auto"/>
          <w:lang w:eastAsia="en-AU"/>
        </w:rPr>
      </w:pPr>
      <w:hyperlink w:anchor="_Toc412550719" w:history="1">
        <w:r w:rsidR="00D8256E" w:rsidRPr="00520436">
          <w:rPr>
            <w:rStyle w:val="Hyperlink"/>
          </w:rPr>
          <w:t>2.2.6</w:t>
        </w:r>
        <w:r w:rsidR="00D8256E">
          <w:rPr>
            <w:rFonts w:eastAsiaTheme="minorEastAsia"/>
            <w:i w:val="0"/>
            <w:color w:val="auto"/>
            <w:lang w:eastAsia="en-AU"/>
          </w:rPr>
          <w:tab/>
        </w:r>
        <w:r w:rsidR="00D8256E" w:rsidRPr="00520436">
          <w:rPr>
            <w:rStyle w:val="Hyperlink"/>
          </w:rPr>
          <w:t>DRG Inlier/Outlier Model</w:t>
        </w:r>
        <w:r w:rsidR="00D8256E">
          <w:rPr>
            <w:webHidden/>
          </w:rPr>
          <w:tab/>
        </w:r>
        <w:r w:rsidR="00D8256E">
          <w:rPr>
            <w:webHidden/>
          </w:rPr>
          <w:fldChar w:fldCharType="begin"/>
        </w:r>
        <w:r w:rsidR="00D8256E">
          <w:rPr>
            <w:webHidden/>
          </w:rPr>
          <w:instrText xml:space="preserve"> PAGEREF _Toc412550719 \h </w:instrText>
        </w:r>
        <w:r w:rsidR="00D8256E">
          <w:rPr>
            <w:webHidden/>
          </w:rPr>
        </w:r>
        <w:r w:rsidR="00D8256E">
          <w:rPr>
            <w:webHidden/>
          </w:rPr>
          <w:fldChar w:fldCharType="separate"/>
        </w:r>
        <w:r w:rsidR="00D8256E">
          <w:rPr>
            <w:webHidden/>
          </w:rPr>
          <w:t>18</w:t>
        </w:r>
        <w:r w:rsidR="00D8256E">
          <w:rPr>
            <w:webHidden/>
          </w:rPr>
          <w:fldChar w:fldCharType="end"/>
        </w:r>
      </w:hyperlink>
    </w:p>
    <w:p w:rsidR="00D8256E" w:rsidRDefault="00822CBA">
      <w:pPr>
        <w:pStyle w:val="TOC3"/>
        <w:rPr>
          <w:rFonts w:eastAsiaTheme="minorEastAsia"/>
          <w:i w:val="0"/>
          <w:color w:val="auto"/>
          <w:lang w:eastAsia="en-AU"/>
        </w:rPr>
      </w:pPr>
      <w:hyperlink w:anchor="_Toc412550720" w:history="1">
        <w:r w:rsidR="00D8256E" w:rsidRPr="00520436">
          <w:rPr>
            <w:rStyle w:val="Hyperlink"/>
          </w:rPr>
          <w:t>2.2.7</w:t>
        </w:r>
        <w:r w:rsidR="00D8256E">
          <w:rPr>
            <w:rFonts w:eastAsiaTheme="minorEastAsia"/>
            <w:i w:val="0"/>
            <w:color w:val="auto"/>
            <w:lang w:eastAsia="en-AU"/>
          </w:rPr>
          <w:tab/>
        </w:r>
        <w:r w:rsidR="00D8256E" w:rsidRPr="00520436">
          <w:rPr>
            <w:rStyle w:val="Hyperlink"/>
          </w:rPr>
          <w:t>Calculation of additional adjustments</w:t>
        </w:r>
        <w:r w:rsidR="00D8256E">
          <w:rPr>
            <w:webHidden/>
          </w:rPr>
          <w:tab/>
        </w:r>
        <w:r w:rsidR="00D8256E">
          <w:rPr>
            <w:webHidden/>
          </w:rPr>
          <w:fldChar w:fldCharType="begin"/>
        </w:r>
        <w:r w:rsidR="00D8256E">
          <w:rPr>
            <w:webHidden/>
          </w:rPr>
          <w:instrText xml:space="preserve"> PAGEREF _Toc412550720 \h </w:instrText>
        </w:r>
        <w:r w:rsidR="00D8256E">
          <w:rPr>
            <w:webHidden/>
          </w:rPr>
        </w:r>
        <w:r w:rsidR="00D8256E">
          <w:rPr>
            <w:webHidden/>
          </w:rPr>
          <w:fldChar w:fldCharType="separate"/>
        </w:r>
        <w:r w:rsidR="00D8256E">
          <w:rPr>
            <w:webHidden/>
          </w:rPr>
          <w:t>19</w:t>
        </w:r>
        <w:r w:rsidR="00D8256E">
          <w:rPr>
            <w:webHidden/>
          </w:rPr>
          <w:fldChar w:fldCharType="end"/>
        </w:r>
      </w:hyperlink>
    </w:p>
    <w:p w:rsidR="00D8256E" w:rsidRDefault="00822CBA">
      <w:pPr>
        <w:pStyle w:val="TOC3"/>
        <w:rPr>
          <w:rFonts w:eastAsiaTheme="minorEastAsia"/>
          <w:i w:val="0"/>
          <w:color w:val="auto"/>
          <w:lang w:eastAsia="en-AU"/>
        </w:rPr>
      </w:pPr>
      <w:hyperlink w:anchor="_Toc412550721" w:history="1">
        <w:r w:rsidR="00D8256E" w:rsidRPr="00520436">
          <w:rPr>
            <w:rStyle w:val="Hyperlink"/>
          </w:rPr>
          <w:t>2.2.8</w:t>
        </w:r>
        <w:r w:rsidR="00D8256E">
          <w:rPr>
            <w:rFonts w:eastAsiaTheme="minorEastAsia"/>
            <w:i w:val="0"/>
            <w:color w:val="auto"/>
            <w:lang w:eastAsia="en-AU"/>
          </w:rPr>
          <w:tab/>
        </w:r>
        <w:r w:rsidR="00D8256E" w:rsidRPr="00520436">
          <w:rPr>
            <w:rStyle w:val="Hyperlink"/>
          </w:rPr>
          <w:t>Private patient adjustments</w:t>
        </w:r>
        <w:r w:rsidR="00D8256E">
          <w:rPr>
            <w:webHidden/>
          </w:rPr>
          <w:tab/>
        </w:r>
        <w:r w:rsidR="00D8256E">
          <w:rPr>
            <w:webHidden/>
          </w:rPr>
          <w:fldChar w:fldCharType="begin"/>
        </w:r>
        <w:r w:rsidR="00D8256E">
          <w:rPr>
            <w:webHidden/>
          </w:rPr>
          <w:instrText xml:space="preserve"> PAGEREF _Toc412550721 \h </w:instrText>
        </w:r>
        <w:r w:rsidR="00D8256E">
          <w:rPr>
            <w:webHidden/>
          </w:rPr>
        </w:r>
        <w:r w:rsidR="00D8256E">
          <w:rPr>
            <w:webHidden/>
          </w:rPr>
          <w:fldChar w:fldCharType="separate"/>
        </w:r>
        <w:r w:rsidR="00D8256E">
          <w:rPr>
            <w:webHidden/>
          </w:rPr>
          <w:t>20</w:t>
        </w:r>
        <w:r w:rsidR="00D8256E">
          <w:rPr>
            <w:webHidden/>
          </w:rPr>
          <w:fldChar w:fldCharType="end"/>
        </w:r>
      </w:hyperlink>
    </w:p>
    <w:p w:rsidR="00D8256E" w:rsidRDefault="00822CBA">
      <w:pPr>
        <w:pStyle w:val="TOC3"/>
        <w:rPr>
          <w:rFonts w:eastAsiaTheme="minorEastAsia"/>
          <w:i w:val="0"/>
          <w:color w:val="auto"/>
          <w:lang w:eastAsia="en-AU"/>
        </w:rPr>
      </w:pPr>
      <w:hyperlink w:anchor="_Toc412550722" w:history="1">
        <w:r w:rsidR="00D8256E" w:rsidRPr="00520436">
          <w:rPr>
            <w:rStyle w:val="Hyperlink"/>
          </w:rPr>
          <w:t>2.2.9</w:t>
        </w:r>
        <w:r w:rsidR="00D8256E">
          <w:rPr>
            <w:rFonts w:eastAsiaTheme="minorEastAsia"/>
            <w:i w:val="0"/>
            <w:color w:val="auto"/>
            <w:lang w:eastAsia="en-AU"/>
          </w:rPr>
          <w:tab/>
        </w:r>
        <w:r w:rsidR="00D8256E" w:rsidRPr="00520436">
          <w:rPr>
            <w:rStyle w:val="Hyperlink"/>
          </w:rPr>
          <w:t>Incorporation of outlier samples of cost data</w:t>
        </w:r>
        <w:r w:rsidR="00D8256E">
          <w:rPr>
            <w:webHidden/>
          </w:rPr>
          <w:tab/>
        </w:r>
        <w:r w:rsidR="00D8256E">
          <w:rPr>
            <w:webHidden/>
          </w:rPr>
          <w:fldChar w:fldCharType="begin"/>
        </w:r>
        <w:r w:rsidR="00D8256E">
          <w:rPr>
            <w:webHidden/>
          </w:rPr>
          <w:instrText xml:space="preserve"> PAGEREF _Toc412550722 \h </w:instrText>
        </w:r>
        <w:r w:rsidR="00D8256E">
          <w:rPr>
            <w:webHidden/>
          </w:rPr>
        </w:r>
        <w:r w:rsidR="00D8256E">
          <w:rPr>
            <w:webHidden/>
          </w:rPr>
          <w:fldChar w:fldCharType="separate"/>
        </w:r>
        <w:r w:rsidR="00D8256E">
          <w:rPr>
            <w:webHidden/>
          </w:rPr>
          <w:t>21</w:t>
        </w:r>
        <w:r w:rsidR="00D8256E">
          <w:rPr>
            <w:webHidden/>
          </w:rPr>
          <w:fldChar w:fldCharType="end"/>
        </w:r>
      </w:hyperlink>
    </w:p>
    <w:p w:rsidR="00D8256E" w:rsidRDefault="00822CBA">
      <w:pPr>
        <w:pStyle w:val="TOC3"/>
        <w:rPr>
          <w:rFonts w:eastAsiaTheme="minorEastAsia"/>
          <w:i w:val="0"/>
          <w:color w:val="auto"/>
          <w:lang w:eastAsia="en-AU"/>
        </w:rPr>
      </w:pPr>
      <w:hyperlink w:anchor="_Toc412550723" w:history="1">
        <w:r w:rsidR="00D8256E" w:rsidRPr="00520436">
          <w:rPr>
            <w:rStyle w:val="Hyperlink"/>
          </w:rPr>
          <w:t>2.2.10</w:t>
        </w:r>
        <w:r w:rsidR="00D8256E">
          <w:rPr>
            <w:rFonts w:eastAsiaTheme="minorEastAsia"/>
            <w:i w:val="0"/>
            <w:color w:val="auto"/>
            <w:lang w:eastAsia="en-AU"/>
          </w:rPr>
          <w:tab/>
        </w:r>
        <w:r w:rsidR="00D8256E" w:rsidRPr="00520436">
          <w:rPr>
            <w:rStyle w:val="Hyperlink"/>
          </w:rPr>
          <w:t>Price weights and NWAU</w:t>
        </w:r>
        <w:r w:rsidR="00D8256E">
          <w:rPr>
            <w:webHidden/>
          </w:rPr>
          <w:tab/>
        </w:r>
        <w:r w:rsidR="00D8256E">
          <w:rPr>
            <w:webHidden/>
          </w:rPr>
          <w:fldChar w:fldCharType="begin"/>
        </w:r>
        <w:r w:rsidR="00D8256E">
          <w:rPr>
            <w:webHidden/>
          </w:rPr>
          <w:instrText xml:space="preserve"> PAGEREF _Toc412550723 \h </w:instrText>
        </w:r>
        <w:r w:rsidR="00D8256E">
          <w:rPr>
            <w:webHidden/>
          </w:rPr>
        </w:r>
        <w:r w:rsidR="00D8256E">
          <w:rPr>
            <w:webHidden/>
          </w:rPr>
          <w:fldChar w:fldCharType="separate"/>
        </w:r>
        <w:r w:rsidR="00D8256E">
          <w:rPr>
            <w:webHidden/>
          </w:rPr>
          <w:t>21</w:t>
        </w:r>
        <w:r w:rsidR="00D8256E">
          <w:rPr>
            <w:webHidden/>
          </w:rPr>
          <w:fldChar w:fldCharType="end"/>
        </w:r>
      </w:hyperlink>
    </w:p>
    <w:p w:rsidR="00D8256E" w:rsidRDefault="00822CBA">
      <w:pPr>
        <w:pStyle w:val="TOC2"/>
        <w:rPr>
          <w:rFonts w:eastAsiaTheme="minorEastAsia"/>
          <w:color w:val="auto"/>
          <w:lang w:eastAsia="en-AU"/>
        </w:rPr>
      </w:pPr>
      <w:hyperlink w:anchor="_Toc412550724" w:history="1">
        <w:r w:rsidR="00D8256E" w:rsidRPr="00520436">
          <w:rPr>
            <w:rStyle w:val="Hyperlink"/>
          </w:rPr>
          <w:t>2.3</w:t>
        </w:r>
        <w:r w:rsidR="00D8256E">
          <w:rPr>
            <w:rFonts w:eastAsiaTheme="minorEastAsia"/>
            <w:color w:val="auto"/>
            <w:lang w:eastAsia="en-AU"/>
          </w:rPr>
          <w:tab/>
        </w:r>
        <w:r w:rsidR="00D8256E" w:rsidRPr="00520436">
          <w:rPr>
            <w:rStyle w:val="Hyperlink"/>
          </w:rPr>
          <w:t>Applying the NEP</w:t>
        </w:r>
        <w:r w:rsidR="00D8256E">
          <w:rPr>
            <w:webHidden/>
          </w:rPr>
          <w:tab/>
        </w:r>
        <w:r w:rsidR="00D8256E">
          <w:rPr>
            <w:webHidden/>
          </w:rPr>
          <w:fldChar w:fldCharType="begin"/>
        </w:r>
        <w:r w:rsidR="00D8256E">
          <w:rPr>
            <w:webHidden/>
          </w:rPr>
          <w:instrText xml:space="preserve"> PAGEREF _Toc412550724 \h </w:instrText>
        </w:r>
        <w:r w:rsidR="00D8256E">
          <w:rPr>
            <w:webHidden/>
          </w:rPr>
        </w:r>
        <w:r w:rsidR="00D8256E">
          <w:rPr>
            <w:webHidden/>
          </w:rPr>
          <w:fldChar w:fldCharType="separate"/>
        </w:r>
        <w:r w:rsidR="00D8256E">
          <w:rPr>
            <w:webHidden/>
          </w:rPr>
          <w:t>22</w:t>
        </w:r>
        <w:r w:rsidR="00D8256E">
          <w:rPr>
            <w:webHidden/>
          </w:rPr>
          <w:fldChar w:fldCharType="end"/>
        </w:r>
      </w:hyperlink>
    </w:p>
    <w:p w:rsidR="00D8256E" w:rsidRDefault="00822CBA">
      <w:pPr>
        <w:pStyle w:val="TOC2"/>
        <w:rPr>
          <w:rFonts w:eastAsiaTheme="minorEastAsia"/>
          <w:color w:val="auto"/>
          <w:lang w:eastAsia="en-AU"/>
        </w:rPr>
      </w:pPr>
      <w:hyperlink w:anchor="_Toc412550725" w:history="1">
        <w:r w:rsidR="00D8256E" w:rsidRPr="00520436">
          <w:rPr>
            <w:rStyle w:val="Hyperlink"/>
          </w:rPr>
          <w:t>2.4</w:t>
        </w:r>
        <w:r w:rsidR="00D8256E">
          <w:rPr>
            <w:rFonts w:eastAsiaTheme="minorEastAsia"/>
            <w:color w:val="auto"/>
            <w:lang w:eastAsia="en-AU"/>
          </w:rPr>
          <w:tab/>
        </w:r>
        <w:r w:rsidR="00D8256E" w:rsidRPr="00520436">
          <w:rPr>
            <w:rStyle w:val="Hyperlink"/>
          </w:rPr>
          <w:t>Assigning NWAU to acute admitted patient data</w:t>
        </w:r>
        <w:r w:rsidR="00D8256E">
          <w:rPr>
            <w:webHidden/>
          </w:rPr>
          <w:tab/>
        </w:r>
        <w:r w:rsidR="00D8256E">
          <w:rPr>
            <w:webHidden/>
          </w:rPr>
          <w:fldChar w:fldCharType="begin"/>
        </w:r>
        <w:r w:rsidR="00D8256E">
          <w:rPr>
            <w:webHidden/>
          </w:rPr>
          <w:instrText xml:space="preserve"> PAGEREF _Toc412550725 \h </w:instrText>
        </w:r>
        <w:r w:rsidR="00D8256E">
          <w:rPr>
            <w:webHidden/>
          </w:rPr>
        </w:r>
        <w:r w:rsidR="00D8256E">
          <w:rPr>
            <w:webHidden/>
          </w:rPr>
          <w:fldChar w:fldCharType="separate"/>
        </w:r>
        <w:r w:rsidR="00D8256E">
          <w:rPr>
            <w:webHidden/>
          </w:rPr>
          <w:t>22</w:t>
        </w:r>
        <w:r w:rsidR="00D8256E">
          <w:rPr>
            <w:webHidden/>
          </w:rPr>
          <w:fldChar w:fldCharType="end"/>
        </w:r>
      </w:hyperlink>
    </w:p>
    <w:p w:rsidR="00D8256E" w:rsidRDefault="00822CBA">
      <w:pPr>
        <w:pStyle w:val="TOC3"/>
        <w:rPr>
          <w:rFonts w:eastAsiaTheme="minorEastAsia"/>
          <w:i w:val="0"/>
          <w:color w:val="auto"/>
          <w:lang w:eastAsia="en-AU"/>
        </w:rPr>
      </w:pPr>
      <w:hyperlink w:anchor="_Toc412550726" w:history="1">
        <w:r w:rsidR="00D8256E" w:rsidRPr="00520436">
          <w:rPr>
            <w:rStyle w:val="Hyperlink"/>
          </w:rPr>
          <w:t>2.4.1</w:t>
        </w:r>
        <w:r w:rsidR="00D8256E">
          <w:rPr>
            <w:rFonts w:eastAsiaTheme="minorEastAsia"/>
            <w:i w:val="0"/>
            <w:color w:val="auto"/>
            <w:lang w:eastAsia="en-AU"/>
          </w:rPr>
          <w:tab/>
        </w:r>
        <w:r w:rsidR="00D8256E" w:rsidRPr="00520436">
          <w:rPr>
            <w:rStyle w:val="Hyperlink"/>
          </w:rPr>
          <w:t>Data Preparation and Calculation NWAU</w:t>
        </w:r>
        <w:r w:rsidR="00D8256E">
          <w:rPr>
            <w:webHidden/>
          </w:rPr>
          <w:tab/>
        </w:r>
        <w:r w:rsidR="00D8256E">
          <w:rPr>
            <w:webHidden/>
          </w:rPr>
          <w:fldChar w:fldCharType="begin"/>
        </w:r>
        <w:r w:rsidR="00D8256E">
          <w:rPr>
            <w:webHidden/>
          </w:rPr>
          <w:instrText xml:space="preserve"> PAGEREF _Toc412550726 \h </w:instrText>
        </w:r>
        <w:r w:rsidR="00D8256E">
          <w:rPr>
            <w:webHidden/>
          </w:rPr>
        </w:r>
        <w:r w:rsidR="00D8256E">
          <w:rPr>
            <w:webHidden/>
          </w:rPr>
          <w:fldChar w:fldCharType="separate"/>
        </w:r>
        <w:r w:rsidR="00D8256E">
          <w:rPr>
            <w:webHidden/>
          </w:rPr>
          <w:t>23</w:t>
        </w:r>
        <w:r w:rsidR="00D8256E">
          <w:rPr>
            <w:webHidden/>
          </w:rPr>
          <w:fldChar w:fldCharType="end"/>
        </w:r>
      </w:hyperlink>
    </w:p>
    <w:p w:rsidR="00D8256E" w:rsidRDefault="00822CBA">
      <w:pPr>
        <w:pStyle w:val="TOC3"/>
        <w:rPr>
          <w:rFonts w:eastAsiaTheme="minorEastAsia"/>
          <w:i w:val="0"/>
          <w:color w:val="auto"/>
          <w:lang w:eastAsia="en-AU"/>
        </w:rPr>
      </w:pPr>
      <w:hyperlink w:anchor="_Toc412550727" w:history="1">
        <w:r w:rsidR="00D8256E" w:rsidRPr="00520436">
          <w:rPr>
            <w:rStyle w:val="Hyperlink"/>
          </w:rPr>
          <w:t>2.4.2</w:t>
        </w:r>
        <w:r w:rsidR="00D8256E">
          <w:rPr>
            <w:rFonts w:eastAsiaTheme="minorEastAsia"/>
            <w:i w:val="0"/>
            <w:color w:val="auto"/>
            <w:lang w:eastAsia="en-AU"/>
          </w:rPr>
          <w:tab/>
        </w:r>
        <w:r w:rsidR="00D8256E" w:rsidRPr="00520436">
          <w:rPr>
            <w:rStyle w:val="Hyperlink"/>
          </w:rPr>
          <w:t>Calculation of NWAU</w:t>
        </w:r>
        <w:r w:rsidR="00D8256E">
          <w:rPr>
            <w:webHidden/>
          </w:rPr>
          <w:tab/>
        </w:r>
        <w:r w:rsidR="00D8256E">
          <w:rPr>
            <w:webHidden/>
          </w:rPr>
          <w:fldChar w:fldCharType="begin"/>
        </w:r>
        <w:r w:rsidR="00D8256E">
          <w:rPr>
            <w:webHidden/>
          </w:rPr>
          <w:instrText xml:space="preserve"> PAGEREF _Toc412550727 \h </w:instrText>
        </w:r>
        <w:r w:rsidR="00D8256E">
          <w:rPr>
            <w:webHidden/>
          </w:rPr>
        </w:r>
        <w:r w:rsidR="00D8256E">
          <w:rPr>
            <w:webHidden/>
          </w:rPr>
          <w:fldChar w:fldCharType="separate"/>
        </w:r>
        <w:r w:rsidR="00D8256E">
          <w:rPr>
            <w:webHidden/>
          </w:rPr>
          <w:t>28</w:t>
        </w:r>
        <w:r w:rsidR="00D8256E">
          <w:rPr>
            <w:webHidden/>
          </w:rPr>
          <w:fldChar w:fldCharType="end"/>
        </w:r>
      </w:hyperlink>
    </w:p>
    <w:p w:rsidR="00D8256E" w:rsidRDefault="00822CBA">
      <w:pPr>
        <w:pStyle w:val="TOC1"/>
        <w:rPr>
          <w:rFonts w:eastAsiaTheme="minorEastAsia"/>
          <w:b w:val="0"/>
          <w:sz w:val="22"/>
          <w:lang w:eastAsia="en-AU"/>
        </w:rPr>
      </w:pPr>
      <w:hyperlink w:anchor="_Toc412550728" w:history="1">
        <w:r w:rsidR="00D8256E" w:rsidRPr="00520436">
          <w:rPr>
            <w:rStyle w:val="Hyperlink"/>
          </w:rPr>
          <w:t>3</w:t>
        </w:r>
        <w:r w:rsidR="00D8256E">
          <w:rPr>
            <w:rFonts w:eastAsiaTheme="minorEastAsia"/>
            <w:b w:val="0"/>
            <w:sz w:val="22"/>
            <w:lang w:eastAsia="en-AU"/>
          </w:rPr>
          <w:tab/>
        </w:r>
        <w:r w:rsidR="00D8256E" w:rsidRPr="00520436">
          <w:rPr>
            <w:rStyle w:val="Hyperlink"/>
          </w:rPr>
          <w:t>Mental health care cost model</w:t>
        </w:r>
        <w:r w:rsidR="00D8256E">
          <w:rPr>
            <w:webHidden/>
          </w:rPr>
          <w:tab/>
        </w:r>
        <w:r w:rsidR="00D8256E">
          <w:rPr>
            <w:webHidden/>
          </w:rPr>
          <w:fldChar w:fldCharType="begin"/>
        </w:r>
        <w:r w:rsidR="00D8256E">
          <w:rPr>
            <w:webHidden/>
          </w:rPr>
          <w:instrText xml:space="preserve"> PAGEREF _Toc412550728 \h </w:instrText>
        </w:r>
        <w:r w:rsidR="00D8256E">
          <w:rPr>
            <w:webHidden/>
          </w:rPr>
        </w:r>
        <w:r w:rsidR="00D8256E">
          <w:rPr>
            <w:webHidden/>
          </w:rPr>
          <w:fldChar w:fldCharType="separate"/>
        </w:r>
        <w:r w:rsidR="00D8256E">
          <w:rPr>
            <w:webHidden/>
          </w:rPr>
          <w:t>30</w:t>
        </w:r>
        <w:r w:rsidR="00D8256E">
          <w:rPr>
            <w:webHidden/>
          </w:rPr>
          <w:fldChar w:fldCharType="end"/>
        </w:r>
      </w:hyperlink>
    </w:p>
    <w:p w:rsidR="00D8256E" w:rsidRDefault="00822CBA">
      <w:pPr>
        <w:pStyle w:val="TOC2"/>
        <w:rPr>
          <w:rFonts w:eastAsiaTheme="minorEastAsia"/>
          <w:color w:val="auto"/>
          <w:lang w:eastAsia="en-AU"/>
        </w:rPr>
      </w:pPr>
      <w:hyperlink w:anchor="_Toc412550729" w:history="1">
        <w:r w:rsidR="00D8256E" w:rsidRPr="00520436">
          <w:rPr>
            <w:rStyle w:val="Hyperlink"/>
          </w:rPr>
          <w:t>3.1</w:t>
        </w:r>
        <w:r w:rsidR="00D8256E">
          <w:rPr>
            <w:rFonts w:eastAsiaTheme="minorEastAsia"/>
            <w:color w:val="auto"/>
            <w:lang w:eastAsia="en-AU"/>
          </w:rPr>
          <w:tab/>
        </w:r>
        <w:r w:rsidR="00D8256E" w:rsidRPr="00520436">
          <w:rPr>
            <w:rStyle w:val="Hyperlink"/>
          </w:rPr>
          <w:t>General issues</w:t>
        </w:r>
        <w:r w:rsidR="00D8256E">
          <w:rPr>
            <w:webHidden/>
          </w:rPr>
          <w:tab/>
        </w:r>
        <w:r w:rsidR="00D8256E">
          <w:rPr>
            <w:webHidden/>
          </w:rPr>
          <w:fldChar w:fldCharType="begin"/>
        </w:r>
        <w:r w:rsidR="00D8256E">
          <w:rPr>
            <w:webHidden/>
          </w:rPr>
          <w:instrText xml:space="preserve"> PAGEREF _Toc412550729 \h </w:instrText>
        </w:r>
        <w:r w:rsidR="00D8256E">
          <w:rPr>
            <w:webHidden/>
          </w:rPr>
        </w:r>
        <w:r w:rsidR="00D8256E">
          <w:rPr>
            <w:webHidden/>
          </w:rPr>
          <w:fldChar w:fldCharType="separate"/>
        </w:r>
        <w:r w:rsidR="00D8256E">
          <w:rPr>
            <w:webHidden/>
          </w:rPr>
          <w:t>30</w:t>
        </w:r>
        <w:r w:rsidR="00D8256E">
          <w:rPr>
            <w:webHidden/>
          </w:rPr>
          <w:fldChar w:fldCharType="end"/>
        </w:r>
      </w:hyperlink>
    </w:p>
    <w:p w:rsidR="00D8256E" w:rsidRDefault="00822CBA">
      <w:pPr>
        <w:pStyle w:val="TOC3"/>
        <w:rPr>
          <w:rFonts w:eastAsiaTheme="minorEastAsia"/>
          <w:i w:val="0"/>
          <w:color w:val="auto"/>
          <w:lang w:eastAsia="en-AU"/>
        </w:rPr>
      </w:pPr>
      <w:hyperlink w:anchor="_Toc412550730" w:history="1">
        <w:r w:rsidR="00D8256E" w:rsidRPr="00520436">
          <w:rPr>
            <w:rStyle w:val="Hyperlink"/>
          </w:rPr>
          <w:t>3.1.1</w:t>
        </w:r>
        <w:r w:rsidR="00D8256E">
          <w:rPr>
            <w:rFonts w:eastAsiaTheme="minorEastAsia"/>
            <w:i w:val="0"/>
            <w:color w:val="auto"/>
            <w:lang w:eastAsia="en-AU"/>
          </w:rPr>
          <w:tab/>
        </w:r>
        <w:r w:rsidR="00D8256E" w:rsidRPr="00520436">
          <w:rPr>
            <w:rStyle w:val="Hyperlink"/>
          </w:rPr>
          <w:t>Cost unit</w:t>
        </w:r>
        <w:r w:rsidR="00D8256E">
          <w:rPr>
            <w:webHidden/>
          </w:rPr>
          <w:tab/>
        </w:r>
        <w:r w:rsidR="00D8256E">
          <w:rPr>
            <w:webHidden/>
          </w:rPr>
          <w:fldChar w:fldCharType="begin"/>
        </w:r>
        <w:r w:rsidR="00D8256E">
          <w:rPr>
            <w:webHidden/>
          </w:rPr>
          <w:instrText xml:space="preserve"> PAGEREF _Toc412550730 \h </w:instrText>
        </w:r>
        <w:r w:rsidR="00D8256E">
          <w:rPr>
            <w:webHidden/>
          </w:rPr>
        </w:r>
        <w:r w:rsidR="00D8256E">
          <w:rPr>
            <w:webHidden/>
          </w:rPr>
          <w:fldChar w:fldCharType="separate"/>
        </w:r>
        <w:r w:rsidR="00D8256E">
          <w:rPr>
            <w:webHidden/>
          </w:rPr>
          <w:t>30</w:t>
        </w:r>
        <w:r w:rsidR="00D8256E">
          <w:rPr>
            <w:webHidden/>
          </w:rPr>
          <w:fldChar w:fldCharType="end"/>
        </w:r>
      </w:hyperlink>
    </w:p>
    <w:p w:rsidR="00D8256E" w:rsidRDefault="00822CBA">
      <w:pPr>
        <w:pStyle w:val="TOC3"/>
        <w:rPr>
          <w:rFonts w:eastAsiaTheme="minorEastAsia"/>
          <w:i w:val="0"/>
          <w:color w:val="auto"/>
          <w:lang w:eastAsia="en-AU"/>
        </w:rPr>
      </w:pPr>
      <w:hyperlink w:anchor="_Toc412550731" w:history="1">
        <w:r w:rsidR="00D8256E" w:rsidRPr="00520436">
          <w:rPr>
            <w:rStyle w:val="Hyperlink"/>
          </w:rPr>
          <w:t>3.1.2</w:t>
        </w:r>
        <w:r w:rsidR="00D8256E">
          <w:rPr>
            <w:rFonts w:eastAsiaTheme="minorEastAsia"/>
            <w:i w:val="0"/>
            <w:color w:val="auto"/>
            <w:lang w:eastAsia="en-AU"/>
          </w:rPr>
          <w:tab/>
        </w:r>
        <w:r w:rsidR="00D8256E" w:rsidRPr="00520436">
          <w:rPr>
            <w:rStyle w:val="Hyperlink"/>
          </w:rPr>
          <w:t>Scope</w:t>
        </w:r>
        <w:r w:rsidR="00D8256E">
          <w:rPr>
            <w:webHidden/>
          </w:rPr>
          <w:tab/>
        </w:r>
        <w:r w:rsidR="00D8256E">
          <w:rPr>
            <w:webHidden/>
          </w:rPr>
          <w:fldChar w:fldCharType="begin"/>
        </w:r>
        <w:r w:rsidR="00D8256E">
          <w:rPr>
            <w:webHidden/>
          </w:rPr>
          <w:instrText xml:space="preserve"> PAGEREF _Toc412550731 \h </w:instrText>
        </w:r>
        <w:r w:rsidR="00D8256E">
          <w:rPr>
            <w:webHidden/>
          </w:rPr>
        </w:r>
        <w:r w:rsidR="00D8256E">
          <w:rPr>
            <w:webHidden/>
          </w:rPr>
          <w:fldChar w:fldCharType="separate"/>
        </w:r>
        <w:r w:rsidR="00D8256E">
          <w:rPr>
            <w:webHidden/>
          </w:rPr>
          <w:t>30</w:t>
        </w:r>
        <w:r w:rsidR="00D8256E">
          <w:rPr>
            <w:webHidden/>
          </w:rPr>
          <w:fldChar w:fldCharType="end"/>
        </w:r>
      </w:hyperlink>
    </w:p>
    <w:p w:rsidR="00D8256E" w:rsidRDefault="00822CBA">
      <w:pPr>
        <w:pStyle w:val="TOC3"/>
        <w:rPr>
          <w:rFonts w:eastAsiaTheme="minorEastAsia"/>
          <w:i w:val="0"/>
          <w:color w:val="auto"/>
          <w:lang w:eastAsia="en-AU"/>
        </w:rPr>
      </w:pPr>
      <w:hyperlink w:anchor="_Toc412550732" w:history="1">
        <w:r w:rsidR="00D8256E" w:rsidRPr="00520436">
          <w:rPr>
            <w:rStyle w:val="Hyperlink"/>
          </w:rPr>
          <w:t>3.1.3</w:t>
        </w:r>
        <w:r w:rsidR="00D8256E">
          <w:rPr>
            <w:rFonts w:eastAsiaTheme="minorEastAsia"/>
            <w:i w:val="0"/>
            <w:color w:val="auto"/>
            <w:lang w:eastAsia="en-AU"/>
          </w:rPr>
          <w:tab/>
        </w:r>
        <w:r w:rsidR="00D8256E" w:rsidRPr="00520436">
          <w:rPr>
            <w:rStyle w:val="Hyperlink"/>
          </w:rPr>
          <w:t>Classification</w:t>
        </w:r>
        <w:r w:rsidR="00D8256E">
          <w:rPr>
            <w:webHidden/>
          </w:rPr>
          <w:tab/>
        </w:r>
        <w:r w:rsidR="00D8256E">
          <w:rPr>
            <w:webHidden/>
          </w:rPr>
          <w:fldChar w:fldCharType="begin"/>
        </w:r>
        <w:r w:rsidR="00D8256E">
          <w:rPr>
            <w:webHidden/>
          </w:rPr>
          <w:instrText xml:space="preserve"> PAGEREF _Toc412550732 \h </w:instrText>
        </w:r>
        <w:r w:rsidR="00D8256E">
          <w:rPr>
            <w:webHidden/>
          </w:rPr>
        </w:r>
        <w:r w:rsidR="00D8256E">
          <w:rPr>
            <w:webHidden/>
          </w:rPr>
          <w:fldChar w:fldCharType="separate"/>
        </w:r>
        <w:r w:rsidR="00D8256E">
          <w:rPr>
            <w:webHidden/>
          </w:rPr>
          <w:t>30</w:t>
        </w:r>
        <w:r w:rsidR="00D8256E">
          <w:rPr>
            <w:webHidden/>
          </w:rPr>
          <w:fldChar w:fldCharType="end"/>
        </w:r>
      </w:hyperlink>
    </w:p>
    <w:p w:rsidR="00D8256E" w:rsidRDefault="00822CBA">
      <w:pPr>
        <w:pStyle w:val="TOC2"/>
        <w:rPr>
          <w:rFonts w:eastAsiaTheme="minorEastAsia"/>
          <w:color w:val="auto"/>
          <w:lang w:eastAsia="en-AU"/>
        </w:rPr>
      </w:pPr>
      <w:hyperlink w:anchor="_Toc412550733" w:history="1">
        <w:r w:rsidR="00D8256E" w:rsidRPr="00520436">
          <w:rPr>
            <w:rStyle w:val="Hyperlink"/>
          </w:rPr>
          <w:t>3.2</w:t>
        </w:r>
        <w:r w:rsidR="00D8256E">
          <w:rPr>
            <w:rFonts w:eastAsiaTheme="minorEastAsia"/>
            <w:color w:val="auto"/>
            <w:lang w:eastAsia="en-AU"/>
          </w:rPr>
          <w:tab/>
        </w:r>
        <w:r w:rsidR="00D8256E" w:rsidRPr="00520436">
          <w:rPr>
            <w:rStyle w:val="Hyperlink"/>
          </w:rPr>
          <w:t>Analysis of costs to derive NWAU for mental health care</w:t>
        </w:r>
        <w:r w:rsidR="00D8256E">
          <w:rPr>
            <w:webHidden/>
          </w:rPr>
          <w:tab/>
        </w:r>
        <w:r w:rsidR="00D8256E">
          <w:rPr>
            <w:webHidden/>
          </w:rPr>
          <w:fldChar w:fldCharType="begin"/>
        </w:r>
        <w:r w:rsidR="00D8256E">
          <w:rPr>
            <w:webHidden/>
          </w:rPr>
          <w:instrText xml:space="preserve"> PAGEREF _Toc412550733 \h </w:instrText>
        </w:r>
        <w:r w:rsidR="00D8256E">
          <w:rPr>
            <w:webHidden/>
          </w:rPr>
        </w:r>
        <w:r w:rsidR="00D8256E">
          <w:rPr>
            <w:webHidden/>
          </w:rPr>
          <w:fldChar w:fldCharType="separate"/>
        </w:r>
        <w:r w:rsidR="00D8256E">
          <w:rPr>
            <w:webHidden/>
          </w:rPr>
          <w:t>30</w:t>
        </w:r>
        <w:r w:rsidR="00D8256E">
          <w:rPr>
            <w:webHidden/>
          </w:rPr>
          <w:fldChar w:fldCharType="end"/>
        </w:r>
      </w:hyperlink>
    </w:p>
    <w:p w:rsidR="00D8256E" w:rsidRDefault="00822CBA">
      <w:pPr>
        <w:pStyle w:val="TOC3"/>
        <w:rPr>
          <w:rFonts w:eastAsiaTheme="minorEastAsia"/>
          <w:i w:val="0"/>
          <w:color w:val="auto"/>
          <w:lang w:eastAsia="en-AU"/>
        </w:rPr>
      </w:pPr>
      <w:hyperlink w:anchor="_Toc412550734" w:history="1">
        <w:r w:rsidR="00D8256E" w:rsidRPr="00520436">
          <w:rPr>
            <w:rStyle w:val="Hyperlink"/>
          </w:rPr>
          <w:t>3.2.4</w:t>
        </w:r>
        <w:r w:rsidR="00D8256E">
          <w:rPr>
            <w:rFonts w:eastAsiaTheme="minorEastAsia"/>
            <w:i w:val="0"/>
            <w:color w:val="auto"/>
            <w:lang w:eastAsia="en-AU"/>
          </w:rPr>
          <w:tab/>
        </w:r>
        <w:r w:rsidR="00D8256E" w:rsidRPr="00520436">
          <w:rPr>
            <w:rStyle w:val="Hyperlink"/>
          </w:rPr>
          <w:t>Data preparation</w:t>
        </w:r>
        <w:r w:rsidR="00D8256E">
          <w:rPr>
            <w:webHidden/>
          </w:rPr>
          <w:tab/>
        </w:r>
        <w:r w:rsidR="00D8256E">
          <w:rPr>
            <w:webHidden/>
          </w:rPr>
          <w:fldChar w:fldCharType="begin"/>
        </w:r>
        <w:r w:rsidR="00D8256E">
          <w:rPr>
            <w:webHidden/>
          </w:rPr>
          <w:instrText xml:space="preserve"> PAGEREF _Toc412550734 \h </w:instrText>
        </w:r>
        <w:r w:rsidR="00D8256E">
          <w:rPr>
            <w:webHidden/>
          </w:rPr>
        </w:r>
        <w:r w:rsidR="00D8256E">
          <w:rPr>
            <w:webHidden/>
          </w:rPr>
          <w:fldChar w:fldCharType="separate"/>
        </w:r>
        <w:r w:rsidR="00D8256E">
          <w:rPr>
            <w:webHidden/>
          </w:rPr>
          <w:t>30</w:t>
        </w:r>
        <w:r w:rsidR="00D8256E">
          <w:rPr>
            <w:webHidden/>
          </w:rPr>
          <w:fldChar w:fldCharType="end"/>
        </w:r>
      </w:hyperlink>
    </w:p>
    <w:p w:rsidR="00D8256E" w:rsidRDefault="00822CBA">
      <w:pPr>
        <w:pStyle w:val="TOC3"/>
        <w:rPr>
          <w:rFonts w:eastAsiaTheme="minorEastAsia"/>
          <w:i w:val="0"/>
          <w:color w:val="auto"/>
          <w:lang w:eastAsia="en-AU"/>
        </w:rPr>
      </w:pPr>
      <w:hyperlink w:anchor="_Toc412550735" w:history="1">
        <w:r w:rsidR="00D8256E" w:rsidRPr="00520436">
          <w:rPr>
            <w:rStyle w:val="Hyperlink"/>
          </w:rPr>
          <w:t>3.2.5</w:t>
        </w:r>
        <w:r w:rsidR="00D8256E">
          <w:rPr>
            <w:rFonts w:eastAsiaTheme="minorEastAsia"/>
            <w:i w:val="0"/>
            <w:color w:val="auto"/>
            <w:lang w:eastAsia="en-AU"/>
          </w:rPr>
          <w:tab/>
        </w:r>
        <w:r w:rsidR="00D8256E" w:rsidRPr="00520436">
          <w:rPr>
            <w:rStyle w:val="Hyperlink"/>
          </w:rPr>
          <w:t>Stratification and weighting</w:t>
        </w:r>
        <w:r w:rsidR="00D8256E">
          <w:rPr>
            <w:webHidden/>
          </w:rPr>
          <w:tab/>
        </w:r>
        <w:r w:rsidR="00D8256E">
          <w:rPr>
            <w:webHidden/>
          </w:rPr>
          <w:fldChar w:fldCharType="begin"/>
        </w:r>
        <w:r w:rsidR="00D8256E">
          <w:rPr>
            <w:webHidden/>
          </w:rPr>
          <w:instrText xml:space="preserve"> PAGEREF _Toc412550735 \h </w:instrText>
        </w:r>
        <w:r w:rsidR="00D8256E">
          <w:rPr>
            <w:webHidden/>
          </w:rPr>
        </w:r>
        <w:r w:rsidR="00D8256E">
          <w:rPr>
            <w:webHidden/>
          </w:rPr>
          <w:fldChar w:fldCharType="separate"/>
        </w:r>
        <w:r w:rsidR="00D8256E">
          <w:rPr>
            <w:webHidden/>
          </w:rPr>
          <w:t>30</w:t>
        </w:r>
        <w:r w:rsidR="00D8256E">
          <w:rPr>
            <w:webHidden/>
          </w:rPr>
          <w:fldChar w:fldCharType="end"/>
        </w:r>
      </w:hyperlink>
    </w:p>
    <w:p w:rsidR="00D8256E" w:rsidRDefault="00822CBA">
      <w:pPr>
        <w:pStyle w:val="TOC3"/>
        <w:rPr>
          <w:rFonts w:eastAsiaTheme="minorEastAsia"/>
          <w:i w:val="0"/>
          <w:color w:val="auto"/>
          <w:lang w:eastAsia="en-AU"/>
        </w:rPr>
      </w:pPr>
      <w:hyperlink w:anchor="_Toc412550736" w:history="1">
        <w:r w:rsidR="00D8256E" w:rsidRPr="00520436">
          <w:rPr>
            <w:rStyle w:val="Hyperlink"/>
          </w:rPr>
          <w:t>3.2.6</w:t>
        </w:r>
        <w:r w:rsidR="00D8256E">
          <w:rPr>
            <w:rFonts w:eastAsiaTheme="minorEastAsia"/>
            <w:i w:val="0"/>
            <w:color w:val="auto"/>
            <w:lang w:eastAsia="en-AU"/>
          </w:rPr>
          <w:tab/>
        </w:r>
        <w:r w:rsidR="00D8256E" w:rsidRPr="00520436">
          <w:rPr>
            <w:rStyle w:val="Hyperlink"/>
          </w:rPr>
          <w:t>Inlier bounds</w:t>
        </w:r>
        <w:r w:rsidR="00D8256E">
          <w:rPr>
            <w:webHidden/>
          </w:rPr>
          <w:tab/>
        </w:r>
        <w:r w:rsidR="00D8256E">
          <w:rPr>
            <w:webHidden/>
          </w:rPr>
          <w:fldChar w:fldCharType="begin"/>
        </w:r>
        <w:r w:rsidR="00D8256E">
          <w:rPr>
            <w:webHidden/>
          </w:rPr>
          <w:instrText xml:space="preserve"> PAGEREF _Toc412550736 \h </w:instrText>
        </w:r>
        <w:r w:rsidR="00D8256E">
          <w:rPr>
            <w:webHidden/>
          </w:rPr>
        </w:r>
        <w:r w:rsidR="00D8256E">
          <w:rPr>
            <w:webHidden/>
          </w:rPr>
          <w:fldChar w:fldCharType="separate"/>
        </w:r>
        <w:r w:rsidR="00D8256E">
          <w:rPr>
            <w:webHidden/>
          </w:rPr>
          <w:t>30</w:t>
        </w:r>
        <w:r w:rsidR="00D8256E">
          <w:rPr>
            <w:webHidden/>
          </w:rPr>
          <w:fldChar w:fldCharType="end"/>
        </w:r>
      </w:hyperlink>
    </w:p>
    <w:p w:rsidR="00D8256E" w:rsidRDefault="00822CBA">
      <w:pPr>
        <w:pStyle w:val="TOC3"/>
        <w:rPr>
          <w:rFonts w:eastAsiaTheme="minorEastAsia"/>
          <w:i w:val="0"/>
          <w:color w:val="auto"/>
          <w:lang w:eastAsia="en-AU"/>
        </w:rPr>
      </w:pPr>
      <w:hyperlink w:anchor="_Toc412550737" w:history="1">
        <w:r w:rsidR="00D8256E" w:rsidRPr="00520436">
          <w:rPr>
            <w:rStyle w:val="Hyperlink"/>
          </w:rPr>
          <w:t>3.2.7</w:t>
        </w:r>
        <w:r w:rsidR="00D8256E">
          <w:rPr>
            <w:rFonts w:eastAsiaTheme="minorEastAsia"/>
            <w:i w:val="0"/>
            <w:color w:val="auto"/>
            <w:lang w:eastAsia="en-AU"/>
          </w:rPr>
          <w:tab/>
        </w:r>
        <w:r w:rsidR="00D8256E" w:rsidRPr="00520436">
          <w:rPr>
            <w:rStyle w:val="Hyperlink"/>
          </w:rPr>
          <w:t>Cost parameters and adjustments</w:t>
        </w:r>
        <w:r w:rsidR="00D8256E">
          <w:rPr>
            <w:webHidden/>
          </w:rPr>
          <w:tab/>
        </w:r>
        <w:r w:rsidR="00D8256E">
          <w:rPr>
            <w:webHidden/>
          </w:rPr>
          <w:fldChar w:fldCharType="begin"/>
        </w:r>
        <w:r w:rsidR="00D8256E">
          <w:rPr>
            <w:webHidden/>
          </w:rPr>
          <w:instrText xml:space="preserve"> PAGEREF _Toc412550737 \h </w:instrText>
        </w:r>
        <w:r w:rsidR="00D8256E">
          <w:rPr>
            <w:webHidden/>
          </w:rPr>
        </w:r>
        <w:r w:rsidR="00D8256E">
          <w:rPr>
            <w:webHidden/>
          </w:rPr>
          <w:fldChar w:fldCharType="separate"/>
        </w:r>
        <w:r w:rsidR="00D8256E">
          <w:rPr>
            <w:webHidden/>
          </w:rPr>
          <w:t>31</w:t>
        </w:r>
        <w:r w:rsidR="00D8256E">
          <w:rPr>
            <w:webHidden/>
          </w:rPr>
          <w:fldChar w:fldCharType="end"/>
        </w:r>
      </w:hyperlink>
    </w:p>
    <w:p w:rsidR="00D8256E" w:rsidRDefault="00822CBA">
      <w:pPr>
        <w:pStyle w:val="TOC3"/>
        <w:rPr>
          <w:rFonts w:eastAsiaTheme="minorEastAsia"/>
          <w:i w:val="0"/>
          <w:color w:val="auto"/>
          <w:lang w:eastAsia="en-AU"/>
        </w:rPr>
      </w:pPr>
      <w:hyperlink w:anchor="_Toc412550738" w:history="1">
        <w:r w:rsidR="00D8256E" w:rsidRPr="00520436">
          <w:rPr>
            <w:rStyle w:val="Hyperlink"/>
          </w:rPr>
          <w:t>3.2.8</w:t>
        </w:r>
        <w:r w:rsidR="00D8256E">
          <w:rPr>
            <w:rFonts w:eastAsiaTheme="minorEastAsia"/>
            <w:i w:val="0"/>
            <w:color w:val="auto"/>
            <w:lang w:eastAsia="en-AU"/>
          </w:rPr>
          <w:tab/>
        </w:r>
        <w:r w:rsidR="00D8256E" w:rsidRPr="00520436">
          <w:rPr>
            <w:rStyle w:val="Hyperlink"/>
          </w:rPr>
          <w:t>Price weights and NWAU</w:t>
        </w:r>
        <w:r w:rsidR="00D8256E">
          <w:rPr>
            <w:webHidden/>
          </w:rPr>
          <w:tab/>
        </w:r>
        <w:r w:rsidR="00D8256E">
          <w:rPr>
            <w:webHidden/>
          </w:rPr>
          <w:fldChar w:fldCharType="begin"/>
        </w:r>
        <w:r w:rsidR="00D8256E">
          <w:rPr>
            <w:webHidden/>
          </w:rPr>
          <w:instrText xml:space="preserve"> PAGEREF _Toc412550738 \h </w:instrText>
        </w:r>
        <w:r w:rsidR="00D8256E">
          <w:rPr>
            <w:webHidden/>
          </w:rPr>
        </w:r>
        <w:r w:rsidR="00D8256E">
          <w:rPr>
            <w:webHidden/>
          </w:rPr>
          <w:fldChar w:fldCharType="separate"/>
        </w:r>
        <w:r w:rsidR="00D8256E">
          <w:rPr>
            <w:webHidden/>
          </w:rPr>
          <w:t>32</w:t>
        </w:r>
        <w:r w:rsidR="00D8256E">
          <w:rPr>
            <w:webHidden/>
          </w:rPr>
          <w:fldChar w:fldCharType="end"/>
        </w:r>
      </w:hyperlink>
    </w:p>
    <w:p w:rsidR="00D8256E" w:rsidRDefault="00822CBA">
      <w:pPr>
        <w:pStyle w:val="TOC2"/>
        <w:rPr>
          <w:rFonts w:eastAsiaTheme="minorEastAsia"/>
          <w:color w:val="auto"/>
          <w:lang w:eastAsia="en-AU"/>
        </w:rPr>
      </w:pPr>
      <w:hyperlink w:anchor="_Toc412550739" w:history="1">
        <w:r w:rsidR="00D8256E" w:rsidRPr="00520436">
          <w:rPr>
            <w:rStyle w:val="Hyperlink"/>
          </w:rPr>
          <w:t>3.3</w:t>
        </w:r>
        <w:r w:rsidR="00D8256E">
          <w:rPr>
            <w:rFonts w:eastAsiaTheme="minorEastAsia"/>
            <w:color w:val="auto"/>
            <w:lang w:eastAsia="en-AU"/>
          </w:rPr>
          <w:tab/>
        </w:r>
        <w:r w:rsidR="00D8256E" w:rsidRPr="00520436">
          <w:rPr>
            <w:rStyle w:val="Hyperlink"/>
          </w:rPr>
          <w:t>Assigning NWAU to mental health patient data</w:t>
        </w:r>
        <w:r w:rsidR="00D8256E">
          <w:rPr>
            <w:webHidden/>
          </w:rPr>
          <w:tab/>
        </w:r>
        <w:r w:rsidR="00D8256E">
          <w:rPr>
            <w:webHidden/>
          </w:rPr>
          <w:fldChar w:fldCharType="begin"/>
        </w:r>
        <w:r w:rsidR="00D8256E">
          <w:rPr>
            <w:webHidden/>
          </w:rPr>
          <w:instrText xml:space="preserve"> PAGEREF _Toc412550739 \h </w:instrText>
        </w:r>
        <w:r w:rsidR="00D8256E">
          <w:rPr>
            <w:webHidden/>
          </w:rPr>
        </w:r>
        <w:r w:rsidR="00D8256E">
          <w:rPr>
            <w:webHidden/>
          </w:rPr>
          <w:fldChar w:fldCharType="separate"/>
        </w:r>
        <w:r w:rsidR="00D8256E">
          <w:rPr>
            <w:webHidden/>
          </w:rPr>
          <w:t>32</w:t>
        </w:r>
        <w:r w:rsidR="00D8256E">
          <w:rPr>
            <w:webHidden/>
          </w:rPr>
          <w:fldChar w:fldCharType="end"/>
        </w:r>
      </w:hyperlink>
    </w:p>
    <w:p w:rsidR="00D8256E" w:rsidRDefault="00822CBA">
      <w:pPr>
        <w:pStyle w:val="TOC1"/>
        <w:rPr>
          <w:rFonts w:eastAsiaTheme="minorEastAsia"/>
          <w:b w:val="0"/>
          <w:sz w:val="22"/>
          <w:lang w:eastAsia="en-AU"/>
        </w:rPr>
      </w:pPr>
      <w:hyperlink w:anchor="_Toc412550740" w:history="1">
        <w:r w:rsidR="00D8256E" w:rsidRPr="00520436">
          <w:rPr>
            <w:rStyle w:val="Hyperlink"/>
          </w:rPr>
          <w:t>4</w:t>
        </w:r>
        <w:r w:rsidR="00D8256E">
          <w:rPr>
            <w:rFonts w:eastAsiaTheme="minorEastAsia"/>
            <w:b w:val="0"/>
            <w:sz w:val="22"/>
            <w:lang w:eastAsia="en-AU"/>
          </w:rPr>
          <w:tab/>
        </w:r>
        <w:r w:rsidR="00D8256E" w:rsidRPr="00520436">
          <w:rPr>
            <w:rStyle w:val="Hyperlink"/>
          </w:rPr>
          <w:t>Subacute and non-acute admitted care cost model</w:t>
        </w:r>
        <w:r w:rsidR="00D8256E">
          <w:rPr>
            <w:webHidden/>
          </w:rPr>
          <w:tab/>
        </w:r>
        <w:r w:rsidR="00D8256E">
          <w:rPr>
            <w:webHidden/>
          </w:rPr>
          <w:fldChar w:fldCharType="begin"/>
        </w:r>
        <w:r w:rsidR="00D8256E">
          <w:rPr>
            <w:webHidden/>
          </w:rPr>
          <w:instrText xml:space="preserve"> PAGEREF _Toc412550740 \h </w:instrText>
        </w:r>
        <w:r w:rsidR="00D8256E">
          <w:rPr>
            <w:webHidden/>
          </w:rPr>
        </w:r>
        <w:r w:rsidR="00D8256E">
          <w:rPr>
            <w:webHidden/>
          </w:rPr>
          <w:fldChar w:fldCharType="separate"/>
        </w:r>
        <w:r w:rsidR="00D8256E">
          <w:rPr>
            <w:webHidden/>
          </w:rPr>
          <w:t>33</w:t>
        </w:r>
        <w:r w:rsidR="00D8256E">
          <w:rPr>
            <w:webHidden/>
          </w:rPr>
          <w:fldChar w:fldCharType="end"/>
        </w:r>
      </w:hyperlink>
    </w:p>
    <w:p w:rsidR="00D8256E" w:rsidRDefault="00822CBA">
      <w:pPr>
        <w:pStyle w:val="TOC2"/>
        <w:rPr>
          <w:rFonts w:eastAsiaTheme="minorEastAsia"/>
          <w:color w:val="auto"/>
          <w:lang w:eastAsia="en-AU"/>
        </w:rPr>
      </w:pPr>
      <w:hyperlink w:anchor="_Toc412550741" w:history="1">
        <w:r w:rsidR="00D8256E" w:rsidRPr="00520436">
          <w:rPr>
            <w:rStyle w:val="Hyperlink"/>
          </w:rPr>
          <w:t>4.1</w:t>
        </w:r>
        <w:r w:rsidR="00D8256E">
          <w:rPr>
            <w:rFonts w:eastAsiaTheme="minorEastAsia"/>
            <w:color w:val="auto"/>
            <w:lang w:eastAsia="en-AU"/>
          </w:rPr>
          <w:tab/>
        </w:r>
        <w:r w:rsidR="00D8256E" w:rsidRPr="00520436">
          <w:rPr>
            <w:rStyle w:val="Hyperlink"/>
          </w:rPr>
          <w:t>General issues</w:t>
        </w:r>
        <w:r w:rsidR="00D8256E">
          <w:rPr>
            <w:webHidden/>
          </w:rPr>
          <w:tab/>
        </w:r>
        <w:r w:rsidR="00D8256E">
          <w:rPr>
            <w:webHidden/>
          </w:rPr>
          <w:fldChar w:fldCharType="begin"/>
        </w:r>
        <w:r w:rsidR="00D8256E">
          <w:rPr>
            <w:webHidden/>
          </w:rPr>
          <w:instrText xml:space="preserve"> PAGEREF _Toc412550741 \h </w:instrText>
        </w:r>
        <w:r w:rsidR="00D8256E">
          <w:rPr>
            <w:webHidden/>
          </w:rPr>
        </w:r>
        <w:r w:rsidR="00D8256E">
          <w:rPr>
            <w:webHidden/>
          </w:rPr>
          <w:fldChar w:fldCharType="separate"/>
        </w:r>
        <w:r w:rsidR="00D8256E">
          <w:rPr>
            <w:webHidden/>
          </w:rPr>
          <w:t>33</w:t>
        </w:r>
        <w:r w:rsidR="00D8256E">
          <w:rPr>
            <w:webHidden/>
          </w:rPr>
          <w:fldChar w:fldCharType="end"/>
        </w:r>
      </w:hyperlink>
    </w:p>
    <w:p w:rsidR="00D8256E" w:rsidRDefault="00822CBA">
      <w:pPr>
        <w:pStyle w:val="TOC3"/>
        <w:rPr>
          <w:rFonts w:eastAsiaTheme="minorEastAsia"/>
          <w:i w:val="0"/>
          <w:color w:val="auto"/>
          <w:lang w:eastAsia="en-AU"/>
        </w:rPr>
      </w:pPr>
      <w:hyperlink w:anchor="_Toc412550742" w:history="1">
        <w:r w:rsidR="00D8256E" w:rsidRPr="00520436">
          <w:rPr>
            <w:rStyle w:val="Hyperlink"/>
          </w:rPr>
          <w:t>4.1.1</w:t>
        </w:r>
        <w:r w:rsidR="00D8256E">
          <w:rPr>
            <w:rFonts w:eastAsiaTheme="minorEastAsia"/>
            <w:i w:val="0"/>
            <w:color w:val="auto"/>
            <w:lang w:eastAsia="en-AU"/>
          </w:rPr>
          <w:tab/>
        </w:r>
        <w:r w:rsidR="00D8256E" w:rsidRPr="00520436">
          <w:rPr>
            <w:rStyle w:val="Hyperlink"/>
          </w:rPr>
          <w:t>Cost Unit</w:t>
        </w:r>
        <w:r w:rsidR="00D8256E">
          <w:rPr>
            <w:webHidden/>
          </w:rPr>
          <w:tab/>
        </w:r>
        <w:r w:rsidR="00D8256E">
          <w:rPr>
            <w:webHidden/>
          </w:rPr>
          <w:fldChar w:fldCharType="begin"/>
        </w:r>
        <w:r w:rsidR="00D8256E">
          <w:rPr>
            <w:webHidden/>
          </w:rPr>
          <w:instrText xml:space="preserve"> PAGEREF _Toc412550742 \h </w:instrText>
        </w:r>
        <w:r w:rsidR="00D8256E">
          <w:rPr>
            <w:webHidden/>
          </w:rPr>
        </w:r>
        <w:r w:rsidR="00D8256E">
          <w:rPr>
            <w:webHidden/>
          </w:rPr>
          <w:fldChar w:fldCharType="separate"/>
        </w:r>
        <w:r w:rsidR="00D8256E">
          <w:rPr>
            <w:webHidden/>
          </w:rPr>
          <w:t>33</w:t>
        </w:r>
        <w:r w:rsidR="00D8256E">
          <w:rPr>
            <w:webHidden/>
          </w:rPr>
          <w:fldChar w:fldCharType="end"/>
        </w:r>
      </w:hyperlink>
    </w:p>
    <w:p w:rsidR="00D8256E" w:rsidRDefault="00822CBA">
      <w:pPr>
        <w:pStyle w:val="TOC3"/>
        <w:rPr>
          <w:rFonts w:eastAsiaTheme="minorEastAsia"/>
          <w:i w:val="0"/>
          <w:color w:val="auto"/>
          <w:lang w:eastAsia="en-AU"/>
        </w:rPr>
      </w:pPr>
      <w:hyperlink w:anchor="_Toc412550743" w:history="1">
        <w:r w:rsidR="00D8256E" w:rsidRPr="00520436">
          <w:rPr>
            <w:rStyle w:val="Hyperlink"/>
          </w:rPr>
          <w:t>4.1.2</w:t>
        </w:r>
        <w:r w:rsidR="00D8256E">
          <w:rPr>
            <w:rFonts w:eastAsiaTheme="minorEastAsia"/>
            <w:i w:val="0"/>
            <w:color w:val="auto"/>
            <w:lang w:eastAsia="en-AU"/>
          </w:rPr>
          <w:tab/>
        </w:r>
        <w:r w:rsidR="00D8256E" w:rsidRPr="00520436">
          <w:rPr>
            <w:rStyle w:val="Hyperlink"/>
          </w:rPr>
          <w:t>Scope</w:t>
        </w:r>
        <w:r w:rsidR="00D8256E">
          <w:rPr>
            <w:webHidden/>
          </w:rPr>
          <w:tab/>
        </w:r>
        <w:r w:rsidR="00D8256E">
          <w:rPr>
            <w:webHidden/>
          </w:rPr>
          <w:fldChar w:fldCharType="begin"/>
        </w:r>
        <w:r w:rsidR="00D8256E">
          <w:rPr>
            <w:webHidden/>
          </w:rPr>
          <w:instrText xml:space="preserve"> PAGEREF _Toc412550743 \h </w:instrText>
        </w:r>
        <w:r w:rsidR="00D8256E">
          <w:rPr>
            <w:webHidden/>
          </w:rPr>
        </w:r>
        <w:r w:rsidR="00D8256E">
          <w:rPr>
            <w:webHidden/>
          </w:rPr>
          <w:fldChar w:fldCharType="separate"/>
        </w:r>
        <w:r w:rsidR="00D8256E">
          <w:rPr>
            <w:webHidden/>
          </w:rPr>
          <w:t>33</w:t>
        </w:r>
        <w:r w:rsidR="00D8256E">
          <w:rPr>
            <w:webHidden/>
          </w:rPr>
          <w:fldChar w:fldCharType="end"/>
        </w:r>
      </w:hyperlink>
    </w:p>
    <w:p w:rsidR="00D8256E" w:rsidRDefault="00822CBA">
      <w:pPr>
        <w:pStyle w:val="TOC3"/>
        <w:rPr>
          <w:rFonts w:eastAsiaTheme="minorEastAsia"/>
          <w:i w:val="0"/>
          <w:color w:val="auto"/>
          <w:lang w:eastAsia="en-AU"/>
        </w:rPr>
      </w:pPr>
      <w:hyperlink w:anchor="_Toc412550744" w:history="1">
        <w:r w:rsidR="00D8256E" w:rsidRPr="00520436">
          <w:rPr>
            <w:rStyle w:val="Hyperlink"/>
          </w:rPr>
          <w:t>4.1.3</w:t>
        </w:r>
        <w:r w:rsidR="00D8256E">
          <w:rPr>
            <w:rFonts w:eastAsiaTheme="minorEastAsia"/>
            <w:i w:val="0"/>
            <w:color w:val="auto"/>
            <w:lang w:eastAsia="en-AU"/>
          </w:rPr>
          <w:tab/>
        </w:r>
        <w:r w:rsidR="00D8256E" w:rsidRPr="00520436">
          <w:rPr>
            <w:rStyle w:val="Hyperlink"/>
          </w:rPr>
          <w:t>Classification</w:t>
        </w:r>
        <w:r w:rsidR="00D8256E">
          <w:rPr>
            <w:webHidden/>
          </w:rPr>
          <w:tab/>
        </w:r>
        <w:r w:rsidR="00D8256E">
          <w:rPr>
            <w:webHidden/>
          </w:rPr>
          <w:fldChar w:fldCharType="begin"/>
        </w:r>
        <w:r w:rsidR="00D8256E">
          <w:rPr>
            <w:webHidden/>
          </w:rPr>
          <w:instrText xml:space="preserve"> PAGEREF _Toc412550744 \h </w:instrText>
        </w:r>
        <w:r w:rsidR="00D8256E">
          <w:rPr>
            <w:webHidden/>
          </w:rPr>
        </w:r>
        <w:r w:rsidR="00D8256E">
          <w:rPr>
            <w:webHidden/>
          </w:rPr>
          <w:fldChar w:fldCharType="separate"/>
        </w:r>
        <w:r w:rsidR="00D8256E">
          <w:rPr>
            <w:webHidden/>
          </w:rPr>
          <w:t>33</w:t>
        </w:r>
        <w:r w:rsidR="00D8256E">
          <w:rPr>
            <w:webHidden/>
          </w:rPr>
          <w:fldChar w:fldCharType="end"/>
        </w:r>
      </w:hyperlink>
    </w:p>
    <w:p w:rsidR="00D8256E" w:rsidRDefault="00822CBA">
      <w:pPr>
        <w:pStyle w:val="TOC3"/>
        <w:rPr>
          <w:rFonts w:eastAsiaTheme="minorEastAsia"/>
          <w:i w:val="0"/>
          <w:color w:val="auto"/>
          <w:lang w:eastAsia="en-AU"/>
        </w:rPr>
      </w:pPr>
      <w:hyperlink w:anchor="_Toc412550745" w:history="1">
        <w:r w:rsidR="00D8256E" w:rsidRPr="00520436">
          <w:rPr>
            <w:rStyle w:val="Hyperlink"/>
          </w:rPr>
          <w:t>4.1.4</w:t>
        </w:r>
        <w:r w:rsidR="00D8256E">
          <w:rPr>
            <w:rFonts w:eastAsiaTheme="minorEastAsia"/>
            <w:i w:val="0"/>
            <w:color w:val="auto"/>
            <w:lang w:eastAsia="en-AU"/>
          </w:rPr>
          <w:tab/>
        </w:r>
        <w:r w:rsidR="00D8256E" w:rsidRPr="00520436">
          <w:rPr>
            <w:rStyle w:val="Hyperlink"/>
          </w:rPr>
          <w:t>New methodology for NEP15</w:t>
        </w:r>
        <w:r w:rsidR="00D8256E">
          <w:rPr>
            <w:webHidden/>
          </w:rPr>
          <w:tab/>
        </w:r>
        <w:r w:rsidR="00D8256E">
          <w:rPr>
            <w:webHidden/>
          </w:rPr>
          <w:fldChar w:fldCharType="begin"/>
        </w:r>
        <w:r w:rsidR="00D8256E">
          <w:rPr>
            <w:webHidden/>
          </w:rPr>
          <w:instrText xml:space="preserve"> PAGEREF _Toc412550745 \h </w:instrText>
        </w:r>
        <w:r w:rsidR="00D8256E">
          <w:rPr>
            <w:webHidden/>
          </w:rPr>
        </w:r>
        <w:r w:rsidR="00D8256E">
          <w:rPr>
            <w:webHidden/>
          </w:rPr>
          <w:fldChar w:fldCharType="separate"/>
        </w:r>
        <w:r w:rsidR="00D8256E">
          <w:rPr>
            <w:webHidden/>
          </w:rPr>
          <w:t>33</w:t>
        </w:r>
        <w:r w:rsidR="00D8256E">
          <w:rPr>
            <w:webHidden/>
          </w:rPr>
          <w:fldChar w:fldCharType="end"/>
        </w:r>
      </w:hyperlink>
    </w:p>
    <w:p w:rsidR="00D8256E" w:rsidRDefault="00822CBA">
      <w:pPr>
        <w:pStyle w:val="TOC2"/>
        <w:rPr>
          <w:rFonts w:eastAsiaTheme="minorEastAsia"/>
          <w:color w:val="auto"/>
          <w:lang w:eastAsia="en-AU"/>
        </w:rPr>
      </w:pPr>
      <w:hyperlink w:anchor="_Toc412550746" w:history="1">
        <w:r w:rsidR="00D8256E" w:rsidRPr="00520436">
          <w:rPr>
            <w:rStyle w:val="Hyperlink"/>
          </w:rPr>
          <w:t>4.2</w:t>
        </w:r>
        <w:r w:rsidR="00D8256E">
          <w:rPr>
            <w:rFonts w:eastAsiaTheme="minorEastAsia"/>
            <w:color w:val="auto"/>
            <w:lang w:eastAsia="en-AU"/>
          </w:rPr>
          <w:tab/>
        </w:r>
        <w:r w:rsidR="00D8256E" w:rsidRPr="00520436">
          <w:rPr>
            <w:rStyle w:val="Hyperlink"/>
          </w:rPr>
          <w:t>Analysis of costs to derive NWAU for subacute admitted care</w:t>
        </w:r>
        <w:r w:rsidR="00D8256E">
          <w:rPr>
            <w:webHidden/>
          </w:rPr>
          <w:tab/>
        </w:r>
        <w:r w:rsidR="00D8256E">
          <w:rPr>
            <w:webHidden/>
          </w:rPr>
          <w:fldChar w:fldCharType="begin"/>
        </w:r>
        <w:r w:rsidR="00D8256E">
          <w:rPr>
            <w:webHidden/>
          </w:rPr>
          <w:instrText xml:space="preserve"> PAGEREF _Toc412550746 \h </w:instrText>
        </w:r>
        <w:r w:rsidR="00D8256E">
          <w:rPr>
            <w:webHidden/>
          </w:rPr>
        </w:r>
        <w:r w:rsidR="00D8256E">
          <w:rPr>
            <w:webHidden/>
          </w:rPr>
          <w:fldChar w:fldCharType="separate"/>
        </w:r>
        <w:r w:rsidR="00D8256E">
          <w:rPr>
            <w:webHidden/>
          </w:rPr>
          <w:t>34</w:t>
        </w:r>
        <w:r w:rsidR="00D8256E">
          <w:rPr>
            <w:webHidden/>
          </w:rPr>
          <w:fldChar w:fldCharType="end"/>
        </w:r>
      </w:hyperlink>
    </w:p>
    <w:p w:rsidR="00D8256E" w:rsidRDefault="00822CBA">
      <w:pPr>
        <w:pStyle w:val="TOC3"/>
        <w:rPr>
          <w:rFonts w:eastAsiaTheme="minorEastAsia"/>
          <w:i w:val="0"/>
          <w:color w:val="auto"/>
          <w:lang w:eastAsia="en-AU"/>
        </w:rPr>
      </w:pPr>
      <w:hyperlink w:anchor="_Toc412550747" w:history="1">
        <w:r w:rsidR="00D8256E" w:rsidRPr="00520436">
          <w:rPr>
            <w:rStyle w:val="Hyperlink"/>
          </w:rPr>
          <w:t>4.2.1</w:t>
        </w:r>
        <w:r w:rsidR="00D8256E">
          <w:rPr>
            <w:rFonts w:eastAsiaTheme="minorEastAsia"/>
            <w:i w:val="0"/>
            <w:color w:val="auto"/>
            <w:lang w:eastAsia="en-AU"/>
          </w:rPr>
          <w:tab/>
        </w:r>
        <w:r w:rsidR="00D8256E" w:rsidRPr="00520436">
          <w:rPr>
            <w:rStyle w:val="Hyperlink"/>
          </w:rPr>
          <w:t>Data preparation</w:t>
        </w:r>
        <w:r w:rsidR="00D8256E">
          <w:rPr>
            <w:webHidden/>
          </w:rPr>
          <w:tab/>
        </w:r>
        <w:r w:rsidR="00D8256E">
          <w:rPr>
            <w:webHidden/>
          </w:rPr>
          <w:fldChar w:fldCharType="begin"/>
        </w:r>
        <w:r w:rsidR="00D8256E">
          <w:rPr>
            <w:webHidden/>
          </w:rPr>
          <w:instrText xml:space="preserve"> PAGEREF _Toc412550747 \h </w:instrText>
        </w:r>
        <w:r w:rsidR="00D8256E">
          <w:rPr>
            <w:webHidden/>
          </w:rPr>
        </w:r>
        <w:r w:rsidR="00D8256E">
          <w:rPr>
            <w:webHidden/>
          </w:rPr>
          <w:fldChar w:fldCharType="separate"/>
        </w:r>
        <w:r w:rsidR="00D8256E">
          <w:rPr>
            <w:webHidden/>
          </w:rPr>
          <w:t>34</w:t>
        </w:r>
        <w:r w:rsidR="00D8256E">
          <w:rPr>
            <w:webHidden/>
          </w:rPr>
          <w:fldChar w:fldCharType="end"/>
        </w:r>
      </w:hyperlink>
    </w:p>
    <w:p w:rsidR="00D8256E" w:rsidRDefault="00822CBA">
      <w:pPr>
        <w:pStyle w:val="TOC3"/>
        <w:rPr>
          <w:rFonts w:eastAsiaTheme="minorEastAsia"/>
          <w:i w:val="0"/>
          <w:color w:val="auto"/>
          <w:lang w:eastAsia="en-AU"/>
        </w:rPr>
      </w:pPr>
      <w:hyperlink w:anchor="_Toc412550748" w:history="1">
        <w:r w:rsidR="00D8256E" w:rsidRPr="00520436">
          <w:rPr>
            <w:rStyle w:val="Hyperlink"/>
          </w:rPr>
          <w:t>4.2.2</w:t>
        </w:r>
        <w:r w:rsidR="00D8256E">
          <w:rPr>
            <w:rFonts w:eastAsiaTheme="minorEastAsia"/>
            <w:i w:val="0"/>
            <w:color w:val="auto"/>
            <w:lang w:eastAsia="en-AU"/>
          </w:rPr>
          <w:tab/>
        </w:r>
        <w:r w:rsidR="00D8256E" w:rsidRPr="00520436">
          <w:rPr>
            <w:rStyle w:val="Hyperlink"/>
          </w:rPr>
          <w:t>Stratification and weighting</w:t>
        </w:r>
        <w:r w:rsidR="00D8256E">
          <w:rPr>
            <w:webHidden/>
          </w:rPr>
          <w:tab/>
        </w:r>
        <w:r w:rsidR="00D8256E">
          <w:rPr>
            <w:webHidden/>
          </w:rPr>
          <w:fldChar w:fldCharType="begin"/>
        </w:r>
        <w:r w:rsidR="00D8256E">
          <w:rPr>
            <w:webHidden/>
          </w:rPr>
          <w:instrText xml:space="preserve"> PAGEREF _Toc412550748 \h </w:instrText>
        </w:r>
        <w:r w:rsidR="00D8256E">
          <w:rPr>
            <w:webHidden/>
          </w:rPr>
        </w:r>
        <w:r w:rsidR="00D8256E">
          <w:rPr>
            <w:webHidden/>
          </w:rPr>
          <w:fldChar w:fldCharType="separate"/>
        </w:r>
        <w:r w:rsidR="00D8256E">
          <w:rPr>
            <w:webHidden/>
          </w:rPr>
          <w:t>34</w:t>
        </w:r>
        <w:r w:rsidR="00D8256E">
          <w:rPr>
            <w:webHidden/>
          </w:rPr>
          <w:fldChar w:fldCharType="end"/>
        </w:r>
      </w:hyperlink>
    </w:p>
    <w:p w:rsidR="00D8256E" w:rsidRDefault="00822CBA">
      <w:pPr>
        <w:pStyle w:val="TOC3"/>
        <w:rPr>
          <w:rFonts w:eastAsiaTheme="minorEastAsia"/>
          <w:i w:val="0"/>
          <w:color w:val="auto"/>
          <w:lang w:eastAsia="en-AU"/>
        </w:rPr>
      </w:pPr>
      <w:hyperlink w:anchor="_Toc412550749" w:history="1">
        <w:r w:rsidR="00D8256E" w:rsidRPr="00520436">
          <w:rPr>
            <w:rStyle w:val="Hyperlink"/>
          </w:rPr>
          <w:t>4.2.3</w:t>
        </w:r>
        <w:r w:rsidR="00D8256E">
          <w:rPr>
            <w:rFonts w:eastAsiaTheme="minorEastAsia"/>
            <w:i w:val="0"/>
            <w:color w:val="auto"/>
            <w:lang w:eastAsia="en-AU"/>
          </w:rPr>
          <w:tab/>
        </w:r>
        <w:r w:rsidR="00D8256E" w:rsidRPr="00520436">
          <w:rPr>
            <w:rStyle w:val="Hyperlink"/>
          </w:rPr>
          <w:t>Determining AN-SNAP Version 3 cost parameters</w:t>
        </w:r>
        <w:r w:rsidR="00D8256E">
          <w:rPr>
            <w:webHidden/>
          </w:rPr>
          <w:tab/>
        </w:r>
        <w:r w:rsidR="00D8256E">
          <w:rPr>
            <w:webHidden/>
          </w:rPr>
          <w:fldChar w:fldCharType="begin"/>
        </w:r>
        <w:r w:rsidR="00D8256E">
          <w:rPr>
            <w:webHidden/>
          </w:rPr>
          <w:instrText xml:space="preserve"> PAGEREF _Toc412550749 \h </w:instrText>
        </w:r>
        <w:r w:rsidR="00D8256E">
          <w:rPr>
            <w:webHidden/>
          </w:rPr>
        </w:r>
        <w:r w:rsidR="00D8256E">
          <w:rPr>
            <w:webHidden/>
          </w:rPr>
          <w:fldChar w:fldCharType="separate"/>
        </w:r>
        <w:r w:rsidR="00D8256E">
          <w:rPr>
            <w:webHidden/>
          </w:rPr>
          <w:t>34</w:t>
        </w:r>
        <w:r w:rsidR="00D8256E">
          <w:rPr>
            <w:webHidden/>
          </w:rPr>
          <w:fldChar w:fldCharType="end"/>
        </w:r>
      </w:hyperlink>
    </w:p>
    <w:p w:rsidR="00D8256E" w:rsidRDefault="00822CBA">
      <w:pPr>
        <w:pStyle w:val="TOC3"/>
        <w:rPr>
          <w:rFonts w:eastAsiaTheme="minorEastAsia"/>
          <w:i w:val="0"/>
          <w:color w:val="auto"/>
          <w:lang w:eastAsia="en-AU"/>
        </w:rPr>
      </w:pPr>
      <w:hyperlink w:anchor="_Toc412550750" w:history="1">
        <w:r w:rsidR="00D8256E" w:rsidRPr="00520436">
          <w:rPr>
            <w:rStyle w:val="Hyperlink"/>
          </w:rPr>
          <w:t>4.2.4</w:t>
        </w:r>
        <w:r w:rsidR="00D8256E">
          <w:rPr>
            <w:rFonts w:eastAsiaTheme="minorEastAsia"/>
            <w:i w:val="0"/>
            <w:color w:val="auto"/>
            <w:lang w:eastAsia="en-AU"/>
          </w:rPr>
          <w:tab/>
        </w:r>
        <w:r w:rsidR="00D8256E" w:rsidRPr="00520436">
          <w:rPr>
            <w:rStyle w:val="Hyperlink"/>
          </w:rPr>
          <w:t>Calculation of additional adjustments</w:t>
        </w:r>
        <w:r w:rsidR="00D8256E">
          <w:rPr>
            <w:webHidden/>
          </w:rPr>
          <w:tab/>
        </w:r>
        <w:r w:rsidR="00D8256E">
          <w:rPr>
            <w:webHidden/>
          </w:rPr>
          <w:fldChar w:fldCharType="begin"/>
        </w:r>
        <w:r w:rsidR="00D8256E">
          <w:rPr>
            <w:webHidden/>
          </w:rPr>
          <w:instrText xml:space="preserve"> PAGEREF _Toc412550750 \h </w:instrText>
        </w:r>
        <w:r w:rsidR="00D8256E">
          <w:rPr>
            <w:webHidden/>
          </w:rPr>
        </w:r>
        <w:r w:rsidR="00D8256E">
          <w:rPr>
            <w:webHidden/>
          </w:rPr>
          <w:fldChar w:fldCharType="separate"/>
        </w:r>
        <w:r w:rsidR="00D8256E">
          <w:rPr>
            <w:webHidden/>
          </w:rPr>
          <w:t>35</w:t>
        </w:r>
        <w:r w:rsidR="00D8256E">
          <w:rPr>
            <w:webHidden/>
          </w:rPr>
          <w:fldChar w:fldCharType="end"/>
        </w:r>
      </w:hyperlink>
    </w:p>
    <w:p w:rsidR="00D8256E" w:rsidRDefault="00822CBA">
      <w:pPr>
        <w:pStyle w:val="TOC3"/>
        <w:rPr>
          <w:rFonts w:eastAsiaTheme="minorEastAsia"/>
          <w:i w:val="0"/>
          <w:color w:val="auto"/>
          <w:lang w:eastAsia="en-AU"/>
        </w:rPr>
      </w:pPr>
      <w:hyperlink w:anchor="_Toc412550751" w:history="1">
        <w:r w:rsidR="00D8256E" w:rsidRPr="00520436">
          <w:rPr>
            <w:rStyle w:val="Hyperlink"/>
          </w:rPr>
          <w:t>4.2.5</w:t>
        </w:r>
        <w:r w:rsidR="00D8256E">
          <w:rPr>
            <w:rFonts w:eastAsiaTheme="minorEastAsia"/>
            <w:i w:val="0"/>
            <w:color w:val="auto"/>
            <w:lang w:eastAsia="en-AU"/>
          </w:rPr>
          <w:tab/>
        </w:r>
        <w:r w:rsidR="00D8256E" w:rsidRPr="00520436">
          <w:rPr>
            <w:rStyle w:val="Hyperlink"/>
          </w:rPr>
          <w:t>Calculation of Paediatric care-type per diem</w:t>
        </w:r>
        <w:r w:rsidR="00D8256E">
          <w:rPr>
            <w:webHidden/>
          </w:rPr>
          <w:tab/>
        </w:r>
        <w:r w:rsidR="00D8256E">
          <w:rPr>
            <w:webHidden/>
          </w:rPr>
          <w:fldChar w:fldCharType="begin"/>
        </w:r>
        <w:r w:rsidR="00D8256E">
          <w:rPr>
            <w:webHidden/>
          </w:rPr>
          <w:instrText xml:space="preserve"> PAGEREF _Toc412550751 \h </w:instrText>
        </w:r>
        <w:r w:rsidR="00D8256E">
          <w:rPr>
            <w:webHidden/>
          </w:rPr>
        </w:r>
        <w:r w:rsidR="00D8256E">
          <w:rPr>
            <w:webHidden/>
          </w:rPr>
          <w:fldChar w:fldCharType="separate"/>
        </w:r>
        <w:r w:rsidR="00D8256E">
          <w:rPr>
            <w:webHidden/>
          </w:rPr>
          <w:t>35</w:t>
        </w:r>
        <w:r w:rsidR="00D8256E">
          <w:rPr>
            <w:webHidden/>
          </w:rPr>
          <w:fldChar w:fldCharType="end"/>
        </w:r>
      </w:hyperlink>
    </w:p>
    <w:p w:rsidR="00D8256E" w:rsidRDefault="00822CBA">
      <w:pPr>
        <w:pStyle w:val="TOC3"/>
        <w:rPr>
          <w:rFonts w:eastAsiaTheme="minorEastAsia"/>
          <w:i w:val="0"/>
          <w:color w:val="auto"/>
          <w:lang w:eastAsia="en-AU"/>
        </w:rPr>
      </w:pPr>
      <w:hyperlink w:anchor="_Toc412550752" w:history="1">
        <w:r w:rsidR="00D8256E" w:rsidRPr="00520436">
          <w:rPr>
            <w:rStyle w:val="Hyperlink"/>
          </w:rPr>
          <w:t>4.2.6</w:t>
        </w:r>
        <w:r w:rsidR="00D8256E">
          <w:rPr>
            <w:rFonts w:eastAsiaTheme="minorEastAsia"/>
            <w:i w:val="0"/>
            <w:color w:val="auto"/>
            <w:lang w:eastAsia="en-AU"/>
          </w:rPr>
          <w:tab/>
        </w:r>
        <w:r w:rsidR="00D8256E" w:rsidRPr="00520436">
          <w:rPr>
            <w:rStyle w:val="Hyperlink"/>
          </w:rPr>
          <w:t>Price weights and NWAU</w:t>
        </w:r>
        <w:r w:rsidR="00D8256E">
          <w:rPr>
            <w:webHidden/>
          </w:rPr>
          <w:tab/>
        </w:r>
        <w:r w:rsidR="00D8256E">
          <w:rPr>
            <w:webHidden/>
          </w:rPr>
          <w:fldChar w:fldCharType="begin"/>
        </w:r>
        <w:r w:rsidR="00D8256E">
          <w:rPr>
            <w:webHidden/>
          </w:rPr>
          <w:instrText xml:space="preserve"> PAGEREF _Toc412550752 \h </w:instrText>
        </w:r>
        <w:r w:rsidR="00D8256E">
          <w:rPr>
            <w:webHidden/>
          </w:rPr>
        </w:r>
        <w:r w:rsidR="00D8256E">
          <w:rPr>
            <w:webHidden/>
          </w:rPr>
          <w:fldChar w:fldCharType="separate"/>
        </w:r>
        <w:r w:rsidR="00D8256E">
          <w:rPr>
            <w:webHidden/>
          </w:rPr>
          <w:t>35</w:t>
        </w:r>
        <w:r w:rsidR="00D8256E">
          <w:rPr>
            <w:webHidden/>
          </w:rPr>
          <w:fldChar w:fldCharType="end"/>
        </w:r>
      </w:hyperlink>
    </w:p>
    <w:p w:rsidR="00D8256E" w:rsidRDefault="00822CBA">
      <w:pPr>
        <w:pStyle w:val="TOC2"/>
        <w:rPr>
          <w:rFonts w:eastAsiaTheme="minorEastAsia"/>
          <w:color w:val="auto"/>
          <w:lang w:eastAsia="en-AU"/>
        </w:rPr>
      </w:pPr>
      <w:hyperlink w:anchor="_Toc412550753" w:history="1">
        <w:r w:rsidR="00D8256E" w:rsidRPr="00520436">
          <w:rPr>
            <w:rStyle w:val="Hyperlink"/>
          </w:rPr>
          <w:t>4.3</w:t>
        </w:r>
        <w:r w:rsidR="00D8256E">
          <w:rPr>
            <w:rFonts w:eastAsiaTheme="minorEastAsia"/>
            <w:color w:val="auto"/>
            <w:lang w:eastAsia="en-AU"/>
          </w:rPr>
          <w:tab/>
        </w:r>
        <w:r w:rsidR="00D8256E" w:rsidRPr="00520436">
          <w:rPr>
            <w:rStyle w:val="Hyperlink"/>
          </w:rPr>
          <w:t>Applying the NEP</w:t>
        </w:r>
        <w:r w:rsidR="00D8256E">
          <w:rPr>
            <w:webHidden/>
          </w:rPr>
          <w:tab/>
        </w:r>
        <w:r w:rsidR="00D8256E">
          <w:rPr>
            <w:webHidden/>
          </w:rPr>
          <w:fldChar w:fldCharType="begin"/>
        </w:r>
        <w:r w:rsidR="00D8256E">
          <w:rPr>
            <w:webHidden/>
          </w:rPr>
          <w:instrText xml:space="preserve"> PAGEREF _Toc412550753 \h </w:instrText>
        </w:r>
        <w:r w:rsidR="00D8256E">
          <w:rPr>
            <w:webHidden/>
          </w:rPr>
        </w:r>
        <w:r w:rsidR="00D8256E">
          <w:rPr>
            <w:webHidden/>
          </w:rPr>
          <w:fldChar w:fldCharType="separate"/>
        </w:r>
        <w:r w:rsidR="00D8256E">
          <w:rPr>
            <w:webHidden/>
          </w:rPr>
          <w:t>35</w:t>
        </w:r>
        <w:r w:rsidR="00D8256E">
          <w:rPr>
            <w:webHidden/>
          </w:rPr>
          <w:fldChar w:fldCharType="end"/>
        </w:r>
      </w:hyperlink>
    </w:p>
    <w:p w:rsidR="00D8256E" w:rsidRDefault="00822CBA">
      <w:pPr>
        <w:pStyle w:val="TOC2"/>
        <w:rPr>
          <w:rFonts w:eastAsiaTheme="minorEastAsia"/>
          <w:color w:val="auto"/>
          <w:lang w:eastAsia="en-AU"/>
        </w:rPr>
      </w:pPr>
      <w:hyperlink w:anchor="_Toc412550754" w:history="1">
        <w:r w:rsidR="00D8256E" w:rsidRPr="00520436">
          <w:rPr>
            <w:rStyle w:val="Hyperlink"/>
          </w:rPr>
          <w:t>4.4</w:t>
        </w:r>
        <w:r w:rsidR="00D8256E">
          <w:rPr>
            <w:rFonts w:eastAsiaTheme="minorEastAsia"/>
            <w:color w:val="auto"/>
            <w:lang w:eastAsia="en-AU"/>
          </w:rPr>
          <w:tab/>
        </w:r>
        <w:r w:rsidR="00D8256E" w:rsidRPr="00520436">
          <w:rPr>
            <w:rStyle w:val="Hyperlink"/>
          </w:rPr>
          <w:t>Assigning NWAU to subacute and non-acute admitted patient data</w:t>
        </w:r>
        <w:r w:rsidR="00D8256E">
          <w:rPr>
            <w:webHidden/>
          </w:rPr>
          <w:tab/>
        </w:r>
        <w:r w:rsidR="00D8256E">
          <w:rPr>
            <w:webHidden/>
          </w:rPr>
          <w:fldChar w:fldCharType="begin"/>
        </w:r>
        <w:r w:rsidR="00D8256E">
          <w:rPr>
            <w:webHidden/>
          </w:rPr>
          <w:instrText xml:space="preserve"> PAGEREF _Toc412550754 \h </w:instrText>
        </w:r>
        <w:r w:rsidR="00D8256E">
          <w:rPr>
            <w:webHidden/>
          </w:rPr>
        </w:r>
        <w:r w:rsidR="00D8256E">
          <w:rPr>
            <w:webHidden/>
          </w:rPr>
          <w:fldChar w:fldCharType="separate"/>
        </w:r>
        <w:r w:rsidR="00D8256E">
          <w:rPr>
            <w:webHidden/>
          </w:rPr>
          <w:t>36</w:t>
        </w:r>
        <w:r w:rsidR="00D8256E">
          <w:rPr>
            <w:webHidden/>
          </w:rPr>
          <w:fldChar w:fldCharType="end"/>
        </w:r>
      </w:hyperlink>
    </w:p>
    <w:p w:rsidR="00D8256E" w:rsidRDefault="00822CBA">
      <w:pPr>
        <w:pStyle w:val="TOC3"/>
        <w:rPr>
          <w:rFonts w:eastAsiaTheme="minorEastAsia"/>
          <w:i w:val="0"/>
          <w:color w:val="auto"/>
          <w:lang w:eastAsia="en-AU"/>
        </w:rPr>
      </w:pPr>
      <w:hyperlink w:anchor="_Toc412550755" w:history="1">
        <w:r w:rsidR="00D8256E" w:rsidRPr="00520436">
          <w:rPr>
            <w:rStyle w:val="Hyperlink"/>
          </w:rPr>
          <w:t>4.4.1</w:t>
        </w:r>
        <w:r w:rsidR="00D8256E">
          <w:rPr>
            <w:rFonts w:eastAsiaTheme="minorEastAsia"/>
            <w:i w:val="0"/>
            <w:color w:val="auto"/>
            <w:lang w:eastAsia="en-AU"/>
          </w:rPr>
          <w:tab/>
        </w:r>
        <w:r w:rsidR="00D8256E" w:rsidRPr="00520436">
          <w:rPr>
            <w:rStyle w:val="Hyperlink"/>
          </w:rPr>
          <w:t>Data Preparation</w:t>
        </w:r>
        <w:r w:rsidR="00D8256E">
          <w:rPr>
            <w:webHidden/>
          </w:rPr>
          <w:tab/>
        </w:r>
        <w:r w:rsidR="00D8256E">
          <w:rPr>
            <w:webHidden/>
          </w:rPr>
          <w:fldChar w:fldCharType="begin"/>
        </w:r>
        <w:r w:rsidR="00D8256E">
          <w:rPr>
            <w:webHidden/>
          </w:rPr>
          <w:instrText xml:space="preserve"> PAGEREF _Toc412550755 \h </w:instrText>
        </w:r>
        <w:r w:rsidR="00D8256E">
          <w:rPr>
            <w:webHidden/>
          </w:rPr>
        </w:r>
        <w:r w:rsidR="00D8256E">
          <w:rPr>
            <w:webHidden/>
          </w:rPr>
          <w:fldChar w:fldCharType="separate"/>
        </w:r>
        <w:r w:rsidR="00D8256E">
          <w:rPr>
            <w:webHidden/>
          </w:rPr>
          <w:t>36</w:t>
        </w:r>
        <w:r w:rsidR="00D8256E">
          <w:rPr>
            <w:webHidden/>
          </w:rPr>
          <w:fldChar w:fldCharType="end"/>
        </w:r>
      </w:hyperlink>
    </w:p>
    <w:p w:rsidR="00D8256E" w:rsidRDefault="00822CBA">
      <w:pPr>
        <w:pStyle w:val="TOC3"/>
        <w:rPr>
          <w:rFonts w:eastAsiaTheme="minorEastAsia"/>
          <w:i w:val="0"/>
          <w:color w:val="auto"/>
          <w:lang w:eastAsia="en-AU"/>
        </w:rPr>
      </w:pPr>
      <w:hyperlink w:anchor="_Toc412550756" w:history="1">
        <w:r w:rsidR="00D8256E" w:rsidRPr="00520436">
          <w:rPr>
            <w:rStyle w:val="Hyperlink"/>
          </w:rPr>
          <w:t>4.4.2</w:t>
        </w:r>
        <w:r w:rsidR="00D8256E">
          <w:rPr>
            <w:rFonts w:eastAsiaTheme="minorEastAsia"/>
            <w:i w:val="0"/>
            <w:color w:val="auto"/>
            <w:lang w:eastAsia="en-AU"/>
          </w:rPr>
          <w:tab/>
        </w:r>
        <w:r w:rsidR="00D8256E" w:rsidRPr="00520436">
          <w:rPr>
            <w:rStyle w:val="Hyperlink"/>
          </w:rPr>
          <w:t>Calculation of NWAU</w:t>
        </w:r>
        <w:r w:rsidR="00D8256E">
          <w:rPr>
            <w:webHidden/>
          </w:rPr>
          <w:tab/>
        </w:r>
        <w:r w:rsidR="00D8256E">
          <w:rPr>
            <w:webHidden/>
          </w:rPr>
          <w:fldChar w:fldCharType="begin"/>
        </w:r>
        <w:r w:rsidR="00D8256E">
          <w:rPr>
            <w:webHidden/>
          </w:rPr>
          <w:instrText xml:space="preserve"> PAGEREF _Toc412550756 \h </w:instrText>
        </w:r>
        <w:r w:rsidR="00D8256E">
          <w:rPr>
            <w:webHidden/>
          </w:rPr>
        </w:r>
        <w:r w:rsidR="00D8256E">
          <w:rPr>
            <w:webHidden/>
          </w:rPr>
          <w:fldChar w:fldCharType="separate"/>
        </w:r>
        <w:r w:rsidR="00D8256E">
          <w:rPr>
            <w:webHidden/>
          </w:rPr>
          <w:t>41</w:t>
        </w:r>
        <w:r w:rsidR="00D8256E">
          <w:rPr>
            <w:webHidden/>
          </w:rPr>
          <w:fldChar w:fldCharType="end"/>
        </w:r>
      </w:hyperlink>
    </w:p>
    <w:p w:rsidR="00D8256E" w:rsidRDefault="00822CBA">
      <w:pPr>
        <w:pStyle w:val="TOC1"/>
        <w:rPr>
          <w:rFonts w:eastAsiaTheme="minorEastAsia"/>
          <w:b w:val="0"/>
          <w:sz w:val="22"/>
          <w:lang w:eastAsia="en-AU"/>
        </w:rPr>
      </w:pPr>
      <w:hyperlink w:anchor="_Toc412550757" w:history="1">
        <w:r w:rsidR="00D8256E" w:rsidRPr="00520436">
          <w:rPr>
            <w:rStyle w:val="Hyperlink"/>
          </w:rPr>
          <w:t>5</w:t>
        </w:r>
        <w:r w:rsidR="00D8256E">
          <w:rPr>
            <w:rFonts w:eastAsiaTheme="minorEastAsia"/>
            <w:b w:val="0"/>
            <w:sz w:val="22"/>
            <w:lang w:eastAsia="en-AU"/>
          </w:rPr>
          <w:tab/>
        </w:r>
        <w:r w:rsidR="00D8256E" w:rsidRPr="00520436">
          <w:rPr>
            <w:rStyle w:val="Hyperlink"/>
          </w:rPr>
          <w:t>Emergency care cost model</w:t>
        </w:r>
        <w:r w:rsidR="00D8256E">
          <w:rPr>
            <w:webHidden/>
          </w:rPr>
          <w:tab/>
        </w:r>
        <w:r w:rsidR="00D8256E">
          <w:rPr>
            <w:webHidden/>
          </w:rPr>
          <w:fldChar w:fldCharType="begin"/>
        </w:r>
        <w:r w:rsidR="00D8256E">
          <w:rPr>
            <w:webHidden/>
          </w:rPr>
          <w:instrText xml:space="preserve"> PAGEREF _Toc412550757 \h </w:instrText>
        </w:r>
        <w:r w:rsidR="00D8256E">
          <w:rPr>
            <w:webHidden/>
          </w:rPr>
        </w:r>
        <w:r w:rsidR="00D8256E">
          <w:rPr>
            <w:webHidden/>
          </w:rPr>
          <w:fldChar w:fldCharType="separate"/>
        </w:r>
        <w:r w:rsidR="00D8256E">
          <w:rPr>
            <w:webHidden/>
          </w:rPr>
          <w:t>43</w:t>
        </w:r>
        <w:r w:rsidR="00D8256E">
          <w:rPr>
            <w:webHidden/>
          </w:rPr>
          <w:fldChar w:fldCharType="end"/>
        </w:r>
      </w:hyperlink>
    </w:p>
    <w:p w:rsidR="00D8256E" w:rsidRDefault="00822CBA">
      <w:pPr>
        <w:pStyle w:val="TOC2"/>
        <w:rPr>
          <w:rFonts w:eastAsiaTheme="minorEastAsia"/>
          <w:color w:val="auto"/>
          <w:lang w:eastAsia="en-AU"/>
        </w:rPr>
      </w:pPr>
      <w:hyperlink w:anchor="_Toc412550758" w:history="1">
        <w:r w:rsidR="00D8256E" w:rsidRPr="00520436">
          <w:rPr>
            <w:rStyle w:val="Hyperlink"/>
          </w:rPr>
          <w:t>5.1</w:t>
        </w:r>
        <w:r w:rsidR="00D8256E">
          <w:rPr>
            <w:rFonts w:eastAsiaTheme="minorEastAsia"/>
            <w:color w:val="auto"/>
            <w:lang w:eastAsia="en-AU"/>
          </w:rPr>
          <w:tab/>
        </w:r>
        <w:r w:rsidR="00D8256E" w:rsidRPr="00520436">
          <w:rPr>
            <w:rStyle w:val="Hyperlink"/>
          </w:rPr>
          <w:t>General issues</w:t>
        </w:r>
        <w:r w:rsidR="00D8256E">
          <w:rPr>
            <w:webHidden/>
          </w:rPr>
          <w:tab/>
        </w:r>
        <w:r w:rsidR="00D8256E">
          <w:rPr>
            <w:webHidden/>
          </w:rPr>
          <w:fldChar w:fldCharType="begin"/>
        </w:r>
        <w:r w:rsidR="00D8256E">
          <w:rPr>
            <w:webHidden/>
          </w:rPr>
          <w:instrText xml:space="preserve"> PAGEREF _Toc412550758 \h </w:instrText>
        </w:r>
        <w:r w:rsidR="00D8256E">
          <w:rPr>
            <w:webHidden/>
          </w:rPr>
        </w:r>
        <w:r w:rsidR="00D8256E">
          <w:rPr>
            <w:webHidden/>
          </w:rPr>
          <w:fldChar w:fldCharType="separate"/>
        </w:r>
        <w:r w:rsidR="00D8256E">
          <w:rPr>
            <w:webHidden/>
          </w:rPr>
          <w:t>43</w:t>
        </w:r>
        <w:r w:rsidR="00D8256E">
          <w:rPr>
            <w:webHidden/>
          </w:rPr>
          <w:fldChar w:fldCharType="end"/>
        </w:r>
      </w:hyperlink>
    </w:p>
    <w:p w:rsidR="00D8256E" w:rsidRDefault="00822CBA">
      <w:pPr>
        <w:pStyle w:val="TOC3"/>
        <w:rPr>
          <w:rFonts w:eastAsiaTheme="minorEastAsia"/>
          <w:i w:val="0"/>
          <w:color w:val="auto"/>
          <w:lang w:eastAsia="en-AU"/>
        </w:rPr>
      </w:pPr>
      <w:hyperlink w:anchor="_Toc412550759" w:history="1">
        <w:r w:rsidR="00D8256E" w:rsidRPr="00520436">
          <w:rPr>
            <w:rStyle w:val="Hyperlink"/>
          </w:rPr>
          <w:t>5.1.1</w:t>
        </w:r>
        <w:r w:rsidR="00D8256E">
          <w:rPr>
            <w:rFonts w:eastAsiaTheme="minorEastAsia"/>
            <w:i w:val="0"/>
            <w:color w:val="auto"/>
            <w:lang w:eastAsia="en-AU"/>
          </w:rPr>
          <w:tab/>
        </w:r>
        <w:r w:rsidR="00D8256E" w:rsidRPr="00520436">
          <w:rPr>
            <w:rStyle w:val="Hyperlink"/>
          </w:rPr>
          <w:t>Cost unit</w:t>
        </w:r>
        <w:r w:rsidR="00D8256E">
          <w:rPr>
            <w:webHidden/>
          </w:rPr>
          <w:tab/>
        </w:r>
        <w:r w:rsidR="00D8256E">
          <w:rPr>
            <w:webHidden/>
          </w:rPr>
          <w:fldChar w:fldCharType="begin"/>
        </w:r>
        <w:r w:rsidR="00D8256E">
          <w:rPr>
            <w:webHidden/>
          </w:rPr>
          <w:instrText xml:space="preserve"> PAGEREF _Toc412550759 \h </w:instrText>
        </w:r>
        <w:r w:rsidR="00D8256E">
          <w:rPr>
            <w:webHidden/>
          </w:rPr>
        </w:r>
        <w:r w:rsidR="00D8256E">
          <w:rPr>
            <w:webHidden/>
          </w:rPr>
          <w:fldChar w:fldCharType="separate"/>
        </w:r>
        <w:r w:rsidR="00D8256E">
          <w:rPr>
            <w:webHidden/>
          </w:rPr>
          <w:t>43</w:t>
        </w:r>
        <w:r w:rsidR="00D8256E">
          <w:rPr>
            <w:webHidden/>
          </w:rPr>
          <w:fldChar w:fldCharType="end"/>
        </w:r>
      </w:hyperlink>
    </w:p>
    <w:p w:rsidR="00D8256E" w:rsidRDefault="00822CBA">
      <w:pPr>
        <w:pStyle w:val="TOC3"/>
        <w:rPr>
          <w:rFonts w:eastAsiaTheme="minorEastAsia"/>
          <w:i w:val="0"/>
          <w:color w:val="auto"/>
          <w:lang w:eastAsia="en-AU"/>
        </w:rPr>
      </w:pPr>
      <w:hyperlink w:anchor="_Toc412550760" w:history="1">
        <w:r w:rsidR="00D8256E" w:rsidRPr="00520436">
          <w:rPr>
            <w:rStyle w:val="Hyperlink"/>
          </w:rPr>
          <w:t>5.1.2</w:t>
        </w:r>
        <w:r w:rsidR="00D8256E">
          <w:rPr>
            <w:rFonts w:eastAsiaTheme="minorEastAsia"/>
            <w:i w:val="0"/>
            <w:color w:val="auto"/>
            <w:lang w:eastAsia="en-AU"/>
          </w:rPr>
          <w:tab/>
        </w:r>
        <w:r w:rsidR="00D8256E" w:rsidRPr="00520436">
          <w:rPr>
            <w:rStyle w:val="Hyperlink"/>
          </w:rPr>
          <w:t>Scope</w:t>
        </w:r>
        <w:r w:rsidR="00D8256E">
          <w:rPr>
            <w:webHidden/>
          </w:rPr>
          <w:tab/>
        </w:r>
        <w:r w:rsidR="00D8256E">
          <w:rPr>
            <w:webHidden/>
          </w:rPr>
          <w:fldChar w:fldCharType="begin"/>
        </w:r>
        <w:r w:rsidR="00D8256E">
          <w:rPr>
            <w:webHidden/>
          </w:rPr>
          <w:instrText xml:space="preserve"> PAGEREF _Toc412550760 \h </w:instrText>
        </w:r>
        <w:r w:rsidR="00D8256E">
          <w:rPr>
            <w:webHidden/>
          </w:rPr>
        </w:r>
        <w:r w:rsidR="00D8256E">
          <w:rPr>
            <w:webHidden/>
          </w:rPr>
          <w:fldChar w:fldCharType="separate"/>
        </w:r>
        <w:r w:rsidR="00D8256E">
          <w:rPr>
            <w:webHidden/>
          </w:rPr>
          <w:t>43</w:t>
        </w:r>
        <w:r w:rsidR="00D8256E">
          <w:rPr>
            <w:webHidden/>
          </w:rPr>
          <w:fldChar w:fldCharType="end"/>
        </w:r>
      </w:hyperlink>
    </w:p>
    <w:p w:rsidR="00D8256E" w:rsidRDefault="00822CBA">
      <w:pPr>
        <w:pStyle w:val="TOC3"/>
        <w:rPr>
          <w:rFonts w:eastAsiaTheme="minorEastAsia"/>
          <w:i w:val="0"/>
          <w:color w:val="auto"/>
          <w:lang w:eastAsia="en-AU"/>
        </w:rPr>
      </w:pPr>
      <w:hyperlink w:anchor="_Toc412550761" w:history="1">
        <w:r w:rsidR="00D8256E" w:rsidRPr="00520436">
          <w:rPr>
            <w:rStyle w:val="Hyperlink"/>
          </w:rPr>
          <w:t>5.1.3</w:t>
        </w:r>
        <w:r w:rsidR="00D8256E">
          <w:rPr>
            <w:rFonts w:eastAsiaTheme="minorEastAsia"/>
            <w:i w:val="0"/>
            <w:color w:val="auto"/>
            <w:lang w:eastAsia="en-AU"/>
          </w:rPr>
          <w:tab/>
        </w:r>
        <w:r w:rsidR="00D8256E" w:rsidRPr="00520436">
          <w:rPr>
            <w:rStyle w:val="Hyperlink"/>
          </w:rPr>
          <w:t>Classification</w:t>
        </w:r>
        <w:r w:rsidR="00D8256E">
          <w:rPr>
            <w:webHidden/>
          </w:rPr>
          <w:tab/>
        </w:r>
        <w:r w:rsidR="00D8256E">
          <w:rPr>
            <w:webHidden/>
          </w:rPr>
          <w:fldChar w:fldCharType="begin"/>
        </w:r>
        <w:r w:rsidR="00D8256E">
          <w:rPr>
            <w:webHidden/>
          </w:rPr>
          <w:instrText xml:space="preserve"> PAGEREF _Toc412550761 \h </w:instrText>
        </w:r>
        <w:r w:rsidR="00D8256E">
          <w:rPr>
            <w:webHidden/>
          </w:rPr>
        </w:r>
        <w:r w:rsidR="00D8256E">
          <w:rPr>
            <w:webHidden/>
          </w:rPr>
          <w:fldChar w:fldCharType="separate"/>
        </w:r>
        <w:r w:rsidR="00D8256E">
          <w:rPr>
            <w:webHidden/>
          </w:rPr>
          <w:t>43</w:t>
        </w:r>
        <w:r w:rsidR="00D8256E">
          <w:rPr>
            <w:webHidden/>
          </w:rPr>
          <w:fldChar w:fldCharType="end"/>
        </w:r>
      </w:hyperlink>
    </w:p>
    <w:p w:rsidR="00D8256E" w:rsidRDefault="00822CBA">
      <w:pPr>
        <w:pStyle w:val="TOC2"/>
        <w:rPr>
          <w:rFonts w:eastAsiaTheme="minorEastAsia"/>
          <w:color w:val="auto"/>
          <w:lang w:eastAsia="en-AU"/>
        </w:rPr>
      </w:pPr>
      <w:hyperlink w:anchor="_Toc412550762" w:history="1">
        <w:r w:rsidR="00D8256E" w:rsidRPr="00520436">
          <w:rPr>
            <w:rStyle w:val="Hyperlink"/>
          </w:rPr>
          <w:t>5.2</w:t>
        </w:r>
        <w:r w:rsidR="00D8256E">
          <w:rPr>
            <w:rFonts w:eastAsiaTheme="minorEastAsia"/>
            <w:color w:val="auto"/>
            <w:lang w:eastAsia="en-AU"/>
          </w:rPr>
          <w:tab/>
        </w:r>
        <w:r w:rsidR="00D8256E" w:rsidRPr="00520436">
          <w:rPr>
            <w:rStyle w:val="Hyperlink"/>
          </w:rPr>
          <w:t>Analysis of costs to derive NWAU for emergency care</w:t>
        </w:r>
        <w:r w:rsidR="00D8256E">
          <w:rPr>
            <w:webHidden/>
          </w:rPr>
          <w:tab/>
        </w:r>
        <w:r w:rsidR="00D8256E">
          <w:rPr>
            <w:webHidden/>
          </w:rPr>
          <w:fldChar w:fldCharType="begin"/>
        </w:r>
        <w:r w:rsidR="00D8256E">
          <w:rPr>
            <w:webHidden/>
          </w:rPr>
          <w:instrText xml:space="preserve"> PAGEREF _Toc412550762 \h </w:instrText>
        </w:r>
        <w:r w:rsidR="00D8256E">
          <w:rPr>
            <w:webHidden/>
          </w:rPr>
        </w:r>
        <w:r w:rsidR="00D8256E">
          <w:rPr>
            <w:webHidden/>
          </w:rPr>
          <w:fldChar w:fldCharType="separate"/>
        </w:r>
        <w:r w:rsidR="00D8256E">
          <w:rPr>
            <w:webHidden/>
          </w:rPr>
          <w:t>43</w:t>
        </w:r>
        <w:r w:rsidR="00D8256E">
          <w:rPr>
            <w:webHidden/>
          </w:rPr>
          <w:fldChar w:fldCharType="end"/>
        </w:r>
      </w:hyperlink>
    </w:p>
    <w:p w:rsidR="00D8256E" w:rsidRDefault="00822CBA">
      <w:pPr>
        <w:pStyle w:val="TOC3"/>
        <w:rPr>
          <w:rFonts w:eastAsiaTheme="minorEastAsia"/>
          <w:i w:val="0"/>
          <w:color w:val="auto"/>
          <w:lang w:eastAsia="en-AU"/>
        </w:rPr>
      </w:pPr>
      <w:hyperlink w:anchor="_Toc412550763" w:history="1">
        <w:r w:rsidR="00D8256E" w:rsidRPr="00520436">
          <w:rPr>
            <w:rStyle w:val="Hyperlink"/>
          </w:rPr>
          <w:t>5.2.1</w:t>
        </w:r>
        <w:r w:rsidR="00D8256E">
          <w:rPr>
            <w:rFonts w:eastAsiaTheme="minorEastAsia"/>
            <w:i w:val="0"/>
            <w:color w:val="auto"/>
            <w:lang w:eastAsia="en-AU"/>
          </w:rPr>
          <w:tab/>
        </w:r>
        <w:r w:rsidR="00D8256E" w:rsidRPr="00520436">
          <w:rPr>
            <w:rStyle w:val="Hyperlink"/>
          </w:rPr>
          <w:t>Data preparation</w:t>
        </w:r>
        <w:r w:rsidR="00D8256E">
          <w:rPr>
            <w:webHidden/>
          </w:rPr>
          <w:tab/>
        </w:r>
        <w:r w:rsidR="00D8256E">
          <w:rPr>
            <w:webHidden/>
          </w:rPr>
          <w:fldChar w:fldCharType="begin"/>
        </w:r>
        <w:r w:rsidR="00D8256E">
          <w:rPr>
            <w:webHidden/>
          </w:rPr>
          <w:instrText xml:space="preserve"> PAGEREF _Toc412550763 \h </w:instrText>
        </w:r>
        <w:r w:rsidR="00D8256E">
          <w:rPr>
            <w:webHidden/>
          </w:rPr>
        </w:r>
        <w:r w:rsidR="00D8256E">
          <w:rPr>
            <w:webHidden/>
          </w:rPr>
          <w:fldChar w:fldCharType="separate"/>
        </w:r>
        <w:r w:rsidR="00D8256E">
          <w:rPr>
            <w:webHidden/>
          </w:rPr>
          <w:t>43</w:t>
        </w:r>
        <w:r w:rsidR="00D8256E">
          <w:rPr>
            <w:webHidden/>
          </w:rPr>
          <w:fldChar w:fldCharType="end"/>
        </w:r>
      </w:hyperlink>
    </w:p>
    <w:p w:rsidR="00D8256E" w:rsidRDefault="00822CBA">
      <w:pPr>
        <w:pStyle w:val="TOC3"/>
        <w:rPr>
          <w:rFonts w:eastAsiaTheme="minorEastAsia"/>
          <w:i w:val="0"/>
          <w:color w:val="auto"/>
          <w:lang w:eastAsia="en-AU"/>
        </w:rPr>
      </w:pPr>
      <w:hyperlink w:anchor="_Toc412550764" w:history="1">
        <w:r w:rsidR="00D8256E" w:rsidRPr="00520436">
          <w:rPr>
            <w:rStyle w:val="Hyperlink"/>
          </w:rPr>
          <w:t>5.2.2</w:t>
        </w:r>
        <w:r w:rsidR="00D8256E">
          <w:rPr>
            <w:rFonts w:eastAsiaTheme="minorEastAsia"/>
            <w:i w:val="0"/>
            <w:color w:val="auto"/>
            <w:lang w:eastAsia="en-AU"/>
          </w:rPr>
          <w:tab/>
        </w:r>
        <w:r w:rsidR="00D8256E" w:rsidRPr="00520436">
          <w:rPr>
            <w:rStyle w:val="Hyperlink"/>
          </w:rPr>
          <w:t>Sample weights</w:t>
        </w:r>
        <w:r w:rsidR="00D8256E">
          <w:rPr>
            <w:webHidden/>
          </w:rPr>
          <w:tab/>
        </w:r>
        <w:r w:rsidR="00D8256E">
          <w:rPr>
            <w:webHidden/>
          </w:rPr>
          <w:fldChar w:fldCharType="begin"/>
        </w:r>
        <w:r w:rsidR="00D8256E">
          <w:rPr>
            <w:webHidden/>
          </w:rPr>
          <w:instrText xml:space="preserve"> PAGEREF _Toc412550764 \h </w:instrText>
        </w:r>
        <w:r w:rsidR="00D8256E">
          <w:rPr>
            <w:webHidden/>
          </w:rPr>
        </w:r>
        <w:r w:rsidR="00D8256E">
          <w:rPr>
            <w:webHidden/>
          </w:rPr>
          <w:fldChar w:fldCharType="separate"/>
        </w:r>
        <w:r w:rsidR="00D8256E">
          <w:rPr>
            <w:webHidden/>
          </w:rPr>
          <w:t>44</w:t>
        </w:r>
        <w:r w:rsidR="00D8256E">
          <w:rPr>
            <w:webHidden/>
          </w:rPr>
          <w:fldChar w:fldCharType="end"/>
        </w:r>
      </w:hyperlink>
    </w:p>
    <w:p w:rsidR="00D8256E" w:rsidRDefault="00822CBA">
      <w:pPr>
        <w:pStyle w:val="TOC3"/>
        <w:rPr>
          <w:rFonts w:eastAsiaTheme="minorEastAsia"/>
          <w:i w:val="0"/>
          <w:color w:val="auto"/>
          <w:lang w:eastAsia="en-AU"/>
        </w:rPr>
      </w:pPr>
      <w:hyperlink w:anchor="_Toc412550765" w:history="1">
        <w:r w:rsidR="00D8256E" w:rsidRPr="00520436">
          <w:rPr>
            <w:rStyle w:val="Hyperlink"/>
          </w:rPr>
          <w:t>5.2.3</w:t>
        </w:r>
        <w:r w:rsidR="00D8256E">
          <w:rPr>
            <w:rFonts w:eastAsiaTheme="minorEastAsia"/>
            <w:i w:val="0"/>
            <w:color w:val="auto"/>
            <w:lang w:eastAsia="en-AU"/>
          </w:rPr>
          <w:tab/>
        </w:r>
        <w:r w:rsidR="00D8256E" w:rsidRPr="00520436">
          <w:rPr>
            <w:rStyle w:val="Hyperlink"/>
          </w:rPr>
          <w:t>Cost parameters and adjustments</w:t>
        </w:r>
        <w:r w:rsidR="00D8256E">
          <w:rPr>
            <w:webHidden/>
          </w:rPr>
          <w:tab/>
        </w:r>
        <w:r w:rsidR="00D8256E">
          <w:rPr>
            <w:webHidden/>
          </w:rPr>
          <w:fldChar w:fldCharType="begin"/>
        </w:r>
        <w:r w:rsidR="00D8256E">
          <w:rPr>
            <w:webHidden/>
          </w:rPr>
          <w:instrText xml:space="preserve"> PAGEREF _Toc412550765 \h </w:instrText>
        </w:r>
        <w:r w:rsidR="00D8256E">
          <w:rPr>
            <w:webHidden/>
          </w:rPr>
        </w:r>
        <w:r w:rsidR="00D8256E">
          <w:rPr>
            <w:webHidden/>
          </w:rPr>
          <w:fldChar w:fldCharType="separate"/>
        </w:r>
        <w:r w:rsidR="00D8256E">
          <w:rPr>
            <w:webHidden/>
          </w:rPr>
          <w:t>44</w:t>
        </w:r>
        <w:r w:rsidR="00D8256E">
          <w:rPr>
            <w:webHidden/>
          </w:rPr>
          <w:fldChar w:fldCharType="end"/>
        </w:r>
      </w:hyperlink>
    </w:p>
    <w:p w:rsidR="00D8256E" w:rsidRDefault="00822CBA">
      <w:pPr>
        <w:pStyle w:val="TOC3"/>
        <w:rPr>
          <w:rFonts w:eastAsiaTheme="minorEastAsia"/>
          <w:i w:val="0"/>
          <w:color w:val="auto"/>
          <w:lang w:eastAsia="en-AU"/>
        </w:rPr>
      </w:pPr>
      <w:hyperlink w:anchor="_Toc412550766" w:history="1">
        <w:r w:rsidR="00D8256E" w:rsidRPr="00520436">
          <w:rPr>
            <w:rStyle w:val="Hyperlink"/>
          </w:rPr>
          <w:t>5.2.4</w:t>
        </w:r>
        <w:r w:rsidR="00D8256E">
          <w:rPr>
            <w:rFonts w:eastAsiaTheme="minorEastAsia"/>
            <w:i w:val="0"/>
            <w:color w:val="auto"/>
            <w:lang w:eastAsia="en-AU"/>
          </w:rPr>
          <w:tab/>
        </w:r>
        <w:r w:rsidR="00D8256E" w:rsidRPr="00520436">
          <w:rPr>
            <w:rStyle w:val="Hyperlink"/>
          </w:rPr>
          <w:t>Price weights and NWAU</w:t>
        </w:r>
        <w:r w:rsidR="00D8256E">
          <w:rPr>
            <w:webHidden/>
          </w:rPr>
          <w:tab/>
        </w:r>
        <w:r w:rsidR="00D8256E">
          <w:rPr>
            <w:webHidden/>
          </w:rPr>
          <w:fldChar w:fldCharType="begin"/>
        </w:r>
        <w:r w:rsidR="00D8256E">
          <w:rPr>
            <w:webHidden/>
          </w:rPr>
          <w:instrText xml:space="preserve"> PAGEREF _Toc412550766 \h </w:instrText>
        </w:r>
        <w:r w:rsidR="00D8256E">
          <w:rPr>
            <w:webHidden/>
          </w:rPr>
        </w:r>
        <w:r w:rsidR="00D8256E">
          <w:rPr>
            <w:webHidden/>
          </w:rPr>
          <w:fldChar w:fldCharType="separate"/>
        </w:r>
        <w:r w:rsidR="00D8256E">
          <w:rPr>
            <w:webHidden/>
          </w:rPr>
          <w:t>44</w:t>
        </w:r>
        <w:r w:rsidR="00D8256E">
          <w:rPr>
            <w:webHidden/>
          </w:rPr>
          <w:fldChar w:fldCharType="end"/>
        </w:r>
      </w:hyperlink>
    </w:p>
    <w:p w:rsidR="00D8256E" w:rsidRDefault="00822CBA">
      <w:pPr>
        <w:pStyle w:val="TOC2"/>
        <w:rPr>
          <w:rFonts w:eastAsiaTheme="minorEastAsia"/>
          <w:color w:val="auto"/>
          <w:lang w:eastAsia="en-AU"/>
        </w:rPr>
      </w:pPr>
      <w:hyperlink w:anchor="_Toc412550767" w:history="1">
        <w:r w:rsidR="00D8256E" w:rsidRPr="00520436">
          <w:rPr>
            <w:rStyle w:val="Hyperlink"/>
          </w:rPr>
          <w:t>5.3</w:t>
        </w:r>
        <w:r w:rsidR="00D8256E">
          <w:rPr>
            <w:rFonts w:eastAsiaTheme="minorEastAsia"/>
            <w:color w:val="auto"/>
            <w:lang w:eastAsia="en-AU"/>
          </w:rPr>
          <w:tab/>
        </w:r>
        <w:r w:rsidR="00D8256E" w:rsidRPr="00520436">
          <w:rPr>
            <w:rStyle w:val="Hyperlink"/>
          </w:rPr>
          <w:t>Assigning NWAU for emergency care</w:t>
        </w:r>
        <w:r w:rsidR="00D8256E">
          <w:rPr>
            <w:webHidden/>
          </w:rPr>
          <w:tab/>
        </w:r>
        <w:r w:rsidR="00D8256E">
          <w:rPr>
            <w:webHidden/>
          </w:rPr>
          <w:fldChar w:fldCharType="begin"/>
        </w:r>
        <w:r w:rsidR="00D8256E">
          <w:rPr>
            <w:webHidden/>
          </w:rPr>
          <w:instrText xml:space="preserve"> PAGEREF _Toc412550767 \h </w:instrText>
        </w:r>
        <w:r w:rsidR="00D8256E">
          <w:rPr>
            <w:webHidden/>
          </w:rPr>
        </w:r>
        <w:r w:rsidR="00D8256E">
          <w:rPr>
            <w:webHidden/>
          </w:rPr>
          <w:fldChar w:fldCharType="separate"/>
        </w:r>
        <w:r w:rsidR="00D8256E">
          <w:rPr>
            <w:webHidden/>
          </w:rPr>
          <w:t>44</w:t>
        </w:r>
        <w:r w:rsidR="00D8256E">
          <w:rPr>
            <w:webHidden/>
          </w:rPr>
          <w:fldChar w:fldCharType="end"/>
        </w:r>
      </w:hyperlink>
    </w:p>
    <w:p w:rsidR="00D8256E" w:rsidRDefault="00822CBA">
      <w:pPr>
        <w:pStyle w:val="TOC3"/>
        <w:rPr>
          <w:rFonts w:eastAsiaTheme="minorEastAsia"/>
          <w:i w:val="0"/>
          <w:color w:val="auto"/>
          <w:lang w:eastAsia="en-AU"/>
        </w:rPr>
      </w:pPr>
      <w:hyperlink w:anchor="_Toc412550768" w:history="1">
        <w:r w:rsidR="00D8256E" w:rsidRPr="00520436">
          <w:rPr>
            <w:rStyle w:val="Hyperlink"/>
          </w:rPr>
          <w:t>5.3.1</w:t>
        </w:r>
        <w:r w:rsidR="00D8256E">
          <w:rPr>
            <w:rFonts w:eastAsiaTheme="minorEastAsia"/>
            <w:i w:val="0"/>
            <w:color w:val="auto"/>
            <w:lang w:eastAsia="en-AU"/>
          </w:rPr>
          <w:tab/>
        </w:r>
        <w:r w:rsidR="00D8256E" w:rsidRPr="00520436">
          <w:rPr>
            <w:rStyle w:val="Hyperlink"/>
          </w:rPr>
          <w:t>Data Preparation and calculation of NWAU</w:t>
        </w:r>
        <w:r w:rsidR="00D8256E">
          <w:rPr>
            <w:webHidden/>
          </w:rPr>
          <w:tab/>
        </w:r>
        <w:r w:rsidR="00D8256E">
          <w:rPr>
            <w:webHidden/>
          </w:rPr>
          <w:fldChar w:fldCharType="begin"/>
        </w:r>
        <w:r w:rsidR="00D8256E">
          <w:rPr>
            <w:webHidden/>
          </w:rPr>
          <w:instrText xml:space="preserve"> PAGEREF _Toc412550768 \h </w:instrText>
        </w:r>
        <w:r w:rsidR="00D8256E">
          <w:rPr>
            <w:webHidden/>
          </w:rPr>
        </w:r>
        <w:r w:rsidR="00D8256E">
          <w:rPr>
            <w:webHidden/>
          </w:rPr>
          <w:fldChar w:fldCharType="separate"/>
        </w:r>
        <w:r w:rsidR="00D8256E">
          <w:rPr>
            <w:webHidden/>
          </w:rPr>
          <w:t>45</w:t>
        </w:r>
        <w:r w:rsidR="00D8256E">
          <w:rPr>
            <w:webHidden/>
          </w:rPr>
          <w:fldChar w:fldCharType="end"/>
        </w:r>
      </w:hyperlink>
    </w:p>
    <w:p w:rsidR="00D8256E" w:rsidRDefault="00822CBA">
      <w:pPr>
        <w:pStyle w:val="TOC1"/>
        <w:rPr>
          <w:rFonts w:eastAsiaTheme="minorEastAsia"/>
          <w:b w:val="0"/>
          <w:sz w:val="22"/>
          <w:lang w:eastAsia="en-AU"/>
        </w:rPr>
      </w:pPr>
      <w:hyperlink w:anchor="_Toc412550769" w:history="1">
        <w:r w:rsidR="00D8256E" w:rsidRPr="00520436">
          <w:rPr>
            <w:rStyle w:val="Hyperlink"/>
          </w:rPr>
          <w:t>6</w:t>
        </w:r>
        <w:r w:rsidR="00D8256E">
          <w:rPr>
            <w:rFonts w:eastAsiaTheme="minorEastAsia"/>
            <w:b w:val="0"/>
            <w:sz w:val="22"/>
            <w:lang w:eastAsia="en-AU"/>
          </w:rPr>
          <w:tab/>
        </w:r>
        <w:r w:rsidR="00D8256E" w:rsidRPr="00520436">
          <w:rPr>
            <w:rStyle w:val="Hyperlink"/>
          </w:rPr>
          <w:t>Non-admitted care cost model</w:t>
        </w:r>
        <w:r w:rsidR="00D8256E">
          <w:rPr>
            <w:webHidden/>
          </w:rPr>
          <w:tab/>
        </w:r>
        <w:r w:rsidR="00D8256E">
          <w:rPr>
            <w:webHidden/>
          </w:rPr>
          <w:fldChar w:fldCharType="begin"/>
        </w:r>
        <w:r w:rsidR="00D8256E">
          <w:rPr>
            <w:webHidden/>
          </w:rPr>
          <w:instrText xml:space="preserve"> PAGEREF _Toc412550769 \h </w:instrText>
        </w:r>
        <w:r w:rsidR="00D8256E">
          <w:rPr>
            <w:webHidden/>
          </w:rPr>
        </w:r>
        <w:r w:rsidR="00D8256E">
          <w:rPr>
            <w:webHidden/>
          </w:rPr>
          <w:fldChar w:fldCharType="separate"/>
        </w:r>
        <w:r w:rsidR="00D8256E">
          <w:rPr>
            <w:webHidden/>
          </w:rPr>
          <w:t>47</w:t>
        </w:r>
        <w:r w:rsidR="00D8256E">
          <w:rPr>
            <w:webHidden/>
          </w:rPr>
          <w:fldChar w:fldCharType="end"/>
        </w:r>
      </w:hyperlink>
    </w:p>
    <w:p w:rsidR="00D8256E" w:rsidRDefault="00822CBA">
      <w:pPr>
        <w:pStyle w:val="TOC2"/>
        <w:rPr>
          <w:rFonts w:eastAsiaTheme="minorEastAsia"/>
          <w:color w:val="auto"/>
          <w:lang w:eastAsia="en-AU"/>
        </w:rPr>
      </w:pPr>
      <w:hyperlink w:anchor="_Toc412550770" w:history="1">
        <w:r w:rsidR="00D8256E" w:rsidRPr="00520436">
          <w:rPr>
            <w:rStyle w:val="Hyperlink"/>
          </w:rPr>
          <w:t>6.1</w:t>
        </w:r>
        <w:r w:rsidR="00D8256E">
          <w:rPr>
            <w:rFonts w:eastAsiaTheme="minorEastAsia"/>
            <w:color w:val="auto"/>
            <w:lang w:eastAsia="en-AU"/>
          </w:rPr>
          <w:tab/>
        </w:r>
        <w:r w:rsidR="00D8256E" w:rsidRPr="00520436">
          <w:rPr>
            <w:rStyle w:val="Hyperlink"/>
          </w:rPr>
          <w:t>General issues</w:t>
        </w:r>
        <w:r w:rsidR="00D8256E">
          <w:rPr>
            <w:webHidden/>
          </w:rPr>
          <w:tab/>
        </w:r>
        <w:r w:rsidR="00D8256E">
          <w:rPr>
            <w:webHidden/>
          </w:rPr>
          <w:fldChar w:fldCharType="begin"/>
        </w:r>
        <w:r w:rsidR="00D8256E">
          <w:rPr>
            <w:webHidden/>
          </w:rPr>
          <w:instrText xml:space="preserve"> PAGEREF _Toc412550770 \h </w:instrText>
        </w:r>
        <w:r w:rsidR="00D8256E">
          <w:rPr>
            <w:webHidden/>
          </w:rPr>
        </w:r>
        <w:r w:rsidR="00D8256E">
          <w:rPr>
            <w:webHidden/>
          </w:rPr>
          <w:fldChar w:fldCharType="separate"/>
        </w:r>
        <w:r w:rsidR="00D8256E">
          <w:rPr>
            <w:webHidden/>
          </w:rPr>
          <w:t>47</w:t>
        </w:r>
        <w:r w:rsidR="00D8256E">
          <w:rPr>
            <w:webHidden/>
          </w:rPr>
          <w:fldChar w:fldCharType="end"/>
        </w:r>
      </w:hyperlink>
    </w:p>
    <w:p w:rsidR="00D8256E" w:rsidRDefault="00822CBA">
      <w:pPr>
        <w:pStyle w:val="TOC3"/>
        <w:rPr>
          <w:rFonts w:eastAsiaTheme="minorEastAsia"/>
          <w:i w:val="0"/>
          <w:color w:val="auto"/>
          <w:lang w:eastAsia="en-AU"/>
        </w:rPr>
      </w:pPr>
      <w:hyperlink w:anchor="_Toc412550771" w:history="1">
        <w:r w:rsidR="00D8256E" w:rsidRPr="00520436">
          <w:rPr>
            <w:rStyle w:val="Hyperlink"/>
          </w:rPr>
          <w:t>6.1.1</w:t>
        </w:r>
        <w:r w:rsidR="00D8256E">
          <w:rPr>
            <w:rFonts w:eastAsiaTheme="minorEastAsia"/>
            <w:i w:val="0"/>
            <w:color w:val="auto"/>
            <w:lang w:eastAsia="en-AU"/>
          </w:rPr>
          <w:tab/>
        </w:r>
        <w:r w:rsidR="00D8256E" w:rsidRPr="00520436">
          <w:rPr>
            <w:rStyle w:val="Hyperlink"/>
          </w:rPr>
          <w:t>Cost unit</w:t>
        </w:r>
        <w:r w:rsidR="00D8256E">
          <w:rPr>
            <w:webHidden/>
          </w:rPr>
          <w:tab/>
        </w:r>
        <w:r w:rsidR="00D8256E">
          <w:rPr>
            <w:webHidden/>
          </w:rPr>
          <w:fldChar w:fldCharType="begin"/>
        </w:r>
        <w:r w:rsidR="00D8256E">
          <w:rPr>
            <w:webHidden/>
          </w:rPr>
          <w:instrText xml:space="preserve"> PAGEREF _Toc412550771 \h </w:instrText>
        </w:r>
        <w:r w:rsidR="00D8256E">
          <w:rPr>
            <w:webHidden/>
          </w:rPr>
        </w:r>
        <w:r w:rsidR="00D8256E">
          <w:rPr>
            <w:webHidden/>
          </w:rPr>
          <w:fldChar w:fldCharType="separate"/>
        </w:r>
        <w:r w:rsidR="00D8256E">
          <w:rPr>
            <w:webHidden/>
          </w:rPr>
          <w:t>47</w:t>
        </w:r>
        <w:r w:rsidR="00D8256E">
          <w:rPr>
            <w:webHidden/>
          </w:rPr>
          <w:fldChar w:fldCharType="end"/>
        </w:r>
      </w:hyperlink>
    </w:p>
    <w:p w:rsidR="00D8256E" w:rsidRDefault="00822CBA">
      <w:pPr>
        <w:pStyle w:val="TOC3"/>
        <w:rPr>
          <w:rFonts w:eastAsiaTheme="minorEastAsia"/>
          <w:i w:val="0"/>
          <w:color w:val="auto"/>
          <w:lang w:eastAsia="en-AU"/>
        </w:rPr>
      </w:pPr>
      <w:hyperlink w:anchor="_Toc412550772" w:history="1">
        <w:r w:rsidR="00D8256E" w:rsidRPr="00520436">
          <w:rPr>
            <w:rStyle w:val="Hyperlink"/>
          </w:rPr>
          <w:t>6.1.2</w:t>
        </w:r>
        <w:r w:rsidR="00D8256E">
          <w:rPr>
            <w:rFonts w:eastAsiaTheme="minorEastAsia"/>
            <w:i w:val="0"/>
            <w:color w:val="auto"/>
            <w:lang w:eastAsia="en-AU"/>
          </w:rPr>
          <w:tab/>
        </w:r>
        <w:r w:rsidR="00D8256E" w:rsidRPr="00520436">
          <w:rPr>
            <w:rStyle w:val="Hyperlink"/>
          </w:rPr>
          <w:t>Scope</w:t>
        </w:r>
        <w:r w:rsidR="00D8256E">
          <w:rPr>
            <w:webHidden/>
          </w:rPr>
          <w:tab/>
        </w:r>
        <w:r w:rsidR="00D8256E">
          <w:rPr>
            <w:webHidden/>
          </w:rPr>
          <w:fldChar w:fldCharType="begin"/>
        </w:r>
        <w:r w:rsidR="00D8256E">
          <w:rPr>
            <w:webHidden/>
          </w:rPr>
          <w:instrText xml:space="preserve"> PAGEREF _Toc412550772 \h </w:instrText>
        </w:r>
        <w:r w:rsidR="00D8256E">
          <w:rPr>
            <w:webHidden/>
          </w:rPr>
        </w:r>
        <w:r w:rsidR="00D8256E">
          <w:rPr>
            <w:webHidden/>
          </w:rPr>
          <w:fldChar w:fldCharType="separate"/>
        </w:r>
        <w:r w:rsidR="00D8256E">
          <w:rPr>
            <w:webHidden/>
          </w:rPr>
          <w:t>47</w:t>
        </w:r>
        <w:r w:rsidR="00D8256E">
          <w:rPr>
            <w:webHidden/>
          </w:rPr>
          <w:fldChar w:fldCharType="end"/>
        </w:r>
      </w:hyperlink>
    </w:p>
    <w:p w:rsidR="00D8256E" w:rsidRDefault="00822CBA">
      <w:pPr>
        <w:pStyle w:val="TOC3"/>
        <w:rPr>
          <w:rFonts w:eastAsiaTheme="minorEastAsia"/>
          <w:i w:val="0"/>
          <w:color w:val="auto"/>
          <w:lang w:eastAsia="en-AU"/>
        </w:rPr>
      </w:pPr>
      <w:hyperlink w:anchor="_Toc412550773" w:history="1">
        <w:r w:rsidR="00D8256E" w:rsidRPr="00520436">
          <w:rPr>
            <w:rStyle w:val="Hyperlink"/>
          </w:rPr>
          <w:t>6.1.3</w:t>
        </w:r>
        <w:r w:rsidR="00D8256E">
          <w:rPr>
            <w:rFonts w:eastAsiaTheme="minorEastAsia"/>
            <w:i w:val="0"/>
            <w:color w:val="auto"/>
            <w:lang w:eastAsia="en-AU"/>
          </w:rPr>
          <w:tab/>
        </w:r>
        <w:r w:rsidR="00D8256E" w:rsidRPr="00520436">
          <w:rPr>
            <w:rStyle w:val="Hyperlink"/>
          </w:rPr>
          <w:t>Classification</w:t>
        </w:r>
        <w:r w:rsidR="00D8256E">
          <w:rPr>
            <w:webHidden/>
          </w:rPr>
          <w:tab/>
        </w:r>
        <w:r w:rsidR="00D8256E">
          <w:rPr>
            <w:webHidden/>
          </w:rPr>
          <w:fldChar w:fldCharType="begin"/>
        </w:r>
        <w:r w:rsidR="00D8256E">
          <w:rPr>
            <w:webHidden/>
          </w:rPr>
          <w:instrText xml:space="preserve"> PAGEREF _Toc412550773 \h </w:instrText>
        </w:r>
        <w:r w:rsidR="00D8256E">
          <w:rPr>
            <w:webHidden/>
          </w:rPr>
        </w:r>
        <w:r w:rsidR="00D8256E">
          <w:rPr>
            <w:webHidden/>
          </w:rPr>
          <w:fldChar w:fldCharType="separate"/>
        </w:r>
        <w:r w:rsidR="00D8256E">
          <w:rPr>
            <w:webHidden/>
          </w:rPr>
          <w:t>47</w:t>
        </w:r>
        <w:r w:rsidR="00D8256E">
          <w:rPr>
            <w:webHidden/>
          </w:rPr>
          <w:fldChar w:fldCharType="end"/>
        </w:r>
      </w:hyperlink>
    </w:p>
    <w:p w:rsidR="00D8256E" w:rsidRDefault="00822CBA">
      <w:pPr>
        <w:pStyle w:val="TOC2"/>
        <w:rPr>
          <w:rFonts w:eastAsiaTheme="minorEastAsia"/>
          <w:color w:val="auto"/>
          <w:lang w:eastAsia="en-AU"/>
        </w:rPr>
      </w:pPr>
      <w:hyperlink w:anchor="_Toc412550774" w:history="1">
        <w:r w:rsidR="00D8256E" w:rsidRPr="00520436">
          <w:rPr>
            <w:rStyle w:val="Hyperlink"/>
          </w:rPr>
          <w:t>6.2</w:t>
        </w:r>
        <w:r w:rsidR="00D8256E">
          <w:rPr>
            <w:rFonts w:eastAsiaTheme="minorEastAsia"/>
            <w:color w:val="auto"/>
            <w:lang w:eastAsia="en-AU"/>
          </w:rPr>
          <w:tab/>
        </w:r>
        <w:r w:rsidR="00D8256E" w:rsidRPr="00520436">
          <w:rPr>
            <w:rStyle w:val="Hyperlink"/>
          </w:rPr>
          <w:t>Analysis of costs to derive NWAU for non-admitted outpatient care</w:t>
        </w:r>
        <w:r w:rsidR="00D8256E">
          <w:rPr>
            <w:webHidden/>
          </w:rPr>
          <w:tab/>
        </w:r>
        <w:r w:rsidR="00D8256E">
          <w:rPr>
            <w:webHidden/>
          </w:rPr>
          <w:fldChar w:fldCharType="begin"/>
        </w:r>
        <w:r w:rsidR="00D8256E">
          <w:rPr>
            <w:webHidden/>
          </w:rPr>
          <w:instrText xml:space="preserve"> PAGEREF _Toc412550774 \h </w:instrText>
        </w:r>
        <w:r w:rsidR="00D8256E">
          <w:rPr>
            <w:webHidden/>
          </w:rPr>
        </w:r>
        <w:r w:rsidR="00D8256E">
          <w:rPr>
            <w:webHidden/>
          </w:rPr>
          <w:fldChar w:fldCharType="separate"/>
        </w:r>
        <w:r w:rsidR="00D8256E">
          <w:rPr>
            <w:webHidden/>
          </w:rPr>
          <w:t>47</w:t>
        </w:r>
        <w:r w:rsidR="00D8256E">
          <w:rPr>
            <w:webHidden/>
          </w:rPr>
          <w:fldChar w:fldCharType="end"/>
        </w:r>
      </w:hyperlink>
    </w:p>
    <w:p w:rsidR="00D8256E" w:rsidRDefault="00822CBA">
      <w:pPr>
        <w:pStyle w:val="TOC3"/>
        <w:rPr>
          <w:rFonts w:eastAsiaTheme="minorEastAsia"/>
          <w:i w:val="0"/>
          <w:color w:val="auto"/>
          <w:lang w:eastAsia="en-AU"/>
        </w:rPr>
      </w:pPr>
      <w:hyperlink w:anchor="_Toc412550775" w:history="1">
        <w:r w:rsidR="00D8256E" w:rsidRPr="00520436">
          <w:rPr>
            <w:rStyle w:val="Hyperlink"/>
          </w:rPr>
          <w:t>6.2.1</w:t>
        </w:r>
        <w:r w:rsidR="00D8256E">
          <w:rPr>
            <w:rFonts w:eastAsiaTheme="minorEastAsia"/>
            <w:i w:val="0"/>
            <w:color w:val="auto"/>
            <w:lang w:eastAsia="en-AU"/>
          </w:rPr>
          <w:tab/>
        </w:r>
        <w:r w:rsidR="00D8256E" w:rsidRPr="00520436">
          <w:rPr>
            <w:rStyle w:val="Hyperlink"/>
          </w:rPr>
          <w:t>Data preparation</w:t>
        </w:r>
        <w:r w:rsidR="00D8256E">
          <w:rPr>
            <w:webHidden/>
          </w:rPr>
          <w:tab/>
        </w:r>
        <w:r w:rsidR="00D8256E">
          <w:rPr>
            <w:webHidden/>
          </w:rPr>
          <w:fldChar w:fldCharType="begin"/>
        </w:r>
        <w:r w:rsidR="00D8256E">
          <w:rPr>
            <w:webHidden/>
          </w:rPr>
          <w:instrText xml:space="preserve"> PAGEREF _Toc412550775 \h </w:instrText>
        </w:r>
        <w:r w:rsidR="00D8256E">
          <w:rPr>
            <w:webHidden/>
          </w:rPr>
        </w:r>
        <w:r w:rsidR="00D8256E">
          <w:rPr>
            <w:webHidden/>
          </w:rPr>
          <w:fldChar w:fldCharType="separate"/>
        </w:r>
        <w:r w:rsidR="00D8256E">
          <w:rPr>
            <w:webHidden/>
          </w:rPr>
          <w:t>47</w:t>
        </w:r>
        <w:r w:rsidR="00D8256E">
          <w:rPr>
            <w:webHidden/>
          </w:rPr>
          <w:fldChar w:fldCharType="end"/>
        </w:r>
      </w:hyperlink>
    </w:p>
    <w:p w:rsidR="00D8256E" w:rsidRDefault="00822CBA">
      <w:pPr>
        <w:pStyle w:val="TOC3"/>
        <w:rPr>
          <w:rFonts w:eastAsiaTheme="minorEastAsia"/>
          <w:i w:val="0"/>
          <w:color w:val="auto"/>
          <w:lang w:eastAsia="en-AU"/>
        </w:rPr>
      </w:pPr>
      <w:hyperlink w:anchor="_Toc412550776" w:history="1">
        <w:r w:rsidR="00D8256E" w:rsidRPr="00520436">
          <w:rPr>
            <w:rStyle w:val="Hyperlink"/>
          </w:rPr>
          <w:t>6.2.2</w:t>
        </w:r>
        <w:r w:rsidR="00D8256E">
          <w:rPr>
            <w:rFonts w:eastAsiaTheme="minorEastAsia"/>
            <w:i w:val="0"/>
            <w:color w:val="auto"/>
            <w:lang w:eastAsia="en-AU"/>
          </w:rPr>
          <w:tab/>
        </w:r>
        <w:r w:rsidR="00D8256E" w:rsidRPr="00520436">
          <w:rPr>
            <w:rStyle w:val="Hyperlink"/>
          </w:rPr>
          <w:t>Sample weights</w:t>
        </w:r>
        <w:r w:rsidR="00D8256E">
          <w:rPr>
            <w:webHidden/>
          </w:rPr>
          <w:tab/>
        </w:r>
        <w:r w:rsidR="00D8256E">
          <w:rPr>
            <w:webHidden/>
          </w:rPr>
          <w:fldChar w:fldCharType="begin"/>
        </w:r>
        <w:r w:rsidR="00D8256E">
          <w:rPr>
            <w:webHidden/>
          </w:rPr>
          <w:instrText xml:space="preserve"> PAGEREF _Toc412550776 \h </w:instrText>
        </w:r>
        <w:r w:rsidR="00D8256E">
          <w:rPr>
            <w:webHidden/>
          </w:rPr>
        </w:r>
        <w:r w:rsidR="00D8256E">
          <w:rPr>
            <w:webHidden/>
          </w:rPr>
          <w:fldChar w:fldCharType="separate"/>
        </w:r>
        <w:r w:rsidR="00D8256E">
          <w:rPr>
            <w:webHidden/>
          </w:rPr>
          <w:t>48</w:t>
        </w:r>
        <w:r w:rsidR="00D8256E">
          <w:rPr>
            <w:webHidden/>
          </w:rPr>
          <w:fldChar w:fldCharType="end"/>
        </w:r>
      </w:hyperlink>
    </w:p>
    <w:p w:rsidR="00D8256E" w:rsidRDefault="00822CBA">
      <w:pPr>
        <w:pStyle w:val="TOC3"/>
        <w:rPr>
          <w:rFonts w:eastAsiaTheme="minorEastAsia"/>
          <w:i w:val="0"/>
          <w:color w:val="auto"/>
          <w:lang w:eastAsia="en-AU"/>
        </w:rPr>
      </w:pPr>
      <w:hyperlink w:anchor="_Toc412550777" w:history="1">
        <w:r w:rsidR="00D8256E" w:rsidRPr="00520436">
          <w:rPr>
            <w:rStyle w:val="Hyperlink"/>
          </w:rPr>
          <w:t>6.2.3</w:t>
        </w:r>
        <w:r w:rsidR="00D8256E">
          <w:rPr>
            <w:rFonts w:eastAsiaTheme="minorEastAsia"/>
            <w:i w:val="0"/>
            <w:color w:val="auto"/>
            <w:lang w:eastAsia="en-AU"/>
          </w:rPr>
          <w:tab/>
        </w:r>
        <w:r w:rsidR="00D8256E" w:rsidRPr="00520436">
          <w:rPr>
            <w:rStyle w:val="Hyperlink"/>
          </w:rPr>
          <w:t>Cost parameters and adjustments</w:t>
        </w:r>
        <w:r w:rsidR="00D8256E">
          <w:rPr>
            <w:webHidden/>
          </w:rPr>
          <w:tab/>
        </w:r>
        <w:r w:rsidR="00D8256E">
          <w:rPr>
            <w:webHidden/>
          </w:rPr>
          <w:fldChar w:fldCharType="begin"/>
        </w:r>
        <w:r w:rsidR="00D8256E">
          <w:rPr>
            <w:webHidden/>
          </w:rPr>
          <w:instrText xml:space="preserve"> PAGEREF _Toc412550777 \h </w:instrText>
        </w:r>
        <w:r w:rsidR="00D8256E">
          <w:rPr>
            <w:webHidden/>
          </w:rPr>
        </w:r>
        <w:r w:rsidR="00D8256E">
          <w:rPr>
            <w:webHidden/>
          </w:rPr>
          <w:fldChar w:fldCharType="separate"/>
        </w:r>
        <w:r w:rsidR="00D8256E">
          <w:rPr>
            <w:webHidden/>
          </w:rPr>
          <w:t>48</w:t>
        </w:r>
        <w:r w:rsidR="00D8256E">
          <w:rPr>
            <w:webHidden/>
          </w:rPr>
          <w:fldChar w:fldCharType="end"/>
        </w:r>
      </w:hyperlink>
    </w:p>
    <w:p w:rsidR="00D8256E" w:rsidRDefault="00822CBA">
      <w:pPr>
        <w:pStyle w:val="TOC3"/>
        <w:rPr>
          <w:rFonts w:eastAsiaTheme="minorEastAsia"/>
          <w:i w:val="0"/>
          <w:color w:val="auto"/>
          <w:lang w:eastAsia="en-AU"/>
        </w:rPr>
      </w:pPr>
      <w:hyperlink w:anchor="_Toc412550778" w:history="1">
        <w:r w:rsidR="00D8256E" w:rsidRPr="00520436">
          <w:rPr>
            <w:rStyle w:val="Hyperlink"/>
          </w:rPr>
          <w:t>6.2.4</w:t>
        </w:r>
        <w:r w:rsidR="00D8256E">
          <w:rPr>
            <w:rFonts w:eastAsiaTheme="minorEastAsia"/>
            <w:i w:val="0"/>
            <w:color w:val="auto"/>
            <w:lang w:eastAsia="en-AU"/>
          </w:rPr>
          <w:tab/>
        </w:r>
        <w:r w:rsidR="00D8256E" w:rsidRPr="00520436">
          <w:rPr>
            <w:rStyle w:val="Hyperlink"/>
          </w:rPr>
          <w:t>Price weights and NWAU</w:t>
        </w:r>
        <w:r w:rsidR="00D8256E">
          <w:rPr>
            <w:webHidden/>
          </w:rPr>
          <w:tab/>
        </w:r>
        <w:r w:rsidR="00D8256E">
          <w:rPr>
            <w:webHidden/>
          </w:rPr>
          <w:fldChar w:fldCharType="begin"/>
        </w:r>
        <w:r w:rsidR="00D8256E">
          <w:rPr>
            <w:webHidden/>
          </w:rPr>
          <w:instrText xml:space="preserve"> PAGEREF _Toc412550778 \h </w:instrText>
        </w:r>
        <w:r w:rsidR="00D8256E">
          <w:rPr>
            <w:webHidden/>
          </w:rPr>
        </w:r>
        <w:r w:rsidR="00D8256E">
          <w:rPr>
            <w:webHidden/>
          </w:rPr>
          <w:fldChar w:fldCharType="separate"/>
        </w:r>
        <w:r w:rsidR="00D8256E">
          <w:rPr>
            <w:webHidden/>
          </w:rPr>
          <w:t>50</w:t>
        </w:r>
        <w:r w:rsidR="00D8256E">
          <w:rPr>
            <w:webHidden/>
          </w:rPr>
          <w:fldChar w:fldCharType="end"/>
        </w:r>
      </w:hyperlink>
    </w:p>
    <w:p w:rsidR="00D8256E" w:rsidRDefault="00822CBA">
      <w:pPr>
        <w:pStyle w:val="TOC2"/>
        <w:rPr>
          <w:rFonts w:eastAsiaTheme="minorEastAsia"/>
          <w:color w:val="auto"/>
          <w:lang w:eastAsia="en-AU"/>
        </w:rPr>
      </w:pPr>
      <w:hyperlink w:anchor="_Toc412550779" w:history="1">
        <w:r w:rsidR="00D8256E" w:rsidRPr="00520436">
          <w:rPr>
            <w:rStyle w:val="Hyperlink"/>
          </w:rPr>
          <w:t>6.3</w:t>
        </w:r>
        <w:r w:rsidR="00D8256E">
          <w:rPr>
            <w:rFonts w:eastAsiaTheme="minorEastAsia"/>
            <w:color w:val="auto"/>
            <w:lang w:eastAsia="en-AU"/>
          </w:rPr>
          <w:tab/>
        </w:r>
        <w:r w:rsidR="00D8256E" w:rsidRPr="00520436">
          <w:rPr>
            <w:rStyle w:val="Hyperlink"/>
          </w:rPr>
          <w:t>Assigning NWAU for non-admitted care</w:t>
        </w:r>
        <w:r w:rsidR="00D8256E">
          <w:rPr>
            <w:webHidden/>
          </w:rPr>
          <w:tab/>
        </w:r>
        <w:r w:rsidR="00D8256E">
          <w:rPr>
            <w:webHidden/>
          </w:rPr>
          <w:fldChar w:fldCharType="begin"/>
        </w:r>
        <w:r w:rsidR="00D8256E">
          <w:rPr>
            <w:webHidden/>
          </w:rPr>
          <w:instrText xml:space="preserve"> PAGEREF _Toc412550779 \h </w:instrText>
        </w:r>
        <w:r w:rsidR="00D8256E">
          <w:rPr>
            <w:webHidden/>
          </w:rPr>
        </w:r>
        <w:r w:rsidR="00D8256E">
          <w:rPr>
            <w:webHidden/>
          </w:rPr>
          <w:fldChar w:fldCharType="separate"/>
        </w:r>
        <w:r w:rsidR="00D8256E">
          <w:rPr>
            <w:webHidden/>
          </w:rPr>
          <w:t>50</w:t>
        </w:r>
        <w:r w:rsidR="00D8256E">
          <w:rPr>
            <w:webHidden/>
          </w:rPr>
          <w:fldChar w:fldCharType="end"/>
        </w:r>
      </w:hyperlink>
    </w:p>
    <w:p w:rsidR="00D8256E" w:rsidRDefault="00822CBA">
      <w:pPr>
        <w:pStyle w:val="TOC3"/>
        <w:rPr>
          <w:rFonts w:eastAsiaTheme="minorEastAsia"/>
          <w:i w:val="0"/>
          <w:color w:val="auto"/>
          <w:lang w:eastAsia="en-AU"/>
        </w:rPr>
      </w:pPr>
      <w:hyperlink w:anchor="_Toc412550780" w:history="1">
        <w:r w:rsidR="00D8256E" w:rsidRPr="00520436">
          <w:rPr>
            <w:rStyle w:val="Hyperlink"/>
          </w:rPr>
          <w:t>6.3.1</w:t>
        </w:r>
        <w:r w:rsidR="00D8256E">
          <w:rPr>
            <w:rFonts w:eastAsiaTheme="minorEastAsia"/>
            <w:i w:val="0"/>
            <w:color w:val="auto"/>
            <w:lang w:eastAsia="en-AU"/>
          </w:rPr>
          <w:tab/>
        </w:r>
        <w:r w:rsidR="00D8256E" w:rsidRPr="00520436">
          <w:rPr>
            <w:rStyle w:val="Hyperlink"/>
          </w:rPr>
          <w:t>Data preparation and calculation of NWAU</w:t>
        </w:r>
        <w:r w:rsidR="00D8256E">
          <w:rPr>
            <w:webHidden/>
          </w:rPr>
          <w:tab/>
        </w:r>
        <w:r w:rsidR="00D8256E">
          <w:rPr>
            <w:webHidden/>
          </w:rPr>
          <w:fldChar w:fldCharType="begin"/>
        </w:r>
        <w:r w:rsidR="00D8256E">
          <w:rPr>
            <w:webHidden/>
          </w:rPr>
          <w:instrText xml:space="preserve"> PAGEREF _Toc412550780 \h </w:instrText>
        </w:r>
        <w:r w:rsidR="00D8256E">
          <w:rPr>
            <w:webHidden/>
          </w:rPr>
        </w:r>
        <w:r w:rsidR="00D8256E">
          <w:rPr>
            <w:webHidden/>
          </w:rPr>
          <w:fldChar w:fldCharType="separate"/>
        </w:r>
        <w:r w:rsidR="00D8256E">
          <w:rPr>
            <w:webHidden/>
          </w:rPr>
          <w:t>51</w:t>
        </w:r>
        <w:r w:rsidR="00D8256E">
          <w:rPr>
            <w:webHidden/>
          </w:rPr>
          <w:fldChar w:fldCharType="end"/>
        </w:r>
      </w:hyperlink>
    </w:p>
    <w:p w:rsidR="00D8256E" w:rsidRDefault="00822CBA">
      <w:pPr>
        <w:pStyle w:val="TOC1"/>
        <w:rPr>
          <w:rFonts w:eastAsiaTheme="minorEastAsia"/>
          <w:b w:val="0"/>
          <w:sz w:val="22"/>
          <w:lang w:eastAsia="en-AU"/>
        </w:rPr>
      </w:pPr>
      <w:hyperlink w:anchor="_Toc412550781" w:history="1">
        <w:r w:rsidR="00D8256E" w:rsidRPr="00520436">
          <w:rPr>
            <w:rStyle w:val="Hyperlink"/>
          </w:rPr>
          <w:t>7</w:t>
        </w:r>
        <w:r w:rsidR="00D8256E">
          <w:rPr>
            <w:rFonts w:eastAsiaTheme="minorEastAsia"/>
            <w:b w:val="0"/>
            <w:sz w:val="22"/>
            <w:lang w:eastAsia="en-AU"/>
          </w:rPr>
          <w:tab/>
        </w:r>
        <w:r w:rsidR="00D8256E" w:rsidRPr="00520436">
          <w:rPr>
            <w:rStyle w:val="Hyperlink"/>
          </w:rPr>
          <w:t>Cost model for block funded hospitals</w:t>
        </w:r>
        <w:r w:rsidR="00D8256E">
          <w:rPr>
            <w:webHidden/>
          </w:rPr>
          <w:tab/>
        </w:r>
        <w:r w:rsidR="00D8256E">
          <w:rPr>
            <w:webHidden/>
          </w:rPr>
          <w:fldChar w:fldCharType="begin"/>
        </w:r>
        <w:r w:rsidR="00D8256E">
          <w:rPr>
            <w:webHidden/>
          </w:rPr>
          <w:instrText xml:space="preserve"> PAGEREF _Toc412550781 \h </w:instrText>
        </w:r>
        <w:r w:rsidR="00D8256E">
          <w:rPr>
            <w:webHidden/>
          </w:rPr>
        </w:r>
        <w:r w:rsidR="00D8256E">
          <w:rPr>
            <w:webHidden/>
          </w:rPr>
          <w:fldChar w:fldCharType="separate"/>
        </w:r>
        <w:r w:rsidR="00D8256E">
          <w:rPr>
            <w:webHidden/>
          </w:rPr>
          <w:t>53</w:t>
        </w:r>
        <w:r w:rsidR="00D8256E">
          <w:rPr>
            <w:webHidden/>
          </w:rPr>
          <w:fldChar w:fldCharType="end"/>
        </w:r>
      </w:hyperlink>
    </w:p>
    <w:p w:rsidR="00D8256E" w:rsidRDefault="00822CBA">
      <w:pPr>
        <w:pStyle w:val="TOC2"/>
        <w:rPr>
          <w:rFonts w:eastAsiaTheme="minorEastAsia"/>
          <w:color w:val="auto"/>
          <w:lang w:eastAsia="en-AU"/>
        </w:rPr>
      </w:pPr>
      <w:hyperlink w:anchor="_Toc412550782" w:history="1">
        <w:r w:rsidR="00D8256E" w:rsidRPr="00520436">
          <w:rPr>
            <w:rStyle w:val="Hyperlink"/>
          </w:rPr>
          <w:t>7.1</w:t>
        </w:r>
        <w:r w:rsidR="00D8256E">
          <w:rPr>
            <w:rFonts w:eastAsiaTheme="minorEastAsia"/>
            <w:color w:val="auto"/>
            <w:lang w:eastAsia="en-AU"/>
          </w:rPr>
          <w:tab/>
        </w:r>
        <w:r w:rsidR="00D8256E" w:rsidRPr="00520436">
          <w:rPr>
            <w:rStyle w:val="Hyperlink"/>
          </w:rPr>
          <w:t>General issues</w:t>
        </w:r>
        <w:r w:rsidR="00D8256E">
          <w:rPr>
            <w:webHidden/>
          </w:rPr>
          <w:tab/>
        </w:r>
        <w:r w:rsidR="00D8256E">
          <w:rPr>
            <w:webHidden/>
          </w:rPr>
          <w:fldChar w:fldCharType="begin"/>
        </w:r>
        <w:r w:rsidR="00D8256E">
          <w:rPr>
            <w:webHidden/>
          </w:rPr>
          <w:instrText xml:space="preserve"> PAGEREF _Toc412550782 \h </w:instrText>
        </w:r>
        <w:r w:rsidR="00D8256E">
          <w:rPr>
            <w:webHidden/>
          </w:rPr>
        </w:r>
        <w:r w:rsidR="00D8256E">
          <w:rPr>
            <w:webHidden/>
          </w:rPr>
          <w:fldChar w:fldCharType="separate"/>
        </w:r>
        <w:r w:rsidR="00D8256E">
          <w:rPr>
            <w:webHidden/>
          </w:rPr>
          <w:t>53</w:t>
        </w:r>
        <w:r w:rsidR="00D8256E">
          <w:rPr>
            <w:webHidden/>
          </w:rPr>
          <w:fldChar w:fldCharType="end"/>
        </w:r>
      </w:hyperlink>
    </w:p>
    <w:p w:rsidR="00D8256E" w:rsidRDefault="00822CBA">
      <w:pPr>
        <w:pStyle w:val="TOC3"/>
        <w:rPr>
          <w:rFonts w:eastAsiaTheme="minorEastAsia"/>
          <w:i w:val="0"/>
          <w:color w:val="auto"/>
          <w:lang w:eastAsia="en-AU"/>
        </w:rPr>
      </w:pPr>
      <w:hyperlink w:anchor="_Toc412550783" w:history="1">
        <w:r w:rsidR="00D8256E" w:rsidRPr="00520436">
          <w:rPr>
            <w:rStyle w:val="Hyperlink"/>
          </w:rPr>
          <w:t>7.1.1</w:t>
        </w:r>
        <w:r w:rsidR="00D8256E">
          <w:rPr>
            <w:rFonts w:eastAsiaTheme="minorEastAsia"/>
            <w:i w:val="0"/>
            <w:color w:val="auto"/>
            <w:lang w:eastAsia="en-AU"/>
          </w:rPr>
          <w:tab/>
        </w:r>
        <w:r w:rsidR="00D8256E" w:rsidRPr="00520436">
          <w:rPr>
            <w:rStyle w:val="Hyperlink"/>
          </w:rPr>
          <w:t>Cost unit</w:t>
        </w:r>
        <w:r w:rsidR="00D8256E">
          <w:rPr>
            <w:webHidden/>
          </w:rPr>
          <w:tab/>
        </w:r>
        <w:r w:rsidR="00D8256E">
          <w:rPr>
            <w:webHidden/>
          </w:rPr>
          <w:fldChar w:fldCharType="begin"/>
        </w:r>
        <w:r w:rsidR="00D8256E">
          <w:rPr>
            <w:webHidden/>
          </w:rPr>
          <w:instrText xml:space="preserve"> PAGEREF _Toc412550783 \h </w:instrText>
        </w:r>
        <w:r w:rsidR="00D8256E">
          <w:rPr>
            <w:webHidden/>
          </w:rPr>
        </w:r>
        <w:r w:rsidR="00D8256E">
          <w:rPr>
            <w:webHidden/>
          </w:rPr>
          <w:fldChar w:fldCharType="separate"/>
        </w:r>
        <w:r w:rsidR="00D8256E">
          <w:rPr>
            <w:webHidden/>
          </w:rPr>
          <w:t>53</w:t>
        </w:r>
        <w:r w:rsidR="00D8256E">
          <w:rPr>
            <w:webHidden/>
          </w:rPr>
          <w:fldChar w:fldCharType="end"/>
        </w:r>
      </w:hyperlink>
    </w:p>
    <w:p w:rsidR="00D8256E" w:rsidRDefault="00822CBA">
      <w:pPr>
        <w:pStyle w:val="TOC3"/>
        <w:rPr>
          <w:rFonts w:eastAsiaTheme="minorEastAsia"/>
          <w:i w:val="0"/>
          <w:color w:val="auto"/>
          <w:lang w:eastAsia="en-AU"/>
        </w:rPr>
      </w:pPr>
      <w:hyperlink w:anchor="_Toc412550784" w:history="1">
        <w:r w:rsidR="00D8256E" w:rsidRPr="00520436">
          <w:rPr>
            <w:rStyle w:val="Hyperlink"/>
          </w:rPr>
          <w:t>7.1.2</w:t>
        </w:r>
        <w:r w:rsidR="00D8256E">
          <w:rPr>
            <w:rFonts w:eastAsiaTheme="minorEastAsia"/>
            <w:i w:val="0"/>
            <w:color w:val="auto"/>
            <w:lang w:eastAsia="en-AU"/>
          </w:rPr>
          <w:tab/>
        </w:r>
        <w:r w:rsidR="00D8256E" w:rsidRPr="00520436">
          <w:rPr>
            <w:rStyle w:val="Hyperlink"/>
          </w:rPr>
          <w:t>Scope</w:t>
        </w:r>
        <w:r w:rsidR="00D8256E">
          <w:rPr>
            <w:webHidden/>
          </w:rPr>
          <w:tab/>
        </w:r>
        <w:r w:rsidR="00D8256E">
          <w:rPr>
            <w:webHidden/>
          </w:rPr>
          <w:fldChar w:fldCharType="begin"/>
        </w:r>
        <w:r w:rsidR="00D8256E">
          <w:rPr>
            <w:webHidden/>
          </w:rPr>
          <w:instrText xml:space="preserve"> PAGEREF _Toc412550784 \h </w:instrText>
        </w:r>
        <w:r w:rsidR="00D8256E">
          <w:rPr>
            <w:webHidden/>
          </w:rPr>
        </w:r>
        <w:r w:rsidR="00D8256E">
          <w:rPr>
            <w:webHidden/>
          </w:rPr>
          <w:fldChar w:fldCharType="separate"/>
        </w:r>
        <w:r w:rsidR="00D8256E">
          <w:rPr>
            <w:webHidden/>
          </w:rPr>
          <w:t>53</w:t>
        </w:r>
        <w:r w:rsidR="00D8256E">
          <w:rPr>
            <w:webHidden/>
          </w:rPr>
          <w:fldChar w:fldCharType="end"/>
        </w:r>
      </w:hyperlink>
    </w:p>
    <w:p w:rsidR="00D8256E" w:rsidRDefault="00822CBA">
      <w:pPr>
        <w:pStyle w:val="TOC3"/>
        <w:rPr>
          <w:rFonts w:eastAsiaTheme="minorEastAsia"/>
          <w:i w:val="0"/>
          <w:color w:val="auto"/>
          <w:lang w:eastAsia="en-AU"/>
        </w:rPr>
      </w:pPr>
      <w:hyperlink w:anchor="_Toc412550785" w:history="1">
        <w:r w:rsidR="00D8256E" w:rsidRPr="00520436">
          <w:rPr>
            <w:rStyle w:val="Hyperlink"/>
          </w:rPr>
          <w:t>7.1.3</w:t>
        </w:r>
        <w:r w:rsidR="00D8256E">
          <w:rPr>
            <w:rFonts w:eastAsiaTheme="minorEastAsia"/>
            <w:i w:val="0"/>
            <w:color w:val="auto"/>
            <w:lang w:eastAsia="en-AU"/>
          </w:rPr>
          <w:tab/>
        </w:r>
        <w:r w:rsidR="00D8256E" w:rsidRPr="00520436">
          <w:rPr>
            <w:rStyle w:val="Hyperlink"/>
          </w:rPr>
          <w:t>Classification</w:t>
        </w:r>
        <w:r w:rsidR="00D8256E">
          <w:rPr>
            <w:webHidden/>
          </w:rPr>
          <w:tab/>
        </w:r>
        <w:r w:rsidR="00D8256E">
          <w:rPr>
            <w:webHidden/>
          </w:rPr>
          <w:fldChar w:fldCharType="begin"/>
        </w:r>
        <w:r w:rsidR="00D8256E">
          <w:rPr>
            <w:webHidden/>
          </w:rPr>
          <w:instrText xml:space="preserve"> PAGEREF _Toc412550785 \h </w:instrText>
        </w:r>
        <w:r w:rsidR="00D8256E">
          <w:rPr>
            <w:webHidden/>
          </w:rPr>
        </w:r>
        <w:r w:rsidR="00D8256E">
          <w:rPr>
            <w:webHidden/>
          </w:rPr>
          <w:fldChar w:fldCharType="separate"/>
        </w:r>
        <w:r w:rsidR="00D8256E">
          <w:rPr>
            <w:webHidden/>
          </w:rPr>
          <w:t>53</w:t>
        </w:r>
        <w:r w:rsidR="00D8256E">
          <w:rPr>
            <w:webHidden/>
          </w:rPr>
          <w:fldChar w:fldCharType="end"/>
        </w:r>
      </w:hyperlink>
    </w:p>
    <w:p w:rsidR="00D8256E" w:rsidRDefault="00822CBA">
      <w:pPr>
        <w:pStyle w:val="TOC2"/>
        <w:rPr>
          <w:rFonts w:eastAsiaTheme="minorEastAsia"/>
          <w:color w:val="auto"/>
          <w:lang w:eastAsia="en-AU"/>
        </w:rPr>
      </w:pPr>
      <w:hyperlink w:anchor="_Toc412550786" w:history="1">
        <w:r w:rsidR="00D8256E" w:rsidRPr="00520436">
          <w:rPr>
            <w:rStyle w:val="Hyperlink"/>
          </w:rPr>
          <w:t>7.2</w:t>
        </w:r>
        <w:r w:rsidR="00D8256E">
          <w:rPr>
            <w:rFonts w:eastAsiaTheme="minorEastAsia"/>
            <w:color w:val="auto"/>
            <w:lang w:eastAsia="en-AU"/>
          </w:rPr>
          <w:tab/>
        </w:r>
        <w:r w:rsidR="00D8256E" w:rsidRPr="00520436">
          <w:rPr>
            <w:rStyle w:val="Hyperlink"/>
          </w:rPr>
          <w:t>Analysis of costs</w:t>
        </w:r>
        <w:r w:rsidR="00D8256E">
          <w:rPr>
            <w:webHidden/>
          </w:rPr>
          <w:tab/>
        </w:r>
        <w:r w:rsidR="00D8256E">
          <w:rPr>
            <w:webHidden/>
          </w:rPr>
          <w:fldChar w:fldCharType="begin"/>
        </w:r>
        <w:r w:rsidR="00D8256E">
          <w:rPr>
            <w:webHidden/>
          </w:rPr>
          <w:instrText xml:space="preserve"> PAGEREF _Toc412550786 \h </w:instrText>
        </w:r>
        <w:r w:rsidR="00D8256E">
          <w:rPr>
            <w:webHidden/>
          </w:rPr>
        </w:r>
        <w:r w:rsidR="00D8256E">
          <w:rPr>
            <w:webHidden/>
          </w:rPr>
          <w:fldChar w:fldCharType="separate"/>
        </w:r>
        <w:r w:rsidR="00D8256E">
          <w:rPr>
            <w:webHidden/>
          </w:rPr>
          <w:t>54</w:t>
        </w:r>
        <w:r w:rsidR="00D8256E">
          <w:rPr>
            <w:webHidden/>
          </w:rPr>
          <w:fldChar w:fldCharType="end"/>
        </w:r>
      </w:hyperlink>
    </w:p>
    <w:p w:rsidR="00D8256E" w:rsidRDefault="00822CBA">
      <w:pPr>
        <w:pStyle w:val="TOC3"/>
        <w:rPr>
          <w:rFonts w:eastAsiaTheme="minorEastAsia"/>
          <w:i w:val="0"/>
          <w:color w:val="auto"/>
          <w:lang w:eastAsia="en-AU"/>
        </w:rPr>
      </w:pPr>
      <w:hyperlink w:anchor="_Toc412550787" w:history="1">
        <w:r w:rsidR="00D8256E" w:rsidRPr="00520436">
          <w:rPr>
            <w:rStyle w:val="Hyperlink"/>
          </w:rPr>
          <w:t>7.2.1</w:t>
        </w:r>
        <w:r w:rsidR="00D8256E">
          <w:rPr>
            <w:rFonts w:eastAsiaTheme="minorEastAsia"/>
            <w:i w:val="0"/>
            <w:color w:val="auto"/>
            <w:lang w:eastAsia="en-AU"/>
          </w:rPr>
          <w:tab/>
        </w:r>
        <w:r w:rsidR="00D8256E" w:rsidRPr="00520436">
          <w:rPr>
            <w:rStyle w:val="Hyperlink"/>
          </w:rPr>
          <w:t>Data preparation</w:t>
        </w:r>
        <w:r w:rsidR="00D8256E">
          <w:rPr>
            <w:webHidden/>
          </w:rPr>
          <w:tab/>
        </w:r>
        <w:r w:rsidR="00D8256E">
          <w:rPr>
            <w:webHidden/>
          </w:rPr>
          <w:fldChar w:fldCharType="begin"/>
        </w:r>
        <w:r w:rsidR="00D8256E">
          <w:rPr>
            <w:webHidden/>
          </w:rPr>
          <w:instrText xml:space="preserve"> PAGEREF _Toc412550787 \h </w:instrText>
        </w:r>
        <w:r w:rsidR="00D8256E">
          <w:rPr>
            <w:webHidden/>
          </w:rPr>
        </w:r>
        <w:r w:rsidR="00D8256E">
          <w:rPr>
            <w:webHidden/>
          </w:rPr>
          <w:fldChar w:fldCharType="separate"/>
        </w:r>
        <w:r w:rsidR="00D8256E">
          <w:rPr>
            <w:webHidden/>
          </w:rPr>
          <w:t>54</w:t>
        </w:r>
        <w:r w:rsidR="00D8256E">
          <w:rPr>
            <w:webHidden/>
          </w:rPr>
          <w:fldChar w:fldCharType="end"/>
        </w:r>
      </w:hyperlink>
    </w:p>
    <w:p w:rsidR="00D8256E" w:rsidRDefault="00822CBA">
      <w:pPr>
        <w:pStyle w:val="TOC3"/>
        <w:rPr>
          <w:rFonts w:eastAsiaTheme="minorEastAsia"/>
          <w:i w:val="0"/>
          <w:color w:val="auto"/>
          <w:lang w:eastAsia="en-AU"/>
        </w:rPr>
      </w:pPr>
      <w:hyperlink w:anchor="_Toc412550788" w:history="1">
        <w:r w:rsidR="00D8256E" w:rsidRPr="00520436">
          <w:rPr>
            <w:rStyle w:val="Hyperlink"/>
          </w:rPr>
          <w:t>7.2.2</w:t>
        </w:r>
        <w:r w:rsidR="00D8256E">
          <w:rPr>
            <w:rFonts w:eastAsiaTheme="minorEastAsia"/>
            <w:i w:val="0"/>
            <w:color w:val="auto"/>
            <w:lang w:eastAsia="en-AU"/>
          </w:rPr>
          <w:tab/>
        </w:r>
        <w:r w:rsidR="00D8256E" w:rsidRPr="00520436">
          <w:rPr>
            <w:rStyle w:val="Hyperlink"/>
          </w:rPr>
          <w:t>Calculation of cost parameters</w:t>
        </w:r>
        <w:r w:rsidR="00D8256E">
          <w:rPr>
            <w:webHidden/>
          </w:rPr>
          <w:tab/>
        </w:r>
        <w:r w:rsidR="00D8256E">
          <w:rPr>
            <w:webHidden/>
          </w:rPr>
          <w:fldChar w:fldCharType="begin"/>
        </w:r>
        <w:r w:rsidR="00D8256E">
          <w:rPr>
            <w:webHidden/>
          </w:rPr>
          <w:instrText xml:space="preserve"> PAGEREF _Toc412550788 \h </w:instrText>
        </w:r>
        <w:r w:rsidR="00D8256E">
          <w:rPr>
            <w:webHidden/>
          </w:rPr>
        </w:r>
        <w:r w:rsidR="00D8256E">
          <w:rPr>
            <w:webHidden/>
          </w:rPr>
          <w:fldChar w:fldCharType="separate"/>
        </w:r>
        <w:r w:rsidR="00D8256E">
          <w:rPr>
            <w:webHidden/>
          </w:rPr>
          <w:t>57</w:t>
        </w:r>
        <w:r w:rsidR="00D8256E">
          <w:rPr>
            <w:webHidden/>
          </w:rPr>
          <w:fldChar w:fldCharType="end"/>
        </w:r>
      </w:hyperlink>
    </w:p>
    <w:p w:rsidR="00D8256E" w:rsidRDefault="00822CBA">
      <w:pPr>
        <w:pStyle w:val="TOC2"/>
        <w:rPr>
          <w:rFonts w:eastAsiaTheme="minorEastAsia"/>
          <w:color w:val="auto"/>
          <w:lang w:eastAsia="en-AU"/>
        </w:rPr>
      </w:pPr>
      <w:hyperlink w:anchor="_Toc412550789" w:history="1">
        <w:r w:rsidR="00D8256E" w:rsidRPr="00520436">
          <w:rPr>
            <w:rStyle w:val="Hyperlink"/>
          </w:rPr>
          <w:t>7.3</w:t>
        </w:r>
        <w:r w:rsidR="00D8256E">
          <w:rPr>
            <w:rFonts w:eastAsiaTheme="minorEastAsia"/>
            <w:color w:val="auto"/>
            <w:lang w:eastAsia="en-AU"/>
          </w:rPr>
          <w:tab/>
        </w:r>
        <w:r w:rsidR="00D8256E" w:rsidRPr="00520436">
          <w:rPr>
            <w:rStyle w:val="Hyperlink"/>
          </w:rPr>
          <w:t>Calculation of National Efficient Cost</w:t>
        </w:r>
        <w:r w:rsidR="00D8256E">
          <w:rPr>
            <w:webHidden/>
          </w:rPr>
          <w:tab/>
        </w:r>
        <w:r w:rsidR="00D8256E">
          <w:rPr>
            <w:webHidden/>
          </w:rPr>
          <w:fldChar w:fldCharType="begin"/>
        </w:r>
        <w:r w:rsidR="00D8256E">
          <w:rPr>
            <w:webHidden/>
          </w:rPr>
          <w:instrText xml:space="preserve"> PAGEREF _Toc412550789 \h </w:instrText>
        </w:r>
        <w:r w:rsidR="00D8256E">
          <w:rPr>
            <w:webHidden/>
          </w:rPr>
        </w:r>
        <w:r w:rsidR="00D8256E">
          <w:rPr>
            <w:webHidden/>
          </w:rPr>
          <w:fldChar w:fldCharType="separate"/>
        </w:r>
        <w:r w:rsidR="00D8256E">
          <w:rPr>
            <w:webHidden/>
          </w:rPr>
          <w:t>57</w:t>
        </w:r>
        <w:r w:rsidR="00D8256E">
          <w:rPr>
            <w:webHidden/>
          </w:rPr>
          <w:fldChar w:fldCharType="end"/>
        </w:r>
      </w:hyperlink>
    </w:p>
    <w:p w:rsidR="00D8256E" w:rsidRDefault="00822CBA">
      <w:pPr>
        <w:pStyle w:val="TOC3"/>
        <w:rPr>
          <w:rFonts w:eastAsiaTheme="minorEastAsia"/>
          <w:i w:val="0"/>
          <w:color w:val="auto"/>
          <w:lang w:eastAsia="en-AU"/>
        </w:rPr>
      </w:pPr>
      <w:hyperlink w:anchor="_Toc412550790" w:history="1">
        <w:r w:rsidR="00D8256E" w:rsidRPr="00520436">
          <w:rPr>
            <w:rStyle w:val="Hyperlink"/>
          </w:rPr>
          <w:t>7.3.1</w:t>
        </w:r>
        <w:r w:rsidR="00D8256E">
          <w:rPr>
            <w:rFonts w:eastAsiaTheme="minorEastAsia"/>
            <w:i w:val="0"/>
            <w:color w:val="auto"/>
            <w:lang w:eastAsia="en-AU"/>
          </w:rPr>
          <w:tab/>
        </w:r>
        <w:r w:rsidR="00D8256E" w:rsidRPr="00520436">
          <w:rPr>
            <w:rStyle w:val="Hyperlink"/>
          </w:rPr>
          <w:t>Calculation of the efficient cost for a particular hospital</w:t>
        </w:r>
        <w:r w:rsidR="00D8256E">
          <w:rPr>
            <w:webHidden/>
          </w:rPr>
          <w:tab/>
        </w:r>
        <w:r w:rsidR="00D8256E">
          <w:rPr>
            <w:webHidden/>
          </w:rPr>
          <w:fldChar w:fldCharType="begin"/>
        </w:r>
        <w:r w:rsidR="00D8256E">
          <w:rPr>
            <w:webHidden/>
          </w:rPr>
          <w:instrText xml:space="preserve"> PAGEREF _Toc412550790 \h </w:instrText>
        </w:r>
        <w:r w:rsidR="00D8256E">
          <w:rPr>
            <w:webHidden/>
          </w:rPr>
        </w:r>
        <w:r w:rsidR="00D8256E">
          <w:rPr>
            <w:webHidden/>
          </w:rPr>
          <w:fldChar w:fldCharType="separate"/>
        </w:r>
        <w:r w:rsidR="00D8256E">
          <w:rPr>
            <w:webHidden/>
          </w:rPr>
          <w:t>58</w:t>
        </w:r>
        <w:r w:rsidR="00D8256E">
          <w:rPr>
            <w:webHidden/>
          </w:rPr>
          <w:fldChar w:fldCharType="end"/>
        </w:r>
      </w:hyperlink>
    </w:p>
    <w:p w:rsidR="00D8256E" w:rsidRDefault="00822CBA">
      <w:pPr>
        <w:pStyle w:val="TOC3"/>
        <w:rPr>
          <w:rFonts w:eastAsiaTheme="minorEastAsia"/>
          <w:i w:val="0"/>
          <w:color w:val="auto"/>
          <w:lang w:eastAsia="en-AU"/>
        </w:rPr>
      </w:pPr>
      <w:hyperlink w:anchor="_Toc412550791" w:history="1">
        <w:r w:rsidR="00D8256E" w:rsidRPr="00520436">
          <w:rPr>
            <w:rStyle w:val="Hyperlink"/>
          </w:rPr>
          <w:t>7.3.2</w:t>
        </w:r>
        <w:r w:rsidR="00D8256E">
          <w:rPr>
            <w:rFonts w:eastAsiaTheme="minorEastAsia"/>
            <w:i w:val="0"/>
            <w:color w:val="auto"/>
            <w:lang w:eastAsia="en-AU"/>
          </w:rPr>
          <w:tab/>
        </w:r>
        <w:r w:rsidR="00D8256E" w:rsidRPr="00520436">
          <w:rPr>
            <w:rStyle w:val="Hyperlink"/>
          </w:rPr>
          <w:t>Calculation of the efficient cost of specialist psychiatric and major city hospitals</w:t>
        </w:r>
        <w:r w:rsidR="00D8256E">
          <w:rPr>
            <w:webHidden/>
          </w:rPr>
          <w:tab/>
        </w:r>
        <w:r w:rsidR="00D8256E">
          <w:rPr>
            <w:webHidden/>
          </w:rPr>
          <w:fldChar w:fldCharType="begin"/>
        </w:r>
        <w:r w:rsidR="00D8256E">
          <w:rPr>
            <w:webHidden/>
          </w:rPr>
          <w:instrText xml:space="preserve"> PAGEREF _Toc412550791 \h </w:instrText>
        </w:r>
        <w:r w:rsidR="00D8256E">
          <w:rPr>
            <w:webHidden/>
          </w:rPr>
        </w:r>
        <w:r w:rsidR="00D8256E">
          <w:rPr>
            <w:webHidden/>
          </w:rPr>
          <w:fldChar w:fldCharType="separate"/>
        </w:r>
        <w:r w:rsidR="00D8256E">
          <w:rPr>
            <w:webHidden/>
          </w:rPr>
          <w:t>58</w:t>
        </w:r>
        <w:r w:rsidR="00D8256E">
          <w:rPr>
            <w:webHidden/>
          </w:rPr>
          <w:fldChar w:fldCharType="end"/>
        </w:r>
      </w:hyperlink>
    </w:p>
    <w:p w:rsidR="00D8256E" w:rsidRDefault="00822CBA">
      <w:pPr>
        <w:pStyle w:val="TOC2"/>
        <w:rPr>
          <w:rFonts w:eastAsiaTheme="minorEastAsia"/>
          <w:color w:val="auto"/>
          <w:lang w:eastAsia="en-AU"/>
        </w:rPr>
      </w:pPr>
      <w:hyperlink w:anchor="_Toc412550792" w:history="1">
        <w:r w:rsidR="00D8256E" w:rsidRPr="00520436">
          <w:rPr>
            <w:rStyle w:val="Hyperlink"/>
          </w:rPr>
          <w:t>7.4</w:t>
        </w:r>
        <w:r w:rsidR="00D8256E">
          <w:rPr>
            <w:rFonts w:eastAsiaTheme="minorEastAsia"/>
            <w:color w:val="auto"/>
            <w:lang w:eastAsia="en-AU"/>
          </w:rPr>
          <w:tab/>
        </w:r>
        <w:r w:rsidR="00D8256E" w:rsidRPr="00520436">
          <w:rPr>
            <w:rStyle w:val="Hyperlink"/>
          </w:rPr>
          <w:t>Indexation of the 2012-13 Model</w:t>
        </w:r>
        <w:r w:rsidR="00D8256E">
          <w:rPr>
            <w:webHidden/>
          </w:rPr>
          <w:tab/>
        </w:r>
        <w:r w:rsidR="00D8256E">
          <w:rPr>
            <w:webHidden/>
          </w:rPr>
          <w:fldChar w:fldCharType="begin"/>
        </w:r>
        <w:r w:rsidR="00D8256E">
          <w:rPr>
            <w:webHidden/>
          </w:rPr>
          <w:instrText xml:space="preserve"> PAGEREF _Toc412550792 \h </w:instrText>
        </w:r>
        <w:r w:rsidR="00D8256E">
          <w:rPr>
            <w:webHidden/>
          </w:rPr>
        </w:r>
        <w:r w:rsidR="00D8256E">
          <w:rPr>
            <w:webHidden/>
          </w:rPr>
          <w:fldChar w:fldCharType="separate"/>
        </w:r>
        <w:r w:rsidR="00D8256E">
          <w:rPr>
            <w:webHidden/>
          </w:rPr>
          <w:t>59</w:t>
        </w:r>
        <w:r w:rsidR="00D8256E">
          <w:rPr>
            <w:webHidden/>
          </w:rPr>
          <w:fldChar w:fldCharType="end"/>
        </w:r>
      </w:hyperlink>
    </w:p>
    <w:p w:rsidR="00D8256E" w:rsidRDefault="00822CBA">
      <w:pPr>
        <w:pStyle w:val="TOC2"/>
        <w:rPr>
          <w:rFonts w:eastAsiaTheme="minorEastAsia"/>
          <w:color w:val="auto"/>
          <w:lang w:eastAsia="en-AU"/>
        </w:rPr>
      </w:pPr>
      <w:hyperlink w:anchor="_Toc412550793" w:history="1">
        <w:r w:rsidR="00D8256E" w:rsidRPr="00520436">
          <w:rPr>
            <w:rStyle w:val="Hyperlink"/>
          </w:rPr>
          <w:t>7.5</w:t>
        </w:r>
        <w:r w:rsidR="00D8256E">
          <w:rPr>
            <w:rFonts w:eastAsiaTheme="minorEastAsia"/>
            <w:color w:val="auto"/>
            <w:lang w:eastAsia="en-AU"/>
          </w:rPr>
          <w:tab/>
        </w:r>
        <w:r w:rsidR="00D8256E" w:rsidRPr="00520436">
          <w:rPr>
            <w:rStyle w:val="Hyperlink"/>
          </w:rPr>
          <w:t>Backcasting</w:t>
        </w:r>
        <w:r w:rsidR="00D8256E">
          <w:rPr>
            <w:webHidden/>
          </w:rPr>
          <w:tab/>
        </w:r>
        <w:r w:rsidR="00D8256E">
          <w:rPr>
            <w:webHidden/>
          </w:rPr>
          <w:fldChar w:fldCharType="begin"/>
        </w:r>
        <w:r w:rsidR="00D8256E">
          <w:rPr>
            <w:webHidden/>
          </w:rPr>
          <w:instrText xml:space="preserve"> PAGEREF _Toc412550793 \h </w:instrText>
        </w:r>
        <w:r w:rsidR="00D8256E">
          <w:rPr>
            <w:webHidden/>
          </w:rPr>
        </w:r>
        <w:r w:rsidR="00D8256E">
          <w:rPr>
            <w:webHidden/>
          </w:rPr>
          <w:fldChar w:fldCharType="separate"/>
        </w:r>
        <w:r w:rsidR="00D8256E">
          <w:rPr>
            <w:webHidden/>
          </w:rPr>
          <w:t>59</w:t>
        </w:r>
        <w:r w:rsidR="00D8256E">
          <w:rPr>
            <w:webHidden/>
          </w:rPr>
          <w:fldChar w:fldCharType="end"/>
        </w:r>
      </w:hyperlink>
    </w:p>
    <w:p w:rsidR="00D8256E" w:rsidRPr="00D8256E" w:rsidRDefault="00D8256E" w:rsidP="00D8256E">
      <w:pPr>
        <w:pStyle w:val="TOCHeading"/>
        <w:spacing w:before="360" w:after="120"/>
        <w:rPr>
          <w:rStyle w:val="Hyperlink"/>
          <w:color w:val="008A00" w:themeColor="background2"/>
          <w:sz w:val="32"/>
          <w:u w:val="none"/>
        </w:rPr>
      </w:pPr>
      <w:r w:rsidRPr="00D8256E">
        <w:rPr>
          <w:rStyle w:val="Hyperlink"/>
          <w:color w:val="008A00" w:themeColor="background2"/>
          <w:sz w:val="32"/>
          <w:u w:val="none"/>
        </w:rPr>
        <w:t>Attachments</w:t>
      </w:r>
    </w:p>
    <w:p w:rsidR="00D8256E" w:rsidRDefault="00822CBA">
      <w:pPr>
        <w:pStyle w:val="TOC1"/>
        <w:rPr>
          <w:rFonts w:eastAsiaTheme="minorEastAsia"/>
          <w:b w:val="0"/>
          <w:sz w:val="22"/>
          <w:lang w:eastAsia="en-AU"/>
        </w:rPr>
      </w:pPr>
      <w:hyperlink w:anchor="_Toc412550794" w:history="1">
        <w:r w:rsidR="00D8256E" w:rsidRPr="00520436">
          <w:rPr>
            <w:rStyle w:val="Hyperlink"/>
          </w:rPr>
          <w:t>Attachment A – Summary of 2012-13 input data</w:t>
        </w:r>
        <w:r w:rsidR="00D8256E">
          <w:rPr>
            <w:webHidden/>
          </w:rPr>
          <w:tab/>
        </w:r>
        <w:r w:rsidR="00D8256E">
          <w:rPr>
            <w:webHidden/>
          </w:rPr>
          <w:fldChar w:fldCharType="begin"/>
        </w:r>
        <w:r w:rsidR="00D8256E">
          <w:rPr>
            <w:webHidden/>
          </w:rPr>
          <w:instrText xml:space="preserve"> PAGEREF _Toc412550794 \h </w:instrText>
        </w:r>
        <w:r w:rsidR="00D8256E">
          <w:rPr>
            <w:webHidden/>
          </w:rPr>
        </w:r>
        <w:r w:rsidR="00D8256E">
          <w:rPr>
            <w:webHidden/>
          </w:rPr>
          <w:fldChar w:fldCharType="separate"/>
        </w:r>
        <w:r w:rsidR="00D8256E">
          <w:rPr>
            <w:webHidden/>
          </w:rPr>
          <w:t>62</w:t>
        </w:r>
        <w:r w:rsidR="00D8256E">
          <w:rPr>
            <w:webHidden/>
          </w:rPr>
          <w:fldChar w:fldCharType="end"/>
        </w:r>
      </w:hyperlink>
    </w:p>
    <w:p w:rsidR="00D8256E" w:rsidRDefault="00822CBA">
      <w:pPr>
        <w:pStyle w:val="TOC1"/>
        <w:rPr>
          <w:rFonts w:eastAsiaTheme="minorEastAsia"/>
          <w:b w:val="0"/>
          <w:sz w:val="22"/>
          <w:lang w:eastAsia="en-AU"/>
        </w:rPr>
      </w:pPr>
      <w:hyperlink w:anchor="_Toc412550795" w:history="1">
        <w:r w:rsidR="00D8256E" w:rsidRPr="00520436">
          <w:rPr>
            <w:rStyle w:val="Hyperlink"/>
          </w:rPr>
          <w:t>Attachment B – Development of the National Pricing Model</w:t>
        </w:r>
        <w:r w:rsidR="00D8256E">
          <w:rPr>
            <w:webHidden/>
          </w:rPr>
          <w:tab/>
        </w:r>
        <w:r w:rsidR="00D8256E">
          <w:rPr>
            <w:webHidden/>
          </w:rPr>
          <w:fldChar w:fldCharType="begin"/>
        </w:r>
        <w:r w:rsidR="00D8256E">
          <w:rPr>
            <w:webHidden/>
          </w:rPr>
          <w:instrText xml:space="preserve"> PAGEREF _Toc412550795 \h </w:instrText>
        </w:r>
        <w:r w:rsidR="00D8256E">
          <w:rPr>
            <w:webHidden/>
          </w:rPr>
        </w:r>
        <w:r w:rsidR="00D8256E">
          <w:rPr>
            <w:webHidden/>
          </w:rPr>
          <w:fldChar w:fldCharType="separate"/>
        </w:r>
        <w:r w:rsidR="00D8256E">
          <w:rPr>
            <w:webHidden/>
          </w:rPr>
          <w:t>63</w:t>
        </w:r>
        <w:r w:rsidR="00D8256E">
          <w:rPr>
            <w:webHidden/>
          </w:rPr>
          <w:fldChar w:fldCharType="end"/>
        </w:r>
      </w:hyperlink>
    </w:p>
    <w:p w:rsidR="00D8256E" w:rsidRDefault="00822CBA">
      <w:pPr>
        <w:pStyle w:val="TOC1"/>
        <w:rPr>
          <w:rFonts w:eastAsiaTheme="minorEastAsia"/>
          <w:b w:val="0"/>
          <w:sz w:val="22"/>
          <w:lang w:eastAsia="en-AU"/>
        </w:rPr>
      </w:pPr>
      <w:hyperlink w:anchor="_Toc412550796" w:history="1">
        <w:r w:rsidR="00D8256E" w:rsidRPr="00520436">
          <w:rPr>
            <w:rStyle w:val="Hyperlink"/>
          </w:rPr>
          <w:t>Attachment C – List of the 21 DRGs to be converted to L1.5H1.5</w:t>
        </w:r>
        <w:r w:rsidR="00D8256E">
          <w:rPr>
            <w:webHidden/>
          </w:rPr>
          <w:tab/>
        </w:r>
        <w:r w:rsidR="00D8256E">
          <w:rPr>
            <w:webHidden/>
          </w:rPr>
          <w:fldChar w:fldCharType="begin"/>
        </w:r>
        <w:r w:rsidR="00D8256E">
          <w:rPr>
            <w:webHidden/>
          </w:rPr>
          <w:instrText xml:space="preserve"> PAGEREF _Toc412550796 \h </w:instrText>
        </w:r>
        <w:r w:rsidR="00D8256E">
          <w:rPr>
            <w:webHidden/>
          </w:rPr>
        </w:r>
        <w:r w:rsidR="00D8256E">
          <w:rPr>
            <w:webHidden/>
          </w:rPr>
          <w:fldChar w:fldCharType="separate"/>
        </w:r>
        <w:r w:rsidR="00D8256E">
          <w:rPr>
            <w:webHidden/>
          </w:rPr>
          <w:t>74</w:t>
        </w:r>
        <w:r w:rsidR="00D8256E">
          <w:rPr>
            <w:webHidden/>
          </w:rPr>
          <w:fldChar w:fldCharType="end"/>
        </w:r>
      </w:hyperlink>
    </w:p>
    <w:p w:rsidR="00D8256E" w:rsidRDefault="00822CBA">
      <w:pPr>
        <w:pStyle w:val="TOC1"/>
        <w:rPr>
          <w:rFonts w:eastAsiaTheme="minorEastAsia"/>
          <w:b w:val="0"/>
          <w:sz w:val="22"/>
          <w:lang w:eastAsia="en-AU"/>
        </w:rPr>
      </w:pPr>
      <w:hyperlink w:anchor="_Toc412550797" w:history="1">
        <w:r w:rsidR="00D8256E" w:rsidRPr="00520436">
          <w:rPr>
            <w:rStyle w:val="Hyperlink"/>
          </w:rPr>
          <w:t>Attachment D – Draft eligibility criteria of block funded hospitals</w:t>
        </w:r>
        <w:r w:rsidR="00D8256E">
          <w:rPr>
            <w:webHidden/>
          </w:rPr>
          <w:tab/>
        </w:r>
        <w:r w:rsidR="00D8256E">
          <w:rPr>
            <w:webHidden/>
          </w:rPr>
          <w:fldChar w:fldCharType="begin"/>
        </w:r>
        <w:r w:rsidR="00D8256E">
          <w:rPr>
            <w:webHidden/>
          </w:rPr>
          <w:instrText xml:space="preserve"> PAGEREF _Toc412550797 \h </w:instrText>
        </w:r>
        <w:r w:rsidR="00D8256E">
          <w:rPr>
            <w:webHidden/>
          </w:rPr>
        </w:r>
        <w:r w:rsidR="00D8256E">
          <w:rPr>
            <w:webHidden/>
          </w:rPr>
          <w:fldChar w:fldCharType="separate"/>
        </w:r>
        <w:r w:rsidR="00D8256E">
          <w:rPr>
            <w:webHidden/>
          </w:rPr>
          <w:t>75</w:t>
        </w:r>
        <w:r w:rsidR="00D8256E">
          <w:rPr>
            <w:webHidden/>
          </w:rPr>
          <w:fldChar w:fldCharType="end"/>
        </w:r>
      </w:hyperlink>
    </w:p>
    <w:p w:rsidR="00D8256E" w:rsidRDefault="00822CBA">
      <w:pPr>
        <w:pStyle w:val="TOC1"/>
        <w:rPr>
          <w:rFonts w:eastAsiaTheme="minorEastAsia"/>
          <w:b w:val="0"/>
          <w:sz w:val="22"/>
          <w:lang w:eastAsia="en-AU"/>
        </w:rPr>
      </w:pPr>
      <w:hyperlink w:anchor="_Toc412550798" w:history="1">
        <w:r w:rsidR="00D8256E" w:rsidRPr="00520436">
          <w:rPr>
            <w:rStyle w:val="Hyperlink"/>
          </w:rPr>
          <w:t>Attachment E – NEC15 Data Preparation</w:t>
        </w:r>
        <w:r w:rsidR="00D8256E">
          <w:rPr>
            <w:webHidden/>
          </w:rPr>
          <w:tab/>
        </w:r>
        <w:r w:rsidR="00D8256E">
          <w:rPr>
            <w:webHidden/>
          </w:rPr>
          <w:fldChar w:fldCharType="begin"/>
        </w:r>
        <w:r w:rsidR="00D8256E">
          <w:rPr>
            <w:webHidden/>
          </w:rPr>
          <w:instrText xml:space="preserve"> PAGEREF _Toc412550798 \h </w:instrText>
        </w:r>
        <w:r w:rsidR="00D8256E">
          <w:rPr>
            <w:webHidden/>
          </w:rPr>
        </w:r>
        <w:r w:rsidR="00D8256E">
          <w:rPr>
            <w:webHidden/>
          </w:rPr>
          <w:fldChar w:fldCharType="separate"/>
        </w:r>
        <w:r w:rsidR="00D8256E">
          <w:rPr>
            <w:webHidden/>
          </w:rPr>
          <w:t>76</w:t>
        </w:r>
        <w:r w:rsidR="00D8256E">
          <w:rPr>
            <w:webHidden/>
          </w:rPr>
          <w:fldChar w:fldCharType="end"/>
        </w:r>
      </w:hyperlink>
    </w:p>
    <w:p w:rsidR="00460371" w:rsidRPr="009225AC" w:rsidRDefault="00460371" w:rsidP="00AD4FFC">
      <w:pPr>
        <w:pStyle w:val="Heading1"/>
        <w:tabs>
          <w:tab w:val="clear" w:pos="1492"/>
        </w:tabs>
        <w:ind w:left="357"/>
      </w:pPr>
      <w:r>
        <w:fldChar w:fldCharType="end"/>
      </w:r>
      <w:bookmarkStart w:id="2" w:name="_Toc309214184"/>
      <w:r>
        <w:br w:type="page"/>
      </w:r>
      <w:bookmarkStart w:id="3" w:name="_Toc412550704"/>
      <w:r w:rsidRPr="004E0CB6">
        <w:lastRenderedPageBreak/>
        <w:t>Table</w:t>
      </w:r>
      <w:r w:rsidRPr="009225AC">
        <w:t xml:space="preserve"> of acronyms and abbreviations</w:t>
      </w:r>
      <w:bookmarkEnd w:id="3"/>
    </w:p>
    <w:p w:rsidR="00460371" w:rsidRPr="00CC72A4" w:rsidRDefault="00460371" w:rsidP="00AD4FFC">
      <w:pPr>
        <w:tabs>
          <w:tab w:val="left" w:pos="2495"/>
        </w:tabs>
        <w:rPr>
          <w:rFonts w:cs="Arial"/>
          <w:b/>
          <w:szCs w:val="20"/>
        </w:rPr>
      </w:pPr>
      <w:r w:rsidRPr="00CC72A4">
        <w:rPr>
          <w:rFonts w:cs="Arial"/>
          <w:b/>
          <w:szCs w:val="20"/>
        </w:rPr>
        <w:t>Acronym/ abbreviation</w:t>
      </w:r>
      <w:r w:rsidRPr="00CC72A4">
        <w:rPr>
          <w:rFonts w:cs="Arial"/>
          <w:b/>
          <w:szCs w:val="20"/>
        </w:rPr>
        <w:tab/>
        <w:t>Description</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ABF</w:t>
      </w:r>
      <w:r w:rsidRPr="00474424">
        <w:rPr>
          <w:rFonts w:ascii="Arial" w:hAnsi="Arial" w:cs="Arial"/>
          <w:sz w:val="20"/>
          <w:szCs w:val="20"/>
        </w:rPr>
        <w:tab/>
        <w:t xml:space="preserve">Activity </w:t>
      </w:r>
      <w:r>
        <w:rPr>
          <w:rFonts w:ascii="Arial" w:hAnsi="Arial" w:cs="Arial"/>
          <w:sz w:val="20"/>
          <w:szCs w:val="20"/>
        </w:rPr>
        <w:t>B</w:t>
      </w:r>
      <w:r w:rsidRPr="00474424">
        <w:rPr>
          <w:rFonts w:ascii="Arial" w:hAnsi="Arial" w:cs="Arial"/>
          <w:sz w:val="20"/>
          <w:szCs w:val="20"/>
        </w:rPr>
        <w:t xml:space="preserve">ased </w:t>
      </w:r>
      <w:r>
        <w:rPr>
          <w:rFonts w:ascii="Arial" w:hAnsi="Arial" w:cs="Arial"/>
          <w:sz w:val="20"/>
          <w:szCs w:val="20"/>
        </w:rPr>
        <w:t>F</w:t>
      </w:r>
      <w:r w:rsidRPr="00474424">
        <w:rPr>
          <w:rFonts w:ascii="Arial" w:hAnsi="Arial" w:cs="Arial"/>
          <w:sz w:val="20"/>
          <w:szCs w:val="20"/>
        </w:rPr>
        <w:t>unding</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ALOS</w:t>
      </w:r>
      <w:r w:rsidRPr="00474424">
        <w:rPr>
          <w:rFonts w:ascii="Arial" w:hAnsi="Arial" w:cs="Arial"/>
          <w:sz w:val="20"/>
          <w:szCs w:val="20"/>
        </w:rPr>
        <w:tab/>
        <w:t>Average length of stay</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AN-SNAP</w:t>
      </w:r>
      <w:r w:rsidRPr="00474424">
        <w:rPr>
          <w:rFonts w:ascii="Arial" w:hAnsi="Arial" w:cs="Arial"/>
          <w:sz w:val="20"/>
          <w:szCs w:val="20"/>
        </w:rPr>
        <w:tab/>
        <w:t>Australian National Subacute and Non Acute Patient Classification</w:t>
      </w:r>
    </w:p>
    <w:p w:rsidR="00460371" w:rsidRPr="00474424"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APC</w:t>
      </w:r>
      <w:r w:rsidRPr="00474424">
        <w:rPr>
          <w:rFonts w:ascii="Arial" w:hAnsi="Arial" w:cs="Arial"/>
          <w:sz w:val="20"/>
          <w:szCs w:val="20"/>
        </w:rPr>
        <w:tab/>
      </w:r>
      <w:r>
        <w:rPr>
          <w:rFonts w:ascii="Arial" w:hAnsi="Arial" w:cs="Arial"/>
          <w:sz w:val="20"/>
          <w:szCs w:val="20"/>
        </w:rPr>
        <w:t>Admitted Patient Care</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AR</w:t>
      </w:r>
      <w:r w:rsidRPr="00474424">
        <w:rPr>
          <w:rFonts w:ascii="Cambria Math" w:hAnsi="Cambria Math" w:cs="Cambria Math"/>
          <w:sz w:val="20"/>
          <w:szCs w:val="20"/>
        </w:rPr>
        <w:t>‐</w:t>
      </w:r>
      <w:r w:rsidRPr="00474424">
        <w:rPr>
          <w:rFonts w:ascii="Arial" w:hAnsi="Arial" w:cs="Arial"/>
          <w:sz w:val="20"/>
          <w:szCs w:val="20"/>
        </w:rPr>
        <w:t>DRG</w:t>
      </w:r>
      <w:r w:rsidRPr="00474424">
        <w:rPr>
          <w:rFonts w:ascii="Arial" w:hAnsi="Arial" w:cs="Arial"/>
          <w:sz w:val="20"/>
          <w:szCs w:val="20"/>
        </w:rPr>
        <w:tab/>
        <w:t xml:space="preserve">Australian </w:t>
      </w:r>
      <w:r w:rsidR="003D32BD">
        <w:rPr>
          <w:rFonts w:ascii="Arial" w:hAnsi="Arial" w:cs="Arial"/>
          <w:sz w:val="20"/>
          <w:szCs w:val="20"/>
        </w:rPr>
        <w:t>Refined Diagnosis Related Group</w:t>
      </w:r>
    </w:p>
    <w:p w:rsidR="00460371" w:rsidRPr="00474424"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ASGS</w:t>
      </w:r>
      <w:r w:rsidRPr="00474424">
        <w:rPr>
          <w:rFonts w:ascii="Arial" w:hAnsi="Arial" w:cs="Arial"/>
          <w:sz w:val="20"/>
          <w:szCs w:val="20"/>
        </w:rPr>
        <w:tab/>
      </w:r>
      <w:r>
        <w:rPr>
          <w:rFonts w:ascii="Arial" w:hAnsi="Arial" w:cs="Arial"/>
          <w:sz w:val="20"/>
          <w:szCs w:val="20"/>
        </w:rPr>
        <w:t>Australian Statistical Geography Standard</w:t>
      </w:r>
    </w:p>
    <w:p w:rsidR="00460371"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ASNC</w:t>
      </w:r>
      <w:r>
        <w:rPr>
          <w:rFonts w:ascii="Arial" w:hAnsi="Arial" w:cs="Arial"/>
          <w:sz w:val="20"/>
          <w:szCs w:val="20"/>
        </w:rPr>
        <w:tab/>
        <w:t>Admitted Subacute and Non-acute Care</w:t>
      </w:r>
    </w:p>
    <w:p w:rsidR="006200DE" w:rsidRDefault="006200DE" w:rsidP="00AD4FFC">
      <w:pPr>
        <w:pStyle w:val="NoSpacing"/>
        <w:tabs>
          <w:tab w:val="left" w:pos="2495"/>
        </w:tabs>
        <w:spacing w:before="40" w:after="40"/>
        <w:rPr>
          <w:rFonts w:ascii="Arial" w:hAnsi="Arial" w:cs="Arial"/>
          <w:sz w:val="20"/>
          <w:szCs w:val="20"/>
        </w:rPr>
      </w:pPr>
      <w:r>
        <w:rPr>
          <w:rFonts w:ascii="Arial" w:hAnsi="Arial" w:cs="Arial"/>
          <w:sz w:val="20"/>
          <w:szCs w:val="20"/>
        </w:rPr>
        <w:t>COAG</w:t>
      </w:r>
      <w:r>
        <w:rPr>
          <w:rFonts w:ascii="Arial" w:hAnsi="Arial" w:cs="Arial"/>
          <w:sz w:val="20"/>
          <w:szCs w:val="20"/>
        </w:rPr>
        <w:tab/>
        <w:t>Council of Australian Governments</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CSO</w:t>
      </w:r>
      <w:r w:rsidRPr="00474424">
        <w:rPr>
          <w:rFonts w:ascii="Arial" w:hAnsi="Arial" w:cs="Arial"/>
          <w:sz w:val="20"/>
          <w:szCs w:val="20"/>
        </w:rPr>
        <w:tab/>
        <w:t>Community Service Obligation</w:t>
      </w:r>
    </w:p>
    <w:p w:rsidR="00460371" w:rsidRPr="00474424" w:rsidRDefault="00460371" w:rsidP="00AD4FFC">
      <w:pPr>
        <w:pStyle w:val="NoSpacing"/>
        <w:tabs>
          <w:tab w:val="left" w:pos="2495"/>
        </w:tabs>
        <w:spacing w:before="40" w:after="40"/>
        <w:rPr>
          <w:rFonts w:ascii="Arial" w:hAnsi="Arial" w:cs="Arial"/>
          <w:sz w:val="20"/>
          <w:szCs w:val="20"/>
        </w:rPr>
      </w:pPr>
      <w:r w:rsidRPr="00DC28A2">
        <w:rPr>
          <w:rFonts w:ascii="Arial" w:hAnsi="Arial" w:cs="Arial"/>
          <w:sz w:val="20"/>
          <w:szCs w:val="20"/>
        </w:rPr>
        <w:t>DoH</w:t>
      </w:r>
      <w:r w:rsidRPr="00DC28A2">
        <w:rPr>
          <w:rFonts w:ascii="Arial" w:hAnsi="Arial" w:cs="Arial"/>
          <w:sz w:val="20"/>
          <w:szCs w:val="20"/>
        </w:rPr>
        <w:tab/>
      </w:r>
      <w:r w:rsidRPr="00DC28A2">
        <w:rPr>
          <w:rFonts w:ascii="Arial" w:hAnsi="Arial" w:cs="Arial"/>
          <w:color w:val="000000"/>
          <w:sz w:val="20"/>
          <w:szCs w:val="20"/>
        </w:rPr>
        <w:t xml:space="preserve">Department </w:t>
      </w:r>
      <w:r w:rsidRPr="00DC28A2">
        <w:rPr>
          <w:rFonts w:ascii="Arial" w:hAnsi="Arial" w:cs="Arial"/>
          <w:color w:val="000000"/>
          <w:spacing w:val="-1"/>
          <w:sz w:val="20"/>
          <w:szCs w:val="20"/>
        </w:rPr>
        <w:t>o</w:t>
      </w:r>
      <w:r w:rsidRPr="00DC28A2">
        <w:rPr>
          <w:rFonts w:ascii="Arial" w:hAnsi="Arial" w:cs="Arial"/>
          <w:color w:val="000000"/>
          <w:sz w:val="20"/>
          <w:szCs w:val="20"/>
        </w:rPr>
        <w:t>f He</w:t>
      </w:r>
      <w:r w:rsidRPr="00DC28A2">
        <w:rPr>
          <w:rFonts w:ascii="Arial" w:hAnsi="Arial" w:cs="Arial"/>
          <w:color w:val="000000"/>
          <w:spacing w:val="-1"/>
          <w:sz w:val="20"/>
          <w:szCs w:val="20"/>
        </w:rPr>
        <w:t>a</w:t>
      </w:r>
      <w:r w:rsidRPr="00DC28A2">
        <w:rPr>
          <w:rFonts w:ascii="Arial" w:hAnsi="Arial" w:cs="Arial"/>
          <w:color w:val="000000"/>
          <w:sz w:val="20"/>
          <w:szCs w:val="20"/>
        </w:rPr>
        <w:t xml:space="preserve">lth </w:t>
      </w:r>
    </w:p>
    <w:p w:rsidR="00460371" w:rsidRPr="00474424" w:rsidRDefault="00460371" w:rsidP="00AD4FFC">
      <w:pPr>
        <w:pStyle w:val="NoSpacing"/>
        <w:tabs>
          <w:tab w:val="left" w:pos="2495"/>
        </w:tabs>
        <w:spacing w:before="40" w:after="40"/>
        <w:rPr>
          <w:rFonts w:ascii="Arial" w:hAnsi="Arial" w:cs="Arial"/>
          <w:color w:val="000000"/>
          <w:sz w:val="20"/>
          <w:szCs w:val="20"/>
        </w:rPr>
      </w:pPr>
      <w:r>
        <w:rPr>
          <w:rFonts w:ascii="Arial" w:hAnsi="Arial" w:cs="Arial"/>
          <w:sz w:val="20"/>
          <w:szCs w:val="20"/>
        </w:rPr>
        <w:t>DSS</w:t>
      </w:r>
      <w:r w:rsidRPr="00474424">
        <w:rPr>
          <w:rFonts w:ascii="Arial" w:hAnsi="Arial" w:cs="Arial"/>
          <w:sz w:val="20"/>
          <w:szCs w:val="20"/>
        </w:rPr>
        <w:tab/>
      </w:r>
      <w:r>
        <w:rPr>
          <w:rFonts w:ascii="Arial" w:hAnsi="Arial" w:cs="Arial"/>
          <w:color w:val="000000"/>
          <w:sz w:val="20"/>
          <w:szCs w:val="20"/>
        </w:rPr>
        <w:t>Data Set Specification</w:t>
      </w:r>
    </w:p>
    <w:p w:rsidR="00460371" w:rsidRPr="00474424" w:rsidRDefault="00460371" w:rsidP="00AD4FFC">
      <w:pPr>
        <w:pStyle w:val="NoSpacing"/>
        <w:tabs>
          <w:tab w:val="left" w:pos="2495"/>
        </w:tabs>
        <w:spacing w:before="40" w:after="40"/>
        <w:rPr>
          <w:rFonts w:ascii="Arial" w:hAnsi="Arial" w:cs="Arial"/>
          <w:color w:val="000000"/>
          <w:sz w:val="20"/>
          <w:szCs w:val="20"/>
        </w:rPr>
      </w:pPr>
      <w:r w:rsidRPr="00474424">
        <w:rPr>
          <w:rFonts w:ascii="Arial" w:hAnsi="Arial" w:cs="Arial"/>
          <w:color w:val="000000"/>
          <w:sz w:val="20"/>
          <w:szCs w:val="20"/>
        </w:rPr>
        <w:t>DVA</w:t>
      </w:r>
      <w:r w:rsidRPr="00474424">
        <w:rPr>
          <w:rFonts w:ascii="Arial" w:hAnsi="Arial" w:cs="Arial"/>
          <w:color w:val="000000"/>
          <w:sz w:val="20"/>
          <w:szCs w:val="20"/>
        </w:rPr>
        <w:tab/>
        <w:t>Department of Veterans’ Affairs</w:t>
      </w:r>
    </w:p>
    <w:p w:rsidR="00460371"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ED</w:t>
      </w:r>
      <w:r w:rsidRPr="00474424">
        <w:rPr>
          <w:rFonts w:ascii="Arial" w:hAnsi="Arial" w:cs="Arial"/>
          <w:sz w:val="20"/>
          <w:szCs w:val="20"/>
        </w:rPr>
        <w:tab/>
        <w:t>Emergency Department</w:t>
      </w:r>
    </w:p>
    <w:p w:rsidR="005E309F" w:rsidRPr="00474424" w:rsidRDefault="005E309F" w:rsidP="00AD4FFC">
      <w:pPr>
        <w:pStyle w:val="NoSpacing"/>
        <w:tabs>
          <w:tab w:val="left" w:pos="2495"/>
        </w:tabs>
        <w:spacing w:before="40" w:after="40"/>
        <w:rPr>
          <w:rFonts w:ascii="Arial" w:hAnsi="Arial" w:cs="Arial"/>
          <w:sz w:val="20"/>
          <w:szCs w:val="20"/>
        </w:rPr>
      </w:pPr>
      <w:r>
        <w:rPr>
          <w:rFonts w:ascii="Arial" w:hAnsi="Arial" w:cs="Arial"/>
          <w:sz w:val="20"/>
          <w:szCs w:val="20"/>
        </w:rPr>
        <w:t>HEN</w:t>
      </w:r>
      <w:r>
        <w:rPr>
          <w:rFonts w:ascii="Arial" w:hAnsi="Arial" w:cs="Arial"/>
          <w:sz w:val="20"/>
          <w:szCs w:val="20"/>
        </w:rPr>
        <w:tab/>
        <w:t>Home Enteral Nutrition</w:t>
      </w:r>
    </w:p>
    <w:p w:rsidR="00460371"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HCP</w:t>
      </w:r>
      <w:r>
        <w:rPr>
          <w:rFonts w:ascii="Arial" w:hAnsi="Arial" w:cs="Arial"/>
          <w:sz w:val="20"/>
          <w:szCs w:val="20"/>
        </w:rPr>
        <w:tab/>
        <w:t>Hospital Casemix Protocol</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ICU</w:t>
      </w:r>
      <w:r w:rsidRPr="00474424">
        <w:rPr>
          <w:rFonts w:ascii="Arial" w:hAnsi="Arial" w:cs="Arial"/>
          <w:sz w:val="20"/>
          <w:szCs w:val="20"/>
        </w:rPr>
        <w:tab/>
        <w:t>Intensive Care Unit</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IHPA</w:t>
      </w:r>
      <w:r w:rsidRPr="00474424">
        <w:rPr>
          <w:rFonts w:ascii="Arial" w:hAnsi="Arial" w:cs="Arial"/>
          <w:sz w:val="20"/>
          <w:szCs w:val="20"/>
        </w:rPr>
        <w:tab/>
        <w:t>Independent Hospital Pricing Authority</w:t>
      </w:r>
    </w:p>
    <w:p w:rsidR="00460371"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LHN</w:t>
      </w:r>
      <w:r>
        <w:rPr>
          <w:rFonts w:ascii="Arial" w:hAnsi="Arial" w:cs="Arial"/>
          <w:sz w:val="20"/>
          <w:szCs w:val="20"/>
        </w:rPr>
        <w:tab/>
        <w:t>Local Hospital Network</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LOS</w:t>
      </w:r>
      <w:r w:rsidRPr="00474424">
        <w:rPr>
          <w:rFonts w:ascii="Arial" w:hAnsi="Arial" w:cs="Arial"/>
          <w:sz w:val="20"/>
          <w:szCs w:val="20"/>
        </w:rPr>
        <w:tab/>
        <w:t>Length of Stay</w:t>
      </w:r>
    </w:p>
    <w:p w:rsidR="00460371" w:rsidRDefault="00460371" w:rsidP="00AD4FFC">
      <w:pPr>
        <w:pStyle w:val="NoSpacing"/>
        <w:tabs>
          <w:tab w:val="left" w:pos="2495"/>
        </w:tabs>
        <w:spacing w:before="40" w:after="40"/>
        <w:rPr>
          <w:rFonts w:ascii="Arial" w:hAnsi="Arial" w:cs="Arial"/>
          <w:sz w:val="20"/>
          <w:szCs w:val="20"/>
        </w:rPr>
      </w:pPr>
      <w:r w:rsidRPr="00B25937">
        <w:rPr>
          <w:rFonts w:ascii="Arial" w:hAnsi="Arial" w:cs="Arial"/>
          <w:sz w:val="20"/>
          <w:szCs w:val="20"/>
        </w:rPr>
        <w:t>MAPE</w:t>
      </w:r>
      <w:r w:rsidRPr="00B25937">
        <w:rPr>
          <w:rFonts w:ascii="Arial" w:hAnsi="Arial" w:cs="Arial"/>
          <w:sz w:val="20"/>
          <w:szCs w:val="20"/>
        </w:rPr>
        <w:tab/>
        <w:t>Mean Absolute Percentage Error</w:t>
      </w:r>
    </w:p>
    <w:p w:rsidR="00460371"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MBS</w:t>
      </w:r>
      <w:r>
        <w:rPr>
          <w:rFonts w:ascii="Arial" w:hAnsi="Arial" w:cs="Arial"/>
          <w:sz w:val="20"/>
          <w:szCs w:val="20"/>
        </w:rPr>
        <w:tab/>
        <w:t>Medicare Benefits Schedule</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MDB</w:t>
      </w:r>
      <w:r w:rsidRPr="00474424">
        <w:rPr>
          <w:rFonts w:ascii="Arial" w:hAnsi="Arial" w:cs="Arial"/>
          <w:sz w:val="20"/>
          <w:szCs w:val="20"/>
        </w:rPr>
        <w:tab/>
        <w:t>Major Diagnostic Block, used in Urgency Related Groups</w:t>
      </w:r>
    </w:p>
    <w:p w:rsidR="00460371" w:rsidRPr="00474424"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MDC</w:t>
      </w:r>
      <w:r w:rsidRPr="00474424">
        <w:rPr>
          <w:rFonts w:ascii="Arial" w:hAnsi="Arial" w:cs="Arial"/>
          <w:sz w:val="20"/>
          <w:szCs w:val="20"/>
        </w:rPr>
        <w:tab/>
      </w:r>
      <w:r w:rsidRPr="00407A8B">
        <w:rPr>
          <w:rFonts w:ascii="Arial" w:hAnsi="Arial" w:cs="Arial"/>
          <w:sz w:val="20"/>
          <w:szCs w:val="20"/>
        </w:rPr>
        <w:t>Major Diagnostic Category, used in AR-DRGs</w:t>
      </w:r>
    </w:p>
    <w:p w:rsidR="00460371"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MPS</w:t>
      </w:r>
      <w:r>
        <w:rPr>
          <w:rFonts w:ascii="Arial" w:hAnsi="Arial" w:cs="Arial"/>
          <w:sz w:val="20"/>
          <w:szCs w:val="20"/>
        </w:rPr>
        <w:tab/>
        <w:t>Multipurpose Service</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NAPED</w:t>
      </w:r>
      <w:r w:rsidRPr="00474424">
        <w:rPr>
          <w:rFonts w:ascii="Arial" w:hAnsi="Arial" w:cs="Arial"/>
          <w:sz w:val="20"/>
          <w:szCs w:val="20"/>
        </w:rPr>
        <w:tab/>
        <w:t>Non Admitted Patients Emergency Department</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NEC</w:t>
      </w:r>
      <w:r w:rsidRPr="00474424">
        <w:rPr>
          <w:rFonts w:ascii="Arial" w:hAnsi="Arial" w:cs="Arial"/>
          <w:sz w:val="20"/>
          <w:szCs w:val="20"/>
        </w:rPr>
        <w:tab/>
        <w:t>National Efficient Cost</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NEP</w:t>
      </w:r>
      <w:r w:rsidRPr="00474424">
        <w:rPr>
          <w:rFonts w:ascii="Arial" w:hAnsi="Arial" w:cs="Arial"/>
          <w:sz w:val="20"/>
          <w:szCs w:val="20"/>
        </w:rPr>
        <w:tab/>
        <w:t>National Efficient Price</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NHCDC</w:t>
      </w:r>
      <w:r w:rsidRPr="00474424">
        <w:rPr>
          <w:rFonts w:ascii="Arial" w:hAnsi="Arial" w:cs="Arial"/>
          <w:sz w:val="20"/>
          <w:szCs w:val="20"/>
        </w:rPr>
        <w:tab/>
        <w:t>National Hospital Cost Data Collection</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NHRA</w:t>
      </w:r>
      <w:r w:rsidRPr="00474424">
        <w:rPr>
          <w:rFonts w:ascii="Arial" w:hAnsi="Arial" w:cs="Arial"/>
          <w:sz w:val="20"/>
          <w:szCs w:val="20"/>
        </w:rPr>
        <w:tab/>
        <w:t>National Health Reform Agreement</w:t>
      </w:r>
    </w:p>
    <w:p w:rsidR="00460371"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NMDS</w:t>
      </w:r>
      <w:r>
        <w:rPr>
          <w:rFonts w:ascii="Arial" w:hAnsi="Arial" w:cs="Arial"/>
          <w:sz w:val="20"/>
          <w:szCs w:val="20"/>
        </w:rPr>
        <w:tab/>
        <w:t>National Minimum Data Set</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NPHED</w:t>
      </w:r>
      <w:r w:rsidRPr="00474424">
        <w:rPr>
          <w:rFonts w:ascii="Arial" w:hAnsi="Arial" w:cs="Arial"/>
          <w:sz w:val="20"/>
          <w:szCs w:val="20"/>
        </w:rPr>
        <w:tab/>
        <w:t>National Public Hospital Establishment Data</w:t>
      </w:r>
      <w:r>
        <w:rPr>
          <w:rFonts w:ascii="Arial" w:hAnsi="Arial" w:cs="Arial"/>
          <w:sz w:val="20"/>
          <w:szCs w:val="20"/>
        </w:rPr>
        <w:t>base</w:t>
      </w:r>
    </w:p>
    <w:p w:rsidR="0011303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NWAU</w:t>
      </w:r>
      <w:r w:rsidRPr="00474424">
        <w:rPr>
          <w:rFonts w:ascii="Arial" w:hAnsi="Arial" w:cs="Arial"/>
          <w:sz w:val="20"/>
          <w:szCs w:val="20"/>
        </w:rPr>
        <w:tab/>
        <w:t>National Weighted Activity Unit</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PHI</w:t>
      </w:r>
      <w:r w:rsidRPr="00474424">
        <w:rPr>
          <w:rFonts w:ascii="Arial" w:hAnsi="Arial" w:cs="Arial"/>
          <w:sz w:val="20"/>
          <w:szCs w:val="20"/>
        </w:rPr>
        <w:tab/>
        <w:t xml:space="preserve">Private </w:t>
      </w:r>
      <w:r>
        <w:rPr>
          <w:rFonts w:ascii="Arial" w:hAnsi="Arial" w:cs="Arial"/>
          <w:sz w:val="20"/>
          <w:szCs w:val="20"/>
        </w:rPr>
        <w:t>H</w:t>
      </w:r>
      <w:r w:rsidRPr="00474424">
        <w:rPr>
          <w:rFonts w:ascii="Arial" w:hAnsi="Arial" w:cs="Arial"/>
          <w:sz w:val="20"/>
          <w:szCs w:val="20"/>
        </w:rPr>
        <w:t xml:space="preserve">ealth </w:t>
      </w:r>
      <w:r>
        <w:rPr>
          <w:rFonts w:ascii="Arial" w:hAnsi="Arial" w:cs="Arial"/>
          <w:sz w:val="20"/>
          <w:szCs w:val="20"/>
        </w:rPr>
        <w:t>I</w:t>
      </w:r>
      <w:r w:rsidRPr="00474424">
        <w:rPr>
          <w:rFonts w:ascii="Arial" w:hAnsi="Arial" w:cs="Arial"/>
          <w:sz w:val="20"/>
          <w:szCs w:val="20"/>
        </w:rPr>
        <w:t>nsurance</w:t>
      </w:r>
    </w:p>
    <w:p w:rsidR="00460371"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PICU</w:t>
      </w:r>
      <w:r>
        <w:rPr>
          <w:rFonts w:ascii="Arial" w:hAnsi="Arial" w:cs="Arial"/>
          <w:sz w:val="20"/>
          <w:szCs w:val="20"/>
        </w:rPr>
        <w:tab/>
        <w:t>Paediatric Intensive Care Unit</w:t>
      </w:r>
    </w:p>
    <w:p w:rsidR="00460371" w:rsidRPr="00474424"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SLA</w:t>
      </w:r>
      <w:r w:rsidRPr="00474424">
        <w:rPr>
          <w:rFonts w:ascii="Arial" w:hAnsi="Arial" w:cs="Arial"/>
          <w:sz w:val="20"/>
          <w:szCs w:val="20"/>
        </w:rPr>
        <w:tab/>
      </w:r>
      <w:r>
        <w:rPr>
          <w:rFonts w:ascii="Arial" w:hAnsi="Arial" w:cs="Arial"/>
          <w:sz w:val="20"/>
          <w:szCs w:val="20"/>
        </w:rPr>
        <w:t>Statistical Local Area</w:t>
      </w:r>
    </w:p>
    <w:p w:rsidR="00460371"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TAC</w:t>
      </w:r>
      <w:r>
        <w:rPr>
          <w:rFonts w:ascii="Arial" w:hAnsi="Arial" w:cs="Arial"/>
          <w:sz w:val="20"/>
          <w:szCs w:val="20"/>
        </w:rPr>
        <w:tab/>
        <w:t>Technical Advisory Committee</w:t>
      </w:r>
    </w:p>
    <w:p w:rsidR="005E309F" w:rsidRDefault="005E309F" w:rsidP="00AD4FFC">
      <w:pPr>
        <w:pStyle w:val="NoSpacing"/>
        <w:tabs>
          <w:tab w:val="left" w:pos="2495"/>
        </w:tabs>
        <w:spacing w:before="40" w:after="40"/>
        <w:rPr>
          <w:rFonts w:ascii="Arial" w:hAnsi="Arial" w:cs="Arial"/>
          <w:sz w:val="20"/>
          <w:szCs w:val="20"/>
        </w:rPr>
      </w:pPr>
      <w:r>
        <w:rPr>
          <w:rFonts w:ascii="Arial" w:hAnsi="Arial" w:cs="Arial"/>
          <w:sz w:val="20"/>
          <w:szCs w:val="20"/>
        </w:rPr>
        <w:t>TPN</w:t>
      </w:r>
      <w:r>
        <w:rPr>
          <w:rFonts w:ascii="Arial" w:hAnsi="Arial" w:cs="Arial"/>
          <w:sz w:val="20"/>
          <w:szCs w:val="20"/>
        </w:rPr>
        <w:tab/>
        <w:t>Total Parenteral Nutrition</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TTR</w:t>
      </w:r>
      <w:r w:rsidRPr="00474424">
        <w:rPr>
          <w:rFonts w:ascii="Arial" w:hAnsi="Arial" w:cs="Arial"/>
          <w:sz w:val="20"/>
          <w:szCs w:val="20"/>
        </w:rPr>
        <w:tab/>
        <w:t>Teaching, Training and Research</w:t>
      </w:r>
    </w:p>
    <w:p w:rsidR="00460371" w:rsidRPr="00474424"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UDG</w:t>
      </w:r>
      <w:r w:rsidRPr="00474424">
        <w:rPr>
          <w:rFonts w:ascii="Arial" w:hAnsi="Arial" w:cs="Arial"/>
          <w:sz w:val="20"/>
          <w:szCs w:val="20"/>
        </w:rPr>
        <w:tab/>
        <w:t>Urgency Disposition Groups</w:t>
      </w:r>
    </w:p>
    <w:p w:rsidR="00460371" w:rsidRDefault="00460371" w:rsidP="00AD4FFC">
      <w:pPr>
        <w:pStyle w:val="NoSpacing"/>
        <w:tabs>
          <w:tab w:val="left" w:pos="2495"/>
        </w:tabs>
        <w:spacing w:before="40" w:after="40"/>
        <w:rPr>
          <w:rFonts w:ascii="Arial" w:hAnsi="Arial" w:cs="Arial"/>
          <w:sz w:val="20"/>
          <w:szCs w:val="20"/>
        </w:rPr>
      </w:pPr>
      <w:r>
        <w:rPr>
          <w:rFonts w:ascii="Arial" w:hAnsi="Arial" w:cs="Arial"/>
          <w:sz w:val="20"/>
          <w:szCs w:val="20"/>
        </w:rPr>
        <w:t>UoW</w:t>
      </w:r>
      <w:r>
        <w:rPr>
          <w:rFonts w:ascii="Arial" w:hAnsi="Arial" w:cs="Arial"/>
          <w:sz w:val="20"/>
          <w:szCs w:val="20"/>
        </w:rPr>
        <w:tab/>
        <w:t>University of Wollongong</w:t>
      </w:r>
    </w:p>
    <w:p w:rsidR="00460371" w:rsidRDefault="00460371" w:rsidP="00AD4FFC">
      <w:pPr>
        <w:pStyle w:val="NoSpacing"/>
        <w:tabs>
          <w:tab w:val="left" w:pos="2495"/>
        </w:tabs>
        <w:spacing w:before="40" w:after="40"/>
        <w:rPr>
          <w:rFonts w:ascii="Arial" w:hAnsi="Arial" w:cs="Arial"/>
          <w:sz w:val="20"/>
          <w:szCs w:val="20"/>
        </w:rPr>
      </w:pPr>
      <w:r w:rsidRPr="00474424">
        <w:rPr>
          <w:rFonts w:ascii="Arial" w:hAnsi="Arial" w:cs="Arial"/>
          <w:sz w:val="20"/>
          <w:szCs w:val="20"/>
        </w:rPr>
        <w:t>URG</w:t>
      </w:r>
      <w:r w:rsidRPr="00474424">
        <w:rPr>
          <w:rFonts w:ascii="Arial" w:hAnsi="Arial" w:cs="Arial"/>
          <w:sz w:val="20"/>
          <w:szCs w:val="20"/>
        </w:rPr>
        <w:tab/>
        <w:t>Urgency Related Groups</w:t>
      </w:r>
    </w:p>
    <w:p w:rsidR="00B55A7A" w:rsidRPr="00474424" w:rsidRDefault="00B55A7A" w:rsidP="00AD4FFC">
      <w:pPr>
        <w:pStyle w:val="NoSpacing"/>
        <w:tabs>
          <w:tab w:val="left" w:pos="2495"/>
        </w:tabs>
        <w:spacing w:before="40" w:after="40"/>
        <w:rPr>
          <w:rFonts w:ascii="Arial" w:hAnsi="Arial" w:cs="Arial"/>
          <w:sz w:val="20"/>
          <w:szCs w:val="20"/>
        </w:rPr>
      </w:pPr>
      <w:r>
        <w:rPr>
          <w:rFonts w:ascii="Arial" w:hAnsi="Arial" w:cs="Arial"/>
          <w:sz w:val="20"/>
          <w:szCs w:val="20"/>
        </w:rPr>
        <w:t>WAU</w:t>
      </w:r>
      <w:r>
        <w:rPr>
          <w:rFonts w:ascii="Arial" w:hAnsi="Arial" w:cs="Arial"/>
          <w:sz w:val="20"/>
          <w:szCs w:val="20"/>
        </w:rPr>
        <w:tab/>
        <w:t xml:space="preserve">Weighted Activity Unit </w:t>
      </w:r>
    </w:p>
    <w:bookmarkEnd w:id="2"/>
    <w:p w:rsidR="00460371" w:rsidRDefault="00460371" w:rsidP="00AD4FFC">
      <w:pPr>
        <w:spacing w:after="0"/>
        <w:rPr>
          <w:rFonts w:cs="Arial"/>
          <w:b/>
          <w:bCs/>
          <w:color w:val="7F7F7F"/>
          <w:kern w:val="32"/>
          <w:sz w:val="32"/>
          <w:szCs w:val="32"/>
        </w:rPr>
      </w:pPr>
      <w:r>
        <w:rPr>
          <w:rFonts w:cs="Arial"/>
          <w:b/>
          <w:bCs/>
          <w:color w:val="7F7F7F"/>
          <w:kern w:val="32"/>
          <w:sz w:val="32"/>
          <w:szCs w:val="32"/>
        </w:rPr>
        <w:br w:type="page"/>
      </w:r>
    </w:p>
    <w:p w:rsidR="00460371" w:rsidRDefault="00460371" w:rsidP="00AD4FFC">
      <w:pPr>
        <w:pStyle w:val="Heading1"/>
        <w:pageBreakBefore/>
        <w:numPr>
          <w:ilvl w:val="0"/>
          <w:numId w:val="35"/>
        </w:numPr>
        <w:spacing w:before="100" w:beforeAutospacing="1" w:after="100" w:afterAutospacing="1"/>
      </w:pPr>
      <w:bookmarkStart w:id="4" w:name="_Toc380754688"/>
      <w:bookmarkStart w:id="5" w:name="_Toc412550705"/>
      <w:r w:rsidRPr="00B90C7C">
        <w:lastRenderedPageBreak/>
        <w:t>Overview of process</w:t>
      </w:r>
      <w:bookmarkEnd w:id="4"/>
      <w:bookmarkEnd w:id="5"/>
    </w:p>
    <w:p w:rsidR="00460371" w:rsidRDefault="00460371" w:rsidP="00AD4FFC">
      <w:pPr>
        <w:tabs>
          <w:tab w:val="left" w:pos="1162"/>
        </w:tabs>
        <w:rPr>
          <w:rFonts w:cs="Arial"/>
          <w:szCs w:val="20"/>
        </w:rPr>
      </w:pPr>
      <w:r w:rsidRPr="002265FE">
        <w:rPr>
          <w:rFonts w:cs="Arial"/>
          <w:szCs w:val="20"/>
        </w:rPr>
        <w:t xml:space="preserve">The National Health Reform Agreement (NHRA) sets out the intention of the Australian Government and state and territory governments to work in partnership to improve health outcomes for all Australians. One of the ways in which the </w:t>
      </w:r>
      <w:r>
        <w:rPr>
          <w:rFonts w:cs="Arial"/>
          <w:szCs w:val="20"/>
        </w:rPr>
        <w:t>NHRA</w:t>
      </w:r>
      <w:r w:rsidRPr="002265FE">
        <w:rPr>
          <w:rFonts w:cs="Arial"/>
          <w:szCs w:val="20"/>
        </w:rPr>
        <w:t xml:space="preserve"> aims to achieve this is through the implementation of national Activity Based Funding (ABF). The NHRA specifies that the central component of ABF is an independe</w:t>
      </w:r>
      <w:r>
        <w:rPr>
          <w:rFonts w:cs="Arial"/>
          <w:szCs w:val="20"/>
        </w:rPr>
        <w:t>ntly determined</w:t>
      </w:r>
      <w:r w:rsidRPr="002265FE">
        <w:rPr>
          <w:rFonts w:cs="Arial"/>
          <w:szCs w:val="20"/>
        </w:rPr>
        <w:t xml:space="preserve"> National Efficient Price (NEP)</w:t>
      </w:r>
      <w:r>
        <w:rPr>
          <w:rFonts w:cs="Arial"/>
          <w:szCs w:val="20"/>
        </w:rPr>
        <w:t xml:space="preserve"> and National Efficient Cost (NEC)</w:t>
      </w:r>
      <w:r w:rsidRPr="002265FE">
        <w:rPr>
          <w:rFonts w:cs="Arial"/>
          <w:szCs w:val="20"/>
        </w:rPr>
        <w:t xml:space="preserve">, </w:t>
      </w:r>
      <w:r>
        <w:rPr>
          <w:rFonts w:cs="Arial"/>
          <w:szCs w:val="20"/>
        </w:rPr>
        <w:t>to be</w:t>
      </w:r>
      <w:r w:rsidRPr="002265FE">
        <w:rPr>
          <w:rFonts w:cs="Arial"/>
          <w:szCs w:val="20"/>
        </w:rPr>
        <w:t xml:space="preserve"> used as </w:t>
      </w:r>
      <w:r>
        <w:rPr>
          <w:rFonts w:cs="Arial"/>
          <w:szCs w:val="20"/>
        </w:rPr>
        <w:t>a</w:t>
      </w:r>
      <w:r w:rsidRPr="002265FE">
        <w:rPr>
          <w:rFonts w:cs="Arial"/>
          <w:szCs w:val="20"/>
        </w:rPr>
        <w:t xml:space="preserve"> reference for the Commonwealth to determine its funding contribution</w:t>
      </w:r>
      <w:r>
        <w:rPr>
          <w:rFonts w:cs="Arial"/>
          <w:szCs w:val="20"/>
        </w:rPr>
        <w:t xml:space="preserve"> for Australian public hospital services. </w:t>
      </w:r>
    </w:p>
    <w:p w:rsidR="00460371" w:rsidRPr="002265FE" w:rsidRDefault="00460371" w:rsidP="00AD4FFC">
      <w:pPr>
        <w:tabs>
          <w:tab w:val="left" w:pos="1162"/>
        </w:tabs>
        <w:rPr>
          <w:rFonts w:cs="Arial"/>
          <w:szCs w:val="20"/>
        </w:rPr>
      </w:pPr>
      <w:r w:rsidRPr="00C6741D">
        <w:rPr>
          <w:rFonts w:cs="Arial"/>
          <w:szCs w:val="20"/>
        </w:rPr>
        <w:t xml:space="preserve">The Independent Hospital Pricing Authority (IHPA) </w:t>
      </w:r>
      <w:r>
        <w:rPr>
          <w:rFonts w:cs="Arial"/>
          <w:szCs w:val="20"/>
        </w:rPr>
        <w:t>is a key element of the NHRA, responsible for the national implementation of an ABF system and in determining the annual NEP and NEC determinations. IHPA was established as an</w:t>
      </w:r>
      <w:r w:rsidRPr="00C6741D">
        <w:rPr>
          <w:rFonts w:cs="Arial"/>
          <w:szCs w:val="20"/>
        </w:rPr>
        <w:t xml:space="preserve"> independent government agency under Commonwealth legislation on 15</w:t>
      </w:r>
      <w:r>
        <w:rPr>
          <w:rFonts w:cs="Arial"/>
          <w:szCs w:val="20"/>
        </w:rPr>
        <w:t> </w:t>
      </w:r>
      <w:r w:rsidRPr="00C6741D">
        <w:rPr>
          <w:rFonts w:cs="Arial"/>
          <w:szCs w:val="20"/>
        </w:rPr>
        <w:t>December 201</w:t>
      </w:r>
      <w:r w:rsidR="00913D0D">
        <w:rPr>
          <w:rFonts w:cs="Arial"/>
          <w:szCs w:val="20"/>
        </w:rPr>
        <w:t xml:space="preserve">1. It has </w:t>
      </w:r>
      <w:r w:rsidRPr="002265FE">
        <w:rPr>
          <w:rFonts w:cs="Arial"/>
          <w:szCs w:val="20"/>
        </w:rPr>
        <w:t xml:space="preserve">issued </w:t>
      </w:r>
      <w:r>
        <w:rPr>
          <w:rFonts w:cs="Arial"/>
          <w:szCs w:val="20"/>
        </w:rPr>
        <w:t>t</w:t>
      </w:r>
      <w:r w:rsidR="00B94FB5">
        <w:rPr>
          <w:rFonts w:cs="Arial"/>
          <w:szCs w:val="20"/>
        </w:rPr>
        <w:t>hree</w:t>
      </w:r>
      <w:r w:rsidRPr="002265FE">
        <w:rPr>
          <w:rFonts w:cs="Arial"/>
          <w:szCs w:val="20"/>
        </w:rPr>
        <w:t xml:space="preserve"> </w:t>
      </w:r>
      <w:r w:rsidRPr="000B33D2">
        <w:rPr>
          <w:rFonts w:cs="Arial"/>
          <w:szCs w:val="20"/>
        </w:rPr>
        <w:t>NEP</w:t>
      </w:r>
      <w:r w:rsidR="00913D0D" w:rsidRPr="000B33D2">
        <w:rPr>
          <w:rFonts w:cs="Arial"/>
          <w:szCs w:val="20"/>
        </w:rPr>
        <w:t> </w:t>
      </w:r>
      <w:r w:rsidRPr="000B33D2">
        <w:rPr>
          <w:rFonts w:cs="Arial"/>
          <w:szCs w:val="20"/>
        </w:rPr>
        <w:t>Determinations</w:t>
      </w:r>
      <w:r w:rsidRPr="002265FE">
        <w:rPr>
          <w:rFonts w:cs="Arial"/>
          <w:i/>
          <w:szCs w:val="20"/>
        </w:rPr>
        <w:t xml:space="preserve"> </w:t>
      </w:r>
      <w:r w:rsidRPr="00B25937">
        <w:rPr>
          <w:rFonts w:cs="Arial"/>
          <w:szCs w:val="20"/>
        </w:rPr>
        <w:t>for 2012</w:t>
      </w:r>
      <w:r>
        <w:rPr>
          <w:rFonts w:cs="Arial"/>
          <w:szCs w:val="20"/>
        </w:rPr>
        <w:noBreakHyphen/>
      </w:r>
      <w:r w:rsidRPr="00B25937">
        <w:rPr>
          <w:rFonts w:cs="Arial"/>
          <w:szCs w:val="20"/>
        </w:rPr>
        <w:t>2013</w:t>
      </w:r>
      <w:r w:rsidRPr="002265FE">
        <w:rPr>
          <w:rFonts w:cs="Arial"/>
          <w:i/>
          <w:szCs w:val="20"/>
        </w:rPr>
        <w:t xml:space="preserve"> </w:t>
      </w:r>
      <w:r w:rsidRPr="00474424">
        <w:rPr>
          <w:rFonts w:cs="Arial"/>
          <w:szCs w:val="20"/>
        </w:rPr>
        <w:t>(</w:t>
      </w:r>
      <w:r w:rsidRPr="002265FE">
        <w:rPr>
          <w:rFonts w:cs="Arial"/>
          <w:szCs w:val="20"/>
        </w:rPr>
        <w:t>NEP12</w:t>
      </w:r>
      <w:r w:rsidRPr="00474424">
        <w:rPr>
          <w:rFonts w:cs="Arial"/>
          <w:szCs w:val="20"/>
        </w:rPr>
        <w:t>)</w:t>
      </w:r>
      <w:r w:rsidR="00B94FB5">
        <w:rPr>
          <w:rFonts w:cs="Arial"/>
          <w:szCs w:val="20"/>
        </w:rPr>
        <w:t xml:space="preserve">, </w:t>
      </w:r>
      <w:r>
        <w:rPr>
          <w:rFonts w:cs="Arial"/>
          <w:szCs w:val="20"/>
        </w:rPr>
        <w:t>2013</w:t>
      </w:r>
      <w:r>
        <w:rPr>
          <w:rFonts w:cs="Arial"/>
          <w:szCs w:val="20"/>
        </w:rPr>
        <w:noBreakHyphen/>
        <w:t xml:space="preserve">14 (NEP13 and </w:t>
      </w:r>
      <w:r w:rsidR="00913D0D">
        <w:rPr>
          <w:rFonts w:cs="Arial"/>
          <w:szCs w:val="20"/>
        </w:rPr>
        <w:t>NEC13</w:t>
      </w:r>
      <w:r>
        <w:rPr>
          <w:rFonts w:cs="Arial"/>
          <w:szCs w:val="20"/>
        </w:rPr>
        <w:t>)</w:t>
      </w:r>
      <w:r w:rsidR="00B94FB5">
        <w:rPr>
          <w:rFonts w:cs="Arial"/>
          <w:szCs w:val="20"/>
        </w:rPr>
        <w:t>, and 20</w:t>
      </w:r>
      <w:r w:rsidR="00913D0D">
        <w:rPr>
          <w:rFonts w:cs="Arial"/>
          <w:szCs w:val="20"/>
        </w:rPr>
        <w:t xml:space="preserve">14-15 </w:t>
      </w:r>
      <w:r w:rsidR="00B94FB5">
        <w:rPr>
          <w:rFonts w:cs="Arial"/>
          <w:szCs w:val="20"/>
        </w:rPr>
        <w:t>(</w:t>
      </w:r>
      <w:r w:rsidR="00913D0D">
        <w:rPr>
          <w:rFonts w:cs="Arial"/>
          <w:szCs w:val="20"/>
        </w:rPr>
        <w:t>NEP14</w:t>
      </w:r>
      <w:r w:rsidR="00B94FB5">
        <w:rPr>
          <w:rFonts w:cs="Arial"/>
          <w:szCs w:val="20"/>
        </w:rPr>
        <w:t xml:space="preserve"> and NEC1</w:t>
      </w:r>
      <w:r w:rsidR="00913D0D">
        <w:rPr>
          <w:rFonts w:cs="Arial"/>
          <w:szCs w:val="20"/>
        </w:rPr>
        <w:t>4</w:t>
      </w:r>
      <w:r w:rsidR="00B94FB5">
        <w:rPr>
          <w:rFonts w:cs="Arial"/>
          <w:szCs w:val="20"/>
        </w:rPr>
        <w:t>)</w:t>
      </w:r>
      <w:r w:rsidRPr="002265FE">
        <w:rPr>
          <w:rFonts w:cs="Arial"/>
          <w:szCs w:val="20"/>
        </w:rPr>
        <w:t>.</w:t>
      </w:r>
    </w:p>
    <w:p w:rsidR="00460371" w:rsidRPr="002265FE" w:rsidRDefault="00460371" w:rsidP="00AD4FFC">
      <w:pPr>
        <w:tabs>
          <w:tab w:val="left" w:pos="1162"/>
        </w:tabs>
        <w:rPr>
          <w:rFonts w:cs="Arial"/>
          <w:szCs w:val="20"/>
        </w:rPr>
      </w:pPr>
      <w:r w:rsidRPr="002265FE">
        <w:rPr>
          <w:rFonts w:cs="Arial"/>
          <w:szCs w:val="20"/>
        </w:rPr>
        <w:t xml:space="preserve">IHPA has now published its </w:t>
      </w:r>
      <w:r w:rsidR="00B94FB5">
        <w:rPr>
          <w:rFonts w:cs="Arial"/>
          <w:szCs w:val="20"/>
        </w:rPr>
        <w:t>fourth</w:t>
      </w:r>
      <w:r w:rsidR="00B94FB5" w:rsidRPr="002265FE">
        <w:rPr>
          <w:rFonts w:cs="Arial"/>
          <w:szCs w:val="20"/>
        </w:rPr>
        <w:t xml:space="preserve"> </w:t>
      </w:r>
      <w:r w:rsidRPr="002265FE">
        <w:rPr>
          <w:rFonts w:cs="Arial"/>
          <w:szCs w:val="20"/>
        </w:rPr>
        <w:t xml:space="preserve">NEP </w:t>
      </w:r>
      <w:r>
        <w:rPr>
          <w:rFonts w:cs="Arial"/>
          <w:szCs w:val="20"/>
        </w:rPr>
        <w:t>and NEC,</w:t>
      </w:r>
      <w:r w:rsidRPr="002265FE">
        <w:rPr>
          <w:rFonts w:cs="Arial"/>
          <w:szCs w:val="20"/>
        </w:rPr>
        <w:t xml:space="preserve"> which sets out the determinations for 201</w:t>
      </w:r>
      <w:r w:rsidR="00B94FB5">
        <w:rPr>
          <w:rFonts w:cs="Arial"/>
          <w:szCs w:val="20"/>
        </w:rPr>
        <w:t>5</w:t>
      </w:r>
      <w:r w:rsidR="00D44FB4">
        <w:rPr>
          <w:rFonts w:cs="Arial"/>
          <w:szCs w:val="20"/>
        </w:rPr>
        <w:noBreakHyphen/>
      </w:r>
      <w:r w:rsidRPr="002265FE">
        <w:rPr>
          <w:rFonts w:cs="Arial"/>
          <w:szCs w:val="20"/>
        </w:rPr>
        <w:t>1</w:t>
      </w:r>
      <w:r w:rsidR="00B94FB5">
        <w:rPr>
          <w:rFonts w:cs="Arial"/>
          <w:szCs w:val="20"/>
        </w:rPr>
        <w:t>6</w:t>
      </w:r>
      <w:r w:rsidRPr="002265FE">
        <w:rPr>
          <w:rFonts w:cs="Arial"/>
          <w:szCs w:val="20"/>
        </w:rPr>
        <w:t xml:space="preserve"> in relation to each of its legislative functions, namely:</w:t>
      </w:r>
    </w:p>
    <w:p w:rsidR="00460371" w:rsidRPr="002265FE" w:rsidRDefault="00460371" w:rsidP="00AD4FFC">
      <w:pPr>
        <w:pStyle w:val="ListParagraph"/>
        <w:numPr>
          <w:ilvl w:val="0"/>
          <w:numId w:val="15"/>
        </w:numPr>
        <w:tabs>
          <w:tab w:val="left" w:pos="1162"/>
        </w:tabs>
        <w:spacing w:before="120"/>
        <w:ind w:left="426" w:hanging="426"/>
        <w:rPr>
          <w:rFonts w:cs="Arial"/>
          <w:szCs w:val="20"/>
        </w:rPr>
      </w:pPr>
      <w:r>
        <w:rPr>
          <w:rFonts w:cs="Arial"/>
          <w:szCs w:val="20"/>
        </w:rPr>
        <w:t>T</w:t>
      </w:r>
      <w:r w:rsidRPr="002265FE">
        <w:rPr>
          <w:rFonts w:cs="Arial"/>
          <w:szCs w:val="20"/>
        </w:rPr>
        <w:t xml:space="preserve">he </w:t>
      </w:r>
      <w:r w:rsidR="00B94FB5">
        <w:rPr>
          <w:rFonts w:cs="Arial"/>
          <w:szCs w:val="20"/>
        </w:rPr>
        <w:t>2015-16</w:t>
      </w:r>
      <w:r w:rsidRPr="002265FE">
        <w:rPr>
          <w:rFonts w:cs="Arial"/>
          <w:szCs w:val="20"/>
        </w:rPr>
        <w:t xml:space="preserve"> </w:t>
      </w:r>
      <w:r>
        <w:rPr>
          <w:rFonts w:cs="Arial"/>
          <w:szCs w:val="20"/>
        </w:rPr>
        <w:t>NEP</w:t>
      </w:r>
      <w:r w:rsidRPr="002265FE">
        <w:rPr>
          <w:rFonts w:cs="Arial"/>
          <w:szCs w:val="20"/>
        </w:rPr>
        <w:t xml:space="preserve"> (</w:t>
      </w:r>
      <w:r w:rsidR="00B94FB5">
        <w:rPr>
          <w:rFonts w:cs="Arial"/>
          <w:szCs w:val="20"/>
        </w:rPr>
        <w:t>NEP15</w:t>
      </w:r>
      <w:r w:rsidRPr="002265FE">
        <w:rPr>
          <w:rFonts w:cs="Arial"/>
          <w:szCs w:val="20"/>
        </w:rPr>
        <w:t>) for health care services provided by public hospitals where the services are funded on an activity basis</w:t>
      </w:r>
      <w:r>
        <w:rPr>
          <w:rFonts w:cs="Arial"/>
          <w:szCs w:val="20"/>
        </w:rPr>
        <w:t>;</w:t>
      </w:r>
    </w:p>
    <w:p w:rsidR="00460371" w:rsidRPr="002265FE" w:rsidRDefault="00460371" w:rsidP="00AD4FFC">
      <w:pPr>
        <w:pStyle w:val="ListParagraph"/>
        <w:numPr>
          <w:ilvl w:val="0"/>
          <w:numId w:val="15"/>
        </w:numPr>
        <w:tabs>
          <w:tab w:val="left" w:pos="1162"/>
        </w:tabs>
        <w:spacing w:before="120"/>
        <w:ind w:left="426" w:hanging="426"/>
        <w:rPr>
          <w:rFonts w:cs="Arial"/>
          <w:szCs w:val="20"/>
        </w:rPr>
      </w:pPr>
      <w:r>
        <w:rPr>
          <w:rFonts w:cs="Arial"/>
          <w:szCs w:val="20"/>
        </w:rPr>
        <w:t>T</w:t>
      </w:r>
      <w:r w:rsidRPr="002265FE">
        <w:rPr>
          <w:rFonts w:cs="Arial"/>
          <w:szCs w:val="20"/>
        </w:rPr>
        <w:t xml:space="preserve">he </w:t>
      </w:r>
      <w:r w:rsidR="00B94FB5">
        <w:rPr>
          <w:rFonts w:cs="Arial"/>
          <w:szCs w:val="20"/>
        </w:rPr>
        <w:t>2015-16</w:t>
      </w:r>
      <w:r w:rsidRPr="002265FE">
        <w:rPr>
          <w:rFonts w:cs="Arial"/>
          <w:szCs w:val="20"/>
        </w:rPr>
        <w:t xml:space="preserve"> </w:t>
      </w:r>
      <w:r>
        <w:rPr>
          <w:rFonts w:cs="Arial"/>
          <w:szCs w:val="20"/>
        </w:rPr>
        <w:t>NEC</w:t>
      </w:r>
      <w:r w:rsidRPr="002265FE">
        <w:rPr>
          <w:rFonts w:cs="Arial"/>
          <w:szCs w:val="20"/>
        </w:rPr>
        <w:t xml:space="preserve"> (</w:t>
      </w:r>
      <w:r w:rsidR="00B94FB5">
        <w:rPr>
          <w:rFonts w:cs="Arial"/>
          <w:szCs w:val="20"/>
        </w:rPr>
        <w:t>NEC15</w:t>
      </w:r>
      <w:r w:rsidRPr="002265FE">
        <w:rPr>
          <w:rFonts w:cs="Arial"/>
          <w:szCs w:val="20"/>
        </w:rPr>
        <w:t xml:space="preserve">) for health care services provided by public hospitals where the services are funded on a </w:t>
      </w:r>
      <w:r>
        <w:rPr>
          <w:rFonts w:cs="Arial"/>
          <w:szCs w:val="20"/>
        </w:rPr>
        <w:t>block fund</w:t>
      </w:r>
      <w:r w:rsidRPr="002265FE">
        <w:rPr>
          <w:rFonts w:cs="Arial"/>
          <w:szCs w:val="20"/>
        </w:rPr>
        <w:t>ed basis</w:t>
      </w:r>
      <w:r>
        <w:rPr>
          <w:rFonts w:cs="Arial"/>
          <w:szCs w:val="20"/>
        </w:rPr>
        <w:t>;</w:t>
      </w:r>
    </w:p>
    <w:p w:rsidR="00460371" w:rsidRPr="002265FE" w:rsidRDefault="00460371" w:rsidP="00AD4FFC">
      <w:pPr>
        <w:pStyle w:val="ListParagraph"/>
        <w:numPr>
          <w:ilvl w:val="0"/>
          <w:numId w:val="15"/>
        </w:numPr>
        <w:tabs>
          <w:tab w:val="left" w:pos="1162"/>
        </w:tabs>
        <w:spacing w:before="120"/>
        <w:ind w:left="426" w:hanging="426"/>
        <w:rPr>
          <w:rFonts w:cs="Arial"/>
          <w:szCs w:val="20"/>
        </w:rPr>
      </w:pPr>
      <w:r>
        <w:rPr>
          <w:rFonts w:cs="Arial"/>
          <w:szCs w:val="20"/>
        </w:rPr>
        <w:t>D</w:t>
      </w:r>
      <w:r w:rsidRPr="002265FE">
        <w:rPr>
          <w:rFonts w:cs="Arial"/>
          <w:szCs w:val="20"/>
        </w:rPr>
        <w:t>evelopment and specification of classification systems for health care and other services provided by public hospitals</w:t>
      </w:r>
      <w:r>
        <w:rPr>
          <w:rFonts w:cs="Arial"/>
          <w:szCs w:val="20"/>
        </w:rPr>
        <w:t>;</w:t>
      </w:r>
    </w:p>
    <w:p w:rsidR="00460371" w:rsidRPr="002265FE" w:rsidRDefault="00460371" w:rsidP="00AD4FFC">
      <w:pPr>
        <w:pStyle w:val="ListParagraph"/>
        <w:numPr>
          <w:ilvl w:val="0"/>
          <w:numId w:val="15"/>
        </w:numPr>
        <w:tabs>
          <w:tab w:val="left" w:pos="1162"/>
        </w:tabs>
        <w:spacing w:before="120"/>
        <w:ind w:left="426" w:hanging="426"/>
        <w:rPr>
          <w:rFonts w:cs="Arial"/>
          <w:szCs w:val="20"/>
        </w:rPr>
      </w:pPr>
      <w:r>
        <w:rPr>
          <w:rFonts w:cs="Arial"/>
          <w:szCs w:val="20"/>
        </w:rPr>
        <w:t>A</w:t>
      </w:r>
      <w:r w:rsidRPr="002265FE">
        <w:rPr>
          <w:rFonts w:cs="Arial"/>
          <w:szCs w:val="20"/>
        </w:rPr>
        <w:t>djustments to the NEP to reflect legitimate and unavoidable variations in the costs of delivering health care services</w:t>
      </w:r>
      <w:r>
        <w:rPr>
          <w:rFonts w:cs="Arial"/>
          <w:szCs w:val="20"/>
        </w:rPr>
        <w:t>;</w:t>
      </w:r>
    </w:p>
    <w:p w:rsidR="00460371" w:rsidRPr="002265FE" w:rsidRDefault="00460371" w:rsidP="00AD4FFC">
      <w:pPr>
        <w:pStyle w:val="ListParagraph"/>
        <w:numPr>
          <w:ilvl w:val="0"/>
          <w:numId w:val="15"/>
        </w:numPr>
        <w:tabs>
          <w:tab w:val="left" w:pos="1162"/>
        </w:tabs>
        <w:spacing w:before="120"/>
        <w:ind w:left="426" w:hanging="426"/>
        <w:rPr>
          <w:rFonts w:cs="Arial"/>
          <w:szCs w:val="20"/>
        </w:rPr>
      </w:pPr>
      <w:r>
        <w:rPr>
          <w:rFonts w:cs="Arial"/>
          <w:szCs w:val="20"/>
        </w:rPr>
        <w:t>E</w:t>
      </w:r>
      <w:r w:rsidRPr="002265FE">
        <w:rPr>
          <w:rFonts w:cs="Arial"/>
          <w:szCs w:val="20"/>
        </w:rPr>
        <w:t xml:space="preserve">xcept where otherwise agreed between the Commonwealth and a state or a territory – the public hospital functions that are to be </w:t>
      </w:r>
      <w:r w:rsidR="0036552B">
        <w:rPr>
          <w:rFonts w:cs="Arial"/>
          <w:szCs w:val="20"/>
        </w:rPr>
        <w:t xml:space="preserve">part </w:t>
      </w:r>
      <w:r w:rsidRPr="002265FE">
        <w:rPr>
          <w:rFonts w:cs="Arial"/>
          <w:szCs w:val="20"/>
        </w:rPr>
        <w:t>funded in that state or territory by the Commonwealth</w:t>
      </w:r>
      <w:r>
        <w:rPr>
          <w:rFonts w:cs="Arial"/>
          <w:szCs w:val="20"/>
        </w:rPr>
        <w:t>; and</w:t>
      </w:r>
    </w:p>
    <w:p w:rsidR="00460371" w:rsidRPr="002265FE" w:rsidRDefault="00460371" w:rsidP="00AD4FFC">
      <w:pPr>
        <w:pStyle w:val="ListParagraph"/>
        <w:numPr>
          <w:ilvl w:val="0"/>
          <w:numId w:val="15"/>
        </w:numPr>
        <w:tabs>
          <w:tab w:val="left" w:pos="1162"/>
        </w:tabs>
        <w:spacing w:before="120"/>
        <w:ind w:left="426" w:hanging="426"/>
        <w:rPr>
          <w:rFonts w:cs="Arial"/>
          <w:szCs w:val="20"/>
        </w:rPr>
      </w:pPr>
      <w:r>
        <w:rPr>
          <w:rFonts w:cs="Arial"/>
          <w:szCs w:val="20"/>
        </w:rPr>
        <w:t>P</w:t>
      </w:r>
      <w:r w:rsidRPr="002265FE">
        <w:rPr>
          <w:rFonts w:cs="Arial"/>
          <w:szCs w:val="20"/>
        </w:rPr>
        <w:t>ublication of a report setting out the NEP and NEC for the coming year and any other information that would support the efficient funding of public hospitals.</w:t>
      </w:r>
    </w:p>
    <w:p w:rsidR="00460371" w:rsidRDefault="00460371" w:rsidP="00AD4FFC">
      <w:pPr>
        <w:tabs>
          <w:tab w:val="left" w:pos="1162"/>
        </w:tabs>
        <w:rPr>
          <w:rFonts w:cs="Arial"/>
          <w:szCs w:val="20"/>
        </w:rPr>
      </w:pPr>
      <w:r w:rsidRPr="002265FE">
        <w:rPr>
          <w:rFonts w:cs="Arial"/>
          <w:szCs w:val="20"/>
        </w:rPr>
        <w:t xml:space="preserve">This document has been produced as an accompaniment to the </w:t>
      </w:r>
      <w:r w:rsidR="00B94FB5" w:rsidRPr="000B33D2">
        <w:rPr>
          <w:rFonts w:cs="Arial"/>
          <w:szCs w:val="20"/>
        </w:rPr>
        <w:t>NEP15</w:t>
      </w:r>
      <w:r w:rsidRPr="000B33D2">
        <w:rPr>
          <w:rFonts w:cs="Arial"/>
          <w:szCs w:val="20"/>
        </w:rPr>
        <w:t xml:space="preserve"> and </w:t>
      </w:r>
      <w:r w:rsidR="00B94FB5" w:rsidRPr="000B33D2">
        <w:rPr>
          <w:rFonts w:cs="Arial"/>
          <w:szCs w:val="20"/>
        </w:rPr>
        <w:t>NEC15</w:t>
      </w:r>
      <w:r w:rsidRPr="000B33D2">
        <w:rPr>
          <w:rFonts w:cs="Arial"/>
          <w:szCs w:val="20"/>
        </w:rPr>
        <w:t xml:space="preserve"> Determinations</w:t>
      </w:r>
      <w:r>
        <w:rPr>
          <w:rFonts w:cs="Arial"/>
          <w:szCs w:val="20"/>
        </w:rPr>
        <w:t xml:space="preserve">. </w:t>
      </w:r>
      <w:r w:rsidRPr="002265FE">
        <w:rPr>
          <w:rFonts w:cs="Arial"/>
          <w:szCs w:val="20"/>
        </w:rPr>
        <w:t>It provides the technical specifications for how IHPA developed the ABF models for the service streams to be funded on this basis from 1 July 201</w:t>
      </w:r>
      <w:r w:rsidR="00913D0D">
        <w:rPr>
          <w:rFonts w:cs="Arial"/>
          <w:szCs w:val="20"/>
        </w:rPr>
        <w:t>5</w:t>
      </w:r>
      <w:r>
        <w:rPr>
          <w:rFonts w:cs="Arial"/>
          <w:szCs w:val="20"/>
        </w:rPr>
        <w:t xml:space="preserve">, </w:t>
      </w:r>
      <w:r w:rsidRPr="002265FE">
        <w:rPr>
          <w:rFonts w:cs="Arial"/>
          <w:szCs w:val="20"/>
        </w:rPr>
        <w:t xml:space="preserve">and provides guidance to hospitals, Local Health Networks </w:t>
      </w:r>
      <w:r>
        <w:rPr>
          <w:rFonts w:cs="Arial"/>
          <w:szCs w:val="20"/>
        </w:rPr>
        <w:t xml:space="preserve">(LHN) </w:t>
      </w:r>
      <w:r w:rsidRPr="002265FE">
        <w:rPr>
          <w:rFonts w:cs="Arial"/>
          <w:szCs w:val="20"/>
        </w:rPr>
        <w:t xml:space="preserve">and state and territory health authorities on how to apply these to hospital activity. It also shows how the </w:t>
      </w:r>
      <w:r>
        <w:rPr>
          <w:rFonts w:cs="Arial"/>
          <w:szCs w:val="20"/>
        </w:rPr>
        <w:t>NEC is determined for hospitals (such as small rural hospitals) funded on a block funded basis</w:t>
      </w:r>
      <w:r w:rsidRPr="002265FE">
        <w:rPr>
          <w:rFonts w:cs="Arial"/>
          <w:szCs w:val="20"/>
        </w:rPr>
        <w:t>.</w:t>
      </w:r>
    </w:p>
    <w:p w:rsidR="00DD7D45" w:rsidRDefault="00460371" w:rsidP="00AD4FFC">
      <w:pPr>
        <w:tabs>
          <w:tab w:val="left" w:pos="1162"/>
        </w:tabs>
        <w:rPr>
          <w:rFonts w:cs="Arial"/>
          <w:szCs w:val="20"/>
        </w:rPr>
      </w:pPr>
      <w:r w:rsidRPr="002265FE">
        <w:rPr>
          <w:rFonts w:cs="Arial"/>
          <w:szCs w:val="20"/>
        </w:rPr>
        <w:t xml:space="preserve">Systems for classifying outputs have been applied separately to different ABF service streams. In addition, under the current national application of ABF, a common unit has been developed across all ABF service streams known as a </w:t>
      </w:r>
      <w:r>
        <w:rPr>
          <w:rFonts w:cs="Arial"/>
          <w:szCs w:val="20"/>
        </w:rPr>
        <w:t>N</w:t>
      </w:r>
      <w:r w:rsidRPr="002265FE">
        <w:rPr>
          <w:rFonts w:cs="Arial"/>
          <w:szCs w:val="20"/>
        </w:rPr>
        <w:t xml:space="preserve">ational </w:t>
      </w:r>
      <w:r>
        <w:rPr>
          <w:rFonts w:cs="Arial"/>
          <w:szCs w:val="20"/>
        </w:rPr>
        <w:t>W</w:t>
      </w:r>
      <w:r w:rsidRPr="002265FE">
        <w:rPr>
          <w:rFonts w:cs="Arial"/>
          <w:szCs w:val="20"/>
        </w:rPr>
        <w:t xml:space="preserve">eighted </w:t>
      </w:r>
      <w:r>
        <w:rPr>
          <w:rFonts w:cs="Arial"/>
          <w:szCs w:val="20"/>
        </w:rPr>
        <w:t>A</w:t>
      </w:r>
      <w:r w:rsidRPr="002265FE">
        <w:rPr>
          <w:rFonts w:cs="Arial"/>
          <w:szCs w:val="20"/>
        </w:rPr>
        <w:t xml:space="preserve">ctivity </w:t>
      </w:r>
      <w:r>
        <w:rPr>
          <w:rFonts w:cs="Arial"/>
          <w:szCs w:val="20"/>
        </w:rPr>
        <w:t>U</w:t>
      </w:r>
      <w:r w:rsidRPr="002265FE">
        <w:rPr>
          <w:rFonts w:cs="Arial"/>
          <w:szCs w:val="20"/>
        </w:rPr>
        <w:t xml:space="preserve">nit </w:t>
      </w:r>
      <w:r>
        <w:rPr>
          <w:rFonts w:cs="Arial"/>
          <w:szCs w:val="20"/>
        </w:rPr>
        <w:t>(</w:t>
      </w:r>
      <w:r w:rsidRPr="002265FE">
        <w:rPr>
          <w:rFonts w:cs="Arial"/>
          <w:szCs w:val="20"/>
        </w:rPr>
        <w:t>NWAU</w:t>
      </w:r>
      <w:r>
        <w:rPr>
          <w:rFonts w:cs="Arial"/>
          <w:szCs w:val="20"/>
        </w:rPr>
        <w:t xml:space="preserve">). </w:t>
      </w:r>
    </w:p>
    <w:p w:rsidR="00460371" w:rsidRPr="002265FE" w:rsidRDefault="00460371" w:rsidP="00AD4FFC">
      <w:pPr>
        <w:tabs>
          <w:tab w:val="left" w:pos="1162"/>
        </w:tabs>
        <w:rPr>
          <w:rFonts w:cs="Arial"/>
          <w:szCs w:val="20"/>
        </w:rPr>
      </w:pPr>
      <w:r>
        <w:rPr>
          <w:rFonts w:cs="Arial"/>
          <w:szCs w:val="20"/>
        </w:rPr>
        <w:t>To develop NWAU</w:t>
      </w:r>
      <w:r w:rsidRPr="002265FE">
        <w:rPr>
          <w:rFonts w:cs="Arial"/>
          <w:szCs w:val="20"/>
        </w:rPr>
        <w:t xml:space="preserve"> and to determine the </w:t>
      </w:r>
      <w:r w:rsidR="00B94FB5">
        <w:rPr>
          <w:rFonts w:cs="Arial"/>
          <w:szCs w:val="20"/>
        </w:rPr>
        <w:t>NEP15</w:t>
      </w:r>
      <w:r w:rsidRPr="002265FE">
        <w:rPr>
          <w:rFonts w:cs="Arial"/>
          <w:szCs w:val="20"/>
        </w:rPr>
        <w:t xml:space="preserve">, IHPA </w:t>
      </w:r>
      <w:r>
        <w:rPr>
          <w:rFonts w:cs="Arial"/>
          <w:szCs w:val="20"/>
        </w:rPr>
        <w:t xml:space="preserve">has </w:t>
      </w:r>
      <w:r w:rsidRPr="002265FE">
        <w:rPr>
          <w:rFonts w:cs="Arial"/>
          <w:szCs w:val="20"/>
        </w:rPr>
        <w:t>collated activity and cost data for each of the ABF service streams to be funded on an activity basis in</w:t>
      </w:r>
      <w:r>
        <w:rPr>
          <w:rFonts w:cs="Arial"/>
          <w:szCs w:val="20"/>
        </w:rPr>
        <w:t xml:space="preserve"> </w:t>
      </w:r>
      <w:r w:rsidR="00B94FB5">
        <w:rPr>
          <w:rFonts w:cs="Arial"/>
          <w:szCs w:val="20"/>
        </w:rPr>
        <w:t>2015-16</w:t>
      </w:r>
      <w:r w:rsidRPr="002265FE">
        <w:rPr>
          <w:rFonts w:cs="Arial"/>
          <w:szCs w:val="20"/>
        </w:rPr>
        <w:t>, as follows:</w:t>
      </w:r>
    </w:p>
    <w:p w:rsidR="00460371" w:rsidRDefault="00460371" w:rsidP="00AD4FFC">
      <w:pPr>
        <w:pStyle w:val="ListParagraph"/>
        <w:numPr>
          <w:ilvl w:val="0"/>
          <w:numId w:val="21"/>
        </w:numPr>
        <w:tabs>
          <w:tab w:val="left" w:pos="1162"/>
        </w:tabs>
        <w:spacing w:before="120"/>
        <w:rPr>
          <w:rFonts w:cs="Arial"/>
          <w:szCs w:val="20"/>
        </w:rPr>
      </w:pPr>
      <w:r w:rsidRPr="002265FE" w:rsidDel="00A31A5F">
        <w:rPr>
          <w:rFonts w:cs="Arial"/>
          <w:szCs w:val="20"/>
        </w:rPr>
        <w:t>acute admitted;</w:t>
      </w:r>
    </w:p>
    <w:p w:rsidR="006200DE" w:rsidRPr="002265FE" w:rsidDel="00A31A5F" w:rsidRDefault="003F67F1" w:rsidP="00AD4FFC">
      <w:pPr>
        <w:pStyle w:val="ListParagraph"/>
        <w:numPr>
          <w:ilvl w:val="0"/>
          <w:numId w:val="21"/>
        </w:numPr>
        <w:tabs>
          <w:tab w:val="left" w:pos="1162"/>
        </w:tabs>
        <w:spacing w:before="120"/>
        <w:rPr>
          <w:rFonts w:cs="Arial"/>
          <w:szCs w:val="20"/>
        </w:rPr>
      </w:pPr>
      <w:r>
        <w:rPr>
          <w:rFonts w:cs="Arial"/>
          <w:szCs w:val="20"/>
        </w:rPr>
        <w:t xml:space="preserve">admitted </w:t>
      </w:r>
      <w:r w:rsidR="006200DE" w:rsidRPr="002265FE" w:rsidDel="00A31A5F">
        <w:rPr>
          <w:rFonts w:cs="Arial"/>
          <w:szCs w:val="20"/>
        </w:rPr>
        <w:t>mental health</w:t>
      </w:r>
      <w:r>
        <w:rPr>
          <w:rFonts w:cs="Arial"/>
          <w:szCs w:val="20"/>
        </w:rPr>
        <w:t xml:space="preserve"> care</w:t>
      </w:r>
      <w:r w:rsidR="006200DE">
        <w:rPr>
          <w:rFonts w:cs="Arial"/>
          <w:szCs w:val="20"/>
        </w:rPr>
        <w:t>;</w:t>
      </w:r>
    </w:p>
    <w:p w:rsidR="006200DE" w:rsidRDefault="006200DE" w:rsidP="00AD4FFC">
      <w:pPr>
        <w:pStyle w:val="ListParagraph"/>
        <w:numPr>
          <w:ilvl w:val="0"/>
          <w:numId w:val="21"/>
        </w:numPr>
        <w:tabs>
          <w:tab w:val="left" w:pos="1162"/>
        </w:tabs>
        <w:spacing w:before="120"/>
        <w:rPr>
          <w:rFonts w:cs="Arial"/>
          <w:szCs w:val="20"/>
        </w:rPr>
      </w:pPr>
      <w:r w:rsidRPr="002265FE" w:rsidDel="00A31A5F">
        <w:rPr>
          <w:rFonts w:cs="Arial"/>
          <w:szCs w:val="20"/>
        </w:rPr>
        <w:t xml:space="preserve">subacute </w:t>
      </w:r>
      <w:r w:rsidDel="00A31A5F">
        <w:rPr>
          <w:rFonts w:cs="Arial"/>
          <w:szCs w:val="20"/>
        </w:rPr>
        <w:t>and non-acute admitted</w:t>
      </w:r>
      <w:r>
        <w:rPr>
          <w:rFonts w:cs="Arial"/>
          <w:szCs w:val="20"/>
        </w:rPr>
        <w:t>;</w:t>
      </w:r>
      <w:r w:rsidRPr="002265FE" w:rsidDel="00A31A5F">
        <w:rPr>
          <w:rFonts w:cs="Arial"/>
          <w:szCs w:val="20"/>
        </w:rPr>
        <w:t xml:space="preserve"> </w:t>
      </w:r>
    </w:p>
    <w:p w:rsidR="00460371" w:rsidRPr="002265FE" w:rsidDel="00A31A5F" w:rsidRDefault="00460371" w:rsidP="00AD4FFC">
      <w:pPr>
        <w:pStyle w:val="ListParagraph"/>
        <w:numPr>
          <w:ilvl w:val="0"/>
          <w:numId w:val="21"/>
        </w:numPr>
        <w:tabs>
          <w:tab w:val="left" w:pos="1162"/>
        </w:tabs>
        <w:spacing w:before="120"/>
        <w:rPr>
          <w:rFonts w:cs="Arial"/>
          <w:szCs w:val="20"/>
        </w:rPr>
      </w:pPr>
      <w:r w:rsidRPr="002265FE" w:rsidDel="00A31A5F">
        <w:rPr>
          <w:rFonts w:cs="Arial"/>
          <w:szCs w:val="20"/>
        </w:rPr>
        <w:t xml:space="preserve">emergency </w:t>
      </w:r>
      <w:r w:rsidR="00024ABA">
        <w:rPr>
          <w:rFonts w:cs="Arial"/>
          <w:szCs w:val="20"/>
        </w:rPr>
        <w:t>care</w:t>
      </w:r>
      <w:r w:rsidR="006200DE">
        <w:rPr>
          <w:rFonts w:cs="Arial"/>
          <w:szCs w:val="20"/>
        </w:rPr>
        <w:t>; and</w:t>
      </w:r>
    </w:p>
    <w:p w:rsidR="00077336" w:rsidRPr="006200DE" w:rsidDel="00A31A5F" w:rsidRDefault="00460371" w:rsidP="00A24E5A">
      <w:pPr>
        <w:pStyle w:val="ListParagraph"/>
        <w:numPr>
          <w:ilvl w:val="0"/>
          <w:numId w:val="21"/>
        </w:numPr>
        <w:tabs>
          <w:tab w:val="left" w:pos="1162"/>
        </w:tabs>
        <w:spacing w:before="120"/>
        <w:contextualSpacing/>
        <w:rPr>
          <w:rFonts w:cs="Arial"/>
          <w:szCs w:val="20"/>
        </w:rPr>
      </w:pPr>
      <w:proofErr w:type="gramStart"/>
      <w:r w:rsidRPr="00113031" w:rsidDel="00A31A5F">
        <w:rPr>
          <w:rFonts w:cs="Arial"/>
          <w:szCs w:val="20"/>
        </w:rPr>
        <w:lastRenderedPageBreak/>
        <w:t>non-admitted</w:t>
      </w:r>
      <w:proofErr w:type="gramEnd"/>
      <w:r w:rsidR="006200DE" w:rsidRPr="00113031">
        <w:rPr>
          <w:rFonts w:cs="Arial"/>
          <w:szCs w:val="20"/>
        </w:rPr>
        <w:t>.</w:t>
      </w:r>
    </w:p>
    <w:p w:rsidR="00077336" w:rsidRDefault="00077336" w:rsidP="00077336">
      <w:pPr>
        <w:tabs>
          <w:tab w:val="left" w:pos="1162"/>
        </w:tabs>
        <w:spacing w:after="0"/>
        <w:rPr>
          <w:rFonts w:cs="Arial"/>
          <w:szCs w:val="20"/>
        </w:rPr>
      </w:pPr>
      <w:r w:rsidRPr="00100C0F">
        <w:rPr>
          <w:rFonts w:cs="Arial"/>
          <w:szCs w:val="20"/>
        </w:rPr>
        <w:t xml:space="preserve">In consultation with jurisdictions, IHPA has identified </w:t>
      </w:r>
      <w:r w:rsidRPr="00077336">
        <w:rPr>
          <w:rFonts w:cs="Arial"/>
          <w:szCs w:val="20"/>
        </w:rPr>
        <w:t>2</w:t>
      </w:r>
      <w:r>
        <w:rPr>
          <w:rFonts w:cs="Arial"/>
          <w:szCs w:val="20"/>
        </w:rPr>
        <w:t>85</w:t>
      </w:r>
      <w:r w:rsidRPr="00100C0F">
        <w:rPr>
          <w:rFonts w:cs="Arial"/>
          <w:szCs w:val="20"/>
        </w:rPr>
        <w:t xml:space="preserve"> hospitals </w:t>
      </w:r>
      <w:r>
        <w:rPr>
          <w:rFonts w:cs="Arial"/>
          <w:szCs w:val="20"/>
        </w:rPr>
        <w:t>to make up the</w:t>
      </w:r>
      <w:r w:rsidRPr="00100C0F">
        <w:rPr>
          <w:rFonts w:cs="Arial"/>
          <w:szCs w:val="20"/>
        </w:rPr>
        <w:t xml:space="preserve"> ABF price model and </w:t>
      </w:r>
      <w:r w:rsidR="001D5489" w:rsidRPr="00077336">
        <w:rPr>
          <w:rFonts w:cs="Arial"/>
          <w:szCs w:val="20"/>
        </w:rPr>
        <w:t>4</w:t>
      </w:r>
      <w:r w:rsidR="001D5489">
        <w:rPr>
          <w:rFonts w:cs="Arial"/>
          <w:szCs w:val="20"/>
        </w:rPr>
        <w:t xml:space="preserve">13 </w:t>
      </w:r>
      <w:r w:rsidRPr="00100C0F">
        <w:rPr>
          <w:rFonts w:cs="Arial"/>
          <w:szCs w:val="20"/>
        </w:rPr>
        <w:t xml:space="preserve">hospitals designated </w:t>
      </w:r>
      <w:r>
        <w:rPr>
          <w:rFonts w:cs="Arial"/>
          <w:szCs w:val="20"/>
        </w:rPr>
        <w:t xml:space="preserve">for block funding, </w:t>
      </w:r>
      <w:r w:rsidRPr="00A94BC9">
        <w:rPr>
          <w:rFonts w:cs="Arial"/>
          <w:szCs w:val="20"/>
        </w:rPr>
        <w:t>16</w:t>
      </w:r>
      <w:r w:rsidRPr="001D52E1">
        <w:rPr>
          <w:rFonts w:cs="Arial"/>
          <w:szCs w:val="20"/>
        </w:rPr>
        <w:t xml:space="preserve"> of these hospitals being treated separately as specialist </w:t>
      </w:r>
      <w:r>
        <w:rPr>
          <w:rFonts w:cs="Arial"/>
          <w:szCs w:val="20"/>
        </w:rPr>
        <w:t>psychiatric</w:t>
      </w:r>
      <w:r w:rsidRPr="001D52E1">
        <w:rPr>
          <w:rFonts w:cs="Arial"/>
          <w:szCs w:val="20"/>
        </w:rPr>
        <w:t xml:space="preserve"> establishments</w:t>
      </w:r>
      <w:r>
        <w:rPr>
          <w:rFonts w:cs="Arial"/>
          <w:szCs w:val="20"/>
        </w:rPr>
        <w:t xml:space="preserve"> and 12 major city hospitals</w:t>
      </w:r>
      <w:r w:rsidRPr="00100C0F">
        <w:rPr>
          <w:rFonts w:cs="Arial"/>
          <w:szCs w:val="20"/>
        </w:rPr>
        <w:t>.</w:t>
      </w:r>
      <w:r>
        <w:rPr>
          <w:rStyle w:val="FootnoteReference"/>
          <w:rFonts w:cs="Arial"/>
          <w:szCs w:val="20"/>
        </w:rPr>
        <w:footnoteReference w:id="1"/>
      </w:r>
      <w:r w:rsidRPr="00100C0F">
        <w:rPr>
          <w:rFonts w:cs="Arial"/>
          <w:szCs w:val="20"/>
        </w:rPr>
        <w:t xml:space="preserve"> </w:t>
      </w:r>
      <w:r>
        <w:rPr>
          <w:rFonts w:cs="Arial"/>
          <w:szCs w:val="20"/>
        </w:rPr>
        <w:t xml:space="preserve">The </w:t>
      </w:r>
      <w:r w:rsidR="001D5489">
        <w:rPr>
          <w:rFonts w:cs="Arial"/>
          <w:szCs w:val="20"/>
        </w:rPr>
        <w:t xml:space="preserve">385 </w:t>
      </w:r>
      <w:r>
        <w:rPr>
          <w:rFonts w:cs="Arial"/>
          <w:szCs w:val="20"/>
        </w:rPr>
        <w:t>block fund</w:t>
      </w:r>
      <w:r w:rsidRPr="002265FE">
        <w:rPr>
          <w:rFonts w:cs="Arial"/>
          <w:szCs w:val="20"/>
        </w:rPr>
        <w:t>ed hospitals</w:t>
      </w:r>
      <w:r w:rsidR="007F5FD5">
        <w:rPr>
          <w:rFonts w:cs="Arial"/>
          <w:szCs w:val="20"/>
        </w:rPr>
        <w:t xml:space="preserve"> comprise the cost model which has been </w:t>
      </w:r>
      <w:r w:rsidR="0036552B">
        <w:rPr>
          <w:rFonts w:cs="Arial"/>
          <w:szCs w:val="20"/>
        </w:rPr>
        <w:t>significantly</w:t>
      </w:r>
      <w:r w:rsidR="007F5FD5">
        <w:rPr>
          <w:rFonts w:cs="Arial"/>
          <w:szCs w:val="20"/>
        </w:rPr>
        <w:t xml:space="preserve"> redeveloped from the cost model used for NEC14.</w:t>
      </w:r>
    </w:p>
    <w:p w:rsidR="00077336" w:rsidRDefault="00077336" w:rsidP="00AD4FFC">
      <w:pPr>
        <w:tabs>
          <w:tab w:val="left" w:pos="1162"/>
        </w:tabs>
        <w:spacing w:after="0"/>
        <w:rPr>
          <w:rFonts w:cs="Arial"/>
          <w:szCs w:val="20"/>
        </w:rPr>
      </w:pPr>
    </w:p>
    <w:p w:rsidR="00460371" w:rsidRPr="002049EC" w:rsidRDefault="00460371" w:rsidP="00AD4FFC">
      <w:pPr>
        <w:tabs>
          <w:tab w:val="left" w:pos="1162"/>
        </w:tabs>
        <w:spacing w:after="0"/>
      </w:pPr>
      <w:r>
        <w:rPr>
          <w:rFonts w:cs="Arial"/>
          <w:szCs w:val="20"/>
        </w:rPr>
        <w:t>The</w:t>
      </w:r>
      <w:r w:rsidRPr="002265FE">
        <w:rPr>
          <w:rFonts w:cs="Arial"/>
          <w:szCs w:val="20"/>
        </w:rPr>
        <w:t xml:space="preserve"> </w:t>
      </w:r>
      <w:r>
        <w:rPr>
          <w:rFonts w:cs="Arial"/>
          <w:szCs w:val="20"/>
        </w:rPr>
        <w:t xml:space="preserve">activity and cost </w:t>
      </w:r>
      <w:r w:rsidRPr="002265FE">
        <w:rPr>
          <w:rFonts w:cs="Arial"/>
          <w:szCs w:val="20"/>
        </w:rPr>
        <w:t xml:space="preserve">data </w:t>
      </w:r>
      <w:r>
        <w:rPr>
          <w:rFonts w:cs="Arial"/>
          <w:szCs w:val="20"/>
        </w:rPr>
        <w:t>is</w:t>
      </w:r>
      <w:r w:rsidRPr="002265FE">
        <w:rPr>
          <w:rFonts w:cs="Arial"/>
          <w:szCs w:val="20"/>
        </w:rPr>
        <w:t xml:space="preserve"> sourced </w:t>
      </w:r>
      <w:r>
        <w:rPr>
          <w:rFonts w:cs="Arial"/>
          <w:szCs w:val="20"/>
        </w:rPr>
        <w:t xml:space="preserve">by IHPA </w:t>
      </w:r>
      <w:r w:rsidRPr="002265FE">
        <w:rPr>
          <w:rFonts w:cs="Arial"/>
          <w:szCs w:val="20"/>
        </w:rPr>
        <w:t xml:space="preserve">from various national data collections </w:t>
      </w:r>
      <w:r>
        <w:rPr>
          <w:rFonts w:cs="Arial"/>
          <w:szCs w:val="20"/>
        </w:rPr>
        <w:t xml:space="preserve">and is </w:t>
      </w:r>
      <w:r w:rsidRPr="002265FE">
        <w:rPr>
          <w:rFonts w:cs="Arial"/>
          <w:szCs w:val="20"/>
        </w:rPr>
        <w:t xml:space="preserve">supplemented by </w:t>
      </w:r>
      <w:r>
        <w:rPr>
          <w:rFonts w:cs="Arial"/>
          <w:szCs w:val="20"/>
        </w:rPr>
        <w:t>additional</w:t>
      </w:r>
      <w:r w:rsidRPr="002265FE">
        <w:rPr>
          <w:rFonts w:cs="Arial"/>
          <w:szCs w:val="20"/>
        </w:rPr>
        <w:t xml:space="preserve"> data p</w:t>
      </w:r>
      <w:r>
        <w:rPr>
          <w:rFonts w:cs="Arial"/>
          <w:szCs w:val="20"/>
        </w:rPr>
        <w:t xml:space="preserve">rovided by the states and territories. </w:t>
      </w:r>
      <w:r w:rsidR="00196408">
        <w:rPr>
          <w:rFonts w:cs="Arial"/>
          <w:szCs w:val="20"/>
        </w:rPr>
        <w:t>Table 1</w:t>
      </w:r>
      <w:r>
        <w:rPr>
          <w:rFonts w:cs="Arial"/>
          <w:szCs w:val="20"/>
        </w:rPr>
        <w:t xml:space="preserve"> </w:t>
      </w:r>
      <w:r w:rsidRPr="002265FE">
        <w:rPr>
          <w:rFonts w:cs="Arial"/>
          <w:szCs w:val="20"/>
        </w:rPr>
        <w:t xml:space="preserve">below references relevant sections in </w:t>
      </w:r>
      <w:r w:rsidRPr="000B33D2">
        <w:rPr>
          <w:rFonts w:cs="Arial"/>
          <w:szCs w:val="20"/>
        </w:rPr>
        <w:t xml:space="preserve">the </w:t>
      </w:r>
      <w:r w:rsidR="00B94FB5" w:rsidRPr="000B33D2">
        <w:rPr>
          <w:rFonts w:cs="Arial"/>
          <w:szCs w:val="20"/>
        </w:rPr>
        <w:t>NEP15</w:t>
      </w:r>
      <w:r w:rsidRPr="000B33D2">
        <w:rPr>
          <w:rFonts w:cs="Arial"/>
          <w:szCs w:val="20"/>
        </w:rPr>
        <w:t xml:space="preserve"> and </w:t>
      </w:r>
      <w:r w:rsidR="00B94FB5" w:rsidRPr="000B33D2">
        <w:rPr>
          <w:rFonts w:cs="Arial"/>
          <w:szCs w:val="20"/>
        </w:rPr>
        <w:t>NEC15</w:t>
      </w:r>
      <w:r w:rsidRPr="000B33D2">
        <w:rPr>
          <w:rFonts w:cs="Arial"/>
          <w:szCs w:val="20"/>
        </w:rPr>
        <w:t xml:space="preserve"> Determinations</w:t>
      </w:r>
      <w:r>
        <w:rPr>
          <w:rFonts w:cs="Arial"/>
          <w:szCs w:val="20"/>
        </w:rPr>
        <w:t>.</w:t>
      </w:r>
      <w:r w:rsidRPr="002265FE">
        <w:rPr>
          <w:rFonts w:cs="Arial"/>
          <w:szCs w:val="20"/>
        </w:rPr>
        <w:t xml:space="preserve"> </w:t>
      </w:r>
      <w:r>
        <w:rPr>
          <w:rFonts w:cs="Arial"/>
          <w:szCs w:val="20"/>
        </w:rPr>
        <w:t>T</w:t>
      </w:r>
      <w:r w:rsidRPr="002265FE">
        <w:rPr>
          <w:rFonts w:cs="Arial"/>
          <w:szCs w:val="20"/>
        </w:rPr>
        <w:t xml:space="preserve">he classification systems </w:t>
      </w:r>
      <w:r>
        <w:rPr>
          <w:rFonts w:cs="Arial"/>
          <w:szCs w:val="20"/>
        </w:rPr>
        <w:t xml:space="preserve">for each service stream and the </w:t>
      </w:r>
      <w:r w:rsidRPr="002265FE">
        <w:rPr>
          <w:rFonts w:cs="Arial"/>
          <w:szCs w:val="20"/>
        </w:rPr>
        <w:t xml:space="preserve">source of </w:t>
      </w:r>
      <w:r>
        <w:rPr>
          <w:rFonts w:cs="Arial"/>
          <w:szCs w:val="20"/>
        </w:rPr>
        <w:t xml:space="preserve">its </w:t>
      </w:r>
      <w:r w:rsidRPr="002265FE">
        <w:rPr>
          <w:rFonts w:cs="Arial"/>
          <w:szCs w:val="20"/>
        </w:rPr>
        <w:t xml:space="preserve">cost and activity data </w:t>
      </w:r>
      <w:r>
        <w:rPr>
          <w:rFonts w:cs="Arial"/>
          <w:szCs w:val="20"/>
        </w:rPr>
        <w:t>are</w:t>
      </w:r>
      <w:r w:rsidRPr="002265FE">
        <w:rPr>
          <w:rFonts w:cs="Arial"/>
          <w:szCs w:val="20"/>
        </w:rPr>
        <w:t xml:space="preserve"> shown in</w:t>
      </w:r>
      <w:r w:rsidR="00196408">
        <w:rPr>
          <w:rFonts w:cs="Arial"/>
          <w:szCs w:val="20"/>
        </w:rPr>
        <w:t xml:space="preserve"> Table 2</w:t>
      </w:r>
      <w:r>
        <w:rPr>
          <w:rFonts w:cs="Arial"/>
          <w:szCs w:val="20"/>
        </w:rPr>
        <w:t xml:space="preserve">. </w:t>
      </w:r>
    </w:p>
    <w:p w:rsidR="00196408" w:rsidRDefault="00196408" w:rsidP="00AD4FFC">
      <w:pPr>
        <w:rPr>
          <w:rFonts w:ascii="Arial" w:eastAsia="Times New Roman" w:hAnsi="Arial" w:cstheme="minorHAnsi"/>
          <w:b/>
          <w:color w:val="000000"/>
          <w:sz w:val="20"/>
          <w:szCs w:val="20"/>
          <w:lang w:eastAsia="en-AU"/>
        </w:rPr>
      </w:pPr>
      <w:bookmarkStart w:id="6" w:name="_Ref342307709"/>
      <w:r>
        <w:br w:type="page"/>
      </w:r>
    </w:p>
    <w:p w:rsidR="00460371" w:rsidRDefault="00460371">
      <w:pPr>
        <w:pStyle w:val="table"/>
      </w:pPr>
      <w:r>
        <w:lastRenderedPageBreak/>
        <w:t xml:space="preserve">Table </w:t>
      </w:r>
      <w:fldSimple w:instr=" SEQ Table \* ARABIC ">
        <w:r w:rsidR="00915776">
          <w:rPr>
            <w:noProof/>
          </w:rPr>
          <w:t>1</w:t>
        </w:r>
      </w:fldSimple>
      <w:bookmarkEnd w:id="6"/>
      <w:r>
        <w:t xml:space="preserve">: Sections of the </w:t>
      </w:r>
      <w:r w:rsidR="00B94FB5" w:rsidRPr="00B3571F">
        <w:t>NEP15</w:t>
      </w:r>
      <w:r w:rsidRPr="00B3571F">
        <w:t xml:space="preserve"> and </w:t>
      </w:r>
      <w:r w:rsidR="00B94FB5" w:rsidRPr="00B3571F">
        <w:t>NEC15</w:t>
      </w:r>
      <w:r w:rsidRPr="00B3571F">
        <w:t xml:space="preserve"> Determinations</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A summary of table 1 is outlined in the text prior to this table. The table consists of two column headings: column one is a list of components and column two provides the relevant section it is found in the NEP15 and NEC15 Determinations. &#10;"/>
      </w:tblPr>
      <w:tblGrid>
        <w:gridCol w:w="7073"/>
        <w:gridCol w:w="2337"/>
      </w:tblGrid>
      <w:tr w:rsidR="00782725" w:rsidRPr="00D34DE3" w:rsidTr="00782725">
        <w:trPr>
          <w:trHeight w:val="350"/>
          <w:tblHeader/>
          <w:jc w:val="center"/>
        </w:trPr>
        <w:tc>
          <w:tcPr>
            <w:tcW w:w="7073" w:type="dxa"/>
            <w:shd w:val="clear" w:color="auto" w:fill="BFBFBF" w:themeFill="background1" w:themeFillShade="BF"/>
            <w:vAlign w:val="center"/>
          </w:tcPr>
          <w:p w:rsidR="00782725" w:rsidRPr="00D34DE3" w:rsidRDefault="00782725" w:rsidP="00EA0636">
            <w:pPr>
              <w:tabs>
                <w:tab w:val="left" w:pos="1162"/>
              </w:tabs>
              <w:spacing w:after="0"/>
              <w:rPr>
                <w:rFonts w:asciiTheme="majorHAnsi" w:hAnsiTheme="majorHAnsi" w:cstheme="majorHAnsi"/>
                <w:b/>
                <w:sz w:val="16"/>
                <w:szCs w:val="16"/>
              </w:rPr>
            </w:pPr>
            <w:r w:rsidRPr="00D34DE3">
              <w:rPr>
                <w:rFonts w:asciiTheme="majorHAnsi" w:hAnsiTheme="majorHAnsi" w:cstheme="majorHAnsi"/>
                <w:b/>
                <w:sz w:val="16"/>
                <w:szCs w:val="16"/>
              </w:rPr>
              <w:t>Component</w:t>
            </w:r>
          </w:p>
        </w:tc>
        <w:tc>
          <w:tcPr>
            <w:tcW w:w="2337" w:type="dxa"/>
            <w:shd w:val="clear" w:color="auto" w:fill="BFBFBF" w:themeFill="background1" w:themeFillShade="BF"/>
            <w:vAlign w:val="center"/>
          </w:tcPr>
          <w:p w:rsidR="00782725" w:rsidRPr="00D34DE3" w:rsidRDefault="00782725" w:rsidP="00EA0636">
            <w:pPr>
              <w:tabs>
                <w:tab w:val="left" w:pos="1162"/>
              </w:tabs>
              <w:spacing w:after="0"/>
              <w:jc w:val="center"/>
              <w:rPr>
                <w:rFonts w:asciiTheme="majorHAnsi" w:hAnsiTheme="majorHAnsi" w:cstheme="majorHAnsi"/>
                <w:b/>
                <w:i/>
                <w:sz w:val="16"/>
                <w:szCs w:val="16"/>
              </w:rPr>
            </w:pPr>
            <w:r w:rsidRPr="00D34DE3">
              <w:rPr>
                <w:rFonts w:asciiTheme="majorHAnsi" w:hAnsiTheme="majorHAnsi" w:cstheme="majorHAnsi"/>
                <w:b/>
                <w:sz w:val="16"/>
                <w:szCs w:val="16"/>
              </w:rPr>
              <w:t xml:space="preserve">Section of </w:t>
            </w:r>
            <w:r w:rsidRPr="00B3571F">
              <w:rPr>
                <w:rFonts w:asciiTheme="majorHAnsi" w:hAnsiTheme="majorHAnsi" w:cstheme="majorHAnsi"/>
                <w:b/>
                <w:sz w:val="16"/>
                <w:szCs w:val="16"/>
              </w:rPr>
              <w:t>Determination</w:t>
            </w:r>
          </w:p>
        </w:tc>
      </w:tr>
      <w:tr w:rsidR="00782725" w:rsidRPr="00D34DE3" w:rsidTr="00E4094C">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National Efficient Price</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Chapter 2</w:t>
            </w:r>
          </w:p>
        </w:tc>
      </w:tr>
      <w:tr w:rsidR="00782725" w:rsidRPr="00D34DE3" w:rsidTr="00E4094C">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b/>
                <w:sz w:val="16"/>
                <w:szCs w:val="16"/>
                <w:highlight w:val="yellow"/>
              </w:rPr>
            </w:pPr>
            <w:r w:rsidRPr="00D34DE3">
              <w:rPr>
                <w:rFonts w:asciiTheme="majorHAnsi" w:hAnsiTheme="majorHAnsi" w:cstheme="majorHAnsi"/>
                <w:b/>
                <w:i/>
                <w:sz w:val="16"/>
                <w:szCs w:val="16"/>
              </w:rPr>
              <w:t>Acute admitted services - NEP15</w:t>
            </w:r>
          </w:p>
        </w:tc>
        <w:tc>
          <w:tcPr>
            <w:tcW w:w="2337" w:type="dxa"/>
            <w:vAlign w:val="center"/>
          </w:tcPr>
          <w:p w:rsidR="00782725" w:rsidRPr="00F414F9" w:rsidRDefault="00782725" w:rsidP="00EA0636">
            <w:pPr>
              <w:rPr>
                <w:highlight w:val="yellow"/>
              </w:rPr>
            </w:pP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 xml:space="preserve">AR-DRG inlier bounds, flags for designated same-day payment AR-DRG and unbundled ICU AR-DRG, National Weighted Activity Unit (NWAU) weights for same-day payment AR-DRGs, short-stay outliers (base and per diem), inliers, long-stay outliers (per diem), Intensive Care Unit (ICU) rates per hour </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15037E">
              <w:rPr>
                <w:rFonts w:asciiTheme="majorHAnsi" w:hAnsiTheme="majorHAnsi" w:cstheme="majorHAnsi"/>
                <w:sz w:val="16"/>
                <w:szCs w:val="16"/>
              </w:rPr>
              <w:t>Appendix A</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Pr>
                <w:rFonts w:asciiTheme="majorHAnsi" w:hAnsiTheme="majorHAnsi" w:cstheme="majorHAnsi"/>
                <w:sz w:val="16"/>
                <w:szCs w:val="16"/>
              </w:rPr>
              <w:t xml:space="preserve">Adjustments to Price Weights </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rPr>
            </w:pPr>
            <w:r w:rsidRPr="00D34DE3">
              <w:rPr>
                <w:rFonts w:asciiTheme="majorHAnsi" w:hAnsiTheme="majorHAnsi" w:cstheme="majorHAnsi"/>
                <w:sz w:val="16"/>
                <w:szCs w:val="16"/>
              </w:rPr>
              <w:t>Chapter 5</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 xml:space="preserve">List of radiotherapy ICD-10-AM 9th edition codes </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rPr>
            </w:pPr>
            <w:r w:rsidRPr="00D34DE3">
              <w:rPr>
                <w:rFonts w:asciiTheme="majorHAnsi" w:hAnsiTheme="majorHAnsi" w:cstheme="majorHAnsi"/>
                <w:sz w:val="16"/>
                <w:szCs w:val="16"/>
              </w:rPr>
              <w:t>Appendix B</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List of dialysis ICD-10-AM 9th edition codes</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rPr>
            </w:pPr>
            <w:r w:rsidRPr="00D34DE3">
              <w:rPr>
                <w:rFonts w:asciiTheme="majorHAnsi" w:hAnsiTheme="majorHAnsi" w:cstheme="majorHAnsi"/>
                <w:sz w:val="16"/>
                <w:szCs w:val="16"/>
              </w:rPr>
              <w:t>Appendix C</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 xml:space="preserve">Specified  ICUs </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Appendix D</w:t>
            </w:r>
          </w:p>
        </w:tc>
      </w:tr>
      <w:tr w:rsidR="00782725" w:rsidRPr="00D34DE3" w:rsidTr="00EA0636">
        <w:trPr>
          <w:jc w:val="center"/>
        </w:trPr>
        <w:tc>
          <w:tcPr>
            <w:tcW w:w="7073" w:type="dxa"/>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Specialised children's hospitals</w:t>
            </w:r>
          </w:p>
        </w:tc>
        <w:tc>
          <w:tcPr>
            <w:tcW w:w="2337" w:type="dxa"/>
          </w:tcPr>
          <w:p w:rsidR="00782725" w:rsidRPr="00D34DE3" w:rsidRDefault="00782725" w:rsidP="00EA0636">
            <w:pPr>
              <w:tabs>
                <w:tab w:val="left" w:pos="1162"/>
              </w:tabs>
              <w:spacing w:before="60" w:afterLines="60" w:after="144"/>
              <w:jc w:val="center"/>
              <w:rPr>
                <w:rFonts w:asciiTheme="majorHAnsi" w:hAnsiTheme="majorHAnsi" w:cstheme="majorHAnsi"/>
                <w:sz w:val="16"/>
                <w:szCs w:val="16"/>
              </w:rPr>
            </w:pPr>
            <w:r w:rsidRPr="00D34DE3">
              <w:rPr>
                <w:rFonts w:asciiTheme="majorHAnsi" w:hAnsiTheme="majorHAnsi" w:cstheme="majorHAnsi"/>
                <w:sz w:val="16"/>
                <w:szCs w:val="16"/>
              </w:rPr>
              <w:t>Appendix E</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Private patient adjustments</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Appendix F</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Provisional weights for very long stay patients</w:t>
            </w:r>
          </w:p>
        </w:tc>
        <w:tc>
          <w:tcPr>
            <w:tcW w:w="2337" w:type="dxa"/>
            <w:shd w:val="clear" w:color="auto" w:fill="auto"/>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Appendix G</w:t>
            </w:r>
          </w:p>
        </w:tc>
      </w:tr>
      <w:tr w:rsidR="00782725" w:rsidRPr="00D34DE3" w:rsidTr="00E4094C">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Definition of an eligible ICU or paediatric ICU (PICU)</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Glossary</w:t>
            </w:r>
          </w:p>
        </w:tc>
      </w:tr>
      <w:tr w:rsidR="00782725" w:rsidRPr="00D34DE3" w:rsidTr="00E4094C">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b/>
                <w:sz w:val="16"/>
                <w:szCs w:val="16"/>
                <w:highlight w:val="yellow"/>
              </w:rPr>
            </w:pPr>
            <w:r w:rsidRPr="00D34DE3">
              <w:rPr>
                <w:rFonts w:asciiTheme="majorHAnsi" w:hAnsiTheme="majorHAnsi" w:cstheme="majorHAnsi"/>
                <w:b/>
                <w:i/>
                <w:sz w:val="16"/>
                <w:szCs w:val="16"/>
              </w:rPr>
              <w:t>Emergency department services - NEP15</w:t>
            </w:r>
          </w:p>
        </w:tc>
        <w:tc>
          <w:tcPr>
            <w:tcW w:w="2337" w:type="dxa"/>
            <w:vAlign w:val="center"/>
          </w:tcPr>
          <w:p w:rsidR="00782725" w:rsidRPr="00F414F9" w:rsidRDefault="00782725" w:rsidP="00EA0636">
            <w:pPr>
              <w:rPr>
                <w:highlight w:val="yellow"/>
              </w:rPr>
            </w:pP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Urgency Related Groups v1.4 classification and NWAU weights</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Appendix L</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Urgency Disposition Groups v1.3 classification and NWAU weights</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Appendix M</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Emergency departments in-scope for ABF</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rPr>
            </w:pPr>
            <w:r w:rsidRPr="00D34DE3">
              <w:rPr>
                <w:rFonts w:asciiTheme="majorHAnsi" w:hAnsiTheme="majorHAnsi" w:cstheme="majorHAnsi"/>
                <w:sz w:val="16"/>
                <w:szCs w:val="16"/>
              </w:rPr>
              <w:t>Glossary</w:t>
            </w:r>
          </w:p>
        </w:tc>
      </w:tr>
      <w:tr w:rsidR="00782725" w:rsidRPr="00D34DE3" w:rsidTr="00E4094C">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Definitions of emergency department role levels</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rPr>
            </w:pPr>
            <w:r w:rsidRPr="00D34DE3">
              <w:rPr>
                <w:rFonts w:asciiTheme="majorHAnsi" w:hAnsiTheme="majorHAnsi" w:cstheme="majorHAnsi"/>
                <w:sz w:val="16"/>
                <w:szCs w:val="16"/>
              </w:rPr>
              <w:t>Glossary</w:t>
            </w:r>
          </w:p>
        </w:tc>
      </w:tr>
      <w:tr w:rsidR="00782725" w:rsidRPr="00D34DE3" w:rsidTr="00E4094C">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highlight w:val="yellow"/>
              </w:rPr>
            </w:pPr>
            <w:r w:rsidRPr="00D34DE3">
              <w:rPr>
                <w:rFonts w:asciiTheme="majorHAnsi" w:hAnsiTheme="majorHAnsi" w:cstheme="majorHAnsi"/>
                <w:b/>
                <w:i/>
                <w:sz w:val="16"/>
                <w:szCs w:val="16"/>
              </w:rPr>
              <w:t>Non-admitted services - NEP15</w:t>
            </w:r>
          </w:p>
        </w:tc>
        <w:tc>
          <w:tcPr>
            <w:tcW w:w="2337" w:type="dxa"/>
            <w:vAlign w:val="center"/>
          </w:tcPr>
          <w:p w:rsidR="00782725" w:rsidRPr="00F414F9" w:rsidRDefault="00782725" w:rsidP="00EA0636">
            <w:pPr>
              <w:rPr>
                <w:highlight w:val="yellow"/>
              </w:rPr>
            </w:pP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Tier 2 non-admitted services classification v4.0 weights</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Appendix K</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Definition of Tier 2 list of non-admitted services classifications v4.0</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Glossary</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b/>
                <w:i/>
                <w:sz w:val="16"/>
                <w:szCs w:val="16"/>
              </w:rPr>
              <w:t>Subacute and non-acute services - NEP15</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AN-SNAP v3.0 weights</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Appendix I</w:t>
            </w: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Paediatric per diem price weights</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Appendix J</w:t>
            </w:r>
          </w:p>
        </w:tc>
      </w:tr>
      <w:tr w:rsidR="00782725" w:rsidRPr="00D34DE3" w:rsidTr="00E4094C">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Definitions of AN-SNAP v3.0</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Glossary</w:t>
            </w:r>
          </w:p>
        </w:tc>
      </w:tr>
      <w:tr w:rsidR="00782725" w:rsidRPr="00D34DE3" w:rsidTr="00E4094C">
        <w:trPr>
          <w:jc w:val="center"/>
        </w:trPr>
        <w:tc>
          <w:tcPr>
            <w:tcW w:w="7073" w:type="dxa"/>
            <w:shd w:val="clear" w:color="auto" w:fill="auto"/>
            <w:vAlign w:val="center"/>
          </w:tcPr>
          <w:p w:rsidR="00782725" w:rsidRPr="00225003" w:rsidRDefault="00782725" w:rsidP="00EA0636">
            <w:pPr>
              <w:tabs>
                <w:tab w:val="left" w:pos="1162"/>
              </w:tabs>
              <w:spacing w:before="60" w:afterLines="60" w:after="144"/>
              <w:rPr>
                <w:rFonts w:asciiTheme="majorHAnsi" w:hAnsiTheme="majorHAnsi" w:cstheme="majorHAnsi"/>
                <w:sz w:val="16"/>
                <w:szCs w:val="16"/>
              </w:rPr>
            </w:pPr>
            <w:r w:rsidRPr="00225003">
              <w:rPr>
                <w:rFonts w:asciiTheme="majorHAnsi" w:hAnsiTheme="majorHAnsi" w:cstheme="majorHAnsi"/>
                <w:b/>
                <w:i/>
                <w:sz w:val="16"/>
                <w:szCs w:val="16"/>
              </w:rPr>
              <w:t>Mental health services - NEP15</w:t>
            </w:r>
          </w:p>
        </w:tc>
        <w:tc>
          <w:tcPr>
            <w:tcW w:w="2337" w:type="dxa"/>
            <w:shd w:val="clear" w:color="auto" w:fill="auto"/>
            <w:vAlign w:val="center"/>
          </w:tcPr>
          <w:p w:rsidR="00782725" w:rsidRPr="00F414F9" w:rsidRDefault="00782725" w:rsidP="00EA0636"/>
        </w:tc>
      </w:tr>
      <w:tr w:rsidR="00782725" w:rsidRPr="00D34DE3" w:rsidTr="00EA0636">
        <w:trPr>
          <w:jc w:val="center"/>
        </w:trPr>
        <w:tc>
          <w:tcPr>
            <w:tcW w:w="7073" w:type="dxa"/>
            <w:shd w:val="clear" w:color="auto" w:fill="auto"/>
            <w:vAlign w:val="center"/>
          </w:tcPr>
          <w:p w:rsidR="00782725" w:rsidRPr="00225003" w:rsidRDefault="00782725" w:rsidP="00EA0636">
            <w:pPr>
              <w:tabs>
                <w:tab w:val="left" w:pos="1162"/>
              </w:tabs>
              <w:spacing w:before="60" w:afterLines="60" w:after="144"/>
              <w:rPr>
                <w:rFonts w:asciiTheme="majorHAnsi" w:hAnsiTheme="majorHAnsi" w:cstheme="majorHAnsi"/>
                <w:sz w:val="16"/>
                <w:szCs w:val="16"/>
              </w:rPr>
            </w:pPr>
            <w:r w:rsidRPr="00225003">
              <w:rPr>
                <w:rFonts w:asciiTheme="majorHAnsi" w:hAnsiTheme="majorHAnsi" w:cstheme="majorHAnsi"/>
                <w:sz w:val="16"/>
                <w:szCs w:val="16"/>
              </w:rPr>
              <w:t>AR-DRG-based inlier bounds, NWAU and adjustment weights</w:t>
            </w:r>
          </w:p>
        </w:tc>
        <w:tc>
          <w:tcPr>
            <w:tcW w:w="2337" w:type="dxa"/>
            <w:shd w:val="clear" w:color="auto" w:fill="auto"/>
            <w:vAlign w:val="center"/>
          </w:tcPr>
          <w:p w:rsidR="00782725" w:rsidRPr="00225003" w:rsidRDefault="00B474C8" w:rsidP="00EA0636">
            <w:pPr>
              <w:tabs>
                <w:tab w:val="left" w:pos="1162"/>
              </w:tabs>
              <w:spacing w:before="60" w:afterLines="60" w:after="144"/>
              <w:jc w:val="center"/>
              <w:rPr>
                <w:rFonts w:asciiTheme="majorHAnsi" w:hAnsiTheme="majorHAnsi" w:cstheme="majorHAnsi"/>
                <w:sz w:val="16"/>
                <w:szCs w:val="16"/>
              </w:rPr>
            </w:pPr>
            <w:r>
              <w:rPr>
                <w:rFonts w:asciiTheme="majorHAnsi" w:hAnsiTheme="majorHAnsi" w:cstheme="majorHAnsi"/>
                <w:sz w:val="16"/>
                <w:szCs w:val="16"/>
              </w:rPr>
              <w:t>Appendix H</w:t>
            </w:r>
          </w:p>
        </w:tc>
      </w:tr>
      <w:tr w:rsidR="00782725" w:rsidRPr="00D34DE3" w:rsidTr="00E4094C">
        <w:trPr>
          <w:jc w:val="center"/>
        </w:trPr>
        <w:tc>
          <w:tcPr>
            <w:tcW w:w="7073" w:type="dxa"/>
            <w:tcBorders>
              <w:bottom w:val="single" w:sz="4" w:space="0" w:color="auto"/>
            </w:tcBorders>
            <w:shd w:val="clear" w:color="auto" w:fill="auto"/>
            <w:vAlign w:val="center"/>
          </w:tcPr>
          <w:p w:rsidR="00782725" w:rsidRPr="00225003" w:rsidRDefault="00B474C8" w:rsidP="00B474C8">
            <w:pPr>
              <w:tabs>
                <w:tab w:val="left" w:pos="1162"/>
              </w:tabs>
              <w:spacing w:before="60" w:afterLines="60" w:after="144"/>
              <w:rPr>
                <w:rFonts w:asciiTheme="majorHAnsi" w:hAnsiTheme="majorHAnsi" w:cstheme="majorHAnsi"/>
                <w:sz w:val="16"/>
                <w:szCs w:val="16"/>
              </w:rPr>
            </w:pPr>
            <w:r>
              <w:rPr>
                <w:rFonts w:asciiTheme="majorHAnsi" w:hAnsiTheme="majorHAnsi" w:cstheme="majorHAnsi"/>
                <w:sz w:val="16"/>
                <w:szCs w:val="16"/>
              </w:rPr>
              <w:t>M</w:t>
            </w:r>
            <w:r w:rsidR="00782725" w:rsidRPr="00225003">
              <w:rPr>
                <w:rFonts w:asciiTheme="majorHAnsi" w:hAnsiTheme="majorHAnsi" w:cstheme="majorHAnsi"/>
                <w:sz w:val="16"/>
                <w:szCs w:val="16"/>
              </w:rPr>
              <w:t xml:space="preserve">ental health </w:t>
            </w:r>
            <w:r>
              <w:rPr>
                <w:rFonts w:asciiTheme="majorHAnsi" w:hAnsiTheme="majorHAnsi" w:cstheme="majorHAnsi"/>
                <w:sz w:val="16"/>
                <w:szCs w:val="16"/>
              </w:rPr>
              <w:t>age adjustments</w:t>
            </w:r>
          </w:p>
        </w:tc>
        <w:tc>
          <w:tcPr>
            <w:tcW w:w="2337" w:type="dxa"/>
            <w:tcBorders>
              <w:bottom w:val="single" w:sz="4" w:space="0" w:color="auto"/>
            </w:tcBorders>
            <w:shd w:val="clear" w:color="auto" w:fill="auto"/>
            <w:vAlign w:val="center"/>
          </w:tcPr>
          <w:p w:rsidR="00782725" w:rsidRPr="00225003" w:rsidRDefault="00782725" w:rsidP="00EA0636">
            <w:pPr>
              <w:tabs>
                <w:tab w:val="left" w:pos="1162"/>
              </w:tabs>
              <w:spacing w:before="60" w:afterLines="60" w:after="144"/>
              <w:jc w:val="center"/>
              <w:rPr>
                <w:rFonts w:asciiTheme="majorHAnsi" w:hAnsiTheme="majorHAnsi" w:cstheme="majorHAnsi"/>
                <w:sz w:val="16"/>
                <w:szCs w:val="16"/>
              </w:rPr>
            </w:pPr>
            <w:r w:rsidRPr="00225003">
              <w:rPr>
                <w:rFonts w:asciiTheme="majorHAnsi" w:hAnsiTheme="majorHAnsi" w:cstheme="majorHAnsi"/>
                <w:sz w:val="16"/>
                <w:szCs w:val="16"/>
              </w:rPr>
              <w:t>Chapter 5</w:t>
            </w:r>
          </w:p>
        </w:tc>
      </w:tr>
      <w:tr w:rsidR="00E4094C" w:rsidRPr="00D34DE3" w:rsidTr="00E4094C">
        <w:trPr>
          <w:jc w:val="center"/>
        </w:trPr>
        <w:tc>
          <w:tcPr>
            <w:tcW w:w="7073" w:type="dxa"/>
            <w:tcBorders>
              <w:right w:val="nil"/>
            </w:tcBorders>
            <w:vAlign w:val="center"/>
          </w:tcPr>
          <w:p w:rsidR="00E4094C" w:rsidRPr="00D34DE3" w:rsidRDefault="00E4094C" w:rsidP="00EA0636">
            <w:pPr>
              <w:tabs>
                <w:tab w:val="left" w:pos="1162"/>
              </w:tabs>
              <w:spacing w:before="60" w:afterLines="60" w:after="144"/>
              <w:rPr>
                <w:rFonts w:asciiTheme="majorHAnsi" w:hAnsiTheme="majorHAnsi" w:cstheme="majorHAnsi"/>
                <w:b/>
                <w:sz w:val="16"/>
                <w:szCs w:val="16"/>
                <w:highlight w:val="yellow"/>
              </w:rPr>
            </w:pPr>
            <w:r w:rsidRPr="00D34DE3">
              <w:rPr>
                <w:rFonts w:asciiTheme="majorHAnsi" w:hAnsiTheme="majorHAnsi" w:cstheme="majorHAnsi"/>
                <w:b/>
                <w:i/>
                <w:sz w:val="16"/>
                <w:szCs w:val="16"/>
              </w:rPr>
              <w:t>Block funded hospital services - NEC15</w:t>
            </w:r>
          </w:p>
        </w:tc>
        <w:tc>
          <w:tcPr>
            <w:tcW w:w="2337" w:type="dxa"/>
            <w:tcBorders>
              <w:left w:val="nil"/>
            </w:tcBorders>
            <w:vAlign w:val="center"/>
          </w:tcPr>
          <w:p w:rsidR="00E4094C" w:rsidRPr="00F414F9" w:rsidRDefault="00E4094C" w:rsidP="00EA0636">
            <w:pPr>
              <w:rPr>
                <w:highlight w:val="yellow"/>
              </w:rPr>
            </w:pPr>
          </w:p>
        </w:tc>
      </w:tr>
      <w:tr w:rsidR="00782725" w:rsidRPr="00D34DE3" w:rsidTr="00EA0636">
        <w:trPr>
          <w:jc w:val="center"/>
        </w:trPr>
        <w:tc>
          <w:tcPr>
            <w:tcW w:w="7073" w:type="dxa"/>
            <w:vAlign w:val="center"/>
          </w:tcPr>
          <w:p w:rsidR="00782725" w:rsidRPr="00D34DE3" w:rsidRDefault="00782725" w:rsidP="00EA0636">
            <w:pPr>
              <w:tabs>
                <w:tab w:val="left" w:pos="1162"/>
              </w:tabs>
              <w:spacing w:before="60" w:afterLines="60" w:after="144"/>
              <w:rPr>
                <w:rFonts w:asciiTheme="majorHAnsi" w:hAnsiTheme="majorHAnsi" w:cstheme="majorHAnsi"/>
                <w:sz w:val="16"/>
                <w:szCs w:val="16"/>
              </w:rPr>
            </w:pPr>
            <w:r w:rsidRPr="00D34DE3">
              <w:rPr>
                <w:rFonts w:asciiTheme="majorHAnsi" w:hAnsiTheme="majorHAnsi" w:cstheme="majorHAnsi"/>
                <w:sz w:val="16"/>
                <w:szCs w:val="16"/>
              </w:rPr>
              <w:t>NEC weights, Efficient costs for each block funded hospital</w:t>
            </w:r>
          </w:p>
        </w:tc>
        <w:tc>
          <w:tcPr>
            <w:tcW w:w="2337" w:type="dxa"/>
            <w:vAlign w:val="center"/>
          </w:tcPr>
          <w:p w:rsidR="00782725" w:rsidRPr="00D34DE3" w:rsidRDefault="00782725" w:rsidP="00EA0636">
            <w:pPr>
              <w:tabs>
                <w:tab w:val="left" w:pos="1162"/>
              </w:tabs>
              <w:spacing w:before="60" w:afterLines="60" w:after="144"/>
              <w:jc w:val="center"/>
              <w:rPr>
                <w:rFonts w:asciiTheme="majorHAnsi" w:hAnsiTheme="majorHAnsi" w:cstheme="majorHAnsi"/>
                <w:sz w:val="16"/>
                <w:szCs w:val="16"/>
                <w:highlight w:val="yellow"/>
              </w:rPr>
            </w:pPr>
            <w:r w:rsidRPr="00D34DE3">
              <w:rPr>
                <w:rFonts w:asciiTheme="majorHAnsi" w:hAnsiTheme="majorHAnsi" w:cstheme="majorHAnsi"/>
                <w:sz w:val="16"/>
                <w:szCs w:val="16"/>
              </w:rPr>
              <w:t>Chapter 3</w:t>
            </w:r>
          </w:p>
        </w:tc>
      </w:tr>
    </w:tbl>
    <w:p w:rsidR="00460371" w:rsidRPr="00E27673" w:rsidRDefault="00460371" w:rsidP="00AD4FFC">
      <w:pPr>
        <w:pStyle w:val="Caption"/>
        <w:tabs>
          <w:tab w:val="left" w:pos="1162"/>
        </w:tabs>
        <w:spacing w:after="0"/>
        <w:jc w:val="center"/>
        <w:rPr>
          <w:rFonts w:cs="Arial"/>
          <w:color w:val="000000"/>
          <w:sz w:val="16"/>
          <w:szCs w:val="16"/>
        </w:rPr>
      </w:pPr>
    </w:p>
    <w:p w:rsidR="00D34DE3" w:rsidRDefault="00D34DE3" w:rsidP="00AD4FFC">
      <w:pPr>
        <w:rPr>
          <w:rFonts w:ascii="Arial" w:eastAsia="Times New Roman" w:hAnsi="Arial" w:cstheme="minorHAnsi"/>
          <w:b/>
          <w:color w:val="000000"/>
          <w:sz w:val="20"/>
          <w:szCs w:val="20"/>
          <w:lang w:eastAsia="en-AU"/>
        </w:rPr>
      </w:pPr>
      <w:bookmarkStart w:id="7" w:name="_Ref342307722"/>
      <w:bookmarkStart w:id="8" w:name="_Ref373836219"/>
      <w:bookmarkStart w:id="9" w:name="_Ref373836214"/>
      <w:r>
        <w:br w:type="page"/>
      </w:r>
    </w:p>
    <w:p w:rsidR="00460371" w:rsidRDefault="00460371">
      <w:pPr>
        <w:pStyle w:val="table"/>
      </w:pPr>
      <w:r>
        <w:lastRenderedPageBreak/>
        <w:t xml:space="preserve">Table </w:t>
      </w:r>
      <w:fldSimple w:instr=" SEQ Table \* ARABIC ">
        <w:r w:rsidR="00915776">
          <w:rPr>
            <w:noProof/>
          </w:rPr>
          <w:t>2</w:t>
        </w:r>
      </w:fldSimple>
      <w:bookmarkEnd w:id="7"/>
      <w:bookmarkEnd w:id="8"/>
      <w:r>
        <w:t>: Summary of classification systems and sources of cost</w:t>
      </w:r>
      <w:bookmarkEnd w:id="9"/>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Description w:val="A summary of table 2 is outlined in the text prior to this table. The table consists of four column headings: column one is for service stream, column two is for classification, column three is for cost data, and column four is for activity data. The five rows relate to each individual service stream, Acute admitted care, Emergency Department care, Non-admitted care, Subacute and non-acute care, and Block funded services. "/>
      </w:tblPr>
      <w:tblGrid>
        <w:gridCol w:w="1604"/>
        <w:gridCol w:w="2642"/>
        <w:gridCol w:w="2786"/>
        <w:gridCol w:w="2211"/>
      </w:tblGrid>
      <w:tr w:rsidR="00460371" w:rsidRPr="00B7560D" w:rsidTr="002049EC">
        <w:trPr>
          <w:cantSplit/>
          <w:tblHeader/>
        </w:trPr>
        <w:tc>
          <w:tcPr>
            <w:tcW w:w="868" w:type="pct"/>
            <w:shd w:val="clear" w:color="auto" w:fill="BFBFBF" w:themeFill="background1" w:themeFillShade="BF"/>
            <w:vAlign w:val="center"/>
          </w:tcPr>
          <w:p w:rsidR="00460371" w:rsidRPr="00CC72A4" w:rsidRDefault="00460371" w:rsidP="00AD4FFC">
            <w:pPr>
              <w:tabs>
                <w:tab w:val="left" w:pos="1162"/>
              </w:tabs>
              <w:spacing w:before="80" w:after="80"/>
              <w:rPr>
                <w:rFonts w:cs="Arial"/>
                <w:b/>
                <w:sz w:val="16"/>
                <w:szCs w:val="16"/>
              </w:rPr>
            </w:pPr>
            <w:r w:rsidRPr="00CC72A4">
              <w:rPr>
                <w:rFonts w:cs="Arial"/>
                <w:b/>
                <w:sz w:val="16"/>
                <w:szCs w:val="16"/>
              </w:rPr>
              <w:t>Service stream</w:t>
            </w:r>
          </w:p>
        </w:tc>
        <w:tc>
          <w:tcPr>
            <w:tcW w:w="1429" w:type="pct"/>
            <w:shd w:val="clear" w:color="auto" w:fill="BFBFBF" w:themeFill="background1" w:themeFillShade="BF"/>
            <w:vAlign w:val="center"/>
          </w:tcPr>
          <w:p w:rsidR="00460371" w:rsidRPr="00CC72A4" w:rsidRDefault="00460371" w:rsidP="00AD4FFC">
            <w:pPr>
              <w:tabs>
                <w:tab w:val="left" w:pos="1162"/>
              </w:tabs>
              <w:spacing w:before="80" w:after="80"/>
              <w:rPr>
                <w:rFonts w:cs="Arial"/>
                <w:b/>
                <w:sz w:val="16"/>
                <w:szCs w:val="16"/>
              </w:rPr>
            </w:pPr>
            <w:r w:rsidRPr="00CC72A4">
              <w:rPr>
                <w:rFonts w:cs="Arial"/>
                <w:b/>
                <w:sz w:val="16"/>
                <w:szCs w:val="16"/>
              </w:rPr>
              <w:t>Classification</w:t>
            </w:r>
            <w:r w:rsidRPr="00CC72A4">
              <w:rPr>
                <w:rStyle w:val="FootnoteReference"/>
                <w:rFonts w:cs="Arial"/>
                <w:b/>
                <w:sz w:val="16"/>
                <w:szCs w:val="16"/>
              </w:rPr>
              <w:footnoteReference w:id="2"/>
            </w:r>
          </w:p>
        </w:tc>
        <w:tc>
          <w:tcPr>
            <w:tcW w:w="1507" w:type="pct"/>
            <w:shd w:val="clear" w:color="auto" w:fill="BFBFBF" w:themeFill="background1" w:themeFillShade="BF"/>
            <w:vAlign w:val="center"/>
          </w:tcPr>
          <w:p w:rsidR="00460371" w:rsidRPr="00CC72A4" w:rsidRDefault="00460371" w:rsidP="00AD4FFC">
            <w:pPr>
              <w:tabs>
                <w:tab w:val="left" w:pos="1162"/>
              </w:tabs>
              <w:spacing w:before="80" w:after="80"/>
              <w:rPr>
                <w:rFonts w:cs="Arial"/>
                <w:b/>
                <w:sz w:val="16"/>
                <w:szCs w:val="16"/>
              </w:rPr>
            </w:pPr>
            <w:r w:rsidRPr="00CC72A4">
              <w:rPr>
                <w:rFonts w:cs="Arial"/>
                <w:b/>
                <w:sz w:val="16"/>
                <w:szCs w:val="16"/>
              </w:rPr>
              <w:t>Cost data</w:t>
            </w:r>
          </w:p>
        </w:tc>
        <w:tc>
          <w:tcPr>
            <w:tcW w:w="1196" w:type="pct"/>
            <w:shd w:val="clear" w:color="auto" w:fill="BFBFBF" w:themeFill="background1" w:themeFillShade="BF"/>
            <w:vAlign w:val="center"/>
          </w:tcPr>
          <w:p w:rsidR="00460371" w:rsidRPr="00CC72A4" w:rsidRDefault="00460371" w:rsidP="00AD4FFC">
            <w:pPr>
              <w:tabs>
                <w:tab w:val="left" w:pos="1162"/>
              </w:tabs>
              <w:spacing w:before="80" w:after="80"/>
              <w:rPr>
                <w:rFonts w:cs="Arial"/>
                <w:b/>
                <w:sz w:val="16"/>
                <w:szCs w:val="16"/>
              </w:rPr>
            </w:pPr>
            <w:r w:rsidRPr="00CC72A4">
              <w:rPr>
                <w:rFonts w:cs="Arial"/>
                <w:b/>
                <w:sz w:val="16"/>
                <w:szCs w:val="16"/>
              </w:rPr>
              <w:t>Activity data</w:t>
            </w:r>
          </w:p>
        </w:tc>
      </w:tr>
      <w:tr w:rsidR="00460371" w:rsidRPr="00B7560D" w:rsidTr="002049EC">
        <w:trPr>
          <w:cantSplit/>
        </w:trPr>
        <w:tc>
          <w:tcPr>
            <w:tcW w:w="868" w:type="pct"/>
          </w:tcPr>
          <w:p w:rsidR="00460371" w:rsidRPr="00B7560D" w:rsidRDefault="00460371" w:rsidP="00AD4FFC">
            <w:pPr>
              <w:tabs>
                <w:tab w:val="left" w:pos="1162"/>
              </w:tabs>
              <w:spacing w:before="60" w:after="60"/>
              <w:rPr>
                <w:rFonts w:cs="Arial"/>
                <w:sz w:val="16"/>
                <w:szCs w:val="16"/>
              </w:rPr>
            </w:pPr>
            <w:r w:rsidRPr="00B7560D">
              <w:rPr>
                <w:rFonts w:cs="Arial"/>
                <w:sz w:val="16"/>
                <w:szCs w:val="16"/>
              </w:rPr>
              <w:t>Acute admitted care</w:t>
            </w:r>
          </w:p>
        </w:tc>
        <w:tc>
          <w:tcPr>
            <w:tcW w:w="1429" w:type="pct"/>
          </w:tcPr>
          <w:p w:rsidR="00460371" w:rsidRPr="00B7560D" w:rsidRDefault="00460371" w:rsidP="00AD4FFC">
            <w:pPr>
              <w:tabs>
                <w:tab w:val="left" w:pos="1162"/>
              </w:tabs>
              <w:spacing w:before="60" w:after="60"/>
              <w:rPr>
                <w:rFonts w:cs="Arial"/>
                <w:sz w:val="16"/>
                <w:szCs w:val="16"/>
              </w:rPr>
            </w:pPr>
            <w:r w:rsidRPr="00B7560D">
              <w:rPr>
                <w:rFonts w:cs="Arial"/>
                <w:sz w:val="16"/>
                <w:szCs w:val="16"/>
              </w:rPr>
              <w:t xml:space="preserve">Australian Refined Diagnosis Related Groups (AR-DRG) version </w:t>
            </w:r>
            <w:r>
              <w:rPr>
                <w:rFonts w:cs="Arial"/>
                <w:sz w:val="16"/>
                <w:szCs w:val="16"/>
              </w:rPr>
              <w:t>7.0</w:t>
            </w:r>
          </w:p>
        </w:tc>
        <w:tc>
          <w:tcPr>
            <w:tcW w:w="1507" w:type="pct"/>
          </w:tcPr>
          <w:p w:rsidR="00460371" w:rsidRPr="00B7560D" w:rsidRDefault="00460371" w:rsidP="00AD4FFC">
            <w:pPr>
              <w:tabs>
                <w:tab w:val="left" w:pos="1162"/>
              </w:tabs>
              <w:spacing w:before="60" w:after="60"/>
              <w:rPr>
                <w:rFonts w:cs="Arial"/>
                <w:color w:val="FFFFFF"/>
                <w:sz w:val="16"/>
                <w:szCs w:val="16"/>
                <w:lang w:val="en-US"/>
              </w:rPr>
            </w:pPr>
            <w:r w:rsidRPr="00B7560D">
              <w:rPr>
                <w:rFonts w:cs="Arial"/>
                <w:sz w:val="16"/>
                <w:szCs w:val="16"/>
              </w:rPr>
              <w:t>National Hospital Cost Data Collection (NHCDC) Round 1</w:t>
            </w:r>
            <w:r w:rsidR="00024ABA">
              <w:rPr>
                <w:rFonts w:cs="Arial"/>
                <w:sz w:val="16"/>
                <w:szCs w:val="16"/>
              </w:rPr>
              <w:t>7</w:t>
            </w:r>
            <w:r w:rsidRPr="00B7560D">
              <w:rPr>
                <w:rFonts w:cs="Arial"/>
                <w:sz w:val="16"/>
                <w:szCs w:val="16"/>
              </w:rPr>
              <w:t xml:space="preserve"> (</w:t>
            </w:r>
            <w:r w:rsidR="00B94FB5">
              <w:rPr>
                <w:rFonts w:cs="Arial"/>
                <w:sz w:val="16"/>
                <w:szCs w:val="16"/>
              </w:rPr>
              <w:t>2012-13</w:t>
            </w:r>
            <w:r w:rsidRPr="00B7560D">
              <w:rPr>
                <w:rFonts w:cs="Arial"/>
                <w:sz w:val="16"/>
                <w:szCs w:val="16"/>
              </w:rPr>
              <w:t>)</w:t>
            </w:r>
            <w:r>
              <w:rPr>
                <w:rFonts w:cs="Arial"/>
                <w:sz w:val="16"/>
                <w:szCs w:val="16"/>
              </w:rPr>
              <w:t>.</w:t>
            </w:r>
          </w:p>
        </w:tc>
        <w:tc>
          <w:tcPr>
            <w:tcW w:w="1196" w:type="pct"/>
          </w:tcPr>
          <w:p w:rsidR="00460371" w:rsidRPr="00B7560D" w:rsidRDefault="00460371" w:rsidP="00EB4E99">
            <w:pPr>
              <w:tabs>
                <w:tab w:val="left" w:pos="1162"/>
              </w:tabs>
              <w:spacing w:before="60" w:after="60"/>
              <w:rPr>
                <w:rFonts w:cs="Arial"/>
                <w:sz w:val="16"/>
                <w:szCs w:val="16"/>
              </w:rPr>
            </w:pPr>
            <w:r w:rsidRPr="00A932B7">
              <w:rPr>
                <w:rFonts w:cs="Arial"/>
                <w:sz w:val="16"/>
                <w:szCs w:val="16"/>
              </w:rPr>
              <w:t>Admitted Patient Care</w:t>
            </w:r>
            <w:r>
              <w:rPr>
                <w:rFonts w:cs="Arial"/>
                <w:sz w:val="16"/>
                <w:szCs w:val="16"/>
              </w:rPr>
              <w:t xml:space="preserve"> </w:t>
            </w:r>
            <w:r w:rsidR="008D4B5F">
              <w:rPr>
                <w:rFonts w:cs="Arial"/>
                <w:sz w:val="16"/>
                <w:szCs w:val="16"/>
              </w:rPr>
              <w:t xml:space="preserve">National Minimum Data Set (APC </w:t>
            </w:r>
            <w:r w:rsidR="00EB4E99">
              <w:rPr>
                <w:rFonts w:cs="Arial"/>
                <w:sz w:val="16"/>
                <w:szCs w:val="16"/>
              </w:rPr>
              <w:t>NMDS</w:t>
            </w:r>
            <w:r w:rsidR="008D4B5F">
              <w:rPr>
                <w:rFonts w:cs="Arial"/>
                <w:sz w:val="16"/>
                <w:szCs w:val="16"/>
              </w:rPr>
              <w:t>)</w:t>
            </w:r>
          </w:p>
        </w:tc>
      </w:tr>
      <w:tr w:rsidR="00460371" w:rsidRPr="00B7560D" w:rsidTr="002049EC">
        <w:trPr>
          <w:cantSplit/>
        </w:trPr>
        <w:tc>
          <w:tcPr>
            <w:tcW w:w="868" w:type="pct"/>
          </w:tcPr>
          <w:p w:rsidR="00460371" w:rsidRPr="00B7560D" w:rsidRDefault="00460371" w:rsidP="00AD4FFC">
            <w:pPr>
              <w:tabs>
                <w:tab w:val="left" w:pos="1162"/>
              </w:tabs>
              <w:spacing w:before="60" w:after="60"/>
              <w:rPr>
                <w:rFonts w:cs="Arial"/>
                <w:sz w:val="16"/>
                <w:szCs w:val="16"/>
              </w:rPr>
            </w:pPr>
            <w:r w:rsidRPr="00B7560D">
              <w:rPr>
                <w:rFonts w:cs="Arial"/>
                <w:sz w:val="16"/>
                <w:szCs w:val="16"/>
              </w:rPr>
              <w:t>Emergency department care</w:t>
            </w:r>
          </w:p>
        </w:tc>
        <w:tc>
          <w:tcPr>
            <w:tcW w:w="1429" w:type="pct"/>
          </w:tcPr>
          <w:p w:rsidR="00460371" w:rsidRDefault="00460371" w:rsidP="00AD4FFC">
            <w:pPr>
              <w:tabs>
                <w:tab w:val="left" w:pos="1162"/>
              </w:tabs>
              <w:spacing w:before="60" w:after="60"/>
              <w:rPr>
                <w:rFonts w:cs="Arial"/>
                <w:sz w:val="16"/>
                <w:szCs w:val="16"/>
              </w:rPr>
            </w:pPr>
            <w:r>
              <w:rPr>
                <w:rFonts w:cs="Arial"/>
                <w:sz w:val="16"/>
                <w:szCs w:val="16"/>
              </w:rPr>
              <w:t>Urgency Related Group (URG)</w:t>
            </w:r>
          </w:p>
          <w:p w:rsidR="00460371" w:rsidRPr="00B7560D" w:rsidRDefault="00460371" w:rsidP="00AD4FFC">
            <w:pPr>
              <w:tabs>
                <w:tab w:val="left" w:pos="1162"/>
              </w:tabs>
              <w:spacing w:before="60" w:after="60"/>
              <w:rPr>
                <w:rFonts w:cs="Arial"/>
                <w:sz w:val="16"/>
                <w:szCs w:val="16"/>
              </w:rPr>
            </w:pPr>
            <w:r w:rsidRPr="00B7560D">
              <w:rPr>
                <w:rFonts w:cs="Arial"/>
                <w:sz w:val="16"/>
                <w:szCs w:val="16"/>
              </w:rPr>
              <w:t>version 1.</w:t>
            </w:r>
            <w:r>
              <w:rPr>
                <w:rFonts w:cs="Arial"/>
                <w:sz w:val="16"/>
                <w:szCs w:val="16"/>
              </w:rPr>
              <w:t>4</w:t>
            </w:r>
          </w:p>
          <w:p w:rsidR="00460371" w:rsidRPr="00B7560D" w:rsidRDefault="00460371" w:rsidP="00AD4FFC">
            <w:pPr>
              <w:tabs>
                <w:tab w:val="left" w:pos="1162"/>
              </w:tabs>
              <w:spacing w:before="60" w:after="60"/>
              <w:rPr>
                <w:rFonts w:cs="Arial"/>
                <w:sz w:val="16"/>
                <w:szCs w:val="16"/>
              </w:rPr>
            </w:pPr>
            <w:r w:rsidRPr="00B7560D">
              <w:rPr>
                <w:rFonts w:cs="Arial"/>
                <w:sz w:val="16"/>
                <w:szCs w:val="16"/>
              </w:rPr>
              <w:t>Urgency Disposition Groups (UDG)</w:t>
            </w:r>
            <w:r>
              <w:rPr>
                <w:rFonts w:cs="Arial"/>
                <w:sz w:val="16"/>
                <w:szCs w:val="16"/>
              </w:rPr>
              <w:t xml:space="preserve"> version 1.3</w:t>
            </w:r>
          </w:p>
        </w:tc>
        <w:tc>
          <w:tcPr>
            <w:tcW w:w="1507" w:type="pct"/>
          </w:tcPr>
          <w:p w:rsidR="00460371" w:rsidRPr="00B7560D" w:rsidRDefault="00460371" w:rsidP="00AD4FFC">
            <w:pPr>
              <w:tabs>
                <w:tab w:val="left" w:pos="1162"/>
              </w:tabs>
              <w:spacing w:before="60" w:after="60"/>
              <w:rPr>
                <w:rFonts w:cs="Arial"/>
                <w:sz w:val="16"/>
                <w:szCs w:val="16"/>
              </w:rPr>
            </w:pPr>
            <w:r w:rsidRPr="00B7560D">
              <w:rPr>
                <w:rFonts w:cs="Arial"/>
                <w:sz w:val="16"/>
                <w:szCs w:val="16"/>
              </w:rPr>
              <w:t>NHCDC Round 1</w:t>
            </w:r>
            <w:r w:rsidR="00024ABA">
              <w:rPr>
                <w:rFonts w:cs="Arial"/>
                <w:sz w:val="16"/>
                <w:szCs w:val="16"/>
              </w:rPr>
              <w:t>7</w:t>
            </w:r>
            <w:r w:rsidRPr="00B7560D">
              <w:rPr>
                <w:rFonts w:cs="Arial"/>
                <w:sz w:val="16"/>
                <w:szCs w:val="16"/>
              </w:rPr>
              <w:t xml:space="preserve"> (</w:t>
            </w:r>
            <w:r w:rsidR="00B94FB5">
              <w:rPr>
                <w:rFonts w:cs="Arial"/>
                <w:sz w:val="16"/>
                <w:szCs w:val="16"/>
              </w:rPr>
              <w:t>2012-13</w:t>
            </w:r>
            <w:r w:rsidRPr="00B7560D">
              <w:rPr>
                <w:rFonts w:cs="Arial"/>
                <w:sz w:val="16"/>
                <w:szCs w:val="16"/>
              </w:rPr>
              <w:t>)</w:t>
            </w:r>
          </w:p>
        </w:tc>
        <w:tc>
          <w:tcPr>
            <w:tcW w:w="1196" w:type="pct"/>
          </w:tcPr>
          <w:p w:rsidR="00460371" w:rsidRPr="00B7560D" w:rsidRDefault="00460371" w:rsidP="00AD4FFC">
            <w:pPr>
              <w:tabs>
                <w:tab w:val="left" w:pos="1162"/>
              </w:tabs>
              <w:spacing w:before="60" w:after="60"/>
              <w:rPr>
                <w:rFonts w:cs="Arial"/>
                <w:sz w:val="16"/>
                <w:szCs w:val="16"/>
              </w:rPr>
            </w:pPr>
            <w:r w:rsidRPr="00B7560D">
              <w:rPr>
                <w:rFonts w:cs="Arial"/>
                <w:i/>
                <w:sz w:val="16"/>
                <w:szCs w:val="16"/>
              </w:rPr>
              <w:t>Level 3B to 6 emergency departments</w:t>
            </w:r>
            <w:r w:rsidRPr="00B7560D">
              <w:rPr>
                <w:rFonts w:cs="Arial"/>
                <w:sz w:val="16"/>
                <w:szCs w:val="16"/>
              </w:rPr>
              <w:t xml:space="preserve">: </w:t>
            </w:r>
            <w:r w:rsidR="008D4B5F">
              <w:rPr>
                <w:rFonts w:cs="Arial"/>
                <w:sz w:val="16"/>
                <w:szCs w:val="16"/>
              </w:rPr>
              <w:t>Non-admitted P</w:t>
            </w:r>
            <w:r w:rsidR="00EB4E99">
              <w:rPr>
                <w:rFonts w:cs="Arial"/>
                <w:sz w:val="16"/>
                <w:szCs w:val="16"/>
              </w:rPr>
              <w:t xml:space="preserve">atient </w:t>
            </w:r>
            <w:r w:rsidR="008D4B5F">
              <w:rPr>
                <w:rFonts w:cs="Arial"/>
                <w:sz w:val="16"/>
                <w:szCs w:val="16"/>
              </w:rPr>
              <w:t>E</w:t>
            </w:r>
            <w:r w:rsidRPr="00A932B7">
              <w:rPr>
                <w:rFonts w:cs="Arial"/>
                <w:sz w:val="16"/>
                <w:szCs w:val="16"/>
              </w:rPr>
              <w:t xml:space="preserve">mergency </w:t>
            </w:r>
            <w:r w:rsidR="008D4B5F">
              <w:rPr>
                <w:rFonts w:cs="Arial"/>
                <w:sz w:val="16"/>
                <w:szCs w:val="16"/>
              </w:rPr>
              <w:t>D</w:t>
            </w:r>
            <w:r w:rsidRPr="00A932B7">
              <w:rPr>
                <w:rFonts w:cs="Arial"/>
                <w:sz w:val="16"/>
                <w:szCs w:val="16"/>
              </w:rPr>
              <w:t xml:space="preserve">epartment Care </w:t>
            </w:r>
            <w:r w:rsidR="00EB4E99">
              <w:rPr>
                <w:rFonts w:cs="Arial"/>
                <w:sz w:val="16"/>
                <w:szCs w:val="16"/>
              </w:rPr>
              <w:t>NMDS</w:t>
            </w:r>
            <w:r w:rsidR="008D4B5F">
              <w:rPr>
                <w:rFonts w:cs="Arial"/>
                <w:sz w:val="16"/>
                <w:szCs w:val="16"/>
              </w:rPr>
              <w:t xml:space="preserve"> (NAP EDC NMDS)</w:t>
            </w:r>
          </w:p>
          <w:p w:rsidR="00460371" w:rsidRPr="00B7560D" w:rsidRDefault="00460371" w:rsidP="00AD4FFC">
            <w:pPr>
              <w:tabs>
                <w:tab w:val="left" w:pos="1162"/>
              </w:tabs>
              <w:spacing w:before="60" w:after="60"/>
              <w:rPr>
                <w:rFonts w:cs="Arial"/>
                <w:sz w:val="16"/>
                <w:szCs w:val="16"/>
              </w:rPr>
            </w:pPr>
            <w:r w:rsidRPr="00B7560D">
              <w:rPr>
                <w:rFonts w:cs="Arial"/>
                <w:i/>
                <w:sz w:val="16"/>
                <w:szCs w:val="16"/>
              </w:rPr>
              <w:t>Level 1 to 3A emergency departments</w:t>
            </w:r>
            <w:r w:rsidRPr="00B7560D">
              <w:rPr>
                <w:rFonts w:cs="Arial"/>
                <w:sz w:val="16"/>
                <w:szCs w:val="16"/>
              </w:rPr>
              <w:t xml:space="preserve">: </w:t>
            </w:r>
            <w:r w:rsidRPr="00A932B7">
              <w:rPr>
                <w:rFonts w:cs="Arial"/>
                <w:sz w:val="16"/>
                <w:szCs w:val="16"/>
              </w:rPr>
              <w:t>Emergency Services ABF DSS</w:t>
            </w:r>
            <w:r w:rsidR="008D4B5F">
              <w:rPr>
                <w:rFonts w:cs="Arial"/>
                <w:sz w:val="16"/>
                <w:szCs w:val="16"/>
              </w:rPr>
              <w:t xml:space="preserve"> (ES ABF DSS)</w:t>
            </w:r>
          </w:p>
        </w:tc>
      </w:tr>
      <w:tr w:rsidR="00460371" w:rsidRPr="00B7560D" w:rsidTr="002049EC">
        <w:trPr>
          <w:cantSplit/>
        </w:trPr>
        <w:tc>
          <w:tcPr>
            <w:tcW w:w="868" w:type="pct"/>
          </w:tcPr>
          <w:p w:rsidR="00460371" w:rsidRPr="00B7560D" w:rsidRDefault="00460371" w:rsidP="00AD4FFC">
            <w:pPr>
              <w:tabs>
                <w:tab w:val="left" w:pos="1162"/>
              </w:tabs>
              <w:spacing w:before="60" w:after="60"/>
              <w:rPr>
                <w:rFonts w:cs="Arial"/>
                <w:sz w:val="16"/>
                <w:szCs w:val="16"/>
              </w:rPr>
            </w:pPr>
            <w:r w:rsidRPr="00B7560D">
              <w:rPr>
                <w:rFonts w:cs="Arial"/>
                <w:sz w:val="16"/>
                <w:szCs w:val="16"/>
              </w:rPr>
              <w:t xml:space="preserve">Non-admitted care </w:t>
            </w:r>
          </w:p>
        </w:tc>
        <w:tc>
          <w:tcPr>
            <w:tcW w:w="1429" w:type="pct"/>
          </w:tcPr>
          <w:p w:rsidR="00460371" w:rsidRPr="00B7560D" w:rsidRDefault="00460371" w:rsidP="00AD4FFC">
            <w:pPr>
              <w:tabs>
                <w:tab w:val="left" w:pos="1162"/>
              </w:tabs>
              <w:spacing w:before="60" w:after="60"/>
              <w:rPr>
                <w:rFonts w:cs="Arial"/>
                <w:sz w:val="16"/>
                <w:szCs w:val="16"/>
              </w:rPr>
            </w:pPr>
            <w:r w:rsidRPr="00B7560D">
              <w:rPr>
                <w:rFonts w:cs="Arial"/>
                <w:sz w:val="16"/>
                <w:szCs w:val="16"/>
              </w:rPr>
              <w:t xml:space="preserve">Tier 2 Outpatient Clinic Definitions </w:t>
            </w:r>
            <w:r>
              <w:rPr>
                <w:rFonts w:cs="Arial"/>
                <w:sz w:val="16"/>
                <w:szCs w:val="16"/>
              </w:rPr>
              <w:t>version </w:t>
            </w:r>
            <w:r w:rsidR="00AF3225">
              <w:rPr>
                <w:rFonts w:cs="Arial"/>
                <w:sz w:val="16"/>
                <w:szCs w:val="16"/>
              </w:rPr>
              <w:t>4</w:t>
            </w:r>
            <w:r>
              <w:rPr>
                <w:rFonts w:cs="Arial"/>
                <w:sz w:val="16"/>
                <w:szCs w:val="16"/>
              </w:rPr>
              <w:t>.0</w:t>
            </w:r>
          </w:p>
        </w:tc>
        <w:tc>
          <w:tcPr>
            <w:tcW w:w="1507" w:type="pct"/>
          </w:tcPr>
          <w:p w:rsidR="00460371" w:rsidRPr="00B7560D" w:rsidRDefault="00460371" w:rsidP="00AD4FFC">
            <w:pPr>
              <w:tabs>
                <w:tab w:val="left" w:pos="1162"/>
              </w:tabs>
              <w:spacing w:before="60" w:after="60"/>
              <w:rPr>
                <w:rFonts w:cs="Arial"/>
                <w:sz w:val="16"/>
                <w:szCs w:val="16"/>
                <w:highlight w:val="yellow"/>
              </w:rPr>
            </w:pPr>
            <w:r w:rsidRPr="00B7560D">
              <w:rPr>
                <w:rFonts w:cs="Arial"/>
                <w:sz w:val="16"/>
                <w:szCs w:val="16"/>
              </w:rPr>
              <w:t>NHCDC Round 1</w:t>
            </w:r>
            <w:r w:rsidR="00024ABA">
              <w:rPr>
                <w:rFonts w:cs="Arial"/>
                <w:sz w:val="16"/>
                <w:szCs w:val="16"/>
              </w:rPr>
              <w:t>7</w:t>
            </w:r>
            <w:r>
              <w:rPr>
                <w:rFonts w:cs="Arial"/>
                <w:sz w:val="16"/>
                <w:szCs w:val="16"/>
              </w:rPr>
              <w:t xml:space="preserve"> (</w:t>
            </w:r>
            <w:r w:rsidR="00B94FB5">
              <w:rPr>
                <w:rFonts w:cs="Arial"/>
                <w:sz w:val="16"/>
                <w:szCs w:val="16"/>
              </w:rPr>
              <w:t>2012-13</w:t>
            </w:r>
            <w:r w:rsidRPr="00B7560D">
              <w:rPr>
                <w:rFonts w:cs="Arial"/>
                <w:sz w:val="16"/>
                <w:szCs w:val="16"/>
              </w:rPr>
              <w:t>)</w:t>
            </w:r>
          </w:p>
        </w:tc>
        <w:tc>
          <w:tcPr>
            <w:tcW w:w="1196" w:type="pct"/>
          </w:tcPr>
          <w:p w:rsidR="00460371" w:rsidRPr="00B7560D" w:rsidRDefault="00460371" w:rsidP="00AD4FFC">
            <w:pPr>
              <w:tabs>
                <w:tab w:val="left" w:pos="1162"/>
              </w:tabs>
              <w:spacing w:before="60" w:after="60"/>
              <w:rPr>
                <w:rFonts w:cs="Arial"/>
                <w:sz w:val="16"/>
                <w:szCs w:val="16"/>
                <w:highlight w:val="yellow"/>
              </w:rPr>
            </w:pPr>
            <w:r w:rsidRPr="00B7560D">
              <w:rPr>
                <w:rFonts w:cs="Arial"/>
                <w:sz w:val="16"/>
                <w:szCs w:val="16"/>
              </w:rPr>
              <w:t>Non-</w:t>
            </w:r>
            <w:r w:rsidR="008D4B5F">
              <w:rPr>
                <w:rFonts w:cs="Arial"/>
                <w:sz w:val="16"/>
                <w:szCs w:val="16"/>
              </w:rPr>
              <w:t>A</w:t>
            </w:r>
            <w:r w:rsidRPr="00B7560D">
              <w:rPr>
                <w:rFonts w:cs="Arial"/>
                <w:sz w:val="16"/>
                <w:szCs w:val="16"/>
              </w:rPr>
              <w:t xml:space="preserve">dmitted Patient </w:t>
            </w:r>
            <w:r w:rsidR="00EB4E99">
              <w:rPr>
                <w:rFonts w:cs="Arial"/>
                <w:sz w:val="16"/>
                <w:szCs w:val="16"/>
              </w:rPr>
              <w:t>NMDS</w:t>
            </w:r>
            <w:r w:rsidRPr="00B7560D">
              <w:rPr>
                <w:rFonts w:cs="Arial"/>
                <w:sz w:val="16"/>
                <w:szCs w:val="16"/>
              </w:rPr>
              <w:t xml:space="preserve"> </w:t>
            </w:r>
            <w:r w:rsidR="00EB4E99">
              <w:rPr>
                <w:rFonts w:cs="Arial"/>
                <w:sz w:val="16"/>
                <w:szCs w:val="16"/>
              </w:rPr>
              <w:t xml:space="preserve">and aggregate </w:t>
            </w:r>
            <w:r w:rsidRPr="00B7560D">
              <w:rPr>
                <w:rFonts w:cs="Arial"/>
                <w:sz w:val="16"/>
                <w:szCs w:val="16"/>
              </w:rPr>
              <w:t>DSS</w:t>
            </w:r>
          </w:p>
        </w:tc>
      </w:tr>
      <w:tr w:rsidR="00460371" w:rsidRPr="00B7560D" w:rsidTr="002049EC">
        <w:trPr>
          <w:cantSplit/>
        </w:trPr>
        <w:tc>
          <w:tcPr>
            <w:tcW w:w="868" w:type="pct"/>
          </w:tcPr>
          <w:p w:rsidR="00460371" w:rsidRPr="00B7560D" w:rsidRDefault="00460371" w:rsidP="00AD4FFC">
            <w:pPr>
              <w:tabs>
                <w:tab w:val="left" w:pos="1162"/>
              </w:tabs>
              <w:spacing w:before="60" w:after="60"/>
              <w:rPr>
                <w:rFonts w:cs="Arial"/>
                <w:sz w:val="16"/>
                <w:szCs w:val="16"/>
              </w:rPr>
            </w:pPr>
            <w:r w:rsidRPr="00B7560D">
              <w:rPr>
                <w:rFonts w:cs="Arial"/>
                <w:sz w:val="16"/>
                <w:szCs w:val="16"/>
              </w:rPr>
              <w:t>Subacute care</w:t>
            </w:r>
          </w:p>
          <w:p w:rsidR="00460371" w:rsidRPr="00B7560D" w:rsidRDefault="00460371" w:rsidP="00AD4FFC">
            <w:pPr>
              <w:tabs>
                <w:tab w:val="left" w:pos="1162"/>
              </w:tabs>
              <w:spacing w:before="60" w:after="60"/>
              <w:rPr>
                <w:rFonts w:cs="Arial"/>
                <w:sz w:val="16"/>
                <w:szCs w:val="16"/>
              </w:rPr>
            </w:pPr>
            <w:r w:rsidRPr="00B7560D">
              <w:rPr>
                <w:rFonts w:cs="Arial"/>
                <w:sz w:val="16"/>
                <w:szCs w:val="16"/>
              </w:rPr>
              <w:t>(and non-acute)</w:t>
            </w:r>
          </w:p>
        </w:tc>
        <w:tc>
          <w:tcPr>
            <w:tcW w:w="1429" w:type="pct"/>
          </w:tcPr>
          <w:p w:rsidR="00460371" w:rsidRPr="00B7560D" w:rsidRDefault="00460371" w:rsidP="00AD4FFC">
            <w:pPr>
              <w:tabs>
                <w:tab w:val="left" w:pos="1162"/>
              </w:tabs>
              <w:spacing w:before="60" w:after="60"/>
              <w:rPr>
                <w:rFonts w:cs="Arial"/>
                <w:sz w:val="16"/>
                <w:szCs w:val="16"/>
              </w:rPr>
            </w:pPr>
            <w:r>
              <w:rPr>
                <w:rFonts w:cs="Arial"/>
                <w:sz w:val="16"/>
                <w:szCs w:val="16"/>
              </w:rPr>
              <w:t>AN-SNAP version 3</w:t>
            </w:r>
          </w:p>
          <w:p w:rsidR="00460371" w:rsidRPr="00B7560D" w:rsidRDefault="00460371" w:rsidP="00AD4FFC">
            <w:pPr>
              <w:tabs>
                <w:tab w:val="left" w:pos="1162"/>
              </w:tabs>
              <w:spacing w:before="60" w:after="60"/>
              <w:rPr>
                <w:rFonts w:cs="Arial"/>
                <w:sz w:val="16"/>
                <w:szCs w:val="16"/>
              </w:rPr>
            </w:pPr>
            <w:r w:rsidRPr="00B7560D">
              <w:rPr>
                <w:rFonts w:cs="Arial"/>
                <w:sz w:val="16"/>
                <w:szCs w:val="16"/>
              </w:rPr>
              <w:t>Care type</w:t>
            </w:r>
          </w:p>
        </w:tc>
        <w:tc>
          <w:tcPr>
            <w:tcW w:w="1507" w:type="pct"/>
          </w:tcPr>
          <w:p w:rsidR="00460371" w:rsidRPr="00B7560D" w:rsidRDefault="00460371" w:rsidP="00AD4FFC">
            <w:pPr>
              <w:tabs>
                <w:tab w:val="left" w:pos="1162"/>
              </w:tabs>
              <w:spacing w:before="60" w:after="60"/>
              <w:rPr>
                <w:rFonts w:cs="Arial"/>
                <w:sz w:val="16"/>
                <w:szCs w:val="16"/>
              </w:rPr>
            </w:pPr>
            <w:r w:rsidRPr="00B7560D">
              <w:rPr>
                <w:rFonts w:cs="Arial"/>
                <w:sz w:val="16"/>
                <w:szCs w:val="16"/>
              </w:rPr>
              <w:t>NHCDC Round 1</w:t>
            </w:r>
            <w:r w:rsidR="00024ABA">
              <w:rPr>
                <w:rFonts w:cs="Arial"/>
                <w:sz w:val="16"/>
                <w:szCs w:val="16"/>
              </w:rPr>
              <w:t>7</w:t>
            </w:r>
            <w:r w:rsidRPr="00B7560D">
              <w:rPr>
                <w:rFonts w:cs="Arial"/>
                <w:sz w:val="16"/>
                <w:szCs w:val="16"/>
              </w:rPr>
              <w:t xml:space="preserve"> (</w:t>
            </w:r>
            <w:r w:rsidR="00B94FB5">
              <w:rPr>
                <w:rFonts w:cs="Arial"/>
                <w:sz w:val="16"/>
                <w:szCs w:val="16"/>
              </w:rPr>
              <w:t>2012-13</w:t>
            </w:r>
            <w:r w:rsidRPr="00B7560D">
              <w:rPr>
                <w:rFonts w:cs="Arial"/>
                <w:sz w:val="16"/>
                <w:szCs w:val="16"/>
              </w:rPr>
              <w:t>)</w:t>
            </w:r>
          </w:p>
        </w:tc>
        <w:tc>
          <w:tcPr>
            <w:tcW w:w="1196" w:type="pct"/>
          </w:tcPr>
          <w:p w:rsidR="00460371" w:rsidRPr="00B7560D" w:rsidRDefault="00460371" w:rsidP="00EB4E99">
            <w:pPr>
              <w:tabs>
                <w:tab w:val="left" w:pos="1162"/>
              </w:tabs>
              <w:spacing w:before="60" w:after="60"/>
              <w:rPr>
                <w:rFonts w:cs="Arial"/>
                <w:sz w:val="16"/>
                <w:szCs w:val="16"/>
              </w:rPr>
            </w:pPr>
            <w:r w:rsidRPr="00A932B7">
              <w:rPr>
                <w:rFonts w:cs="Arial"/>
                <w:sz w:val="16"/>
                <w:szCs w:val="16"/>
              </w:rPr>
              <w:t>Admitted Patient Care</w:t>
            </w:r>
            <w:r>
              <w:rPr>
                <w:rFonts w:cs="Arial"/>
                <w:sz w:val="16"/>
                <w:szCs w:val="16"/>
              </w:rPr>
              <w:t xml:space="preserve"> </w:t>
            </w:r>
            <w:r w:rsidR="00EB4E99">
              <w:rPr>
                <w:rFonts w:cs="Arial"/>
                <w:sz w:val="16"/>
                <w:szCs w:val="16"/>
              </w:rPr>
              <w:t xml:space="preserve">NMDS </w:t>
            </w:r>
            <w:r>
              <w:rPr>
                <w:rFonts w:cs="Arial"/>
                <w:sz w:val="16"/>
                <w:szCs w:val="16"/>
              </w:rPr>
              <w:t xml:space="preserve">and </w:t>
            </w:r>
            <w:r w:rsidRPr="00B25AB3">
              <w:rPr>
                <w:rFonts w:cs="Arial"/>
                <w:sz w:val="16"/>
                <w:szCs w:val="16"/>
              </w:rPr>
              <w:t>Admitted Subacute and Non acute Care  DSS</w:t>
            </w:r>
          </w:p>
        </w:tc>
      </w:tr>
      <w:tr w:rsidR="00460371" w:rsidRPr="00B7560D" w:rsidTr="002049EC">
        <w:trPr>
          <w:cantSplit/>
        </w:trPr>
        <w:tc>
          <w:tcPr>
            <w:tcW w:w="868" w:type="pct"/>
          </w:tcPr>
          <w:p w:rsidR="00460371" w:rsidRPr="00B7560D" w:rsidRDefault="00460371" w:rsidP="00AD4FFC">
            <w:pPr>
              <w:tabs>
                <w:tab w:val="left" w:pos="1162"/>
              </w:tabs>
              <w:spacing w:before="60" w:after="60"/>
              <w:rPr>
                <w:rFonts w:cs="Arial"/>
                <w:sz w:val="16"/>
                <w:szCs w:val="16"/>
              </w:rPr>
            </w:pPr>
            <w:r>
              <w:rPr>
                <w:rFonts w:cs="Arial"/>
                <w:sz w:val="16"/>
                <w:szCs w:val="16"/>
              </w:rPr>
              <w:t>Block fund</w:t>
            </w:r>
            <w:r w:rsidRPr="00B7560D">
              <w:rPr>
                <w:rFonts w:cs="Arial"/>
                <w:sz w:val="16"/>
                <w:szCs w:val="16"/>
              </w:rPr>
              <w:t>ed services</w:t>
            </w:r>
          </w:p>
        </w:tc>
        <w:tc>
          <w:tcPr>
            <w:tcW w:w="1429" w:type="pct"/>
          </w:tcPr>
          <w:p w:rsidR="00460371" w:rsidRPr="00B7560D" w:rsidRDefault="00460371" w:rsidP="00AD4FFC">
            <w:pPr>
              <w:tabs>
                <w:tab w:val="left" w:pos="1162"/>
              </w:tabs>
              <w:spacing w:before="60" w:after="60"/>
              <w:rPr>
                <w:rFonts w:cs="Arial"/>
                <w:sz w:val="16"/>
                <w:szCs w:val="16"/>
              </w:rPr>
            </w:pPr>
            <w:r w:rsidRPr="00B7560D">
              <w:rPr>
                <w:rFonts w:cs="Arial"/>
                <w:sz w:val="16"/>
                <w:szCs w:val="16"/>
              </w:rPr>
              <w:t xml:space="preserve">IHPA-defined size and </w:t>
            </w:r>
            <w:r w:rsidRPr="009F1B31">
              <w:rPr>
                <w:rFonts w:cs="Arial"/>
                <w:sz w:val="16"/>
                <w:szCs w:val="16"/>
              </w:rPr>
              <w:t>Australian Statistical Geography Standards</w:t>
            </w:r>
            <w:r>
              <w:rPr>
                <w:rFonts w:cs="Arial"/>
                <w:sz w:val="16"/>
                <w:szCs w:val="16"/>
              </w:rPr>
              <w:t xml:space="preserve"> (</w:t>
            </w:r>
            <w:r w:rsidRPr="00B7560D">
              <w:rPr>
                <w:rFonts w:cs="Arial"/>
                <w:sz w:val="16"/>
                <w:szCs w:val="16"/>
              </w:rPr>
              <w:t>ASG</w:t>
            </w:r>
            <w:r>
              <w:rPr>
                <w:rFonts w:cs="Arial"/>
                <w:sz w:val="16"/>
                <w:szCs w:val="16"/>
              </w:rPr>
              <w:t>S)</w:t>
            </w:r>
            <w:r w:rsidRPr="00B7560D">
              <w:rPr>
                <w:rFonts w:cs="Arial"/>
                <w:sz w:val="16"/>
                <w:szCs w:val="16"/>
              </w:rPr>
              <w:t xml:space="preserve"> location categorisation on total NWAU for hospital</w:t>
            </w:r>
          </w:p>
        </w:tc>
        <w:tc>
          <w:tcPr>
            <w:tcW w:w="1507" w:type="pct"/>
          </w:tcPr>
          <w:p w:rsidR="00460371" w:rsidRPr="00B7560D" w:rsidRDefault="00460371" w:rsidP="00AD4FFC">
            <w:pPr>
              <w:tabs>
                <w:tab w:val="left" w:pos="1162"/>
              </w:tabs>
              <w:spacing w:before="60" w:after="60"/>
              <w:rPr>
                <w:rFonts w:cs="Arial"/>
                <w:sz w:val="16"/>
                <w:szCs w:val="16"/>
              </w:rPr>
            </w:pPr>
            <w:r>
              <w:rPr>
                <w:rFonts w:cs="Arial"/>
                <w:sz w:val="16"/>
                <w:szCs w:val="16"/>
              </w:rPr>
              <w:t>Expenditure data from the National Public Hospital Establishments Data base (</w:t>
            </w:r>
            <w:r w:rsidRPr="00B7560D">
              <w:rPr>
                <w:rFonts w:cs="Arial"/>
                <w:sz w:val="16"/>
                <w:szCs w:val="16"/>
              </w:rPr>
              <w:t>NPHED</w:t>
            </w:r>
            <w:r>
              <w:rPr>
                <w:rFonts w:cs="Arial"/>
                <w:sz w:val="16"/>
                <w:szCs w:val="16"/>
              </w:rPr>
              <w:t xml:space="preserve">) </w:t>
            </w:r>
            <w:r w:rsidRPr="00B7560D">
              <w:rPr>
                <w:rFonts w:cs="Arial"/>
                <w:sz w:val="16"/>
                <w:szCs w:val="16"/>
              </w:rPr>
              <w:t>(</w:t>
            </w:r>
            <w:r w:rsidR="00B94FB5">
              <w:rPr>
                <w:rFonts w:cs="Arial"/>
                <w:sz w:val="16"/>
                <w:szCs w:val="16"/>
              </w:rPr>
              <w:t>2012-13</w:t>
            </w:r>
            <w:r w:rsidRPr="00B7560D">
              <w:rPr>
                <w:rFonts w:cs="Arial"/>
                <w:sz w:val="16"/>
                <w:szCs w:val="16"/>
              </w:rPr>
              <w:t>)</w:t>
            </w:r>
          </w:p>
          <w:p w:rsidR="00460371" w:rsidRPr="00B7560D" w:rsidRDefault="00460371" w:rsidP="00AD4FFC">
            <w:pPr>
              <w:tabs>
                <w:tab w:val="left" w:pos="1162"/>
              </w:tabs>
              <w:spacing w:before="60" w:after="60"/>
              <w:rPr>
                <w:rFonts w:cs="Arial"/>
                <w:sz w:val="16"/>
                <w:szCs w:val="16"/>
              </w:rPr>
            </w:pPr>
            <w:r w:rsidRPr="00B7560D">
              <w:rPr>
                <w:rFonts w:cs="Arial"/>
                <w:sz w:val="16"/>
                <w:szCs w:val="16"/>
              </w:rPr>
              <w:t>NHCDC Round 1</w:t>
            </w:r>
            <w:r w:rsidR="00024ABA">
              <w:rPr>
                <w:rFonts w:cs="Arial"/>
                <w:sz w:val="16"/>
                <w:szCs w:val="16"/>
              </w:rPr>
              <w:t>7</w:t>
            </w:r>
            <w:r w:rsidRPr="00B7560D">
              <w:rPr>
                <w:rFonts w:cs="Arial"/>
                <w:sz w:val="16"/>
                <w:szCs w:val="16"/>
              </w:rPr>
              <w:t xml:space="preserve"> (</w:t>
            </w:r>
            <w:r w:rsidR="00B94FB5">
              <w:rPr>
                <w:rFonts w:cs="Arial"/>
                <w:sz w:val="16"/>
                <w:szCs w:val="16"/>
              </w:rPr>
              <w:t>2012-13</w:t>
            </w:r>
            <w:r w:rsidRPr="00B7560D">
              <w:rPr>
                <w:rFonts w:cs="Arial"/>
                <w:sz w:val="16"/>
                <w:szCs w:val="16"/>
              </w:rPr>
              <w:t>)</w:t>
            </w:r>
          </w:p>
        </w:tc>
        <w:tc>
          <w:tcPr>
            <w:tcW w:w="1196" w:type="pct"/>
          </w:tcPr>
          <w:p w:rsidR="00460371" w:rsidRPr="00B7560D" w:rsidRDefault="00460371" w:rsidP="00AD4FFC">
            <w:pPr>
              <w:tabs>
                <w:tab w:val="left" w:pos="1162"/>
              </w:tabs>
              <w:spacing w:before="60" w:after="60"/>
              <w:rPr>
                <w:rFonts w:cs="Arial"/>
                <w:sz w:val="16"/>
                <w:szCs w:val="16"/>
              </w:rPr>
            </w:pPr>
            <w:r w:rsidRPr="00B7560D">
              <w:rPr>
                <w:rFonts w:cs="Arial"/>
                <w:sz w:val="16"/>
                <w:szCs w:val="16"/>
              </w:rPr>
              <w:t xml:space="preserve">Admitted Patient Care (APC) </w:t>
            </w:r>
            <w:r>
              <w:rPr>
                <w:rFonts w:cs="Arial"/>
                <w:sz w:val="16"/>
                <w:szCs w:val="16"/>
              </w:rPr>
              <w:t>NMDS</w:t>
            </w:r>
            <w:r w:rsidRPr="00B7560D">
              <w:rPr>
                <w:rFonts w:cs="Arial"/>
                <w:sz w:val="16"/>
                <w:szCs w:val="16"/>
              </w:rPr>
              <w:t xml:space="preserve">, NAPED </w:t>
            </w:r>
            <w:r w:rsidR="00B71156">
              <w:rPr>
                <w:rFonts w:cs="Arial"/>
                <w:sz w:val="16"/>
                <w:szCs w:val="16"/>
              </w:rPr>
              <w:t xml:space="preserve">NMDS </w:t>
            </w:r>
            <w:r w:rsidRPr="00B7560D">
              <w:rPr>
                <w:rFonts w:cs="Arial"/>
                <w:sz w:val="16"/>
                <w:szCs w:val="16"/>
              </w:rPr>
              <w:t>and NPHED</w:t>
            </w:r>
          </w:p>
        </w:tc>
      </w:tr>
    </w:tbl>
    <w:p w:rsidR="00460371" w:rsidRPr="00C26DC4" w:rsidRDefault="00460371" w:rsidP="00AD4FFC">
      <w:pPr>
        <w:tabs>
          <w:tab w:val="left" w:pos="1162"/>
        </w:tabs>
        <w:spacing w:before="240"/>
        <w:rPr>
          <w:rFonts w:cs="Arial"/>
          <w:szCs w:val="20"/>
        </w:rPr>
      </w:pPr>
      <w:r w:rsidRPr="00C26DC4">
        <w:rPr>
          <w:rFonts w:cs="Arial"/>
          <w:szCs w:val="20"/>
        </w:rPr>
        <w:t xml:space="preserve">A summary of the </w:t>
      </w:r>
      <w:r w:rsidRPr="009B687F">
        <w:rPr>
          <w:rFonts w:cs="Arial"/>
          <w:szCs w:val="20"/>
        </w:rPr>
        <w:t xml:space="preserve">National Hospital Cost Data </w:t>
      </w:r>
      <w:r>
        <w:rPr>
          <w:rFonts w:cs="Arial"/>
          <w:szCs w:val="20"/>
        </w:rPr>
        <w:t>(</w:t>
      </w:r>
      <w:r w:rsidRPr="00C26DC4">
        <w:rPr>
          <w:rFonts w:cs="Arial"/>
          <w:szCs w:val="20"/>
        </w:rPr>
        <w:t>NHCDC</w:t>
      </w:r>
      <w:r>
        <w:rPr>
          <w:rFonts w:cs="Arial"/>
          <w:szCs w:val="20"/>
        </w:rPr>
        <w:t xml:space="preserve">) </w:t>
      </w:r>
      <w:r w:rsidRPr="00C26DC4">
        <w:rPr>
          <w:rFonts w:cs="Arial"/>
          <w:szCs w:val="20"/>
        </w:rPr>
        <w:t xml:space="preserve">Round </w:t>
      </w:r>
      <w:r w:rsidR="00B94FB5" w:rsidRPr="00C26DC4">
        <w:rPr>
          <w:rFonts w:cs="Arial"/>
          <w:szCs w:val="20"/>
        </w:rPr>
        <w:t>1</w:t>
      </w:r>
      <w:r w:rsidR="00B94FB5">
        <w:rPr>
          <w:rFonts w:cs="Arial"/>
          <w:szCs w:val="20"/>
        </w:rPr>
        <w:t>7</w:t>
      </w:r>
      <w:r w:rsidR="00B94FB5" w:rsidRPr="00C26DC4">
        <w:rPr>
          <w:rFonts w:cs="Arial"/>
          <w:szCs w:val="20"/>
        </w:rPr>
        <w:t xml:space="preserve"> </w:t>
      </w:r>
      <w:r w:rsidRPr="00C26DC4">
        <w:rPr>
          <w:rFonts w:cs="Arial"/>
          <w:szCs w:val="20"/>
        </w:rPr>
        <w:t xml:space="preserve">cost data received for </w:t>
      </w:r>
      <w:r w:rsidR="00B94FB5">
        <w:rPr>
          <w:rFonts w:cs="Arial"/>
          <w:szCs w:val="20"/>
        </w:rPr>
        <w:t>2012-13</w:t>
      </w:r>
      <w:r w:rsidRPr="00C26DC4">
        <w:rPr>
          <w:rFonts w:cs="Arial"/>
          <w:szCs w:val="20"/>
        </w:rPr>
        <w:t xml:space="preserve"> is </w:t>
      </w:r>
      <w:r w:rsidRPr="00471D26">
        <w:rPr>
          <w:rFonts w:cs="Arial"/>
          <w:szCs w:val="20"/>
        </w:rPr>
        <w:t xml:space="preserve">at </w:t>
      </w:r>
      <w:hyperlink w:anchor="AttA" w:history="1">
        <w:r w:rsidRPr="00D266F5">
          <w:rPr>
            <w:rStyle w:val="Hyperlink"/>
            <w:rFonts w:cs="Arial"/>
            <w:b/>
            <w:szCs w:val="20"/>
          </w:rPr>
          <w:t>Attachment A</w:t>
        </w:r>
      </w:hyperlink>
      <w:r>
        <w:rPr>
          <w:rFonts w:cs="Arial"/>
          <w:szCs w:val="20"/>
        </w:rPr>
        <w:t>.</w:t>
      </w:r>
    </w:p>
    <w:p w:rsidR="00460371" w:rsidRPr="00C26DC4" w:rsidRDefault="00460371" w:rsidP="00AD4FFC">
      <w:pPr>
        <w:tabs>
          <w:tab w:val="left" w:pos="1162"/>
        </w:tabs>
        <w:rPr>
          <w:rFonts w:cs="Arial"/>
          <w:szCs w:val="20"/>
        </w:rPr>
      </w:pPr>
      <w:r w:rsidRPr="00C26DC4">
        <w:rPr>
          <w:rFonts w:cs="Arial"/>
          <w:szCs w:val="20"/>
        </w:rPr>
        <w:t>An important part of the modelling process is the preliminary preparation of both the costing and activity data</w:t>
      </w:r>
      <w:r>
        <w:rPr>
          <w:rFonts w:cs="Arial"/>
          <w:szCs w:val="20"/>
        </w:rPr>
        <w:t xml:space="preserve">. </w:t>
      </w:r>
      <w:r w:rsidRPr="00C26DC4">
        <w:rPr>
          <w:rFonts w:cs="Arial"/>
          <w:szCs w:val="20"/>
        </w:rPr>
        <w:t>The essential steps in the data preparation process are:</w:t>
      </w:r>
    </w:p>
    <w:p w:rsidR="00460371" w:rsidRPr="004D71FC" w:rsidRDefault="00460371" w:rsidP="00AD4FFC">
      <w:pPr>
        <w:pStyle w:val="ListParagraph"/>
        <w:numPr>
          <w:ilvl w:val="0"/>
          <w:numId w:val="23"/>
        </w:numPr>
        <w:tabs>
          <w:tab w:val="left" w:pos="1162"/>
        </w:tabs>
        <w:spacing w:before="120"/>
        <w:rPr>
          <w:rFonts w:cs="Arial"/>
          <w:szCs w:val="20"/>
        </w:rPr>
      </w:pPr>
      <w:r w:rsidRPr="004D71FC">
        <w:rPr>
          <w:rFonts w:cs="Arial"/>
          <w:szCs w:val="20"/>
        </w:rPr>
        <w:t xml:space="preserve">A substantial validation process undertaken </w:t>
      </w:r>
      <w:r>
        <w:rPr>
          <w:rFonts w:cs="Arial"/>
          <w:szCs w:val="20"/>
        </w:rPr>
        <w:t>as</w:t>
      </w:r>
      <w:r w:rsidRPr="004D71FC">
        <w:rPr>
          <w:rFonts w:cs="Arial"/>
          <w:szCs w:val="20"/>
        </w:rPr>
        <w:t xml:space="preserve"> the data are received from jurisdictions;</w:t>
      </w:r>
    </w:p>
    <w:p w:rsidR="00460371" w:rsidRPr="004D71FC" w:rsidRDefault="00460371" w:rsidP="00AD4FFC">
      <w:pPr>
        <w:pStyle w:val="ListParagraph"/>
        <w:numPr>
          <w:ilvl w:val="0"/>
          <w:numId w:val="23"/>
        </w:numPr>
        <w:tabs>
          <w:tab w:val="left" w:pos="1162"/>
        </w:tabs>
        <w:spacing w:before="120"/>
        <w:rPr>
          <w:rFonts w:cs="Arial"/>
          <w:szCs w:val="20"/>
        </w:rPr>
      </w:pPr>
      <w:r>
        <w:rPr>
          <w:rFonts w:cs="Arial"/>
          <w:szCs w:val="20"/>
        </w:rPr>
        <w:t>M</w:t>
      </w:r>
      <w:r w:rsidRPr="004D71FC">
        <w:rPr>
          <w:rFonts w:cs="Arial"/>
          <w:szCs w:val="20"/>
        </w:rPr>
        <w:t>atching mothers with unqualified neonates</w:t>
      </w:r>
      <w:r>
        <w:rPr>
          <w:rStyle w:val="FootnoteReference"/>
          <w:rFonts w:cs="Arial"/>
          <w:szCs w:val="20"/>
        </w:rPr>
        <w:footnoteReference w:id="3"/>
      </w:r>
      <w:r w:rsidRPr="004D71FC">
        <w:rPr>
          <w:rFonts w:cs="Arial"/>
          <w:szCs w:val="20"/>
        </w:rPr>
        <w:t xml:space="preserve"> to ensure costs are properly attributed to the mothers; </w:t>
      </w:r>
    </w:p>
    <w:p w:rsidR="00460371" w:rsidRPr="004D71FC" w:rsidRDefault="00DD7D45" w:rsidP="00AD4FFC">
      <w:pPr>
        <w:pStyle w:val="ListParagraph"/>
        <w:numPr>
          <w:ilvl w:val="0"/>
          <w:numId w:val="23"/>
        </w:numPr>
        <w:tabs>
          <w:tab w:val="left" w:pos="1162"/>
        </w:tabs>
        <w:spacing w:before="120"/>
        <w:rPr>
          <w:rFonts w:cs="Arial"/>
          <w:szCs w:val="20"/>
        </w:rPr>
      </w:pPr>
      <w:r>
        <w:rPr>
          <w:rFonts w:cs="Arial"/>
          <w:szCs w:val="20"/>
        </w:rPr>
        <w:t>Linking</w:t>
      </w:r>
      <w:r w:rsidR="00460371" w:rsidRPr="004D71FC">
        <w:rPr>
          <w:rFonts w:cs="Arial"/>
          <w:szCs w:val="20"/>
        </w:rPr>
        <w:t xml:space="preserve"> the NHCDC cost file with the APC activity file at the patient level</w:t>
      </w:r>
      <w:r w:rsidR="00460371">
        <w:rPr>
          <w:rFonts w:cs="Arial"/>
          <w:szCs w:val="20"/>
        </w:rPr>
        <w:t xml:space="preserve"> (</w:t>
      </w:r>
      <w:r w:rsidR="00460371" w:rsidRPr="004D71FC">
        <w:rPr>
          <w:rFonts w:cs="Arial"/>
          <w:szCs w:val="20"/>
        </w:rPr>
        <w:t xml:space="preserve">which </w:t>
      </w:r>
      <w:r w:rsidR="00460371">
        <w:rPr>
          <w:rFonts w:cs="Arial"/>
          <w:szCs w:val="20"/>
        </w:rPr>
        <w:t xml:space="preserve">has </w:t>
      </w:r>
      <w:r w:rsidR="00460371" w:rsidRPr="004D71FC">
        <w:rPr>
          <w:rFonts w:cs="Arial"/>
          <w:szCs w:val="20"/>
        </w:rPr>
        <w:t xml:space="preserve">recorded a success rate of </w:t>
      </w:r>
      <w:r w:rsidR="00460371">
        <w:rPr>
          <w:rFonts w:cs="Arial"/>
          <w:szCs w:val="20"/>
        </w:rPr>
        <w:t>over 99 per cent);</w:t>
      </w:r>
    </w:p>
    <w:p w:rsidR="00460371" w:rsidRDefault="00460371" w:rsidP="00AD4FFC">
      <w:pPr>
        <w:pStyle w:val="ListParagraph"/>
        <w:numPr>
          <w:ilvl w:val="0"/>
          <w:numId w:val="23"/>
        </w:numPr>
        <w:tabs>
          <w:tab w:val="left" w:pos="1162"/>
        </w:tabs>
        <w:spacing w:before="120"/>
        <w:rPr>
          <w:rFonts w:cs="Arial"/>
          <w:szCs w:val="20"/>
        </w:rPr>
      </w:pPr>
      <w:r w:rsidRPr="004D71FC">
        <w:rPr>
          <w:rFonts w:cs="Arial"/>
          <w:szCs w:val="20"/>
        </w:rPr>
        <w:t>Identify</w:t>
      </w:r>
      <w:r>
        <w:rPr>
          <w:rFonts w:cs="Arial"/>
          <w:szCs w:val="20"/>
        </w:rPr>
        <w:t>ing</w:t>
      </w:r>
      <w:r w:rsidRPr="004D71FC">
        <w:rPr>
          <w:rFonts w:cs="Arial"/>
          <w:szCs w:val="20"/>
        </w:rPr>
        <w:t xml:space="preserve"> any differences in patient characteristics or operational data recorded across the two </w:t>
      </w:r>
      <w:r>
        <w:rPr>
          <w:rFonts w:cs="Arial"/>
          <w:szCs w:val="20"/>
        </w:rPr>
        <w:t>dataset</w:t>
      </w:r>
      <w:r w:rsidRPr="004D71FC">
        <w:rPr>
          <w:rFonts w:cs="Arial"/>
          <w:szCs w:val="20"/>
        </w:rPr>
        <w:t>s and reconcil</w:t>
      </w:r>
      <w:r>
        <w:rPr>
          <w:rFonts w:cs="Arial"/>
          <w:szCs w:val="20"/>
        </w:rPr>
        <w:t>ing th</w:t>
      </w:r>
      <w:r w:rsidR="00C92D56">
        <w:rPr>
          <w:rFonts w:cs="Arial"/>
          <w:szCs w:val="20"/>
        </w:rPr>
        <w:t>ese</w:t>
      </w:r>
      <w:r>
        <w:rPr>
          <w:rFonts w:cs="Arial"/>
          <w:szCs w:val="20"/>
        </w:rPr>
        <w:t xml:space="preserve"> </w:t>
      </w:r>
      <w:r w:rsidRPr="004D71FC">
        <w:rPr>
          <w:rFonts w:cs="Arial"/>
          <w:szCs w:val="20"/>
        </w:rPr>
        <w:t>where appropriate</w:t>
      </w:r>
      <w:r>
        <w:rPr>
          <w:rFonts w:cs="Arial"/>
          <w:szCs w:val="20"/>
        </w:rPr>
        <w:t xml:space="preserve">; </w:t>
      </w:r>
      <w:r w:rsidRPr="004D71FC">
        <w:rPr>
          <w:rFonts w:cs="Arial"/>
          <w:szCs w:val="20"/>
        </w:rPr>
        <w:t>and</w:t>
      </w:r>
    </w:p>
    <w:p w:rsidR="00460371" w:rsidRPr="004D71FC" w:rsidRDefault="00460371" w:rsidP="00AD4FFC">
      <w:pPr>
        <w:pStyle w:val="ListParagraph"/>
        <w:numPr>
          <w:ilvl w:val="0"/>
          <w:numId w:val="23"/>
        </w:numPr>
        <w:tabs>
          <w:tab w:val="left" w:pos="1162"/>
        </w:tabs>
        <w:spacing w:before="120"/>
        <w:rPr>
          <w:rFonts w:cs="Arial"/>
          <w:szCs w:val="20"/>
        </w:rPr>
      </w:pPr>
      <w:r>
        <w:rPr>
          <w:rFonts w:cs="Arial"/>
          <w:szCs w:val="20"/>
        </w:rPr>
        <w:t>Where reported, removing blood costs and/or any identified amounts related to Commonwealth pharmaceutical payments</w:t>
      </w:r>
      <w:r w:rsidRPr="004D71FC">
        <w:rPr>
          <w:rFonts w:cs="Arial"/>
          <w:szCs w:val="20"/>
        </w:rPr>
        <w:t>.</w:t>
      </w:r>
    </w:p>
    <w:p w:rsidR="00460371" w:rsidRPr="000976DD" w:rsidRDefault="00460371" w:rsidP="00AD4FFC">
      <w:pPr>
        <w:tabs>
          <w:tab w:val="left" w:pos="1162"/>
        </w:tabs>
        <w:rPr>
          <w:rFonts w:cs="Arial"/>
          <w:szCs w:val="20"/>
        </w:rPr>
      </w:pPr>
      <w:r w:rsidRPr="000976DD">
        <w:rPr>
          <w:rFonts w:cs="Arial"/>
          <w:szCs w:val="20"/>
        </w:rPr>
        <w:t xml:space="preserve">Classification systems within each service stream </w:t>
      </w:r>
      <w:r>
        <w:rPr>
          <w:rFonts w:cs="Arial"/>
          <w:szCs w:val="20"/>
        </w:rPr>
        <w:t>are</w:t>
      </w:r>
      <w:r w:rsidRPr="000976DD">
        <w:rPr>
          <w:rFonts w:cs="Arial"/>
          <w:szCs w:val="20"/>
        </w:rPr>
        <w:t xml:space="preserve"> applied uniformly across all available data. Although these systems have been developed </w:t>
      </w:r>
      <w:r>
        <w:rPr>
          <w:rFonts w:cs="Arial"/>
          <w:szCs w:val="20"/>
        </w:rPr>
        <w:t xml:space="preserve">in part </w:t>
      </w:r>
      <w:r w:rsidRPr="000976DD">
        <w:rPr>
          <w:rFonts w:cs="Arial"/>
          <w:szCs w:val="20"/>
        </w:rPr>
        <w:t>to explain variation in cost between different outputs within the stream, additional systematic variation</w:t>
      </w:r>
      <w:r>
        <w:rPr>
          <w:rFonts w:cs="Arial"/>
          <w:szCs w:val="20"/>
        </w:rPr>
        <w:t xml:space="preserve"> still occurs. </w:t>
      </w:r>
      <w:r w:rsidRPr="000976DD">
        <w:rPr>
          <w:rFonts w:cs="Arial"/>
          <w:szCs w:val="20"/>
        </w:rPr>
        <w:t xml:space="preserve">To account for this, various adjustments </w:t>
      </w:r>
      <w:r>
        <w:rPr>
          <w:rFonts w:cs="Arial"/>
          <w:szCs w:val="20"/>
        </w:rPr>
        <w:t>are</w:t>
      </w:r>
      <w:r w:rsidRPr="000976DD">
        <w:rPr>
          <w:rFonts w:cs="Arial"/>
          <w:szCs w:val="20"/>
        </w:rPr>
        <w:t xml:space="preserve"> modelled and where justified, implemented</w:t>
      </w:r>
      <w:r>
        <w:rPr>
          <w:rFonts w:cs="Arial"/>
          <w:szCs w:val="20"/>
        </w:rPr>
        <w:t xml:space="preserve"> into the models</w:t>
      </w:r>
      <w:r w:rsidRPr="000976DD">
        <w:rPr>
          <w:rFonts w:cs="Arial"/>
          <w:szCs w:val="20"/>
        </w:rPr>
        <w:t xml:space="preserve">. </w:t>
      </w:r>
    </w:p>
    <w:p w:rsidR="00460371" w:rsidRPr="004D71FC" w:rsidRDefault="00460371" w:rsidP="00AD4FFC">
      <w:pPr>
        <w:tabs>
          <w:tab w:val="left" w:pos="1162"/>
        </w:tabs>
        <w:rPr>
          <w:rFonts w:cs="Arial"/>
          <w:szCs w:val="20"/>
        </w:rPr>
      </w:pPr>
      <w:r w:rsidRPr="004D71FC">
        <w:rPr>
          <w:rFonts w:cs="Arial"/>
          <w:szCs w:val="20"/>
        </w:rPr>
        <w:t xml:space="preserve">Once agreement </w:t>
      </w:r>
      <w:r>
        <w:rPr>
          <w:rFonts w:cs="Arial"/>
          <w:szCs w:val="20"/>
        </w:rPr>
        <w:t>is</w:t>
      </w:r>
      <w:r w:rsidRPr="004D71FC">
        <w:rPr>
          <w:rFonts w:cs="Arial"/>
          <w:szCs w:val="20"/>
        </w:rPr>
        <w:t xml:space="preserve"> reached on the </w:t>
      </w:r>
      <w:r>
        <w:rPr>
          <w:rFonts w:cs="Arial"/>
          <w:szCs w:val="20"/>
        </w:rPr>
        <w:t>cost profiles, adjustments</w:t>
      </w:r>
      <w:r w:rsidRPr="004D71FC">
        <w:rPr>
          <w:rFonts w:cs="Arial"/>
          <w:szCs w:val="20"/>
        </w:rPr>
        <w:t xml:space="preserve"> and relative weights of various classes within each service stream, the data </w:t>
      </w:r>
      <w:r>
        <w:rPr>
          <w:rFonts w:cs="Arial"/>
          <w:szCs w:val="20"/>
        </w:rPr>
        <w:t>are</w:t>
      </w:r>
      <w:r w:rsidRPr="004D71FC">
        <w:rPr>
          <w:rFonts w:cs="Arial"/>
          <w:szCs w:val="20"/>
        </w:rPr>
        <w:t xml:space="preserve"> projected to reflect </w:t>
      </w:r>
      <w:r w:rsidR="00B94FB5">
        <w:rPr>
          <w:rFonts w:cs="Arial"/>
          <w:szCs w:val="20"/>
        </w:rPr>
        <w:t>2015-16</w:t>
      </w:r>
      <w:r w:rsidRPr="004D71FC">
        <w:rPr>
          <w:rFonts w:cs="Arial"/>
          <w:szCs w:val="20"/>
        </w:rPr>
        <w:t xml:space="preserve"> prices and relativities</w:t>
      </w:r>
      <w:r>
        <w:rPr>
          <w:rFonts w:cs="Arial"/>
          <w:szCs w:val="20"/>
        </w:rPr>
        <w:t>. T</w:t>
      </w:r>
      <w:r w:rsidRPr="004D71FC">
        <w:rPr>
          <w:rFonts w:cs="Arial"/>
          <w:szCs w:val="20"/>
        </w:rPr>
        <w:t xml:space="preserve">hese data are </w:t>
      </w:r>
      <w:r>
        <w:rPr>
          <w:rFonts w:cs="Arial"/>
          <w:szCs w:val="20"/>
        </w:rPr>
        <w:t xml:space="preserve">then </w:t>
      </w:r>
      <w:r w:rsidRPr="004D71FC">
        <w:rPr>
          <w:rFonts w:cs="Arial"/>
          <w:szCs w:val="20"/>
        </w:rPr>
        <w:t xml:space="preserve">fed into the development of the </w:t>
      </w:r>
      <w:r w:rsidR="00B94FB5">
        <w:rPr>
          <w:rFonts w:cs="Arial"/>
          <w:szCs w:val="20"/>
        </w:rPr>
        <w:t>NEP15</w:t>
      </w:r>
      <w:r>
        <w:rPr>
          <w:rFonts w:cs="Arial"/>
          <w:szCs w:val="20"/>
        </w:rPr>
        <w:t xml:space="preserve">, as explained in detail in </w:t>
      </w:r>
      <w:hyperlink w:anchor="AttB" w:history="1">
        <w:r w:rsidRPr="00D266F5">
          <w:rPr>
            <w:rStyle w:val="Hyperlink"/>
            <w:rFonts w:cs="Arial"/>
            <w:b/>
            <w:szCs w:val="20"/>
          </w:rPr>
          <w:t>Attachment B</w:t>
        </w:r>
      </w:hyperlink>
      <w:r w:rsidRPr="00D266F5">
        <w:rPr>
          <w:rFonts w:cs="Arial"/>
          <w:szCs w:val="20"/>
        </w:rPr>
        <w:t>.</w:t>
      </w:r>
    </w:p>
    <w:p w:rsidR="00460371" w:rsidRDefault="00460371" w:rsidP="00AD4FFC">
      <w:pPr>
        <w:tabs>
          <w:tab w:val="left" w:pos="1162"/>
        </w:tabs>
        <w:rPr>
          <w:rFonts w:cs="Arial"/>
          <w:szCs w:val="20"/>
        </w:rPr>
      </w:pPr>
      <w:r w:rsidRPr="004D71FC">
        <w:rPr>
          <w:rFonts w:cs="Arial"/>
          <w:szCs w:val="20"/>
        </w:rPr>
        <w:t xml:space="preserve">The overall process to determine </w:t>
      </w:r>
      <w:r w:rsidR="00B94FB5">
        <w:rPr>
          <w:rFonts w:cs="Arial"/>
          <w:szCs w:val="20"/>
        </w:rPr>
        <w:t>NEP15</w:t>
      </w:r>
      <w:r w:rsidRPr="004D71FC">
        <w:rPr>
          <w:rFonts w:cs="Arial"/>
          <w:szCs w:val="20"/>
        </w:rPr>
        <w:t xml:space="preserve"> is shown</w:t>
      </w:r>
      <w:r>
        <w:rPr>
          <w:rFonts w:cs="Arial"/>
          <w:szCs w:val="20"/>
        </w:rPr>
        <w:t xml:space="preserve"> in</w:t>
      </w:r>
      <w:r w:rsidR="005C46B9">
        <w:rPr>
          <w:rFonts w:cs="Arial"/>
          <w:szCs w:val="20"/>
        </w:rPr>
        <w:t xml:space="preserve"> Figure 1. </w:t>
      </w:r>
    </w:p>
    <w:p w:rsidR="00460371" w:rsidRDefault="00460371">
      <w:pPr>
        <w:pStyle w:val="table"/>
      </w:pPr>
      <w:bookmarkStart w:id="10" w:name="_Ref342303554"/>
      <w:r>
        <w:lastRenderedPageBreak/>
        <w:t xml:space="preserve">Figure </w:t>
      </w:r>
      <w:fldSimple w:instr=" SEQ Figure \* ARABIC ">
        <w:r w:rsidR="00915776">
          <w:rPr>
            <w:noProof/>
          </w:rPr>
          <w:t>1</w:t>
        </w:r>
      </w:fldSimple>
      <w:bookmarkEnd w:id="10"/>
      <w:r>
        <w:t xml:space="preserve">: </w:t>
      </w:r>
      <w:r w:rsidRPr="005C5B2B">
        <w:t>Process to determine t</w:t>
      </w:r>
      <w:r>
        <w:t xml:space="preserve">he National Efficient Price </w:t>
      </w:r>
      <w:r w:rsidR="00B94FB5">
        <w:t>2015-16</w:t>
      </w:r>
    </w:p>
    <w:p w:rsidR="00460371" w:rsidRDefault="00F6771D" w:rsidP="00AE5456">
      <w:pPr>
        <w:tabs>
          <w:tab w:val="left" w:pos="1162"/>
        </w:tabs>
        <w:jc w:val="center"/>
      </w:pPr>
      <w:r>
        <w:rPr>
          <w:noProof/>
          <w:lang w:eastAsia="en-AU"/>
        </w:rPr>
        <w:drawing>
          <wp:inline distT="0" distB="0" distL="0" distR="0" wp14:anchorId="2EFF2F61" wp14:editId="0EC971E2">
            <wp:extent cx="5727700" cy="2708910"/>
            <wp:effectExtent l="0" t="0" r="6350" b="0"/>
            <wp:docPr id="4" name="Picture 4" descr="Figure 1 is a flowchart representing the process of the preliminary preparation of costing and activity data. &#10;Step one: develop classification systems. In between step one and two: the Jurisdictions submit data including Admitted Patient Care Activity based Funding Data Set Specification (DSS), Admitted Subacute and Non-Acute Care Activity Based Funding Data Set Specification (DSS), Emergency Services Activity Based Funding Data Set Specification (DSS), Non-Admitted Patient Activity Based Funding Data Set Specification (DSS), National Hospital Cost Data Collection and National Public Hospital Establishment Data and Emergency Services Activity Based Funding Data Set Specification (DSS). &#10;Step two: Collect and cleanse data. &#10;Step two A: Remove other Commonwealth funding&#10;Step three: Develop 2012-13 cost models. During step three: Jurisdictions take part in IHPA committees and working groups. Between step three and four: Projection of underlying costs and price indexation take place simultaneously. &#10;Step four: Determine National Efficient Price (NEP) and National Efficient Cost (NEC) for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708910"/>
                    </a:xfrm>
                    <a:prstGeom prst="rect">
                      <a:avLst/>
                    </a:prstGeom>
                    <a:noFill/>
                    <a:ln>
                      <a:noFill/>
                    </a:ln>
                  </pic:spPr>
                </pic:pic>
              </a:graphicData>
            </a:graphic>
          </wp:inline>
        </w:drawing>
      </w:r>
    </w:p>
    <w:p w:rsidR="00D01C1C" w:rsidRDefault="00460371" w:rsidP="00AD4FFC">
      <w:pPr>
        <w:pStyle w:val="Heading2"/>
        <w:keepLines w:val="0"/>
        <w:numPr>
          <w:ilvl w:val="1"/>
          <w:numId w:val="35"/>
        </w:numPr>
        <w:tabs>
          <w:tab w:val="left" w:pos="1162"/>
        </w:tabs>
        <w:spacing w:after="60"/>
      </w:pPr>
      <w:bookmarkStart w:id="11" w:name="_Toc380754689"/>
      <w:bookmarkStart w:id="12" w:name="_Toc412550706"/>
      <w:r>
        <w:t>Backcasting</w:t>
      </w:r>
      <w:bookmarkEnd w:id="11"/>
      <w:bookmarkEnd w:id="12"/>
    </w:p>
    <w:p w:rsidR="00E95D33" w:rsidRPr="00E95D33" w:rsidRDefault="00E95D33" w:rsidP="00AD4FFC">
      <w:pPr>
        <w:pStyle w:val="Headingnonumber"/>
      </w:pPr>
      <w:r w:rsidRPr="00E95D33">
        <w:t xml:space="preserve">National Efficient Price Determination </w:t>
      </w:r>
      <w:r w:rsidR="00B94FB5">
        <w:t>2015-16</w:t>
      </w:r>
      <w:r w:rsidRPr="00E95D33">
        <w:t xml:space="preserve"> (</w:t>
      </w:r>
      <w:r w:rsidR="00B94FB5">
        <w:t>NEP15</w:t>
      </w:r>
      <w:r w:rsidRPr="00E95D33">
        <w:t>)</w:t>
      </w:r>
    </w:p>
    <w:p w:rsidR="00E95D33" w:rsidRDefault="00E95D33" w:rsidP="00AD4FFC">
      <w:pPr>
        <w:spacing w:after="0"/>
        <w:rPr>
          <w:rFonts w:ascii="Arial" w:hAnsi="Arial" w:cs="Arial"/>
        </w:rPr>
      </w:pPr>
      <w:r w:rsidRPr="000F33BB">
        <w:rPr>
          <w:rFonts w:ascii="Arial" w:hAnsi="Arial" w:cs="Arial"/>
        </w:rPr>
        <w:t>In accordance with Clauses A34(b) and A40 of the NHRA, th</w:t>
      </w:r>
      <w:r w:rsidR="00A212A3">
        <w:rPr>
          <w:rFonts w:ascii="Arial" w:hAnsi="Arial" w:cs="Arial"/>
        </w:rPr>
        <w:t xml:space="preserve">e Pricing Authority has applied </w:t>
      </w:r>
      <w:r w:rsidRPr="000F33BB">
        <w:rPr>
          <w:rFonts w:ascii="Arial" w:hAnsi="Arial" w:cs="Arial"/>
        </w:rPr>
        <w:t>the methodological changes to NEP1</w:t>
      </w:r>
      <w:r w:rsidR="00E82DB4">
        <w:rPr>
          <w:rFonts w:ascii="Arial" w:hAnsi="Arial" w:cs="Arial"/>
        </w:rPr>
        <w:t>4</w:t>
      </w:r>
      <w:r w:rsidRPr="000F33BB">
        <w:rPr>
          <w:rFonts w:ascii="Arial" w:hAnsi="Arial" w:cs="Arial"/>
        </w:rPr>
        <w:t xml:space="preserve"> </w:t>
      </w:r>
      <w:r w:rsidR="00F731FB">
        <w:rPr>
          <w:rFonts w:ascii="Arial" w:hAnsi="Arial" w:cs="Arial"/>
        </w:rPr>
        <w:t>to</w:t>
      </w:r>
      <w:r w:rsidR="00F731FB" w:rsidRPr="000F33BB">
        <w:rPr>
          <w:rFonts w:ascii="Arial" w:hAnsi="Arial" w:cs="Arial"/>
        </w:rPr>
        <w:t xml:space="preserve"> </w:t>
      </w:r>
      <w:r w:rsidRPr="000F33BB">
        <w:rPr>
          <w:rFonts w:ascii="Arial" w:hAnsi="Arial" w:cs="Arial"/>
        </w:rPr>
        <w:t>determi</w:t>
      </w:r>
      <w:r w:rsidR="00A212A3">
        <w:rPr>
          <w:rFonts w:ascii="Arial" w:hAnsi="Arial" w:cs="Arial"/>
        </w:rPr>
        <w:t>ne the back cast NEP1</w:t>
      </w:r>
      <w:r w:rsidR="00E82DB4">
        <w:rPr>
          <w:rFonts w:ascii="Arial" w:hAnsi="Arial" w:cs="Arial"/>
        </w:rPr>
        <w:t>4</w:t>
      </w:r>
      <w:r w:rsidR="00A212A3">
        <w:rPr>
          <w:rFonts w:ascii="Arial" w:hAnsi="Arial" w:cs="Arial"/>
        </w:rPr>
        <w:t xml:space="preserve"> for the </w:t>
      </w:r>
      <w:r w:rsidRPr="000F33BB">
        <w:rPr>
          <w:rFonts w:ascii="Arial" w:hAnsi="Arial" w:cs="Arial"/>
        </w:rPr>
        <w:t>purposes of determining Commonwealth growth funding</w:t>
      </w:r>
      <w:r w:rsidR="00A212A3">
        <w:rPr>
          <w:rFonts w:ascii="Arial" w:hAnsi="Arial" w:cs="Arial"/>
        </w:rPr>
        <w:t xml:space="preserve"> between 201</w:t>
      </w:r>
      <w:r w:rsidR="00E82DB4">
        <w:rPr>
          <w:rFonts w:ascii="Arial" w:hAnsi="Arial" w:cs="Arial"/>
        </w:rPr>
        <w:t>4</w:t>
      </w:r>
      <w:r w:rsidR="00A212A3">
        <w:rPr>
          <w:rFonts w:ascii="Arial" w:hAnsi="Arial" w:cs="Arial"/>
        </w:rPr>
        <w:t>-1</w:t>
      </w:r>
      <w:r w:rsidR="00E82DB4">
        <w:rPr>
          <w:rFonts w:ascii="Arial" w:hAnsi="Arial" w:cs="Arial"/>
        </w:rPr>
        <w:t>5</w:t>
      </w:r>
      <w:r w:rsidR="00A212A3">
        <w:rPr>
          <w:rFonts w:ascii="Arial" w:hAnsi="Arial" w:cs="Arial"/>
        </w:rPr>
        <w:t xml:space="preserve"> and </w:t>
      </w:r>
      <w:r w:rsidR="00B94FB5">
        <w:rPr>
          <w:rFonts w:ascii="Arial" w:hAnsi="Arial" w:cs="Arial"/>
        </w:rPr>
        <w:t>2015-16</w:t>
      </w:r>
      <w:r w:rsidR="00F731FB">
        <w:rPr>
          <w:rFonts w:ascii="Arial" w:hAnsi="Arial" w:cs="Arial"/>
        </w:rPr>
        <w:t>.</w:t>
      </w:r>
      <w:r w:rsidR="00A212A3">
        <w:rPr>
          <w:rFonts w:ascii="Arial" w:hAnsi="Arial" w:cs="Arial"/>
        </w:rPr>
        <w:t xml:space="preserve"> </w:t>
      </w:r>
      <w:r w:rsidR="00F731FB">
        <w:rPr>
          <w:rFonts w:ascii="Arial" w:hAnsi="Arial" w:cs="Arial"/>
        </w:rPr>
        <w:t xml:space="preserve">The backcast amount for NEP14 is provided in </w:t>
      </w:r>
      <w:r w:rsidR="00E47B04">
        <w:rPr>
          <w:rFonts w:ascii="Arial" w:hAnsi="Arial" w:cs="Arial"/>
        </w:rPr>
        <w:t>Chapter 8</w:t>
      </w:r>
      <w:r w:rsidR="00F731FB">
        <w:rPr>
          <w:rFonts w:ascii="Arial" w:hAnsi="Arial" w:cs="Arial"/>
        </w:rPr>
        <w:t xml:space="preserve"> of the </w:t>
      </w:r>
      <w:r w:rsidR="00F731FB" w:rsidRPr="00B3571F">
        <w:rPr>
          <w:rFonts w:ascii="Arial" w:hAnsi="Arial" w:cs="Arial"/>
        </w:rPr>
        <w:t>NEP15 Determination</w:t>
      </w:r>
      <w:r w:rsidR="00F731FB">
        <w:rPr>
          <w:rFonts w:ascii="Arial" w:hAnsi="Arial" w:cs="Arial"/>
        </w:rPr>
        <w:t xml:space="preserve">. </w:t>
      </w:r>
    </w:p>
    <w:p w:rsidR="00E95D33" w:rsidRPr="00E95D33" w:rsidRDefault="00E95D33" w:rsidP="00AD4FFC">
      <w:pPr>
        <w:pStyle w:val="Headingnonumber"/>
      </w:pPr>
      <w:r w:rsidRPr="00E95D33">
        <w:t xml:space="preserve">Backcasting </w:t>
      </w:r>
      <w:r w:rsidR="00C92D56">
        <w:t xml:space="preserve">ABF </w:t>
      </w:r>
      <w:r w:rsidRPr="00E95D33">
        <w:t>Volume</w:t>
      </w:r>
    </w:p>
    <w:p w:rsidR="00E95D33" w:rsidRDefault="00E95D33" w:rsidP="00AD4FFC">
      <w:pPr>
        <w:spacing w:before="120"/>
        <w:rPr>
          <w:rFonts w:ascii="Arial" w:hAnsi="Arial" w:cs="Arial"/>
        </w:rPr>
      </w:pPr>
      <w:r>
        <w:rPr>
          <w:rFonts w:ascii="Arial" w:hAnsi="Arial" w:cs="Arial"/>
        </w:rPr>
        <w:t>IHPA has also estimated the volume impact of methodological changes between NEP1</w:t>
      </w:r>
      <w:r w:rsidR="00F731FB">
        <w:rPr>
          <w:rFonts w:ascii="Arial" w:hAnsi="Arial" w:cs="Arial"/>
        </w:rPr>
        <w:t>4</w:t>
      </w:r>
      <w:r>
        <w:rPr>
          <w:rFonts w:ascii="Arial" w:hAnsi="Arial" w:cs="Arial"/>
        </w:rPr>
        <w:t xml:space="preserve"> and </w:t>
      </w:r>
      <w:r w:rsidR="00B94FB5">
        <w:rPr>
          <w:rFonts w:ascii="Arial" w:hAnsi="Arial" w:cs="Arial"/>
        </w:rPr>
        <w:t>NEP15</w:t>
      </w:r>
      <w:r>
        <w:rPr>
          <w:rFonts w:ascii="Arial" w:hAnsi="Arial" w:cs="Arial"/>
        </w:rPr>
        <w:t>, which can be used for the purpose of estimating movements in volume between NEP1</w:t>
      </w:r>
      <w:r w:rsidR="00F731FB">
        <w:rPr>
          <w:rFonts w:ascii="Arial" w:hAnsi="Arial" w:cs="Arial"/>
        </w:rPr>
        <w:t>4</w:t>
      </w:r>
      <w:r>
        <w:rPr>
          <w:rFonts w:ascii="Arial" w:hAnsi="Arial" w:cs="Arial"/>
        </w:rPr>
        <w:t xml:space="preserve"> and </w:t>
      </w:r>
      <w:r w:rsidR="00B94FB5">
        <w:rPr>
          <w:rFonts w:ascii="Arial" w:hAnsi="Arial" w:cs="Arial"/>
        </w:rPr>
        <w:t>NEP15</w:t>
      </w:r>
      <w:r>
        <w:rPr>
          <w:rFonts w:ascii="Arial" w:hAnsi="Arial" w:cs="Arial"/>
        </w:rPr>
        <w:t xml:space="preserve">. This is useful for </w:t>
      </w:r>
      <w:r w:rsidR="00E82DB4">
        <w:rPr>
          <w:rFonts w:ascii="Arial" w:hAnsi="Arial" w:cs="Arial"/>
        </w:rPr>
        <w:t xml:space="preserve">relating </w:t>
      </w:r>
      <w:r w:rsidR="00B94FB5">
        <w:rPr>
          <w:rFonts w:ascii="Arial" w:hAnsi="Arial" w:cs="Arial"/>
        </w:rPr>
        <w:t>NWAU14</w:t>
      </w:r>
      <w:r>
        <w:rPr>
          <w:rFonts w:ascii="Arial" w:hAnsi="Arial" w:cs="Arial"/>
        </w:rPr>
        <w:t xml:space="preserve"> activity to </w:t>
      </w:r>
      <w:r w:rsidR="00B94FB5">
        <w:rPr>
          <w:rFonts w:ascii="Arial" w:hAnsi="Arial" w:cs="Arial"/>
        </w:rPr>
        <w:t>NWAU15</w:t>
      </w:r>
      <w:r>
        <w:rPr>
          <w:rFonts w:ascii="Arial" w:hAnsi="Arial" w:cs="Arial"/>
        </w:rPr>
        <w:t xml:space="preserve"> targets, and for estimating Commonwealth growth funding prior to actual 201</w:t>
      </w:r>
      <w:r w:rsidR="00E82DB4">
        <w:rPr>
          <w:rFonts w:ascii="Arial" w:hAnsi="Arial" w:cs="Arial"/>
        </w:rPr>
        <w:t>4</w:t>
      </w:r>
      <w:r>
        <w:rPr>
          <w:rFonts w:ascii="Arial" w:hAnsi="Arial" w:cs="Arial"/>
        </w:rPr>
        <w:t>-1</w:t>
      </w:r>
      <w:r w:rsidR="00E82DB4">
        <w:rPr>
          <w:rFonts w:ascii="Arial" w:hAnsi="Arial" w:cs="Arial"/>
        </w:rPr>
        <w:t>5</w:t>
      </w:r>
      <w:r>
        <w:rPr>
          <w:rFonts w:ascii="Arial" w:hAnsi="Arial" w:cs="Arial"/>
        </w:rPr>
        <w:t xml:space="preserve"> activity data being available.</w:t>
      </w:r>
    </w:p>
    <w:p w:rsidR="00E95D33" w:rsidRPr="00D908D4" w:rsidRDefault="00E95D33" w:rsidP="00AD4FFC">
      <w:pPr>
        <w:tabs>
          <w:tab w:val="left" w:pos="1162"/>
        </w:tabs>
        <w:spacing w:before="120"/>
        <w:rPr>
          <w:rFonts w:ascii="Arial" w:hAnsi="Arial" w:cs="Arial"/>
        </w:rPr>
      </w:pPr>
      <w:r w:rsidRPr="00D908D4">
        <w:rPr>
          <w:rFonts w:ascii="Arial" w:hAnsi="Arial" w:cs="Arial"/>
        </w:rPr>
        <w:t xml:space="preserve">The volume multipliers (VM) are calculated for each jurisdiction for each particular ABF service category stream and </w:t>
      </w:r>
      <w:r w:rsidR="00F731FB">
        <w:rPr>
          <w:rFonts w:ascii="Arial" w:hAnsi="Arial" w:cs="Arial"/>
        </w:rPr>
        <w:t xml:space="preserve">are </w:t>
      </w:r>
      <w:r w:rsidR="00E82DB4">
        <w:rPr>
          <w:rFonts w:ascii="Arial" w:hAnsi="Arial" w:cs="Arial"/>
        </w:rPr>
        <w:t>p</w:t>
      </w:r>
      <w:r w:rsidR="00F731FB">
        <w:rPr>
          <w:rFonts w:ascii="Arial" w:hAnsi="Arial" w:cs="Arial"/>
        </w:rPr>
        <w:t xml:space="preserve">rovided in </w:t>
      </w:r>
      <w:r w:rsidR="00E47B04">
        <w:rPr>
          <w:rFonts w:ascii="Arial" w:hAnsi="Arial" w:cs="Arial"/>
        </w:rPr>
        <w:t>Chapter 8</w:t>
      </w:r>
      <w:r w:rsidR="00E82DB4">
        <w:rPr>
          <w:rFonts w:ascii="Arial" w:hAnsi="Arial" w:cs="Arial"/>
        </w:rPr>
        <w:t xml:space="preserve"> of the </w:t>
      </w:r>
      <w:r w:rsidR="00E82DB4" w:rsidRPr="00B3571F">
        <w:rPr>
          <w:rFonts w:ascii="Arial" w:hAnsi="Arial" w:cs="Arial"/>
        </w:rPr>
        <w:t>NEP15 Determina</w:t>
      </w:r>
      <w:r w:rsidR="00F731FB" w:rsidRPr="00B3571F">
        <w:rPr>
          <w:rFonts w:ascii="Arial" w:hAnsi="Arial" w:cs="Arial"/>
        </w:rPr>
        <w:t>t</w:t>
      </w:r>
      <w:r w:rsidR="00E82DB4" w:rsidRPr="00B3571F">
        <w:rPr>
          <w:rFonts w:ascii="Arial" w:hAnsi="Arial" w:cs="Arial"/>
        </w:rPr>
        <w:t>ion</w:t>
      </w:r>
      <w:r w:rsidRPr="00D908D4">
        <w:rPr>
          <w:rFonts w:ascii="Arial" w:hAnsi="Arial" w:cs="Arial"/>
        </w:rPr>
        <w:t xml:space="preserve">. The backcast volume multipliers for each jurisdiction (for each ABF product category) are calculated </w:t>
      </w:r>
      <w:r w:rsidR="00E97A71">
        <w:rPr>
          <w:rFonts w:ascii="Arial" w:hAnsi="Arial" w:cs="Arial"/>
        </w:rPr>
        <w:t xml:space="preserve">from the </w:t>
      </w:r>
      <w:r w:rsidR="0036552B">
        <w:rPr>
          <w:rFonts w:ascii="Arial" w:hAnsi="Arial" w:cs="Arial"/>
        </w:rPr>
        <w:t xml:space="preserve">most recently </w:t>
      </w:r>
      <w:r w:rsidR="00E97A71">
        <w:rPr>
          <w:rFonts w:ascii="Arial" w:hAnsi="Arial" w:cs="Arial"/>
        </w:rPr>
        <w:t>reported activity data</w:t>
      </w:r>
      <w:r w:rsidR="0036552B">
        <w:rPr>
          <w:rFonts w:ascii="Arial" w:hAnsi="Arial" w:cs="Arial"/>
        </w:rPr>
        <w:t xml:space="preserve">, namely 2013-14, </w:t>
      </w:r>
      <w:r w:rsidR="00E97A71" w:rsidRPr="00D908D4">
        <w:rPr>
          <w:rFonts w:ascii="Arial" w:hAnsi="Arial" w:cs="Arial"/>
        </w:rPr>
        <w:t>as</w:t>
      </w:r>
      <w:r w:rsidRPr="00D908D4">
        <w:rPr>
          <w:rFonts w:ascii="Arial" w:hAnsi="Arial" w:cs="Arial"/>
        </w:rPr>
        <w:t>:</w:t>
      </w:r>
    </w:p>
    <w:p w:rsidR="00E95D33" w:rsidRPr="00D908D4" w:rsidRDefault="00E95D33" w:rsidP="0036552B">
      <w:pPr>
        <w:spacing w:before="360" w:after="360"/>
        <w:rPr>
          <w:rFonts w:ascii="Arial" w:hAnsi="Arial" w:cs="Arial"/>
          <w:u w:val="single"/>
        </w:rPr>
      </w:pPr>
      <m:oMathPara>
        <m:oMath>
          <m:r>
            <m:rPr>
              <m:sty m:val="p"/>
            </m:rPr>
            <w:rPr>
              <w:rFonts w:ascii="Cambria Math" w:hAnsi="Cambria Math" w:cs="Arial"/>
            </w:rPr>
            <m:t>VM</m:t>
          </m:r>
          <m:r>
            <w:rPr>
              <w:rFonts w:ascii="Cambria Math" w:hAnsi="Cambria Math" w:cs="Arial"/>
            </w:rPr>
            <m:t>=</m:t>
          </m:r>
          <m:f>
            <m:fPr>
              <m:ctrlPr>
                <w:rPr>
                  <w:rFonts w:ascii="Cambria Math" w:hAnsi="Cambria Math" w:cs="Arial"/>
                  <w:u w:val="single"/>
                </w:rPr>
              </m:ctrlPr>
            </m:fPr>
            <m:num>
              <m:r>
                <m:rPr>
                  <m:sty m:val="p"/>
                </m:rPr>
                <w:rPr>
                  <w:rFonts w:ascii="Cambria Math" w:hAnsi="Cambria Math" w:cs="Arial"/>
                  <w:u w:val="single"/>
                </w:rPr>
                <m:t>NWAUs delivered by backcast model (NWAU15 calculator)</m:t>
              </m:r>
            </m:num>
            <m:den>
              <m:r>
                <m:rPr>
                  <m:sty m:val="p"/>
                </m:rPr>
                <w:rPr>
                  <w:rFonts w:ascii="Cambria Math" w:hAnsi="Cambria Math" w:cs="Arial"/>
                  <w:u w:val="single"/>
                </w:rPr>
                <m:t>NWAUs delivered by original cost model (NWAU14 calculator)</m:t>
              </m:r>
            </m:den>
          </m:f>
        </m:oMath>
      </m:oMathPara>
    </w:p>
    <w:p w:rsidR="00E95D33" w:rsidRDefault="008E0156" w:rsidP="00AD4FFC">
      <w:pPr>
        <w:rPr>
          <w:rFonts w:ascii="Arial" w:hAnsi="Arial" w:cs="Arial"/>
        </w:rPr>
      </w:pPr>
      <w:r>
        <w:rPr>
          <w:rFonts w:ascii="Arial" w:hAnsi="Arial" w:cs="Arial"/>
        </w:rPr>
        <w:t>The volume multipliers can be applied to estimates of an NWAU count for 2014-15 if actual data is not available</w:t>
      </w:r>
      <w:r w:rsidR="00E95D33" w:rsidRPr="00D908D4">
        <w:rPr>
          <w:rFonts w:ascii="Arial" w:hAnsi="Arial" w:cs="Arial"/>
        </w:rPr>
        <w:t xml:space="preserve">. </w:t>
      </w:r>
    </w:p>
    <w:p w:rsidR="0036552B" w:rsidRDefault="0036552B" w:rsidP="0036552B">
      <w:pPr>
        <w:pStyle w:val="Headingnonumber"/>
      </w:pPr>
      <w:r>
        <w:t xml:space="preserve">Backcasting the Efficient Cost of block-funded hospitals </w:t>
      </w:r>
    </w:p>
    <w:p w:rsidR="0036552B" w:rsidRDefault="0036552B" w:rsidP="0036552B">
      <w:pPr>
        <w:spacing w:before="120"/>
        <w:rPr>
          <w:rFonts w:ascii="Arial" w:hAnsi="Arial" w:cs="Arial"/>
        </w:rPr>
      </w:pPr>
      <w:r>
        <w:rPr>
          <w:rFonts w:ascii="Arial" w:hAnsi="Arial" w:cs="Arial"/>
        </w:rPr>
        <w:t xml:space="preserve">Back-casting of the efficient cost of block-funded hospitals is also required for the NEC cost model because of the substantial changes in the NEC15 methodology. The impact of these methodological changes is measured by applying the NEC14 and NEC15 versions of the </w:t>
      </w:r>
      <w:r>
        <w:rPr>
          <w:rFonts w:ascii="Arial" w:hAnsi="Arial" w:cs="Arial"/>
        </w:rPr>
        <w:lastRenderedPageBreak/>
        <w:t>cost model to the latest available data – which is 2012-13 because both cost and activity data are required. The backcast multiplier (BM) for each state is calculated as follows:</w:t>
      </w:r>
    </w:p>
    <w:p w:rsidR="00644CE9" w:rsidRPr="00644CE9" w:rsidRDefault="00644CE9" w:rsidP="0036552B">
      <w:pPr>
        <w:spacing w:before="360" w:after="360"/>
        <w:ind w:left="1440"/>
        <w:rPr>
          <w:rFonts w:ascii="Arial" w:eastAsiaTheme="minorEastAsia" w:hAnsi="Arial" w:cs="Arial"/>
          <w:u w:val="single"/>
        </w:rPr>
      </w:pPr>
      <m:oMathPara>
        <m:oMathParaPr>
          <m:jc m:val="left"/>
        </m:oMathParaPr>
        <m:oMath>
          <m:r>
            <m:rPr>
              <m:sty m:val="p"/>
            </m:rPr>
            <w:rPr>
              <w:rFonts w:ascii="Cambria Math" w:eastAsiaTheme="minorEastAsia" w:hAnsi="Cambria Math" w:cs="Arial"/>
              <w:u w:color="000000" w:themeColor="text1"/>
            </w:rPr>
            <m:t>BM</m:t>
          </m:r>
          <m:r>
            <w:rPr>
              <w:rFonts w:ascii="Cambria Math" w:eastAsiaTheme="minorEastAsia" w:hAnsi="Cambria Math" w:cs="Arial"/>
              <w:u w:color="000000" w:themeColor="text1"/>
            </w:rPr>
            <m:t xml:space="preserve">= </m:t>
          </m:r>
          <m:f>
            <m:fPr>
              <m:ctrlPr>
                <w:rPr>
                  <w:rFonts w:ascii="Cambria Math" w:hAnsi="Cambria Math" w:cs="Arial"/>
                  <w:u w:color="000000" w:themeColor="text1"/>
                </w:rPr>
              </m:ctrlPr>
            </m:fPr>
            <m:num>
              <m:r>
                <m:rPr>
                  <m:sty m:val="p"/>
                </m:rPr>
                <w:rPr>
                  <w:rFonts w:ascii="Cambria Math" w:hAnsi="Cambria Math" w:cs="Arial"/>
                  <w:u w:color="000000" w:themeColor="text1"/>
                </w:rPr>
                <m:t>Aggregate efficient cost using NEC15 cost model</m:t>
              </m:r>
            </m:num>
            <m:den>
              <m:r>
                <m:rPr>
                  <m:sty m:val="p"/>
                </m:rPr>
                <w:rPr>
                  <w:rFonts w:ascii="Cambria Math" w:hAnsi="Cambria Math" w:cs="Arial"/>
                  <w:u w:color="000000" w:themeColor="text1"/>
                </w:rPr>
                <m:t xml:space="preserve">Aggregate efficient cost using NEC14 cost model </m:t>
              </m:r>
            </m:den>
          </m:f>
        </m:oMath>
      </m:oMathPara>
    </w:p>
    <w:p w:rsidR="0036552B" w:rsidRPr="00891377" w:rsidRDefault="0036552B" w:rsidP="0036552B">
      <w:pPr>
        <w:spacing w:before="120"/>
        <w:rPr>
          <w:rFonts w:ascii="Arial" w:hAnsi="Arial" w:cs="Arial"/>
        </w:rPr>
      </w:pPr>
      <w:r>
        <w:rPr>
          <w:rFonts w:ascii="Arial" w:hAnsi="Arial" w:cs="Arial"/>
        </w:rPr>
        <w:t>The backcast efficient cost for a particular hospital is calculated by multiplying the BM of the relevant state by the NEC14 efficient cost for that hospital. The implied growth in efficient cost is then determined (</w:t>
      </w:r>
      <w:r w:rsidR="00C92D56">
        <w:rPr>
          <w:rFonts w:ascii="Arial" w:hAnsi="Arial" w:cs="Arial"/>
        </w:rPr>
        <w:t xml:space="preserve">most relevant </w:t>
      </w:r>
      <w:r>
        <w:rPr>
          <w:rFonts w:ascii="Arial" w:hAnsi="Arial" w:cs="Arial"/>
        </w:rPr>
        <w:t>at the state level) by dividing the NEC15 efficient cost by the backcast NEC14 efficient cost.</w:t>
      </w:r>
    </w:p>
    <w:p w:rsidR="00A71212" w:rsidRPr="00E95D33" w:rsidRDefault="00A71212" w:rsidP="00A71212">
      <w:pPr>
        <w:pStyle w:val="Headingnonumber"/>
      </w:pPr>
      <w:r w:rsidRPr="00E95D33">
        <w:t xml:space="preserve">Backcasting </w:t>
      </w:r>
      <w:r>
        <w:t xml:space="preserve">changes across ABF </w:t>
      </w:r>
      <w:r w:rsidR="0036552B">
        <w:t xml:space="preserve">and/or Block funded </w:t>
      </w:r>
      <w:r>
        <w:t>streams</w:t>
      </w:r>
    </w:p>
    <w:p w:rsidR="0036552B" w:rsidRPr="004B44AC" w:rsidRDefault="0036552B" w:rsidP="0036552B">
      <w:pPr>
        <w:rPr>
          <w:rFonts w:ascii="Arial" w:hAnsi="Arial" w:cs="Arial"/>
        </w:rPr>
      </w:pPr>
      <w:bookmarkStart w:id="13" w:name="_Toc380754690"/>
      <w:r>
        <w:rPr>
          <w:rFonts w:ascii="Arial" w:hAnsi="Arial" w:cs="Arial"/>
        </w:rPr>
        <w:t>T</w:t>
      </w:r>
      <w:r w:rsidRPr="004B44AC">
        <w:rPr>
          <w:rFonts w:ascii="Arial" w:hAnsi="Arial" w:cs="Arial"/>
        </w:rPr>
        <w:t xml:space="preserve">he following shifts in funding streams </w:t>
      </w:r>
      <w:r w:rsidR="003F67F1">
        <w:rPr>
          <w:rFonts w:ascii="Arial" w:hAnsi="Arial" w:cs="Arial"/>
        </w:rPr>
        <w:t>have been</w:t>
      </w:r>
      <w:r w:rsidRPr="004B44AC">
        <w:rPr>
          <w:rFonts w:ascii="Arial" w:hAnsi="Arial" w:cs="Arial"/>
        </w:rPr>
        <w:t xml:space="preserve"> taken into account:</w:t>
      </w:r>
    </w:p>
    <w:p w:rsidR="0036552B" w:rsidRDefault="0036552B" w:rsidP="0036552B">
      <w:pPr>
        <w:pStyle w:val="ListParagraph"/>
        <w:numPr>
          <w:ilvl w:val="0"/>
          <w:numId w:val="69"/>
        </w:numPr>
        <w:rPr>
          <w:rFonts w:ascii="Arial" w:hAnsi="Arial" w:cs="Arial"/>
        </w:rPr>
      </w:pPr>
      <w:r w:rsidRPr="005C46B9">
        <w:rPr>
          <w:rFonts w:ascii="Arial" w:hAnsi="Arial" w:cs="Arial"/>
        </w:rPr>
        <w:t>The shift of the 2</w:t>
      </w:r>
      <w:r>
        <w:rPr>
          <w:rFonts w:ascii="Arial" w:hAnsi="Arial" w:cs="Arial"/>
        </w:rPr>
        <w:t>2</w:t>
      </w:r>
      <w:r w:rsidRPr="005C46B9">
        <w:rPr>
          <w:rFonts w:ascii="Arial" w:hAnsi="Arial" w:cs="Arial"/>
        </w:rPr>
        <w:t xml:space="preserve"> hospitals from block-funding to ABF as a result of the new block-funding criteria;</w:t>
      </w:r>
    </w:p>
    <w:p w:rsidR="0036552B" w:rsidRPr="005C46B9" w:rsidRDefault="0036552B" w:rsidP="0036552B">
      <w:pPr>
        <w:pStyle w:val="ListParagraph"/>
        <w:numPr>
          <w:ilvl w:val="0"/>
          <w:numId w:val="69"/>
        </w:numPr>
        <w:rPr>
          <w:rFonts w:ascii="Arial" w:hAnsi="Arial" w:cs="Arial"/>
        </w:rPr>
      </w:pPr>
      <w:r w:rsidRPr="005C46B9">
        <w:rPr>
          <w:rFonts w:ascii="Arial" w:hAnsi="Arial" w:cs="Arial"/>
        </w:rPr>
        <w:t>The shift of those episodes from the subacute to acute stream because there will be no care type weights in 2015-16 and un-</w:t>
      </w:r>
      <w:proofErr w:type="spellStart"/>
      <w:r w:rsidRPr="005C46B9">
        <w:rPr>
          <w:rFonts w:ascii="Arial" w:hAnsi="Arial" w:cs="Arial"/>
        </w:rPr>
        <w:t>SNAPed</w:t>
      </w:r>
      <w:proofErr w:type="spellEnd"/>
      <w:r w:rsidRPr="005C46B9">
        <w:rPr>
          <w:rFonts w:ascii="Arial" w:hAnsi="Arial" w:cs="Arial"/>
        </w:rPr>
        <w:t xml:space="preserve"> records will be assigned a care type defining them as an acute patient;</w:t>
      </w:r>
      <w:r>
        <w:rPr>
          <w:rFonts w:ascii="Arial" w:hAnsi="Arial" w:cs="Arial"/>
        </w:rPr>
        <w:t xml:space="preserve"> and</w:t>
      </w:r>
    </w:p>
    <w:p w:rsidR="0036552B" w:rsidRDefault="0036552B" w:rsidP="0036552B">
      <w:pPr>
        <w:pStyle w:val="ListParagraph"/>
        <w:numPr>
          <w:ilvl w:val="0"/>
          <w:numId w:val="69"/>
        </w:numPr>
        <w:rPr>
          <w:rFonts w:ascii="Arial" w:hAnsi="Arial" w:cs="Arial"/>
        </w:rPr>
      </w:pPr>
      <w:r w:rsidRPr="005C46B9">
        <w:rPr>
          <w:rFonts w:ascii="Arial" w:hAnsi="Arial" w:cs="Arial"/>
        </w:rPr>
        <w:t>The pricing of the new non-admitted clinics for home-delivered chronic disease services with funding transferred from block-funded amounts in NEC14</w:t>
      </w:r>
      <w:r>
        <w:rPr>
          <w:rFonts w:ascii="Arial" w:hAnsi="Arial" w:cs="Arial"/>
        </w:rPr>
        <w:t>.</w:t>
      </w:r>
    </w:p>
    <w:p w:rsidR="0036552B" w:rsidRDefault="0036552B" w:rsidP="0036552B">
      <w:pPr>
        <w:pStyle w:val="ListParagraph"/>
        <w:numPr>
          <w:ilvl w:val="0"/>
          <w:numId w:val="69"/>
        </w:numPr>
        <w:rPr>
          <w:rFonts w:ascii="Arial" w:hAnsi="Arial" w:cs="Arial"/>
        </w:rPr>
      </w:pPr>
      <w:r w:rsidRPr="0036552B">
        <w:rPr>
          <w:rFonts w:ascii="Arial" w:hAnsi="Arial" w:cs="Arial"/>
        </w:rPr>
        <w:t xml:space="preserve">The treatment of the major city specialist hospitals in NEC15 where their efficient cost is being determined separately from the NEC15 cost model. </w:t>
      </w:r>
    </w:p>
    <w:p w:rsidR="0036552B" w:rsidRPr="0036552B" w:rsidRDefault="0036552B" w:rsidP="0036552B">
      <w:pPr>
        <w:rPr>
          <w:rFonts w:ascii="Arial" w:hAnsi="Arial" w:cs="Arial"/>
        </w:rPr>
      </w:pPr>
      <w:r>
        <w:t>The backcasting multipliers for all ABF streams take account of the 22 transferred hospitals. That is, the 22 hospitals were treated as though they were ABF in 2014-15 for the purposes of the growth calculations. These transferred hospitals are therefore to be completely excluded from the calculations of growth in efficient costs of the block-funded hospitals.</w:t>
      </w:r>
    </w:p>
    <w:p w:rsidR="0036552B" w:rsidRDefault="0036552B" w:rsidP="0036552B">
      <w:pPr>
        <w:pStyle w:val="ListParagraph"/>
        <w:numPr>
          <w:ilvl w:val="0"/>
          <w:numId w:val="74"/>
        </w:numPr>
      </w:pPr>
      <w:r>
        <w:t xml:space="preserve">In order to include these 22 hospitals in the NEP growth calculations, an NWAU count for these hospitals in 2014-15 will need to be </w:t>
      </w:r>
      <w:r w:rsidR="003F67F1">
        <w:t>calculated</w:t>
      </w:r>
      <w:r>
        <w:t xml:space="preserve">. </w:t>
      </w:r>
    </w:p>
    <w:p w:rsidR="0036552B" w:rsidRDefault="003F67F1" w:rsidP="0036552B">
      <w:r>
        <w:t>A</w:t>
      </w:r>
      <w:r w:rsidR="0036552B">
        <w:t>ll subacute records in 2014-15 that do not have a valid AN-SNAP classification in 2014-15 should be treated as acute care separations for the purposes of calculating the growth between 2014-15 and 2015-16. This process has been taken into account in the calculation of the backcasting multipliers for both the acute and subacute care streams.</w:t>
      </w:r>
      <w:r>
        <w:t xml:space="preserve"> </w:t>
      </w:r>
    </w:p>
    <w:p w:rsidR="0036552B" w:rsidRDefault="0036552B" w:rsidP="003F67F1">
      <w:r>
        <w:t>In summary, the subacute backcasting multipliers apply only to AN-SNAP subacute data and the acute multipliers apply to acute NWAU which will include, by care-type definition, any former subacute patients that cannot be classified under AN-SNAP.</w:t>
      </w:r>
    </w:p>
    <w:p w:rsidR="0036552B" w:rsidRDefault="0036552B" w:rsidP="0036552B">
      <w:pPr>
        <w:rPr>
          <w:rFonts w:ascii="Arial" w:hAnsi="Arial" w:cs="Arial"/>
        </w:rPr>
      </w:pPr>
      <w:r>
        <w:rPr>
          <w:rFonts w:ascii="Arial" w:hAnsi="Arial" w:cs="Arial"/>
        </w:rPr>
        <w:t>The new non-admitted c</w:t>
      </w:r>
      <w:r w:rsidRPr="00DA5BF2">
        <w:rPr>
          <w:rFonts w:ascii="Arial" w:hAnsi="Arial" w:cs="Arial"/>
        </w:rPr>
        <w:t xml:space="preserve">linics defined and priced for Home Enteral Nutrition (HEN), Total Parenteral Nutrition (TPN) and home ventilation </w:t>
      </w:r>
      <w:r>
        <w:rPr>
          <w:rFonts w:ascii="Arial" w:hAnsi="Arial" w:cs="Arial"/>
        </w:rPr>
        <w:t xml:space="preserve">that </w:t>
      </w:r>
      <w:r w:rsidRPr="00DA5BF2">
        <w:rPr>
          <w:rFonts w:ascii="Arial" w:hAnsi="Arial" w:cs="Arial"/>
        </w:rPr>
        <w:t>were funded as ‘Other non-admitted services’ block-funded amounts in NEC14 will be treated in the non-admitted price application in NEP15.</w:t>
      </w:r>
    </w:p>
    <w:p w:rsidR="0036552B" w:rsidRDefault="003F67F1" w:rsidP="0036552B">
      <w:pPr>
        <w:pStyle w:val="ListParagraph"/>
        <w:numPr>
          <w:ilvl w:val="0"/>
          <w:numId w:val="74"/>
        </w:numPr>
        <w:rPr>
          <w:rFonts w:ascii="Arial" w:hAnsi="Arial" w:cs="Arial"/>
        </w:rPr>
      </w:pPr>
      <w:r>
        <w:t>Due to v</w:t>
      </w:r>
      <w:r w:rsidR="0036552B">
        <w:t xml:space="preserve">ery little activity data </w:t>
      </w:r>
      <w:r>
        <w:t>being reported</w:t>
      </w:r>
      <w:r w:rsidR="0036552B">
        <w:t xml:space="preserve"> in 2013-14 for these services, an implicit NWAU count for 2014-15 was calculated from the block-funded amounts in the NEC14 Determination (by dividing by NEP14 of $5007).This implicit count of was assumed to be the same in the NWAU14 and NWAU15 calculations (i.e. adding equal amounts to the numerator and denominator of the VM formula on previous page).</w:t>
      </w:r>
    </w:p>
    <w:p w:rsidR="0036552B" w:rsidRDefault="0036552B" w:rsidP="0036552B">
      <w:r>
        <w:t xml:space="preserve">The 12 major city hospitals that have been removed from the NEC14 cost model to have their 2015-16 efficient costs determined separately by negotiation are to be considered </w:t>
      </w:r>
      <w:r>
        <w:lastRenderedPageBreak/>
        <w:t>separately as well in the growth calculations. These separated hospitals are therefore to be completely excluded from the calculations of growth in efficient costs of the block-funded hospitals.</w:t>
      </w:r>
    </w:p>
    <w:p w:rsidR="0036552B" w:rsidRDefault="0036552B" w:rsidP="0036552B">
      <w:pPr>
        <w:pStyle w:val="ListParagraph"/>
        <w:numPr>
          <w:ilvl w:val="0"/>
          <w:numId w:val="74"/>
        </w:numPr>
      </w:pPr>
      <w:r>
        <w:t>Backcasting multipliers have been determined for these hospitals to define the growth in efficient costs between 2014-15 and 2015-16 as 4.9%, which is the indexation rate for other block-funded hospitals in the NEC15 cost model.</w:t>
      </w:r>
    </w:p>
    <w:p w:rsidR="00460371" w:rsidRPr="00FD6832" w:rsidRDefault="00460371" w:rsidP="00443523">
      <w:pPr>
        <w:pStyle w:val="Heading1"/>
        <w:pageBreakBefore/>
        <w:numPr>
          <w:ilvl w:val="0"/>
          <w:numId w:val="35"/>
        </w:numPr>
        <w:spacing w:before="100" w:beforeAutospacing="1" w:after="100" w:afterAutospacing="1"/>
      </w:pPr>
      <w:bookmarkStart w:id="14" w:name="_Toc412550707"/>
      <w:r>
        <w:lastRenderedPageBreak/>
        <w:t>Acute admitted care cost model</w:t>
      </w:r>
      <w:bookmarkEnd w:id="13"/>
      <w:bookmarkEnd w:id="14"/>
    </w:p>
    <w:p w:rsidR="00460371" w:rsidRDefault="00460371" w:rsidP="00AD4FFC">
      <w:pPr>
        <w:pStyle w:val="Heading2"/>
        <w:keepLines w:val="0"/>
        <w:numPr>
          <w:ilvl w:val="1"/>
          <w:numId w:val="35"/>
        </w:numPr>
        <w:tabs>
          <w:tab w:val="left" w:pos="1162"/>
        </w:tabs>
        <w:spacing w:after="60"/>
      </w:pPr>
      <w:bookmarkStart w:id="15" w:name="_Ref342306458"/>
      <w:bookmarkStart w:id="16" w:name="_Ref342306469"/>
      <w:bookmarkStart w:id="17" w:name="_Ref342306477"/>
      <w:bookmarkStart w:id="18" w:name="_Ref342306483"/>
      <w:bookmarkStart w:id="19" w:name="_Toc380754691"/>
      <w:bookmarkStart w:id="20" w:name="_Toc412550708"/>
      <w:bookmarkStart w:id="21" w:name="_Toc318905722"/>
      <w:bookmarkStart w:id="22" w:name="_Toc318905721"/>
      <w:r w:rsidRPr="00AF2874">
        <w:t>General Issues</w:t>
      </w:r>
      <w:bookmarkEnd w:id="15"/>
      <w:bookmarkEnd w:id="16"/>
      <w:bookmarkEnd w:id="17"/>
      <w:bookmarkEnd w:id="18"/>
      <w:bookmarkEnd w:id="19"/>
      <w:bookmarkEnd w:id="20"/>
    </w:p>
    <w:p w:rsidR="00460371" w:rsidRPr="00BD39DD" w:rsidRDefault="00460371" w:rsidP="00AD4FFC">
      <w:pPr>
        <w:pStyle w:val="Heading3"/>
        <w:keepLines w:val="0"/>
        <w:numPr>
          <w:ilvl w:val="2"/>
          <w:numId w:val="35"/>
        </w:numPr>
        <w:tabs>
          <w:tab w:val="left" w:pos="1162"/>
        </w:tabs>
        <w:spacing w:before="240" w:after="120"/>
      </w:pPr>
      <w:bookmarkStart w:id="23" w:name="_Toc380754692"/>
      <w:bookmarkStart w:id="24" w:name="_Toc412550709"/>
      <w:r>
        <w:t>Cost</w:t>
      </w:r>
      <w:r w:rsidRPr="00BD39DD">
        <w:t xml:space="preserve"> unit</w:t>
      </w:r>
      <w:bookmarkEnd w:id="21"/>
      <w:bookmarkEnd w:id="23"/>
      <w:bookmarkEnd w:id="24"/>
    </w:p>
    <w:p w:rsidR="00460371" w:rsidRDefault="00460371" w:rsidP="00AD4FFC">
      <w:pPr>
        <w:tabs>
          <w:tab w:val="left" w:pos="1162"/>
        </w:tabs>
        <w:rPr>
          <w:rFonts w:cs="Arial"/>
          <w:szCs w:val="20"/>
        </w:rPr>
      </w:pPr>
      <w:r w:rsidRPr="0006388D">
        <w:rPr>
          <w:rFonts w:cs="Arial"/>
          <w:szCs w:val="20"/>
        </w:rPr>
        <w:t xml:space="preserve">An ‘episode of admitted patient care’ is the </w:t>
      </w:r>
      <w:r>
        <w:rPr>
          <w:rFonts w:cs="Arial"/>
          <w:szCs w:val="20"/>
        </w:rPr>
        <w:t xml:space="preserve">cost </w:t>
      </w:r>
      <w:r w:rsidRPr="0006388D">
        <w:rPr>
          <w:rFonts w:cs="Arial"/>
          <w:szCs w:val="20"/>
        </w:rPr>
        <w:t>unit for acute admitted patients</w:t>
      </w:r>
      <w:r>
        <w:rPr>
          <w:rFonts w:cs="Arial"/>
          <w:szCs w:val="20"/>
        </w:rPr>
        <w:t xml:space="preserve">. </w:t>
      </w:r>
      <w:r w:rsidRPr="0006388D">
        <w:rPr>
          <w:rFonts w:cs="Arial"/>
          <w:szCs w:val="20"/>
        </w:rPr>
        <w:t>It is “[t]</w:t>
      </w:r>
      <w:r w:rsidRPr="0006388D">
        <w:rPr>
          <w:rFonts w:cs="Arial"/>
          <w:i/>
          <w:szCs w:val="20"/>
        </w:rPr>
        <w:t>he period of admitted patient care … characterised by only one care type</w:t>
      </w:r>
      <w:r w:rsidRPr="0006388D">
        <w:rPr>
          <w:rFonts w:cs="Arial"/>
          <w:szCs w:val="20"/>
        </w:rPr>
        <w:t>”</w:t>
      </w:r>
      <w:r w:rsidRPr="007D74F6">
        <w:rPr>
          <w:rStyle w:val="FootnoteReference"/>
          <w:rFonts w:cs="Arial"/>
          <w:szCs w:val="20"/>
        </w:rPr>
        <w:t xml:space="preserve"> </w:t>
      </w:r>
      <w:r w:rsidRPr="0006388D">
        <w:rPr>
          <w:rStyle w:val="FootnoteReference"/>
          <w:rFonts w:cs="Arial"/>
          <w:szCs w:val="20"/>
        </w:rPr>
        <w:footnoteReference w:id="4"/>
      </w:r>
      <w:r w:rsidRPr="0006388D">
        <w:rPr>
          <w:rFonts w:cs="Arial"/>
          <w:szCs w:val="20"/>
        </w:rPr>
        <w:t>, and covers the period of care from admission to discharge</w:t>
      </w:r>
      <w:r>
        <w:rPr>
          <w:rFonts w:cs="Arial"/>
          <w:szCs w:val="20"/>
        </w:rPr>
        <w:t>.</w:t>
      </w:r>
    </w:p>
    <w:p w:rsidR="00460371" w:rsidRPr="00BD39DD" w:rsidRDefault="00460371" w:rsidP="00AD4FFC">
      <w:pPr>
        <w:pStyle w:val="Heading3"/>
        <w:keepLines w:val="0"/>
        <w:numPr>
          <w:ilvl w:val="2"/>
          <w:numId w:val="35"/>
        </w:numPr>
        <w:tabs>
          <w:tab w:val="left" w:pos="1162"/>
        </w:tabs>
        <w:spacing w:before="240" w:after="120"/>
      </w:pPr>
      <w:bookmarkStart w:id="25" w:name="_Toc380754693"/>
      <w:bookmarkStart w:id="26" w:name="_Toc412550710"/>
      <w:r>
        <w:t>In-s</w:t>
      </w:r>
      <w:r w:rsidRPr="00BD39DD">
        <w:t>cope</w:t>
      </w:r>
      <w:bookmarkEnd w:id="22"/>
      <w:r>
        <w:t xml:space="preserve"> activity</w:t>
      </w:r>
      <w:bookmarkEnd w:id="25"/>
      <w:bookmarkEnd w:id="26"/>
    </w:p>
    <w:p w:rsidR="00460371" w:rsidRPr="0006388D" w:rsidRDefault="00460371" w:rsidP="00AD4FFC">
      <w:pPr>
        <w:tabs>
          <w:tab w:val="left" w:pos="1162"/>
        </w:tabs>
        <w:rPr>
          <w:rFonts w:cs="Arial"/>
          <w:szCs w:val="20"/>
        </w:rPr>
      </w:pPr>
      <w:r w:rsidRPr="0006388D">
        <w:rPr>
          <w:rFonts w:cs="Arial"/>
          <w:szCs w:val="20"/>
        </w:rPr>
        <w:t>Acute admitted care is that provided to patients who undergo a facility’s formal admission</w:t>
      </w:r>
      <w:r>
        <w:rPr>
          <w:rFonts w:cs="Arial"/>
          <w:szCs w:val="20"/>
          <w:vertAlign w:val="superscript"/>
        </w:rPr>
        <w:t xml:space="preserve"> </w:t>
      </w:r>
      <w:r w:rsidRPr="0006388D">
        <w:rPr>
          <w:rFonts w:cs="Arial"/>
          <w:szCs w:val="20"/>
        </w:rPr>
        <w:t xml:space="preserve">processes, where the clinical intent or treatment goal is the provision of acute care, or the patient is a baby born in hospital, or is nine days old or </w:t>
      </w:r>
      <w:r>
        <w:rPr>
          <w:rFonts w:cs="Arial"/>
          <w:szCs w:val="20"/>
        </w:rPr>
        <w:t>younger</w:t>
      </w:r>
      <w:r w:rsidRPr="0006388D">
        <w:rPr>
          <w:rFonts w:cs="Arial"/>
          <w:szCs w:val="20"/>
        </w:rPr>
        <w:t xml:space="preserve"> at the time of admission</w:t>
      </w:r>
      <w:r w:rsidRPr="004243C8">
        <w:rPr>
          <w:rFonts w:cs="Arial"/>
          <w:szCs w:val="20"/>
          <w:vertAlign w:val="superscript"/>
        </w:rPr>
        <w:footnoteReference w:id="5"/>
      </w:r>
      <w:r w:rsidRPr="0006388D">
        <w:rPr>
          <w:rFonts w:cs="Arial"/>
          <w:szCs w:val="20"/>
        </w:rPr>
        <w:t xml:space="preserve"> and has been qualified for one or more days</w:t>
      </w:r>
      <w:r w:rsidRPr="004243C8">
        <w:rPr>
          <w:rFonts w:cs="Arial"/>
          <w:szCs w:val="20"/>
          <w:vertAlign w:val="superscript"/>
        </w:rPr>
        <w:footnoteReference w:id="6"/>
      </w:r>
      <w:r w:rsidRPr="0006388D">
        <w:rPr>
          <w:rFonts w:cs="Arial"/>
          <w:szCs w:val="20"/>
        </w:rPr>
        <w:t>.</w:t>
      </w:r>
    </w:p>
    <w:p w:rsidR="00460371" w:rsidRPr="0006388D" w:rsidRDefault="00460371" w:rsidP="00AD4FFC">
      <w:pPr>
        <w:pStyle w:val="Heading3"/>
        <w:keepLines w:val="0"/>
        <w:numPr>
          <w:ilvl w:val="2"/>
          <w:numId w:val="35"/>
        </w:numPr>
        <w:tabs>
          <w:tab w:val="left" w:pos="1162"/>
        </w:tabs>
        <w:spacing w:before="240" w:after="120"/>
      </w:pPr>
      <w:bookmarkStart w:id="27" w:name="_Toc380754694"/>
      <w:bookmarkStart w:id="28" w:name="_Toc412550711"/>
      <w:r w:rsidRPr="0006388D">
        <w:t>In-scope patients</w:t>
      </w:r>
      <w:bookmarkEnd w:id="27"/>
      <w:bookmarkEnd w:id="28"/>
    </w:p>
    <w:p w:rsidR="00460371" w:rsidRPr="002F6077" w:rsidRDefault="00460371" w:rsidP="00AD4FFC">
      <w:pPr>
        <w:tabs>
          <w:tab w:val="left" w:pos="1162"/>
        </w:tabs>
        <w:rPr>
          <w:rFonts w:cs="Arial"/>
        </w:rPr>
      </w:pPr>
      <w:r w:rsidRPr="002F6077">
        <w:rPr>
          <w:rFonts w:cs="Arial"/>
          <w:szCs w:val="20"/>
        </w:rPr>
        <w:t>National arrangements for ABF apply to a subset of acute admitted episodes defined by the funding source for the patient and the type of hospital in which the episodes occur</w:t>
      </w:r>
      <w:r>
        <w:rPr>
          <w:rFonts w:cs="Arial"/>
          <w:szCs w:val="20"/>
        </w:rPr>
        <w:t>, as shown in</w:t>
      </w:r>
      <w:r w:rsidR="00987043">
        <w:rPr>
          <w:rFonts w:cs="Arial"/>
          <w:szCs w:val="20"/>
        </w:rPr>
        <w:t xml:space="preserve"> Table 3</w:t>
      </w:r>
      <w:r w:rsidRPr="002F6077">
        <w:rPr>
          <w:rFonts w:cs="Arial"/>
          <w:szCs w:val="20"/>
        </w:rPr>
        <w:t>.</w:t>
      </w:r>
      <w:r>
        <w:rPr>
          <w:rFonts w:cs="Arial"/>
          <w:szCs w:val="20"/>
        </w:rPr>
        <w:t xml:space="preserve"> </w:t>
      </w:r>
      <w:r w:rsidRPr="002F6077">
        <w:rPr>
          <w:rFonts w:cs="Arial"/>
        </w:rPr>
        <w:t xml:space="preserve">In </w:t>
      </w:r>
      <w:r w:rsidRPr="00B75834">
        <w:rPr>
          <w:rFonts w:cs="Arial"/>
        </w:rPr>
        <w:t>public hospitals</w:t>
      </w:r>
      <w:r w:rsidRPr="002F6077">
        <w:rPr>
          <w:rFonts w:cs="Arial"/>
        </w:rPr>
        <w:t>, ABF has been taken to apply to patients with a funding sourc</w:t>
      </w:r>
      <w:r>
        <w:rPr>
          <w:rFonts w:cs="Arial"/>
        </w:rPr>
        <w:t>e</w:t>
      </w:r>
      <w:r>
        <w:rPr>
          <w:rStyle w:val="FootnoteReference"/>
          <w:rFonts w:cs="Arial"/>
        </w:rPr>
        <w:footnoteReference w:id="7"/>
      </w:r>
      <w:r>
        <w:rPr>
          <w:rFonts w:cs="Arial"/>
        </w:rPr>
        <w:t xml:space="preserve"> </w:t>
      </w:r>
      <w:r w:rsidRPr="002F6077">
        <w:rPr>
          <w:rFonts w:cs="Arial"/>
        </w:rPr>
        <w:t>of ‘</w:t>
      </w:r>
      <w:r>
        <w:rPr>
          <w:rFonts w:cs="Arial"/>
        </w:rPr>
        <w:t>Health Service Budget (Not covered elsewhere)</w:t>
      </w:r>
      <w:r w:rsidRPr="002F6077">
        <w:rPr>
          <w:rFonts w:cs="Arial"/>
        </w:rPr>
        <w:t>’,</w:t>
      </w:r>
      <w:r>
        <w:rPr>
          <w:rFonts w:cs="Arial"/>
        </w:rPr>
        <w:t xml:space="preserve"> ‘Health Service Budget (due to R</w:t>
      </w:r>
      <w:r w:rsidRPr="00F4647B">
        <w:rPr>
          <w:rFonts w:cs="Arial"/>
        </w:rPr>
        <w:t xml:space="preserve">eciprocal </w:t>
      </w:r>
      <w:r>
        <w:rPr>
          <w:rFonts w:cs="Arial"/>
        </w:rPr>
        <w:t>H</w:t>
      </w:r>
      <w:r w:rsidRPr="00F4647B">
        <w:rPr>
          <w:rFonts w:cs="Arial"/>
        </w:rPr>
        <w:t xml:space="preserve">ealth </w:t>
      </w:r>
      <w:r>
        <w:rPr>
          <w:rFonts w:cs="Arial"/>
        </w:rPr>
        <w:t>C</w:t>
      </w:r>
      <w:r w:rsidRPr="00F4647B">
        <w:rPr>
          <w:rFonts w:cs="Arial"/>
        </w:rPr>
        <w:t xml:space="preserve">are </w:t>
      </w:r>
      <w:r>
        <w:rPr>
          <w:rFonts w:cs="Arial"/>
        </w:rPr>
        <w:t xml:space="preserve">Agreement)’, </w:t>
      </w:r>
      <w:r w:rsidRPr="002F6077">
        <w:rPr>
          <w:rFonts w:cs="Arial"/>
        </w:rPr>
        <w:t>‘private health insurance’, ‘self-funded’</w:t>
      </w:r>
      <w:r>
        <w:rPr>
          <w:rFonts w:cs="Arial"/>
        </w:rPr>
        <w:t>,</w:t>
      </w:r>
      <w:r w:rsidRPr="002F6077">
        <w:rPr>
          <w:rFonts w:cs="Arial"/>
        </w:rPr>
        <w:t xml:space="preserve"> or ‘other hospital or public authority contracted care’.</w:t>
      </w:r>
    </w:p>
    <w:p w:rsidR="00460371" w:rsidRDefault="00460371" w:rsidP="00AD4FFC">
      <w:pPr>
        <w:tabs>
          <w:tab w:val="left" w:pos="1162"/>
        </w:tabs>
        <w:rPr>
          <w:rFonts w:cs="Arial"/>
          <w:szCs w:val="20"/>
        </w:rPr>
      </w:pPr>
      <w:r w:rsidRPr="002F6077">
        <w:rPr>
          <w:rFonts w:cs="Arial"/>
          <w:szCs w:val="20"/>
        </w:rPr>
        <w:t xml:space="preserve">All episodes from all funding sources </w:t>
      </w:r>
      <w:r>
        <w:rPr>
          <w:rFonts w:cs="Arial"/>
          <w:szCs w:val="20"/>
        </w:rPr>
        <w:t>are</w:t>
      </w:r>
      <w:r w:rsidRPr="002F6077">
        <w:rPr>
          <w:rFonts w:cs="Arial"/>
          <w:szCs w:val="20"/>
        </w:rPr>
        <w:t xml:space="preserve"> included in the calculation of the cost weights</w:t>
      </w:r>
      <w:r>
        <w:rPr>
          <w:rFonts w:cs="Arial"/>
          <w:szCs w:val="20"/>
        </w:rPr>
        <w:t xml:space="preserve">. </w:t>
      </w:r>
      <w:r w:rsidRPr="002F6077">
        <w:rPr>
          <w:rFonts w:cs="Arial"/>
          <w:szCs w:val="20"/>
        </w:rPr>
        <w:t xml:space="preserve">This approach </w:t>
      </w:r>
      <w:r>
        <w:rPr>
          <w:rFonts w:cs="Arial"/>
          <w:szCs w:val="20"/>
        </w:rPr>
        <w:t>is</w:t>
      </w:r>
      <w:r w:rsidRPr="002F6077">
        <w:rPr>
          <w:rFonts w:cs="Arial"/>
          <w:szCs w:val="20"/>
        </w:rPr>
        <w:t xml:space="preserve"> taken to ensure the sample used for the development of NWAU </w:t>
      </w:r>
      <w:r>
        <w:rPr>
          <w:rFonts w:cs="Arial"/>
          <w:szCs w:val="20"/>
        </w:rPr>
        <w:t>is</w:t>
      </w:r>
      <w:r w:rsidRPr="002F6077">
        <w:rPr>
          <w:rFonts w:cs="Arial"/>
          <w:szCs w:val="20"/>
        </w:rPr>
        <w:t xml:space="preserve"> maximised and reflect</w:t>
      </w:r>
      <w:r>
        <w:rPr>
          <w:rFonts w:cs="Arial"/>
          <w:szCs w:val="20"/>
        </w:rPr>
        <w:t>s</w:t>
      </w:r>
      <w:r w:rsidRPr="002F6077">
        <w:rPr>
          <w:rFonts w:cs="Arial"/>
          <w:szCs w:val="20"/>
        </w:rPr>
        <w:t xml:space="preserve"> the overall costs for the hospital</w:t>
      </w:r>
      <w:r>
        <w:rPr>
          <w:rFonts w:cs="Arial"/>
          <w:szCs w:val="20"/>
        </w:rPr>
        <w:t xml:space="preserve">. </w:t>
      </w:r>
      <w:r w:rsidRPr="002F6077">
        <w:rPr>
          <w:rFonts w:cs="Arial"/>
          <w:szCs w:val="20"/>
        </w:rPr>
        <w:t xml:space="preserve">Only in-scope patients </w:t>
      </w:r>
      <w:r>
        <w:rPr>
          <w:rFonts w:cs="Arial"/>
          <w:szCs w:val="20"/>
        </w:rPr>
        <w:t>ar</w:t>
      </w:r>
      <w:r w:rsidRPr="002F6077">
        <w:rPr>
          <w:rFonts w:cs="Arial"/>
          <w:szCs w:val="20"/>
        </w:rPr>
        <w:t>e included in the calculation of the mean cost used in the development of the NEP</w:t>
      </w:r>
      <w:r>
        <w:rPr>
          <w:rFonts w:cs="Arial"/>
          <w:szCs w:val="20"/>
        </w:rPr>
        <w:t xml:space="preserve">. </w:t>
      </w:r>
      <w:r w:rsidRPr="002F6077">
        <w:rPr>
          <w:rFonts w:cs="Arial"/>
          <w:szCs w:val="20"/>
        </w:rPr>
        <w:t xml:space="preserve">All other episodes (e.g. those funded through the Department of Veterans’ Affairs </w:t>
      </w:r>
      <w:r>
        <w:rPr>
          <w:rFonts w:cs="Arial"/>
          <w:szCs w:val="20"/>
        </w:rPr>
        <w:t xml:space="preserve">(DVA) </w:t>
      </w:r>
      <w:r w:rsidRPr="002F6077">
        <w:rPr>
          <w:rFonts w:cs="Arial"/>
          <w:szCs w:val="20"/>
        </w:rPr>
        <w:t xml:space="preserve">and compensable patients) are excluded from </w:t>
      </w:r>
      <w:r>
        <w:rPr>
          <w:rFonts w:cs="Arial"/>
          <w:szCs w:val="20"/>
        </w:rPr>
        <w:t xml:space="preserve">the </w:t>
      </w:r>
      <w:r w:rsidRPr="002F6077">
        <w:rPr>
          <w:rFonts w:cs="Arial"/>
          <w:szCs w:val="20"/>
        </w:rPr>
        <w:t xml:space="preserve">scope of funding. </w:t>
      </w:r>
    </w:p>
    <w:p w:rsidR="00460371" w:rsidRPr="004C6E9F" w:rsidRDefault="00460371" w:rsidP="00AD4FFC">
      <w:pPr>
        <w:pStyle w:val="Headingnonumber"/>
      </w:pPr>
      <w:r w:rsidRPr="004C6E9F">
        <w:t>In-scope hospitals</w:t>
      </w:r>
    </w:p>
    <w:p w:rsidR="00460371" w:rsidRPr="004C6E9F" w:rsidRDefault="00460371" w:rsidP="00AD4FFC">
      <w:pPr>
        <w:tabs>
          <w:tab w:val="left" w:pos="1162"/>
        </w:tabs>
        <w:rPr>
          <w:rFonts w:cs="Arial"/>
          <w:szCs w:val="20"/>
        </w:rPr>
      </w:pPr>
      <w:r w:rsidRPr="004C6E9F">
        <w:rPr>
          <w:rFonts w:cs="Arial"/>
          <w:szCs w:val="20"/>
        </w:rPr>
        <w:t xml:space="preserve">The </w:t>
      </w:r>
      <w:r w:rsidR="00B94FB5" w:rsidRPr="00B3571F">
        <w:rPr>
          <w:rFonts w:cs="Arial"/>
          <w:szCs w:val="20"/>
        </w:rPr>
        <w:t>NEP15</w:t>
      </w:r>
      <w:r w:rsidRPr="00B3571F">
        <w:rPr>
          <w:rFonts w:cs="Arial"/>
          <w:szCs w:val="20"/>
        </w:rPr>
        <w:t xml:space="preserve"> Determination sets</w:t>
      </w:r>
      <w:r w:rsidRPr="004C6E9F">
        <w:rPr>
          <w:rFonts w:cs="Arial"/>
          <w:szCs w:val="20"/>
        </w:rPr>
        <w:t xml:space="preserve"> down a definition of hospital services in-scope for </w:t>
      </w:r>
      <w:r>
        <w:rPr>
          <w:rFonts w:cs="Arial"/>
          <w:szCs w:val="20"/>
        </w:rPr>
        <w:t xml:space="preserve">the application of ABF for </w:t>
      </w:r>
      <w:r w:rsidR="00B94FB5">
        <w:rPr>
          <w:rFonts w:cs="Arial"/>
          <w:szCs w:val="20"/>
        </w:rPr>
        <w:t>2015-16</w:t>
      </w:r>
      <w:r w:rsidRPr="004C6E9F">
        <w:rPr>
          <w:rFonts w:cs="Arial"/>
          <w:szCs w:val="20"/>
        </w:rPr>
        <w:t>.</w:t>
      </w:r>
    </w:p>
    <w:p w:rsidR="00460371" w:rsidRPr="00654A58" w:rsidRDefault="00460371" w:rsidP="00AD4FFC">
      <w:pPr>
        <w:tabs>
          <w:tab w:val="left" w:pos="1162"/>
        </w:tabs>
        <w:rPr>
          <w:rFonts w:cs="Arial"/>
          <w:szCs w:val="20"/>
        </w:rPr>
      </w:pPr>
      <w:r w:rsidRPr="004C6E9F">
        <w:rPr>
          <w:rFonts w:cs="Arial"/>
          <w:szCs w:val="20"/>
        </w:rPr>
        <w:t xml:space="preserve">The list of </w:t>
      </w:r>
      <w:r>
        <w:rPr>
          <w:rFonts w:cs="Arial"/>
          <w:szCs w:val="20"/>
        </w:rPr>
        <w:t>hospitals</w:t>
      </w:r>
      <w:r w:rsidRPr="004C6E9F">
        <w:rPr>
          <w:rFonts w:cs="Arial"/>
          <w:szCs w:val="20"/>
        </w:rPr>
        <w:t xml:space="preserve"> to be block funded </w:t>
      </w:r>
      <w:r>
        <w:rPr>
          <w:rFonts w:cs="Arial"/>
          <w:szCs w:val="20"/>
        </w:rPr>
        <w:t>are</w:t>
      </w:r>
      <w:r w:rsidR="00224F0D">
        <w:rPr>
          <w:rFonts w:cs="Arial"/>
          <w:szCs w:val="20"/>
        </w:rPr>
        <w:t xml:space="preserve"> based on nominations from </w:t>
      </w:r>
      <w:r w:rsidRPr="004C6E9F">
        <w:rPr>
          <w:rFonts w:cs="Arial"/>
          <w:szCs w:val="20"/>
        </w:rPr>
        <w:t xml:space="preserve">jurisdictions on the basis of </w:t>
      </w:r>
      <w:r w:rsidR="008B4D5E">
        <w:rPr>
          <w:rFonts w:cs="Arial"/>
          <w:szCs w:val="20"/>
        </w:rPr>
        <w:t xml:space="preserve">the revised </w:t>
      </w:r>
      <w:r w:rsidRPr="004C6E9F">
        <w:rPr>
          <w:rFonts w:cs="Arial"/>
          <w:szCs w:val="20"/>
        </w:rPr>
        <w:t>draft eligibility criteria</w:t>
      </w:r>
      <w:r>
        <w:rPr>
          <w:rFonts w:cs="Arial"/>
          <w:szCs w:val="20"/>
        </w:rPr>
        <w:t>,</w:t>
      </w:r>
      <w:r w:rsidRPr="004C6E9F">
        <w:rPr>
          <w:rFonts w:cs="Arial"/>
          <w:szCs w:val="20"/>
        </w:rPr>
        <w:t xml:space="preserve"> </w:t>
      </w:r>
      <w:r w:rsidR="008B4D5E">
        <w:rPr>
          <w:rFonts w:cs="Arial"/>
          <w:szCs w:val="20"/>
        </w:rPr>
        <w:t>which are being referred to</w:t>
      </w:r>
      <w:r w:rsidRPr="004C6E9F">
        <w:rPr>
          <w:rFonts w:cs="Arial"/>
          <w:szCs w:val="20"/>
        </w:rPr>
        <w:t xml:space="preserve"> </w:t>
      </w:r>
      <w:r>
        <w:rPr>
          <w:rFonts w:cs="Arial"/>
          <w:szCs w:val="20"/>
        </w:rPr>
        <w:t>the Council of Australian Governments (</w:t>
      </w:r>
      <w:r w:rsidRPr="004C6E9F">
        <w:rPr>
          <w:rFonts w:cs="Arial"/>
          <w:szCs w:val="20"/>
        </w:rPr>
        <w:t>COAG</w:t>
      </w:r>
      <w:r>
        <w:rPr>
          <w:rFonts w:cs="Arial"/>
          <w:szCs w:val="20"/>
        </w:rPr>
        <w:t>)</w:t>
      </w:r>
      <w:r w:rsidR="008B4D5E">
        <w:rPr>
          <w:rFonts w:cs="Arial"/>
          <w:szCs w:val="20"/>
        </w:rPr>
        <w:t xml:space="preserve"> Health Council</w:t>
      </w:r>
      <w:r>
        <w:rPr>
          <w:rFonts w:cs="Arial"/>
          <w:szCs w:val="20"/>
        </w:rPr>
        <w:t xml:space="preserve">. </w:t>
      </w:r>
      <w:r w:rsidRPr="004C6E9F">
        <w:rPr>
          <w:rFonts w:cs="Arial"/>
          <w:szCs w:val="20"/>
        </w:rPr>
        <w:t xml:space="preserve">Based on the </w:t>
      </w:r>
      <w:r w:rsidR="00B94FB5">
        <w:rPr>
          <w:rFonts w:cs="Arial"/>
          <w:szCs w:val="20"/>
        </w:rPr>
        <w:t>2012-13</w:t>
      </w:r>
      <w:r w:rsidRPr="004C6E9F">
        <w:rPr>
          <w:rFonts w:cs="Arial"/>
          <w:szCs w:val="20"/>
        </w:rPr>
        <w:t xml:space="preserve"> </w:t>
      </w:r>
      <w:r>
        <w:rPr>
          <w:rFonts w:cs="Arial"/>
          <w:szCs w:val="20"/>
        </w:rPr>
        <w:t>dataset</w:t>
      </w:r>
      <w:r w:rsidRPr="004C6E9F">
        <w:rPr>
          <w:rFonts w:cs="Arial"/>
          <w:szCs w:val="20"/>
        </w:rPr>
        <w:t>s and advice from jurisdictions</w:t>
      </w:r>
      <w:r w:rsidRPr="00654A58">
        <w:rPr>
          <w:rFonts w:cs="Arial"/>
          <w:szCs w:val="20"/>
        </w:rPr>
        <w:t>, there are:</w:t>
      </w:r>
    </w:p>
    <w:p w:rsidR="00460371" w:rsidRPr="00654A58" w:rsidRDefault="00E47B04" w:rsidP="00AD4FFC">
      <w:pPr>
        <w:pStyle w:val="ListParagraph"/>
        <w:numPr>
          <w:ilvl w:val="0"/>
          <w:numId w:val="24"/>
        </w:numPr>
        <w:tabs>
          <w:tab w:val="left" w:pos="1162"/>
        </w:tabs>
        <w:spacing w:before="80"/>
        <w:ind w:left="357" w:hanging="357"/>
        <w:rPr>
          <w:rFonts w:cs="Arial"/>
          <w:szCs w:val="20"/>
        </w:rPr>
      </w:pPr>
      <w:r>
        <w:rPr>
          <w:rFonts w:cs="Arial"/>
          <w:szCs w:val="20"/>
        </w:rPr>
        <w:t xml:space="preserve">285 </w:t>
      </w:r>
      <w:r w:rsidR="00460371" w:rsidRPr="00654A58">
        <w:rPr>
          <w:rFonts w:cs="Arial"/>
          <w:szCs w:val="20"/>
        </w:rPr>
        <w:t xml:space="preserve">ABF hospitals; and </w:t>
      </w:r>
    </w:p>
    <w:p w:rsidR="00460371" w:rsidRDefault="00090F16" w:rsidP="00AD4FFC">
      <w:pPr>
        <w:pStyle w:val="ListParagraph"/>
        <w:numPr>
          <w:ilvl w:val="0"/>
          <w:numId w:val="24"/>
        </w:numPr>
        <w:tabs>
          <w:tab w:val="left" w:pos="1162"/>
        </w:tabs>
        <w:spacing w:before="80"/>
        <w:ind w:left="357" w:hanging="357"/>
        <w:rPr>
          <w:rFonts w:cs="Arial"/>
          <w:szCs w:val="20"/>
        </w:rPr>
      </w:pPr>
      <w:r>
        <w:rPr>
          <w:rFonts w:cs="Arial"/>
          <w:szCs w:val="20"/>
        </w:rPr>
        <w:t>413</w:t>
      </w:r>
      <w:r w:rsidRPr="00654A58">
        <w:rPr>
          <w:rFonts w:cs="Arial"/>
          <w:szCs w:val="20"/>
        </w:rPr>
        <w:t xml:space="preserve"> </w:t>
      </w:r>
      <w:r w:rsidR="00460371" w:rsidRPr="00654A58">
        <w:rPr>
          <w:rFonts w:cs="Arial"/>
          <w:szCs w:val="20"/>
        </w:rPr>
        <w:t>hospitals to be block funded.</w:t>
      </w:r>
    </w:p>
    <w:p w:rsidR="00460371" w:rsidRPr="001579B6" w:rsidRDefault="00460371" w:rsidP="00AD4FFC">
      <w:pPr>
        <w:pStyle w:val="Headingnonumber"/>
      </w:pPr>
      <w:r w:rsidRPr="001579B6">
        <w:t>In-</w:t>
      </w:r>
      <w:r w:rsidRPr="002E5A99">
        <w:t>scope</w:t>
      </w:r>
      <w:r w:rsidRPr="001579B6">
        <w:t xml:space="preserve"> costs </w:t>
      </w:r>
    </w:p>
    <w:p w:rsidR="00460371" w:rsidRPr="009E1B1B" w:rsidRDefault="00460371" w:rsidP="00AD4FFC">
      <w:pPr>
        <w:tabs>
          <w:tab w:val="left" w:pos="1162"/>
        </w:tabs>
        <w:rPr>
          <w:rFonts w:cs="Arial"/>
          <w:szCs w:val="20"/>
        </w:rPr>
      </w:pPr>
      <w:r w:rsidRPr="009E1B1B">
        <w:rPr>
          <w:rFonts w:cs="Arial"/>
          <w:szCs w:val="20"/>
        </w:rPr>
        <w:t>Factors impacting on scope of costs include:</w:t>
      </w:r>
    </w:p>
    <w:p w:rsidR="00460371" w:rsidRPr="000976DD" w:rsidRDefault="00460371" w:rsidP="00AD4FFC">
      <w:pPr>
        <w:pStyle w:val="ListParagraph"/>
        <w:numPr>
          <w:ilvl w:val="0"/>
          <w:numId w:val="16"/>
        </w:numPr>
        <w:tabs>
          <w:tab w:val="left" w:pos="1162"/>
        </w:tabs>
        <w:spacing w:before="120"/>
        <w:ind w:left="714" w:hanging="357"/>
        <w:rPr>
          <w:rFonts w:cs="Arial"/>
          <w:szCs w:val="20"/>
        </w:rPr>
      </w:pPr>
      <w:r w:rsidRPr="000976DD">
        <w:rPr>
          <w:rFonts w:cs="Arial"/>
          <w:szCs w:val="20"/>
        </w:rPr>
        <w:lastRenderedPageBreak/>
        <w:t xml:space="preserve">Where a patient is admitted through an emergency department </w:t>
      </w:r>
      <w:r>
        <w:rPr>
          <w:rFonts w:cs="Arial"/>
          <w:szCs w:val="20"/>
        </w:rPr>
        <w:t xml:space="preserve">that is </w:t>
      </w:r>
      <w:r w:rsidRPr="000976DD">
        <w:rPr>
          <w:rFonts w:cs="Arial"/>
          <w:szCs w:val="20"/>
        </w:rPr>
        <w:t xml:space="preserve">within the scope of ABF for emergency care, this component of cost </w:t>
      </w:r>
      <w:r>
        <w:rPr>
          <w:rFonts w:cs="Arial"/>
          <w:szCs w:val="20"/>
        </w:rPr>
        <w:t>is</w:t>
      </w:r>
      <w:r w:rsidRPr="000976DD">
        <w:rPr>
          <w:rFonts w:cs="Arial"/>
          <w:szCs w:val="20"/>
        </w:rPr>
        <w:t xml:space="preserve"> </w:t>
      </w:r>
      <w:r w:rsidR="008B4D5E">
        <w:rPr>
          <w:rFonts w:cs="Arial"/>
          <w:szCs w:val="20"/>
        </w:rPr>
        <w:t>separated</w:t>
      </w:r>
      <w:r w:rsidRPr="000976DD">
        <w:rPr>
          <w:rFonts w:cs="Arial"/>
          <w:szCs w:val="20"/>
        </w:rPr>
        <w:t xml:space="preserve"> from the </w:t>
      </w:r>
      <w:r w:rsidR="008B4D5E">
        <w:rPr>
          <w:rFonts w:cs="Arial"/>
          <w:szCs w:val="20"/>
        </w:rPr>
        <w:t xml:space="preserve">acute </w:t>
      </w:r>
      <w:r w:rsidRPr="000976DD">
        <w:rPr>
          <w:rFonts w:cs="Arial"/>
          <w:szCs w:val="20"/>
        </w:rPr>
        <w:t>episode and funded through the</w:t>
      </w:r>
      <w:r>
        <w:rPr>
          <w:rFonts w:cs="Arial"/>
          <w:szCs w:val="20"/>
        </w:rPr>
        <w:t xml:space="preserve"> emergency care funding model;</w:t>
      </w:r>
    </w:p>
    <w:p w:rsidR="00460371" w:rsidRPr="000976DD" w:rsidRDefault="00460371" w:rsidP="00AD4FFC">
      <w:pPr>
        <w:pStyle w:val="ListParagraph"/>
        <w:numPr>
          <w:ilvl w:val="0"/>
          <w:numId w:val="16"/>
        </w:numPr>
        <w:tabs>
          <w:tab w:val="left" w:pos="1162"/>
        </w:tabs>
        <w:spacing w:before="120"/>
        <w:ind w:left="714" w:hanging="357"/>
        <w:rPr>
          <w:rFonts w:cs="Arial"/>
          <w:szCs w:val="20"/>
        </w:rPr>
      </w:pPr>
      <w:r w:rsidRPr="000976DD">
        <w:rPr>
          <w:rFonts w:cs="Arial"/>
          <w:szCs w:val="20"/>
        </w:rPr>
        <w:t xml:space="preserve">Depreciation and other capital related costs (where reported) </w:t>
      </w:r>
      <w:r>
        <w:rPr>
          <w:rFonts w:cs="Arial"/>
          <w:szCs w:val="20"/>
        </w:rPr>
        <w:t>are</w:t>
      </w:r>
      <w:r w:rsidRPr="000976DD">
        <w:rPr>
          <w:rFonts w:cs="Arial"/>
          <w:szCs w:val="20"/>
        </w:rPr>
        <w:t xml:space="preserve"> removed</w:t>
      </w:r>
      <w:r>
        <w:rPr>
          <w:rFonts w:cs="Arial"/>
          <w:szCs w:val="20"/>
        </w:rPr>
        <w:t>;</w:t>
      </w:r>
    </w:p>
    <w:p w:rsidR="00460371" w:rsidRDefault="00460371" w:rsidP="00AD4FFC">
      <w:pPr>
        <w:pStyle w:val="ListParagraph"/>
        <w:numPr>
          <w:ilvl w:val="0"/>
          <w:numId w:val="16"/>
        </w:numPr>
        <w:tabs>
          <w:tab w:val="left" w:pos="1162"/>
        </w:tabs>
        <w:spacing w:before="120"/>
        <w:ind w:left="714" w:hanging="357"/>
        <w:rPr>
          <w:rFonts w:cs="Arial"/>
          <w:szCs w:val="20"/>
        </w:rPr>
      </w:pPr>
      <w:r w:rsidRPr="000976DD">
        <w:rPr>
          <w:rFonts w:cs="Arial"/>
          <w:szCs w:val="20"/>
        </w:rPr>
        <w:t xml:space="preserve">Indirect costs for teaching, training and research (TTR) </w:t>
      </w:r>
      <w:r>
        <w:rPr>
          <w:rFonts w:cs="Arial"/>
          <w:szCs w:val="20"/>
        </w:rPr>
        <w:t>are</w:t>
      </w:r>
      <w:r w:rsidRPr="000976DD">
        <w:rPr>
          <w:rFonts w:cs="Arial"/>
          <w:szCs w:val="20"/>
        </w:rPr>
        <w:t xml:space="preserve"> included but </w:t>
      </w:r>
      <w:r>
        <w:rPr>
          <w:rFonts w:cs="Arial"/>
          <w:szCs w:val="20"/>
        </w:rPr>
        <w:t xml:space="preserve">any </w:t>
      </w:r>
      <w:r w:rsidRPr="000976DD">
        <w:rPr>
          <w:rFonts w:cs="Arial"/>
          <w:szCs w:val="20"/>
        </w:rPr>
        <w:t xml:space="preserve">direct TTR costs </w:t>
      </w:r>
      <w:r>
        <w:rPr>
          <w:rFonts w:cs="Arial"/>
          <w:szCs w:val="20"/>
        </w:rPr>
        <w:t>are</w:t>
      </w:r>
      <w:r w:rsidRPr="000976DD">
        <w:rPr>
          <w:rFonts w:cs="Arial"/>
          <w:szCs w:val="20"/>
        </w:rPr>
        <w:t xml:space="preserve"> excluded and will be block funded</w:t>
      </w:r>
      <w:r>
        <w:rPr>
          <w:rFonts w:cs="Arial"/>
          <w:szCs w:val="20"/>
        </w:rPr>
        <w:t>; and</w:t>
      </w:r>
    </w:p>
    <w:p w:rsidR="00460371" w:rsidRDefault="00460371" w:rsidP="00AD4FFC">
      <w:pPr>
        <w:pStyle w:val="ListParagraph"/>
        <w:numPr>
          <w:ilvl w:val="0"/>
          <w:numId w:val="16"/>
        </w:numPr>
        <w:tabs>
          <w:tab w:val="left" w:pos="1162"/>
        </w:tabs>
        <w:spacing w:before="120"/>
        <w:ind w:left="714" w:hanging="357"/>
        <w:rPr>
          <w:rFonts w:cs="Arial"/>
          <w:szCs w:val="20"/>
        </w:rPr>
      </w:pPr>
      <w:r>
        <w:rPr>
          <w:rFonts w:cs="Arial"/>
          <w:szCs w:val="20"/>
        </w:rPr>
        <w:t xml:space="preserve">Identified blood costs and Commonwealth pharmaceutical payments are also removed. </w:t>
      </w:r>
    </w:p>
    <w:tbl>
      <w:tblPr>
        <w:tblW w:w="0" w:type="auto"/>
        <w:tblLook w:val="00A0" w:firstRow="1" w:lastRow="0" w:firstColumn="1" w:lastColumn="0" w:noHBand="0" w:noVBand="0"/>
      </w:tblPr>
      <w:tblGrid>
        <w:gridCol w:w="9243"/>
      </w:tblGrid>
      <w:tr w:rsidR="00460371" w:rsidTr="00717DB3">
        <w:tc>
          <w:tcPr>
            <w:tcW w:w="9243" w:type="dxa"/>
          </w:tcPr>
          <w:p w:rsidR="00460371" w:rsidRDefault="00460371">
            <w:pPr>
              <w:pStyle w:val="table"/>
            </w:pPr>
            <w:bookmarkStart w:id="29" w:name="_Ref373229147"/>
            <w:bookmarkStart w:id="30" w:name="_Ref373226525"/>
            <w:r>
              <w:t xml:space="preserve">Table </w:t>
            </w:r>
            <w:fldSimple w:instr=" SEQ Table \* ARABIC ">
              <w:r w:rsidR="00915776">
                <w:rPr>
                  <w:noProof/>
                </w:rPr>
                <w:t>3</w:t>
              </w:r>
            </w:fldSimple>
            <w:bookmarkEnd w:id="29"/>
            <w:r>
              <w:t xml:space="preserve">: </w:t>
            </w:r>
            <w:r w:rsidRPr="001F4F50">
              <w:t>Acute admitted episodes in scope for ABF</w:t>
            </w:r>
            <w:bookmarkEnd w:id="30"/>
          </w:p>
          <w:tbl>
            <w:tblPr>
              <w:tblW w:w="9017"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0A0" w:firstRow="1" w:lastRow="0" w:firstColumn="1" w:lastColumn="0" w:noHBand="0" w:noVBand="0"/>
            </w:tblPr>
            <w:tblGrid>
              <w:gridCol w:w="1445"/>
              <w:gridCol w:w="2524"/>
              <w:gridCol w:w="1555"/>
              <w:gridCol w:w="103"/>
              <w:gridCol w:w="866"/>
              <w:gridCol w:w="793"/>
              <w:gridCol w:w="1731"/>
            </w:tblGrid>
            <w:tr w:rsidR="00460371" w:rsidRPr="005530B8" w:rsidTr="00157362">
              <w:trPr>
                <w:cantSplit/>
                <w:trHeight w:val="256"/>
                <w:tblHeader/>
                <w:jc w:val="center"/>
              </w:trPr>
              <w:tc>
                <w:tcPr>
                  <w:tcW w:w="1445" w:type="dxa"/>
                  <w:shd w:val="clear" w:color="auto" w:fill="BFBFBF" w:themeFill="background1" w:themeFillShade="BF"/>
                  <w:noWrap/>
                  <w:vAlign w:val="center"/>
                </w:tcPr>
                <w:p w:rsidR="00460371" w:rsidRPr="004C561E" w:rsidRDefault="00460371" w:rsidP="00AD4FFC">
                  <w:pPr>
                    <w:tabs>
                      <w:tab w:val="left" w:pos="1162"/>
                    </w:tabs>
                    <w:spacing w:before="80" w:after="80"/>
                    <w:jc w:val="center"/>
                    <w:rPr>
                      <w:rFonts w:cs="Calibri"/>
                      <w:b/>
                      <w:bCs/>
                      <w:sz w:val="18"/>
                      <w:szCs w:val="18"/>
                      <w:lang w:eastAsia="en-AU"/>
                    </w:rPr>
                  </w:pPr>
                  <w:r w:rsidRPr="004C561E">
                    <w:rPr>
                      <w:rFonts w:cs="Calibri"/>
                      <w:b/>
                      <w:bCs/>
                      <w:sz w:val="18"/>
                      <w:szCs w:val="18"/>
                      <w:lang w:eastAsia="en-AU"/>
                    </w:rPr>
                    <w:t>Variable</w:t>
                  </w:r>
                </w:p>
              </w:tc>
              <w:tc>
                <w:tcPr>
                  <w:tcW w:w="7572" w:type="dxa"/>
                  <w:gridSpan w:val="6"/>
                  <w:shd w:val="clear" w:color="auto" w:fill="BFBFBF" w:themeFill="background1" w:themeFillShade="BF"/>
                  <w:noWrap/>
                  <w:vAlign w:val="center"/>
                </w:tcPr>
                <w:p w:rsidR="00460371" w:rsidRPr="004C561E" w:rsidRDefault="00460371" w:rsidP="00AD4FFC">
                  <w:pPr>
                    <w:tabs>
                      <w:tab w:val="left" w:pos="1162"/>
                    </w:tabs>
                    <w:spacing w:before="80" w:after="80"/>
                    <w:jc w:val="center"/>
                    <w:rPr>
                      <w:rFonts w:cs="Calibri"/>
                      <w:b/>
                      <w:bCs/>
                      <w:sz w:val="18"/>
                      <w:szCs w:val="18"/>
                      <w:lang w:eastAsia="en-AU"/>
                    </w:rPr>
                  </w:pPr>
                  <w:r w:rsidRPr="004C561E">
                    <w:rPr>
                      <w:rFonts w:cs="Calibri"/>
                      <w:b/>
                      <w:bCs/>
                      <w:sz w:val="18"/>
                      <w:szCs w:val="18"/>
                      <w:lang w:eastAsia="en-AU"/>
                    </w:rPr>
                    <w:t>Episodes that meet the inclusion criteria</w:t>
                  </w:r>
                </w:p>
              </w:tc>
            </w:tr>
            <w:tr w:rsidR="00090A2D" w:rsidRPr="005530B8" w:rsidTr="00157362">
              <w:trPr>
                <w:cantSplit/>
                <w:trHeight w:val="154"/>
                <w:jc w:val="center"/>
              </w:trPr>
              <w:tc>
                <w:tcPr>
                  <w:tcW w:w="1445" w:type="dxa"/>
                  <w:noWrap/>
                </w:tcPr>
                <w:p w:rsidR="00090A2D" w:rsidRPr="005530B8" w:rsidRDefault="00090A2D" w:rsidP="00AD4FFC">
                  <w:pPr>
                    <w:tabs>
                      <w:tab w:val="left" w:pos="1162"/>
                    </w:tabs>
                    <w:spacing w:before="60" w:after="60"/>
                    <w:rPr>
                      <w:rFonts w:cs="Calibri"/>
                      <w:color w:val="000000"/>
                      <w:sz w:val="18"/>
                      <w:szCs w:val="18"/>
                      <w:lang w:eastAsia="en-AU"/>
                    </w:rPr>
                  </w:pPr>
                  <w:r>
                    <w:rPr>
                      <w:rFonts w:cs="Calibri"/>
                      <w:color w:val="000000"/>
                      <w:sz w:val="18"/>
                      <w:szCs w:val="18"/>
                      <w:lang w:eastAsia="en-AU"/>
                    </w:rPr>
                    <w:t>Care type</w:t>
                  </w:r>
                </w:p>
              </w:tc>
              <w:tc>
                <w:tcPr>
                  <w:tcW w:w="4079" w:type="dxa"/>
                  <w:gridSpan w:val="2"/>
                  <w:tcBorders>
                    <w:right w:val="nil"/>
                  </w:tcBorders>
                  <w:noWrap/>
                  <w:vAlign w:val="center"/>
                </w:tcPr>
                <w:p w:rsidR="00090A2D" w:rsidRDefault="00090A2D" w:rsidP="00AD4FFC">
                  <w:pPr>
                    <w:tabs>
                      <w:tab w:val="left" w:pos="1162"/>
                    </w:tabs>
                    <w:spacing w:before="60" w:after="60"/>
                    <w:rPr>
                      <w:rFonts w:cs="Calibri"/>
                      <w:color w:val="000000"/>
                      <w:sz w:val="18"/>
                      <w:szCs w:val="18"/>
                      <w:lang w:eastAsia="en-AU"/>
                    </w:rPr>
                  </w:pPr>
                  <w:r w:rsidRPr="002B2E35">
                    <w:rPr>
                      <w:rFonts w:cs="Calibri"/>
                      <w:color w:val="000000"/>
                      <w:sz w:val="18"/>
                      <w:szCs w:val="18"/>
                      <w:lang w:eastAsia="en-AU"/>
                    </w:rPr>
                    <w:t>1 Acute care</w:t>
                  </w:r>
                </w:p>
                <w:p w:rsidR="00090A2D" w:rsidRPr="002B2E35" w:rsidRDefault="00090A2D" w:rsidP="00AD4FFC">
                  <w:pPr>
                    <w:tabs>
                      <w:tab w:val="left" w:pos="1162"/>
                    </w:tabs>
                    <w:spacing w:before="60" w:after="60"/>
                    <w:rPr>
                      <w:rFonts w:cs="Calibri"/>
                      <w:color w:val="000000"/>
                      <w:sz w:val="18"/>
                      <w:szCs w:val="18"/>
                      <w:lang w:eastAsia="en-AU"/>
                    </w:rPr>
                  </w:pPr>
                  <w:r w:rsidRPr="002B2E35">
                    <w:rPr>
                      <w:rFonts w:cs="Calibri"/>
                      <w:color w:val="000000"/>
                      <w:sz w:val="18"/>
                      <w:szCs w:val="18"/>
                      <w:lang w:eastAsia="en-AU"/>
                    </w:rPr>
                    <w:t xml:space="preserve">7 Newborn care and </w:t>
                  </w:r>
                  <w:r>
                    <w:rPr>
                      <w:rFonts w:cs="Calibri"/>
                      <w:color w:val="000000"/>
                      <w:sz w:val="18"/>
                      <w:szCs w:val="18"/>
                      <w:lang w:eastAsia="en-AU"/>
                    </w:rPr>
                    <w:t>q</w:t>
                  </w:r>
                  <w:r w:rsidRPr="002B2E35">
                    <w:rPr>
                      <w:rFonts w:cs="Calibri"/>
                      <w:color w:val="000000"/>
                      <w:sz w:val="18"/>
                      <w:szCs w:val="18"/>
                      <w:lang w:eastAsia="en-AU"/>
                    </w:rPr>
                    <w:t>ualified days &gt; 0</w:t>
                  </w:r>
                </w:p>
              </w:tc>
              <w:tc>
                <w:tcPr>
                  <w:tcW w:w="969" w:type="dxa"/>
                  <w:gridSpan w:val="2"/>
                  <w:tcBorders>
                    <w:left w:val="nil"/>
                    <w:right w:val="nil"/>
                  </w:tcBorders>
                  <w:vAlign w:val="center"/>
                </w:tcPr>
                <w:p w:rsidR="00090A2D" w:rsidRPr="005530B8" w:rsidRDefault="00090A2D" w:rsidP="00AD4FFC">
                  <w:pPr>
                    <w:tabs>
                      <w:tab w:val="left" w:pos="1162"/>
                    </w:tabs>
                    <w:spacing w:before="60" w:after="60"/>
                    <w:rPr>
                      <w:rFonts w:cs="Calibri"/>
                      <w:color w:val="000000"/>
                      <w:sz w:val="18"/>
                      <w:szCs w:val="18"/>
                      <w:lang w:eastAsia="en-AU"/>
                    </w:rPr>
                  </w:pPr>
                </w:p>
              </w:tc>
              <w:tc>
                <w:tcPr>
                  <w:tcW w:w="2524" w:type="dxa"/>
                  <w:gridSpan w:val="2"/>
                  <w:tcBorders>
                    <w:left w:val="nil"/>
                  </w:tcBorders>
                  <w:vAlign w:val="center"/>
                </w:tcPr>
                <w:p w:rsidR="00090A2D" w:rsidRPr="005530B8" w:rsidRDefault="00090A2D" w:rsidP="00AD4FFC">
                  <w:pPr>
                    <w:tabs>
                      <w:tab w:val="left" w:pos="1162"/>
                    </w:tabs>
                    <w:spacing w:before="60" w:after="60"/>
                    <w:rPr>
                      <w:rFonts w:cs="Calibri"/>
                      <w:color w:val="000000"/>
                      <w:sz w:val="18"/>
                      <w:szCs w:val="18"/>
                      <w:lang w:eastAsia="en-AU"/>
                    </w:rPr>
                  </w:pPr>
                </w:p>
              </w:tc>
            </w:tr>
            <w:tr w:rsidR="00460371" w:rsidRPr="005530B8" w:rsidTr="00157362">
              <w:trPr>
                <w:cantSplit/>
                <w:trHeight w:val="95"/>
                <w:jc w:val="center"/>
              </w:trPr>
              <w:tc>
                <w:tcPr>
                  <w:tcW w:w="1445" w:type="dxa"/>
                  <w:tcBorders>
                    <w:bottom w:val="nil"/>
                  </w:tcBorders>
                  <w:noWrap/>
                </w:tcPr>
                <w:p w:rsidR="00460371" w:rsidRPr="005530B8" w:rsidRDefault="00460371" w:rsidP="00AD4FFC">
                  <w:pPr>
                    <w:tabs>
                      <w:tab w:val="left" w:pos="1162"/>
                    </w:tabs>
                    <w:spacing w:before="60" w:after="60"/>
                    <w:rPr>
                      <w:rFonts w:cs="Calibri"/>
                      <w:color w:val="000000"/>
                      <w:sz w:val="18"/>
                      <w:szCs w:val="18"/>
                      <w:lang w:eastAsia="en-AU"/>
                    </w:rPr>
                  </w:pPr>
                  <w:r>
                    <w:rPr>
                      <w:rFonts w:cs="Calibri"/>
                      <w:color w:val="000000"/>
                      <w:sz w:val="18"/>
                      <w:szCs w:val="18"/>
                      <w:lang w:eastAsia="en-AU"/>
                    </w:rPr>
                    <w:t>Funding source/ Election status</w:t>
                  </w:r>
                </w:p>
              </w:tc>
              <w:tc>
                <w:tcPr>
                  <w:tcW w:w="4182" w:type="dxa"/>
                  <w:gridSpan w:val="3"/>
                  <w:tcBorders>
                    <w:bottom w:val="single" w:sz="4" w:space="0" w:color="auto"/>
                    <w:right w:val="single" w:sz="4" w:space="0" w:color="auto"/>
                  </w:tcBorders>
                  <w:shd w:val="clear" w:color="auto" w:fill="BFBFBF" w:themeFill="background1" w:themeFillShade="BF"/>
                  <w:noWrap/>
                  <w:vAlign w:val="center"/>
                </w:tcPr>
                <w:p w:rsidR="00460371" w:rsidRPr="007F7235" w:rsidRDefault="00460371" w:rsidP="00AD4FFC">
                  <w:pPr>
                    <w:tabs>
                      <w:tab w:val="left" w:pos="1162"/>
                    </w:tabs>
                    <w:spacing w:after="0"/>
                    <w:rPr>
                      <w:rFonts w:cs="Calibri"/>
                      <w:b/>
                      <w:bCs/>
                      <w:sz w:val="18"/>
                      <w:szCs w:val="18"/>
                      <w:lang w:eastAsia="en-AU"/>
                    </w:rPr>
                  </w:pPr>
                  <w:r w:rsidRPr="007F7235">
                    <w:rPr>
                      <w:rFonts w:cs="Calibri"/>
                      <w:b/>
                      <w:bCs/>
                      <w:sz w:val="18"/>
                      <w:szCs w:val="18"/>
                      <w:lang w:eastAsia="en-AU"/>
                    </w:rPr>
                    <w:t>Funding Source</w:t>
                  </w:r>
                  <w:r>
                    <w:rPr>
                      <w:rFonts w:cs="Calibri"/>
                      <w:b/>
                      <w:bCs/>
                      <w:sz w:val="18"/>
                      <w:szCs w:val="18"/>
                      <w:lang w:eastAsia="en-AU"/>
                    </w:rPr>
                    <w:t xml:space="preserve"> (</w:t>
                  </w:r>
                  <w:r w:rsidR="00B94FB5">
                    <w:rPr>
                      <w:rFonts w:cs="Calibri"/>
                      <w:b/>
                      <w:bCs/>
                      <w:sz w:val="18"/>
                      <w:szCs w:val="18"/>
                      <w:lang w:eastAsia="en-AU"/>
                    </w:rPr>
                    <w:t>2015-16</w:t>
                  </w:r>
                  <w:r>
                    <w:rPr>
                      <w:rFonts w:cs="Calibri"/>
                      <w:b/>
                      <w:bCs/>
                      <w:sz w:val="18"/>
                      <w:szCs w:val="18"/>
                      <w:lang w:eastAsia="en-AU"/>
                    </w:rPr>
                    <w:t xml:space="preserve"> codes)</w:t>
                  </w:r>
                </w:p>
              </w:tc>
              <w:tc>
                <w:tcPr>
                  <w:tcW w:w="1659" w:type="dxa"/>
                  <w:gridSpan w:val="2"/>
                  <w:tcBorders>
                    <w:left w:val="single" w:sz="4" w:space="0" w:color="auto"/>
                    <w:bottom w:val="single" w:sz="4" w:space="0" w:color="auto"/>
                  </w:tcBorders>
                  <w:shd w:val="clear" w:color="auto" w:fill="BFBFBF" w:themeFill="background1" w:themeFillShade="BF"/>
                  <w:vAlign w:val="center"/>
                </w:tcPr>
                <w:p w:rsidR="00460371" w:rsidRPr="007F7235" w:rsidRDefault="00460371" w:rsidP="00AD4FFC">
                  <w:pPr>
                    <w:tabs>
                      <w:tab w:val="left" w:pos="1162"/>
                    </w:tabs>
                    <w:spacing w:after="0"/>
                    <w:jc w:val="center"/>
                    <w:rPr>
                      <w:rFonts w:cs="Calibri"/>
                      <w:b/>
                      <w:bCs/>
                      <w:sz w:val="18"/>
                      <w:szCs w:val="18"/>
                      <w:lang w:eastAsia="en-AU"/>
                    </w:rPr>
                  </w:pPr>
                  <w:r w:rsidRPr="007F7235">
                    <w:rPr>
                      <w:rFonts w:cs="Calibri"/>
                      <w:b/>
                      <w:bCs/>
                      <w:sz w:val="18"/>
                      <w:szCs w:val="18"/>
                      <w:lang w:eastAsia="en-AU"/>
                    </w:rPr>
                    <w:t>Public hospitals</w:t>
                  </w:r>
                </w:p>
              </w:tc>
              <w:tc>
                <w:tcPr>
                  <w:tcW w:w="1731" w:type="dxa"/>
                  <w:tcBorders>
                    <w:left w:val="single" w:sz="4" w:space="0" w:color="auto"/>
                    <w:bottom w:val="single" w:sz="4" w:space="0" w:color="auto"/>
                  </w:tcBorders>
                  <w:shd w:val="clear" w:color="auto" w:fill="BFBFBF" w:themeFill="background1" w:themeFillShade="BF"/>
                  <w:vAlign w:val="center"/>
                </w:tcPr>
                <w:p w:rsidR="00460371" w:rsidRPr="007F7235" w:rsidRDefault="00460371" w:rsidP="00AD4FFC">
                  <w:pPr>
                    <w:tabs>
                      <w:tab w:val="left" w:pos="1162"/>
                    </w:tabs>
                    <w:spacing w:after="0"/>
                    <w:jc w:val="center"/>
                    <w:rPr>
                      <w:rFonts w:cs="Calibri"/>
                      <w:b/>
                      <w:bCs/>
                      <w:sz w:val="18"/>
                      <w:szCs w:val="18"/>
                      <w:lang w:eastAsia="en-AU"/>
                    </w:rPr>
                  </w:pPr>
                  <w:r w:rsidRPr="007F7235">
                    <w:rPr>
                      <w:rFonts w:cs="Calibri"/>
                      <w:b/>
                      <w:bCs/>
                      <w:sz w:val="18"/>
                      <w:szCs w:val="18"/>
                      <w:lang w:eastAsia="en-AU"/>
                    </w:rPr>
                    <w:t>Private hospitals</w:t>
                  </w:r>
                </w:p>
              </w:tc>
            </w:tr>
            <w:tr w:rsidR="00460371" w:rsidRPr="005530B8" w:rsidTr="00157362">
              <w:trPr>
                <w:cantSplit/>
                <w:trHeight w:val="196"/>
                <w:jc w:val="center"/>
              </w:trPr>
              <w:tc>
                <w:tcPr>
                  <w:tcW w:w="1445" w:type="dxa"/>
                  <w:tcBorders>
                    <w:top w:val="nil"/>
                    <w:bottom w:val="nil"/>
                  </w:tcBorders>
                  <w:noWrap/>
                </w:tcPr>
                <w:p w:rsidR="00460371" w:rsidRDefault="00460371" w:rsidP="00AD4FFC">
                  <w:pPr>
                    <w:tabs>
                      <w:tab w:val="left" w:pos="1162"/>
                    </w:tabs>
                    <w:spacing w:before="60" w:after="60"/>
                    <w:rPr>
                      <w:rFonts w:cs="Calibri"/>
                      <w:color w:val="000000"/>
                      <w:sz w:val="18"/>
                      <w:szCs w:val="18"/>
                      <w:lang w:eastAsia="en-AU"/>
                    </w:rPr>
                  </w:pPr>
                </w:p>
              </w:tc>
              <w:tc>
                <w:tcPr>
                  <w:tcW w:w="4182" w:type="dxa"/>
                  <w:gridSpan w:val="3"/>
                  <w:tcBorders>
                    <w:top w:val="single" w:sz="4" w:space="0" w:color="auto"/>
                    <w:bottom w:val="single" w:sz="4" w:space="0" w:color="auto"/>
                    <w:right w:val="single" w:sz="4" w:space="0" w:color="auto"/>
                  </w:tcBorders>
                  <w:noWrap/>
                </w:tcPr>
                <w:p w:rsidR="00460371" w:rsidRPr="0034628B" w:rsidRDefault="00460371" w:rsidP="00AD4FFC">
                  <w:pPr>
                    <w:tabs>
                      <w:tab w:val="left" w:pos="1162"/>
                    </w:tabs>
                    <w:spacing w:before="60" w:after="60"/>
                    <w:rPr>
                      <w:rFonts w:cs="Calibri"/>
                      <w:color w:val="000000"/>
                      <w:sz w:val="18"/>
                      <w:szCs w:val="18"/>
                      <w:lang w:eastAsia="en-AU"/>
                    </w:rPr>
                  </w:pPr>
                  <w:r w:rsidRPr="0034628B">
                    <w:rPr>
                      <w:rFonts w:cs="Calibri"/>
                      <w:color w:val="000000"/>
                      <w:sz w:val="18"/>
                      <w:szCs w:val="18"/>
                      <w:lang w:eastAsia="en-AU"/>
                    </w:rPr>
                    <w:t>01 Health Service Budget</w:t>
                  </w:r>
                </w:p>
                <w:p w:rsidR="00460371" w:rsidRPr="005530B8" w:rsidRDefault="00460371" w:rsidP="00AD4FFC">
                  <w:pPr>
                    <w:tabs>
                      <w:tab w:val="left" w:pos="1162"/>
                    </w:tabs>
                    <w:spacing w:before="60" w:after="60"/>
                    <w:rPr>
                      <w:rFonts w:cs="Calibri"/>
                      <w:color w:val="000000"/>
                      <w:sz w:val="18"/>
                      <w:szCs w:val="18"/>
                      <w:lang w:eastAsia="en-AU"/>
                    </w:rPr>
                  </w:pPr>
                  <w:r w:rsidRPr="0034628B">
                    <w:rPr>
                      <w:rFonts w:cs="Calibri"/>
                      <w:color w:val="000000"/>
                      <w:sz w:val="18"/>
                      <w:szCs w:val="18"/>
                      <w:lang w:eastAsia="en-AU"/>
                    </w:rPr>
                    <w:t>(Not covered elsewhere)</w:t>
                  </w:r>
                </w:p>
              </w:tc>
              <w:tc>
                <w:tcPr>
                  <w:tcW w:w="1659" w:type="dxa"/>
                  <w:gridSpan w:val="2"/>
                  <w:tcBorders>
                    <w:top w:val="single" w:sz="4" w:space="0" w:color="auto"/>
                    <w:left w:val="single" w:sz="4" w:space="0" w:color="auto"/>
                    <w:bottom w:val="single" w:sz="4" w:space="0" w:color="auto"/>
                  </w:tcBorders>
                </w:tcPr>
                <w:p w:rsidR="00460371" w:rsidRPr="005530B8" w:rsidRDefault="00460371" w:rsidP="00AD4FFC">
                  <w:pPr>
                    <w:tabs>
                      <w:tab w:val="left" w:pos="1162"/>
                    </w:tabs>
                    <w:spacing w:before="60" w:after="60"/>
                    <w:rPr>
                      <w:rFonts w:cs="Calibri"/>
                      <w:color w:val="000000"/>
                      <w:sz w:val="18"/>
                      <w:szCs w:val="18"/>
                      <w:lang w:eastAsia="en-AU"/>
                    </w:rPr>
                  </w:pPr>
                  <w:r w:rsidRPr="0034628B">
                    <w:rPr>
                      <w:rFonts w:cs="Calibri"/>
                      <w:color w:val="000000"/>
                      <w:sz w:val="18"/>
                      <w:szCs w:val="18"/>
                      <w:lang w:eastAsia="en-AU"/>
                    </w:rPr>
                    <w:t>Included</w:t>
                  </w:r>
                </w:p>
              </w:tc>
              <w:tc>
                <w:tcPr>
                  <w:tcW w:w="1731" w:type="dxa"/>
                  <w:tcBorders>
                    <w:top w:val="single" w:sz="4" w:space="0" w:color="auto"/>
                    <w:left w:val="single" w:sz="4" w:space="0" w:color="auto"/>
                    <w:bottom w:val="single" w:sz="4" w:space="0" w:color="auto"/>
                  </w:tcBorders>
                </w:tcPr>
                <w:p w:rsidR="00460371" w:rsidRPr="005530B8" w:rsidRDefault="00460371" w:rsidP="00AD4FFC">
                  <w:pPr>
                    <w:tabs>
                      <w:tab w:val="left" w:pos="1162"/>
                    </w:tabs>
                    <w:spacing w:before="60" w:after="60"/>
                    <w:rPr>
                      <w:rFonts w:cs="Calibri"/>
                      <w:color w:val="000000"/>
                      <w:sz w:val="18"/>
                      <w:szCs w:val="18"/>
                      <w:lang w:eastAsia="en-AU"/>
                    </w:rPr>
                  </w:pPr>
                  <w:r w:rsidRPr="0034628B">
                    <w:rPr>
                      <w:rFonts w:cs="Calibri"/>
                      <w:color w:val="000000"/>
                      <w:sz w:val="18"/>
                      <w:szCs w:val="18"/>
                      <w:lang w:eastAsia="en-AU"/>
                    </w:rPr>
                    <w:t>Included</w:t>
                  </w:r>
                </w:p>
              </w:tc>
            </w:tr>
            <w:tr w:rsidR="00460371" w:rsidRPr="005530B8" w:rsidTr="00157362">
              <w:trPr>
                <w:cantSplit/>
                <w:trHeight w:val="207"/>
                <w:jc w:val="center"/>
              </w:trPr>
              <w:tc>
                <w:tcPr>
                  <w:tcW w:w="1445" w:type="dxa"/>
                  <w:tcBorders>
                    <w:top w:val="nil"/>
                    <w:bottom w:val="nil"/>
                  </w:tcBorders>
                  <w:noWrap/>
                </w:tcPr>
                <w:p w:rsidR="00460371" w:rsidRDefault="00460371" w:rsidP="00AD4FFC">
                  <w:pPr>
                    <w:tabs>
                      <w:tab w:val="left" w:pos="1162"/>
                    </w:tabs>
                    <w:spacing w:before="60" w:after="60"/>
                    <w:rPr>
                      <w:rFonts w:cs="Calibri"/>
                      <w:color w:val="000000"/>
                      <w:sz w:val="18"/>
                      <w:szCs w:val="18"/>
                      <w:lang w:eastAsia="en-AU"/>
                    </w:rPr>
                  </w:pPr>
                </w:p>
              </w:tc>
              <w:tc>
                <w:tcPr>
                  <w:tcW w:w="4182" w:type="dxa"/>
                  <w:gridSpan w:val="3"/>
                  <w:tcBorders>
                    <w:top w:val="single" w:sz="4" w:space="0" w:color="auto"/>
                    <w:bottom w:val="single" w:sz="4" w:space="0" w:color="auto"/>
                    <w:right w:val="single" w:sz="4" w:space="0" w:color="auto"/>
                  </w:tcBorders>
                  <w:noWrap/>
                </w:tcPr>
                <w:p w:rsidR="00460371" w:rsidRPr="007F7235" w:rsidRDefault="00460371" w:rsidP="00AD4FFC">
                  <w:pPr>
                    <w:tabs>
                      <w:tab w:val="left" w:pos="1162"/>
                    </w:tabs>
                    <w:spacing w:before="60" w:after="60"/>
                    <w:rPr>
                      <w:rFonts w:cs="Calibri"/>
                      <w:color w:val="000000"/>
                      <w:sz w:val="18"/>
                      <w:szCs w:val="18"/>
                      <w:lang w:eastAsia="en-AU"/>
                    </w:rPr>
                  </w:pPr>
                  <w:r w:rsidRPr="000B5280">
                    <w:rPr>
                      <w:rFonts w:cs="Calibri"/>
                      <w:color w:val="000000"/>
                      <w:sz w:val="18"/>
                      <w:szCs w:val="18"/>
                      <w:lang w:eastAsia="en-AU"/>
                    </w:rPr>
                    <w:t xml:space="preserve">02 </w:t>
                  </w:r>
                  <w:r w:rsidRPr="007F7235">
                    <w:rPr>
                      <w:rFonts w:cs="Calibri"/>
                      <w:color w:val="000000"/>
                      <w:sz w:val="18"/>
                      <w:szCs w:val="18"/>
                      <w:lang w:eastAsia="en-AU"/>
                    </w:rPr>
                    <w:t xml:space="preserve">Health Service Budget </w:t>
                  </w:r>
                </w:p>
                <w:p w:rsidR="00460371" w:rsidRPr="005530B8" w:rsidRDefault="00460371" w:rsidP="00AD4FFC">
                  <w:pPr>
                    <w:tabs>
                      <w:tab w:val="left" w:pos="1162"/>
                    </w:tabs>
                    <w:spacing w:before="60" w:after="60"/>
                    <w:rPr>
                      <w:rFonts w:cs="Calibri"/>
                      <w:color w:val="000000"/>
                      <w:sz w:val="18"/>
                      <w:szCs w:val="18"/>
                      <w:lang w:eastAsia="en-AU"/>
                    </w:rPr>
                  </w:pPr>
                  <w:r w:rsidRPr="007F7235">
                    <w:rPr>
                      <w:rFonts w:cs="Calibri"/>
                      <w:color w:val="000000"/>
                      <w:sz w:val="18"/>
                      <w:szCs w:val="18"/>
                      <w:lang w:eastAsia="en-AU"/>
                    </w:rPr>
                    <w:t>(due to eligibility for Reciprocal Health Care Agreement)</w:t>
                  </w:r>
                </w:p>
              </w:tc>
              <w:tc>
                <w:tcPr>
                  <w:tcW w:w="1659" w:type="dxa"/>
                  <w:gridSpan w:val="2"/>
                  <w:tcBorders>
                    <w:top w:val="single" w:sz="4" w:space="0" w:color="auto"/>
                    <w:left w:val="single" w:sz="4" w:space="0" w:color="auto"/>
                    <w:bottom w:val="single" w:sz="4" w:space="0" w:color="auto"/>
                  </w:tcBorders>
                </w:tcPr>
                <w:p w:rsidR="00460371" w:rsidRPr="005530B8" w:rsidRDefault="00460371" w:rsidP="00AD4FFC">
                  <w:pPr>
                    <w:tabs>
                      <w:tab w:val="left" w:pos="1162"/>
                    </w:tabs>
                    <w:spacing w:before="60" w:after="60"/>
                    <w:rPr>
                      <w:rFonts w:cs="Calibri"/>
                      <w:color w:val="000000"/>
                      <w:sz w:val="18"/>
                      <w:szCs w:val="18"/>
                      <w:lang w:eastAsia="en-AU"/>
                    </w:rPr>
                  </w:pPr>
                  <w:r w:rsidRPr="000B5280">
                    <w:rPr>
                      <w:rFonts w:cs="Calibri"/>
                      <w:color w:val="000000"/>
                      <w:sz w:val="18"/>
                      <w:szCs w:val="18"/>
                      <w:lang w:eastAsia="en-AU"/>
                    </w:rPr>
                    <w:t>Included</w:t>
                  </w:r>
                </w:p>
              </w:tc>
              <w:tc>
                <w:tcPr>
                  <w:tcW w:w="1731" w:type="dxa"/>
                  <w:tcBorders>
                    <w:top w:val="single" w:sz="4" w:space="0" w:color="auto"/>
                    <w:left w:val="single" w:sz="4" w:space="0" w:color="auto"/>
                    <w:bottom w:val="single" w:sz="4" w:space="0" w:color="auto"/>
                  </w:tcBorders>
                </w:tcPr>
                <w:p w:rsidR="00460371" w:rsidRPr="005530B8" w:rsidRDefault="00460371" w:rsidP="00AD4FFC">
                  <w:pPr>
                    <w:tabs>
                      <w:tab w:val="left" w:pos="1162"/>
                    </w:tabs>
                    <w:spacing w:before="60" w:after="60"/>
                    <w:rPr>
                      <w:rFonts w:cs="Calibri"/>
                      <w:color w:val="000000"/>
                      <w:sz w:val="18"/>
                      <w:szCs w:val="18"/>
                      <w:lang w:eastAsia="en-AU"/>
                    </w:rPr>
                  </w:pPr>
                  <w:r>
                    <w:rPr>
                      <w:rFonts w:cs="Calibri"/>
                      <w:color w:val="000000"/>
                      <w:sz w:val="18"/>
                      <w:szCs w:val="18"/>
                      <w:lang w:eastAsia="en-AU"/>
                    </w:rPr>
                    <w:t>Included</w:t>
                  </w:r>
                </w:p>
              </w:tc>
            </w:tr>
            <w:tr w:rsidR="00460371" w:rsidRPr="005530B8" w:rsidTr="00157362">
              <w:trPr>
                <w:cantSplit/>
                <w:trHeight w:val="161"/>
                <w:jc w:val="center"/>
              </w:trPr>
              <w:tc>
                <w:tcPr>
                  <w:tcW w:w="1445" w:type="dxa"/>
                  <w:tcBorders>
                    <w:top w:val="nil"/>
                    <w:bottom w:val="nil"/>
                  </w:tcBorders>
                  <w:noWrap/>
                </w:tcPr>
                <w:p w:rsidR="00460371" w:rsidRDefault="00460371" w:rsidP="00AD4FFC">
                  <w:pPr>
                    <w:tabs>
                      <w:tab w:val="left" w:pos="1162"/>
                    </w:tabs>
                    <w:spacing w:before="60" w:after="60"/>
                    <w:rPr>
                      <w:rFonts w:cs="Calibri"/>
                      <w:color w:val="000000"/>
                      <w:sz w:val="18"/>
                      <w:szCs w:val="18"/>
                      <w:lang w:eastAsia="en-AU"/>
                    </w:rPr>
                  </w:pPr>
                </w:p>
              </w:tc>
              <w:tc>
                <w:tcPr>
                  <w:tcW w:w="4182" w:type="dxa"/>
                  <w:gridSpan w:val="3"/>
                  <w:tcBorders>
                    <w:top w:val="single" w:sz="4" w:space="0" w:color="auto"/>
                    <w:bottom w:val="single" w:sz="4" w:space="0" w:color="auto"/>
                    <w:right w:val="single" w:sz="4" w:space="0" w:color="auto"/>
                  </w:tcBorders>
                  <w:noWrap/>
                </w:tcPr>
                <w:p w:rsidR="00460371" w:rsidRPr="005530B8" w:rsidRDefault="00460371" w:rsidP="00AD4FFC">
                  <w:pPr>
                    <w:tabs>
                      <w:tab w:val="left" w:pos="1162"/>
                    </w:tabs>
                    <w:spacing w:before="60" w:after="60"/>
                    <w:rPr>
                      <w:rFonts w:cs="Calibri"/>
                      <w:color w:val="000000"/>
                      <w:sz w:val="18"/>
                      <w:szCs w:val="18"/>
                      <w:lang w:eastAsia="en-AU"/>
                    </w:rPr>
                  </w:pPr>
                  <w:r>
                    <w:rPr>
                      <w:rFonts w:cs="Calibri"/>
                      <w:color w:val="000000"/>
                      <w:sz w:val="18"/>
                      <w:szCs w:val="18"/>
                      <w:lang w:eastAsia="en-AU"/>
                    </w:rPr>
                    <w:t>08</w:t>
                  </w:r>
                  <w:r w:rsidRPr="0034628B">
                    <w:rPr>
                      <w:rFonts w:cs="Calibri"/>
                      <w:color w:val="000000"/>
                      <w:sz w:val="18"/>
                      <w:szCs w:val="18"/>
                      <w:lang w:eastAsia="en-AU"/>
                    </w:rPr>
                    <w:t xml:space="preserve"> Other hospital or public authority (contracted care)</w:t>
                  </w:r>
                </w:p>
              </w:tc>
              <w:tc>
                <w:tcPr>
                  <w:tcW w:w="1659" w:type="dxa"/>
                  <w:gridSpan w:val="2"/>
                  <w:tcBorders>
                    <w:top w:val="single" w:sz="4" w:space="0" w:color="auto"/>
                    <w:left w:val="single" w:sz="4" w:space="0" w:color="auto"/>
                    <w:bottom w:val="single" w:sz="4" w:space="0" w:color="auto"/>
                  </w:tcBorders>
                </w:tcPr>
                <w:p w:rsidR="00460371" w:rsidRPr="005530B8" w:rsidRDefault="00460371" w:rsidP="00AD4FFC">
                  <w:pPr>
                    <w:tabs>
                      <w:tab w:val="left" w:pos="1162"/>
                    </w:tabs>
                    <w:spacing w:before="60" w:after="60"/>
                    <w:rPr>
                      <w:rFonts w:cs="Calibri"/>
                      <w:color w:val="000000"/>
                      <w:sz w:val="18"/>
                      <w:szCs w:val="18"/>
                      <w:lang w:eastAsia="en-AU"/>
                    </w:rPr>
                  </w:pPr>
                  <w:r>
                    <w:rPr>
                      <w:rFonts w:cs="Calibri"/>
                      <w:color w:val="000000"/>
                      <w:sz w:val="18"/>
                      <w:szCs w:val="18"/>
                      <w:lang w:eastAsia="en-AU"/>
                    </w:rPr>
                    <w:t>Included</w:t>
                  </w:r>
                </w:p>
              </w:tc>
              <w:tc>
                <w:tcPr>
                  <w:tcW w:w="1731" w:type="dxa"/>
                  <w:tcBorders>
                    <w:top w:val="single" w:sz="4" w:space="0" w:color="auto"/>
                    <w:left w:val="single" w:sz="4" w:space="0" w:color="auto"/>
                    <w:bottom w:val="single" w:sz="4" w:space="0" w:color="auto"/>
                  </w:tcBorders>
                </w:tcPr>
                <w:p w:rsidR="00460371" w:rsidRPr="005530B8" w:rsidRDefault="00460371" w:rsidP="00AD4FFC">
                  <w:pPr>
                    <w:tabs>
                      <w:tab w:val="left" w:pos="1162"/>
                    </w:tabs>
                    <w:spacing w:before="60" w:after="60"/>
                    <w:rPr>
                      <w:rFonts w:cs="Calibri"/>
                      <w:color w:val="000000"/>
                      <w:sz w:val="18"/>
                      <w:szCs w:val="18"/>
                      <w:lang w:eastAsia="en-AU"/>
                    </w:rPr>
                  </w:pPr>
                  <w:r w:rsidRPr="0034628B">
                    <w:rPr>
                      <w:rFonts w:cs="Calibri"/>
                      <w:color w:val="000000"/>
                      <w:sz w:val="18"/>
                      <w:szCs w:val="18"/>
                      <w:lang w:eastAsia="en-AU"/>
                    </w:rPr>
                    <w:t>Included where election status is public</w:t>
                  </w:r>
                </w:p>
              </w:tc>
            </w:tr>
            <w:tr w:rsidR="00460371" w:rsidRPr="005530B8" w:rsidTr="00157362">
              <w:trPr>
                <w:cantSplit/>
                <w:trHeight w:val="173"/>
                <w:jc w:val="center"/>
              </w:trPr>
              <w:tc>
                <w:tcPr>
                  <w:tcW w:w="1445" w:type="dxa"/>
                  <w:tcBorders>
                    <w:top w:val="nil"/>
                    <w:bottom w:val="nil"/>
                  </w:tcBorders>
                  <w:noWrap/>
                </w:tcPr>
                <w:p w:rsidR="00460371" w:rsidRDefault="00460371" w:rsidP="00AD4FFC">
                  <w:pPr>
                    <w:tabs>
                      <w:tab w:val="left" w:pos="1162"/>
                    </w:tabs>
                    <w:spacing w:before="60" w:after="60"/>
                    <w:rPr>
                      <w:rFonts w:cs="Calibri"/>
                      <w:color w:val="000000"/>
                      <w:sz w:val="18"/>
                      <w:szCs w:val="18"/>
                      <w:lang w:eastAsia="en-AU"/>
                    </w:rPr>
                  </w:pPr>
                </w:p>
              </w:tc>
              <w:tc>
                <w:tcPr>
                  <w:tcW w:w="4182" w:type="dxa"/>
                  <w:gridSpan w:val="3"/>
                  <w:tcBorders>
                    <w:top w:val="single" w:sz="4" w:space="0" w:color="auto"/>
                    <w:bottom w:val="single" w:sz="4" w:space="0" w:color="auto"/>
                    <w:right w:val="single" w:sz="4" w:space="0" w:color="auto"/>
                  </w:tcBorders>
                  <w:noWrap/>
                </w:tcPr>
                <w:p w:rsidR="00460371" w:rsidRPr="005530B8" w:rsidRDefault="00460371" w:rsidP="00AD4FFC">
                  <w:pPr>
                    <w:tabs>
                      <w:tab w:val="left" w:pos="1162"/>
                    </w:tabs>
                    <w:spacing w:before="60" w:after="60"/>
                    <w:rPr>
                      <w:rFonts w:cs="Calibri"/>
                      <w:color w:val="000000"/>
                      <w:sz w:val="18"/>
                      <w:szCs w:val="18"/>
                      <w:lang w:eastAsia="en-AU"/>
                    </w:rPr>
                  </w:pPr>
                  <w:r w:rsidRPr="007F7235">
                    <w:rPr>
                      <w:rFonts w:cs="Calibri"/>
                      <w:color w:val="000000"/>
                      <w:sz w:val="18"/>
                      <w:szCs w:val="18"/>
                      <w:lang w:eastAsia="en-AU"/>
                    </w:rPr>
                    <w:t>09 Private Health Insurance</w:t>
                  </w:r>
                </w:p>
              </w:tc>
              <w:tc>
                <w:tcPr>
                  <w:tcW w:w="1659" w:type="dxa"/>
                  <w:gridSpan w:val="2"/>
                  <w:tcBorders>
                    <w:top w:val="single" w:sz="4" w:space="0" w:color="auto"/>
                    <w:left w:val="single" w:sz="4" w:space="0" w:color="auto"/>
                    <w:bottom w:val="single" w:sz="4" w:space="0" w:color="auto"/>
                  </w:tcBorders>
                </w:tcPr>
                <w:p w:rsidR="00460371" w:rsidRPr="005530B8" w:rsidRDefault="00460371" w:rsidP="00AD4FFC">
                  <w:pPr>
                    <w:tabs>
                      <w:tab w:val="left" w:pos="1162"/>
                    </w:tabs>
                    <w:spacing w:before="60" w:after="60"/>
                    <w:rPr>
                      <w:rFonts w:cs="Calibri"/>
                      <w:color w:val="000000"/>
                      <w:sz w:val="18"/>
                      <w:szCs w:val="18"/>
                      <w:lang w:eastAsia="en-AU"/>
                    </w:rPr>
                  </w:pPr>
                  <w:r w:rsidRPr="000B5280">
                    <w:rPr>
                      <w:rFonts w:cs="Calibri"/>
                      <w:color w:val="000000"/>
                      <w:sz w:val="18"/>
                      <w:szCs w:val="18"/>
                      <w:lang w:eastAsia="en-AU"/>
                    </w:rPr>
                    <w:t>Included</w:t>
                  </w:r>
                </w:p>
              </w:tc>
              <w:tc>
                <w:tcPr>
                  <w:tcW w:w="1731" w:type="dxa"/>
                  <w:tcBorders>
                    <w:top w:val="single" w:sz="4" w:space="0" w:color="auto"/>
                    <w:left w:val="single" w:sz="4" w:space="0" w:color="auto"/>
                    <w:bottom w:val="single" w:sz="4" w:space="0" w:color="auto"/>
                  </w:tcBorders>
                </w:tcPr>
                <w:p w:rsidR="00460371" w:rsidRPr="005530B8" w:rsidRDefault="00460371" w:rsidP="00AD4FFC">
                  <w:pPr>
                    <w:tabs>
                      <w:tab w:val="left" w:pos="1162"/>
                    </w:tabs>
                    <w:spacing w:before="60" w:after="60"/>
                    <w:rPr>
                      <w:rFonts w:cs="Calibri"/>
                      <w:color w:val="000000"/>
                      <w:sz w:val="18"/>
                      <w:szCs w:val="18"/>
                      <w:lang w:eastAsia="en-AU"/>
                    </w:rPr>
                  </w:pPr>
                  <w:r w:rsidRPr="000B5280">
                    <w:rPr>
                      <w:rFonts w:cs="Calibri"/>
                      <w:color w:val="000000"/>
                      <w:sz w:val="18"/>
                      <w:szCs w:val="18"/>
                      <w:lang w:eastAsia="en-AU"/>
                    </w:rPr>
                    <w:t>Excluded</w:t>
                  </w:r>
                </w:p>
              </w:tc>
            </w:tr>
            <w:tr w:rsidR="00460371" w:rsidRPr="005530B8" w:rsidTr="00157362">
              <w:trPr>
                <w:cantSplit/>
                <w:trHeight w:val="230"/>
                <w:jc w:val="center"/>
              </w:trPr>
              <w:tc>
                <w:tcPr>
                  <w:tcW w:w="1445" w:type="dxa"/>
                  <w:tcBorders>
                    <w:top w:val="nil"/>
                  </w:tcBorders>
                  <w:noWrap/>
                </w:tcPr>
                <w:p w:rsidR="00460371" w:rsidRDefault="00460371" w:rsidP="00AD4FFC">
                  <w:pPr>
                    <w:tabs>
                      <w:tab w:val="left" w:pos="1162"/>
                    </w:tabs>
                    <w:spacing w:before="60" w:after="60"/>
                    <w:rPr>
                      <w:rFonts w:cs="Calibri"/>
                      <w:color w:val="000000"/>
                      <w:sz w:val="18"/>
                      <w:szCs w:val="18"/>
                      <w:lang w:eastAsia="en-AU"/>
                    </w:rPr>
                  </w:pPr>
                </w:p>
              </w:tc>
              <w:tc>
                <w:tcPr>
                  <w:tcW w:w="4182" w:type="dxa"/>
                  <w:gridSpan w:val="3"/>
                  <w:tcBorders>
                    <w:top w:val="single" w:sz="4" w:space="0" w:color="auto"/>
                    <w:right w:val="single" w:sz="4" w:space="0" w:color="auto"/>
                  </w:tcBorders>
                  <w:noWrap/>
                </w:tcPr>
                <w:p w:rsidR="00460371" w:rsidRPr="005530B8" w:rsidRDefault="00460371" w:rsidP="00AD4FFC">
                  <w:pPr>
                    <w:tabs>
                      <w:tab w:val="left" w:pos="1162"/>
                    </w:tabs>
                    <w:spacing w:before="60" w:after="60"/>
                    <w:rPr>
                      <w:rFonts w:cs="Calibri"/>
                      <w:color w:val="000000"/>
                      <w:sz w:val="18"/>
                      <w:szCs w:val="18"/>
                      <w:lang w:eastAsia="en-AU"/>
                    </w:rPr>
                  </w:pPr>
                  <w:r>
                    <w:rPr>
                      <w:rFonts w:cs="Calibri"/>
                      <w:color w:val="000000"/>
                      <w:sz w:val="18"/>
                      <w:szCs w:val="18"/>
                      <w:lang w:eastAsia="en-AU"/>
                    </w:rPr>
                    <w:t xml:space="preserve">13 </w:t>
                  </w:r>
                  <w:r w:rsidRPr="0034628B">
                    <w:rPr>
                      <w:rFonts w:cs="Calibri"/>
                      <w:color w:val="000000"/>
                      <w:sz w:val="18"/>
                      <w:szCs w:val="18"/>
                      <w:lang w:eastAsia="en-AU"/>
                    </w:rPr>
                    <w:t>Self-funded</w:t>
                  </w:r>
                </w:p>
              </w:tc>
              <w:tc>
                <w:tcPr>
                  <w:tcW w:w="1659" w:type="dxa"/>
                  <w:gridSpan w:val="2"/>
                  <w:tcBorders>
                    <w:top w:val="single" w:sz="4" w:space="0" w:color="auto"/>
                    <w:left w:val="single" w:sz="4" w:space="0" w:color="auto"/>
                  </w:tcBorders>
                </w:tcPr>
                <w:p w:rsidR="00460371" w:rsidRPr="005530B8" w:rsidRDefault="00460371" w:rsidP="00AD4FFC">
                  <w:pPr>
                    <w:tabs>
                      <w:tab w:val="left" w:pos="1162"/>
                    </w:tabs>
                    <w:spacing w:before="60" w:after="60"/>
                    <w:rPr>
                      <w:rFonts w:cs="Calibri"/>
                      <w:color w:val="000000"/>
                      <w:sz w:val="18"/>
                      <w:szCs w:val="18"/>
                      <w:lang w:eastAsia="en-AU"/>
                    </w:rPr>
                  </w:pPr>
                  <w:r w:rsidRPr="000B5280">
                    <w:rPr>
                      <w:rFonts w:cs="Calibri"/>
                      <w:color w:val="000000"/>
                      <w:sz w:val="18"/>
                      <w:szCs w:val="18"/>
                      <w:lang w:eastAsia="en-AU"/>
                    </w:rPr>
                    <w:t>Included</w:t>
                  </w:r>
                </w:p>
              </w:tc>
              <w:tc>
                <w:tcPr>
                  <w:tcW w:w="1731" w:type="dxa"/>
                  <w:tcBorders>
                    <w:top w:val="single" w:sz="4" w:space="0" w:color="auto"/>
                    <w:left w:val="single" w:sz="4" w:space="0" w:color="auto"/>
                  </w:tcBorders>
                </w:tcPr>
                <w:p w:rsidR="00460371" w:rsidRPr="005530B8" w:rsidRDefault="00460371" w:rsidP="00AD4FFC">
                  <w:pPr>
                    <w:tabs>
                      <w:tab w:val="left" w:pos="1162"/>
                    </w:tabs>
                    <w:spacing w:before="60" w:after="60"/>
                    <w:rPr>
                      <w:rFonts w:cs="Calibri"/>
                      <w:color w:val="000000"/>
                      <w:sz w:val="18"/>
                      <w:szCs w:val="18"/>
                      <w:lang w:eastAsia="en-AU"/>
                    </w:rPr>
                  </w:pPr>
                  <w:r>
                    <w:rPr>
                      <w:rFonts w:cs="Calibri"/>
                      <w:color w:val="000000"/>
                      <w:sz w:val="18"/>
                      <w:szCs w:val="18"/>
                      <w:lang w:eastAsia="en-AU"/>
                    </w:rPr>
                    <w:t>Excluded</w:t>
                  </w:r>
                </w:p>
              </w:tc>
            </w:tr>
            <w:tr w:rsidR="009B4A55" w:rsidRPr="005530B8" w:rsidTr="00157362">
              <w:trPr>
                <w:cantSplit/>
                <w:trHeight w:val="231"/>
                <w:jc w:val="center"/>
              </w:trPr>
              <w:tc>
                <w:tcPr>
                  <w:tcW w:w="1445" w:type="dxa"/>
                  <w:noWrap/>
                </w:tcPr>
                <w:p w:rsidR="009B4A55" w:rsidRPr="005530B8" w:rsidRDefault="009B4A55" w:rsidP="00AD4FFC">
                  <w:pPr>
                    <w:tabs>
                      <w:tab w:val="left" w:pos="1162"/>
                    </w:tabs>
                    <w:spacing w:before="60" w:after="60"/>
                    <w:rPr>
                      <w:rFonts w:cs="Calibri"/>
                      <w:color w:val="000000"/>
                      <w:sz w:val="18"/>
                      <w:szCs w:val="18"/>
                      <w:lang w:eastAsia="en-AU"/>
                    </w:rPr>
                  </w:pPr>
                  <w:r>
                    <w:rPr>
                      <w:rFonts w:cs="Calibri"/>
                      <w:color w:val="000000"/>
                      <w:sz w:val="18"/>
                      <w:szCs w:val="18"/>
                      <w:lang w:eastAsia="en-AU"/>
                    </w:rPr>
                    <w:t>Hospital size &amp; location</w:t>
                  </w:r>
                </w:p>
              </w:tc>
              <w:tc>
                <w:tcPr>
                  <w:tcW w:w="2524" w:type="dxa"/>
                  <w:tcBorders>
                    <w:right w:val="nil"/>
                  </w:tcBorders>
                  <w:noWrap/>
                </w:tcPr>
                <w:p w:rsidR="009B4A55" w:rsidRPr="005530B8" w:rsidRDefault="009B4A55" w:rsidP="00AD4FFC">
                  <w:pPr>
                    <w:tabs>
                      <w:tab w:val="left" w:pos="1162"/>
                    </w:tabs>
                    <w:spacing w:before="60" w:after="60"/>
                    <w:rPr>
                      <w:rFonts w:cs="Calibri"/>
                      <w:color w:val="000000"/>
                      <w:sz w:val="18"/>
                      <w:szCs w:val="18"/>
                      <w:lang w:eastAsia="en-AU"/>
                    </w:rPr>
                  </w:pPr>
                  <w:r>
                    <w:rPr>
                      <w:rFonts w:cs="Calibri"/>
                      <w:color w:val="000000"/>
                      <w:sz w:val="18"/>
                      <w:szCs w:val="18"/>
                      <w:lang w:eastAsia="en-AU"/>
                    </w:rPr>
                    <w:t xml:space="preserve">As per the </w:t>
                  </w:r>
                  <w:r w:rsidRPr="000338BE">
                    <w:rPr>
                      <w:rFonts w:cs="Calibri"/>
                      <w:i/>
                      <w:color w:val="000000"/>
                      <w:sz w:val="18"/>
                      <w:szCs w:val="18"/>
                      <w:lang w:eastAsia="en-AU"/>
                    </w:rPr>
                    <w:t>Determination</w:t>
                  </w:r>
                  <w:r>
                    <w:rPr>
                      <w:rFonts w:cs="Calibri"/>
                      <w:i/>
                      <w:color w:val="000000"/>
                      <w:sz w:val="18"/>
                      <w:szCs w:val="18"/>
                      <w:lang w:eastAsia="en-AU"/>
                    </w:rPr>
                    <w:t xml:space="preserve">. </w:t>
                  </w:r>
                </w:p>
              </w:tc>
              <w:tc>
                <w:tcPr>
                  <w:tcW w:w="2524" w:type="dxa"/>
                  <w:gridSpan w:val="3"/>
                  <w:tcBorders>
                    <w:left w:val="nil"/>
                    <w:right w:val="nil"/>
                  </w:tcBorders>
                </w:tcPr>
                <w:p w:rsidR="009B4A55" w:rsidRPr="005530B8" w:rsidRDefault="009B4A55" w:rsidP="00AD4FFC">
                  <w:pPr>
                    <w:tabs>
                      <w:tab w:val="left" w:pos="1162"/>
                    </w:tabs>
                    <w:spacing w:before="60" w:after="60"/>
                    <w:rPr>
                      <w:rFonts w:cs="Calibri"/>
                      <w:color w:val="000000"/>
                      <w:sz w:val="18"/>
                      <w:szCs w:val="18"/>
                      <w:lang w:eastAsia="en-AU"/>
                    </w:rPr>
                  </w:pPr>
                </w:p>
              </w:tc>
              <w:tc>
                <w:tcPr>
                  <w:tcW w:w="2524" w:type="dxa"/>
                  <w:gridSpan w:val="2"/>
                  <w:tcBorders>
                    <w:left w:val="nil"/>
                  </w:tcBorders>
                </w:tcPr>
                <w:p w:rsidR="009B4A55" w:rsidRPr="005530B8" w:rsidRDefault="009B4A55" w:rsidP="00AD4FFC">
                  <w:pPr>
                    <w:tabs>
                      <w:tab w:val="left" w:pos="1162"/>
                    </w:tabs>
                    <w:spacing w:before="60" w:after="60"/>
                    <w:rPr>
                      <w:rFonts w:cs="Calibri"/>
                      <w:color w:val="000000"/>
                      <w:sz w:val="18"/>
                      <w:szCs w:val="18"/>
                      <w:lang w:eastAsia="en-AU"/>
                    </w:rPr>
                  </w:pPr>
                </w:p>
              </w:tc>
            </w:tr>
            <w:tr w:rsidR="00460371" w:rsidRPr="005530B8" w:rsidTr="00157362">
              <w:trPr>
                <w:cantSplit/>
                <w:trHeight w:val="231"/>
                <w:jc w:val="center"/>
              </w:trPr>
              <w:tc>
                <w:tcPr>
                  <w:tcW w:w="1445" w:type="dxa"/>
                  <w:noWrap/>
                </w:tcPr>
                <w:p w:rsidR="00460371" w:rsidRDefault="00E4094C" w:rsidP="00AD4FFC">
                  <w:pPr>
                    <w:tabs>
                      <w:tab w:val="left" w:pos="1162"/>
                    </w:tabs>
                    <w:spacing w:before="60" w:after="60"/>
                    <w:rPr>
                      <w:rFonts w:cs="Calibri"/>
                      <w:color w:val="000000"/>
                      <w:sz w:val="18"/>
                      <w:szCs w:val="18"/>
                      <w:lang w:eastAsia="en-AU"/>
                    </w:rPr>
                  </w:pPr>
                  <w:r>
                    <w:rPr>
                      <w:rFonts w:cs="Calibri"/>
                      <w:color w:val="000000"/>
                      <w:sz w:val="18"/>
                      <w:szCs w:val="18"/>
                      <w:lang w:eastAsia="en-AU"/>
                    </w:rPr>
                    <w:t>Error AR</w:t>
                  </w:r>
                  <w:r>
                    <w:rPr>
                      <w:rFonts w:cs="Calibri"/>
                      <w:color w:val="000000"/>
                      <w:sz w:val="18"/>
                      <w:szCs w:val="18"/>
                      <w:lang w:eastAsia="en-AU"/>
                    </w:rPr>
                    <w:noBreakHyphen/>
                  </w:r>
                  <w:r w:rsidR="00460371">
                    <w:rPr>
                      <w:rFonts w:cs="Calibri"/>
                      <w:color w:val="000000"/>
                      <w:sz w:val="18"/>
                      <w:szCs w:val="18"/>
                      <w:lang w:eastAsia="en-AU"/>
                    </w:rPr>
                    <w:t>DRGs</w:t>
                  </w:r>
                </w:p>
              </w:tc>
              <w:tc>
                <w:tcPr>
                  <w:tcW w:w="7572" w:type="dxa"/>
                  <w:gridSpan w:val="6"/>
                  <w:noWrap/>
                </w:tcPr>
                <w:p w:rsidR="00460371" w:rsidRDefault="00460371" w:rsidP="00AD4FFC">
                  <w:pPr>
                    <w:tabs>
                      <w:tab w:val="left" w:pos="1162"/>
                    </w:tabs>
                    <w:spacing w:before="60" w:after="60"/>
                    <w:rPr>
                      <w:rFonts w:cs="Calibri"/>
                      <w:color w:val="000000"/>
                      <w:sz w:val="18"/>
                      <w:szCs w:val="18"/>
                      <w:lang w:eastAsia="en-AU"/>
                    </w:rPr>
                  </w:pPr>
                  <w:r w:rsidRPr="00704D86">
                    <w:rPr>
                      <w:rFonts w:cs="Calibri"/>
                      <w:color w:val="000000"/>
                      <w:sz w:val="18"/>
                      <w:szCs w:val="18"/>
                      <w:lang w:eastAsia="en-AU"/>
                    </w:rPr>
                    <w:t xml:space="preserve">Episodes with an ‘error’ AR-DRG are not assigned an NWAU. </w:t>
                  </w:r>
                  <w:r>
                    <w:rPr>
                      <w:rFonts w:cs="Calibri"/>
                      <w:color w:val="000000"/>
                      <w:sz w:val="18"/>
                      <w:szCs w:val="18"/>
                      <w:lang w:eastAsia="en-AU"/>
                    </w:rPr>
                    <w:t>These include AR-DRGs v7.0 960Z, 961Z, and 963Z.</w:t>
                  </w:r>
                </w:p>
              </w:tc>
            </w:tr>
          </w:tbl>
          <w:p w:rsidR="00460371" w:rsidRDefault="00460371" w:rsidP="00AD4FFC">
            <w:pPr>
              <w:tabs>
                <w:tab w:val="left" w:pos="1162"/>
              </w:tabs>
              <w:spacing w:after="0"/>
            </w:pPr>
          </w:p>
        </w:tc>
      </w:tr>
    </w:tbl>
    <w:p w:rsidR="00460371" w:rsidRPr="00BD39DD" w:rsidRDefault="00460371" w:rsidP="00AD4FFC">
      <w:pPr>
        <w:pStyle w:val="Heading3"/>
        <w:keepLines w:val="0"/>
        <w:numPr>
          <w:ilvl w:val="2"/>
          <w:numId w:val="35"/>
        </w:numPr>
        <w:tabs>
          <w:tab w:val="left" w:pos="1162"/>
        </w:tabs>
        <w:spacing w:before="240" w:after="120"/>
      </w:pPr>
      <w:bookmarkStart w:id="31" w:name="_Toc318905723"/>
      <w:bookmarkStart w:id="32" w:name="_Toc380754695"/>
      <w:bookmarkStart w:id="33" w:name="_Toc412550712"/>
      <w:r w:rsidRPr="00BD39DD">
        <w:t>Classification</w:t>
      </w:r>
      <w:bookmarkEnd w:id="31"/>
      <w:bookmarkEnd w:id="32"/>
      <w:bookmarkEnd w:id="33"/>
    </w:p>
    <w:p w:rsidR="00460371" w:rsidRDefault="00460371" w:rsidP="00AD4FFC">
      <w:pPr>
        <w:tabs>
          <w:tab w:val="left" w:pos="1162"/>
        </w:tabs>
        <w:rPr>
          <w:rFonts w:cs="Arial"/>
          <w:szCs w:val="20"/>
        </w:rPr>
      </w:pPr>
      <w:r w:rsidRPr="004C6E9F">
        <w:rPr>
          <w:rFonts w:cs="Arial"/>
          <w:szCs w:val="20"/>
        </w:rPr>
        <w:t>Australian Refined Diagnosis Related Groups (AR-DRGs) are used to classify acute admitted care</w:t>
      </w:r>
      <w:r>
        <w:rPr>
          <w:rFonts w:cs="Arial"/>
          <w:szCs w:val="20"/>
        </w:rPr>
        <w:t xml:space="preserve">. </w:t>
      </w:r>
      <w:r w:rsidRPr="004C6E9F">
        <w:rPr>
          <w:rFonts w:cs="Arial"/>
          <w:szCs w:val="20"/>
        </w:rPr>
        <w:t xml:space="preserve">The version applying for </w:t>
      </w:r>
      <w:r w:rsidR="008E0156">
        <w:rPr>
          <w:rFonts w:cs="Arial"/>
          <w:szCs w:val="20"/>
        </w:rPr>
        <w:t>pricing</w:t>
      </w:r>
      <w:r w:rsidRPr="004C6E9F">
        <w:rPr>
          <w:rFonts w:cs="Arial"/>
          <w:szCs w:val="20"/>
        </w:rPr>
        <w:t xml:space="preserve"> in </w:t>
      </w:r>
      <w:r w:rsidR="00B94FB5">
        <w:rPr>
          <w:rFonts w:cs="Arial"/>
          <w:szCs w:val="20"/>
        </w:rPr>
        <w:t>2015-16</w:t>
      </w:r>
      <w:r w:rsidRPr="004C6E9F">
        <w:rPr>
          <w:rFonts w:cs="Arial"/>
          <w:szCs w:val="20"/>
        </w:rPr>
        <w:t xml:space="preserve"> is </w:t>
      </w:r>
      <w:r>
        <w:rPr>
          <w:rFonts w:cs="Arial"/>
          <w:szCs w:val="20"/>
        </w:rPr>
        <w:t>AR-DRG v7.0.</w:t>
      </w:r>
    </w:p>
    <w:p w:rsidR="00460371" w:rsidRDefault="00460371" w:rsidP="00AD4FFC">
      <w:pPr>
        <w:pStyle w:val="Heading2"/>
        <w:keepLines w:val="0"/>
        <w:numPr>
          <w:ilvl w:val="1"/>
          <w:numId w:val="35"/>
        </w:numPr>
        <w:tabs>
          <w:tab w:val="left" w:pos="1162"/>
        </w:tabs>
        <w:spacing w:after="60"/>
      </w:pPr>
      <w:bookmarkStart w:id="34" w:name="_Toc318905726"/>
      <w:bookmarkStart w:id="35" w:name="_Toc380754696"/>
      <w:bookmarkStart w:id="36" w:name="_Toc412550713"/>
      <w:r w:rsidRPr="009E7816">
        <w:t>Analysis of costs to derive NWAU for acute admitted care</w:t>
      </w:r>
      <w:bookmarkEnd w:id="34"/>
      <w:bookmarkEnd w:id="35"/>
      <w:bookmarkEnd w:id="36"/>
    </w:p>
    <w:p w:rsidR="00460371" w:rsidRPr="004C6E9F" w:rsidRDefault="00460371" w:rsidP="00AD4FFC">
      <w:pPr>
        <w:tabs>
          <w:tab w:val="left" w:pos="1162"/>
        </w:tabs>
        <w:spacing w:before="120"/>
        <w:rPr>
          <w:rFonts w:cs="Arial"/>
          <w:szCs w:val="20"/>
        </w:rPr>
      </w:pPr>
      <w:r w:rsidRPr="004C6E9F">
        <w:rPr>
          <w:rFonts w:cs="Arial"/>
          <w:szCs w:val="20"/>
        </w:rPr>
        <w:t>This section provides an overview of the steps involved in developing the NWAU for acute admitted care</w:t>
      </w:r>
      <w:r>
        <w:rPr>
          <w:rFonts w:cs="Arial"/>
          <w:szCs w:val="20"/>
        </w:rPr>
        <w:t xml:space="preserve">. </w:t>
      </w:r>
      <w:r w:rsidRPr="004C6E9F">
        <w:rPr>
          <w:rFonts w:cs="Arial"/>
          <w:szCs w:val="20"/>
        </w:rPr>
        <w:t xml:space="preserve">Detailed information in relation to each of the components of the model is included below. </w:t>
      </w:r>
      <w:r>
        <w:rPr>
          <w:rFonts w:cs="Arial"/>
          <w:szCs w:val="20"/>
        </w:rPr>
        <w:t>In summary</w:t>
      </w:r>
      <w:r w:rsidRPr="004C6E9F">
        <w:rPr>
          <w:rFonts w:cs="Arial"/>
          <w:szCs w:val="20"/>
        </w:rPr>
        <w:t xml:space="preserve">, the steps involved in developing the NWAU for acute admitted care </w:t>
      </w:r>
      <w:r>
        <w:rPr>
          <w:rFonts w:cs="Arial"/>
          <w:szCs w:val="20"/>
        </w:rPr>
        <w:t>are:</w:t>
      </w:r>
    </w:p>
    <w:p w:rsidR="00460371" w:rsidRPr="004C6E9F" w:rsidRDefault="00460371" w:rsidP="00AD4FFC">
      <w:pPr>
        <w:pStyle w:val="ListParagraph"/>
        <w:numPr>
          <w:ilvl w:val="0"/>
          <w:numId w:val="17"/>
        </w:numPr>
        <w:tabs>
          <w:tab w:val="left" w:pos="1162"/>
        </w:tabs>
        <w:spacing w:before="80" w:after="0"/>
        <w:ind w:left="714" w:hanging="357"/>
        <w:rPr>
          <w:rFonts w:cs="Arial"/>
          <w:szCs w:val="20"/>
        </w:rPr>
      </w:pPr>
      <w:r w:rsidRPr="004C6E9F">
        <w:rPr>
          <w:rFonts w:cs="Arial"/>
          <w:szCs w:val="20"/>
        </w:rPr>
        <w:t>P</w:t>
      </w:r>
      <w:r>
        <w:rPr>
          <w:rFonts w:cs="Arial"/>
          <w:szCs w:val="20"/>
        </w:rPr>
        <w:t>repare data</w:t>
      </w:r>
      <w:r w:rsidR="00BE1344">
        <w:rPr>
          <w:rFonts w:cs="Arial"/>
          <w:szCs w:val="20"/>
        </w:rPr>
        <w:t xml:space="preserve"> including the removal of other Commonwealth expenditure (in particular the pharmaceutical and blood programs)</w:t>
      </w:r>
      <w:r>
        <w:rPr>
          <w:rFonts w:cs="Arial"/>
          <w:szCs w:val="20"/>
        </w:rPr>
        <w:t>.</w:t>
      </w:r>
    </w:p>
    <w:p w:rsidR="00460371" w:rsidRPr="004C6E9F" w:rsidRDefault="00460371" w:rsidP="00AD4FFC">
      <w:pPr>
        <w:pStyle w:val="ListParagraph"/>
        <w:numPr>
          <w:ilvl w:val="0"/>
          <w:numId w:val="17"/>
        </w:numPr>
        <w:tabs>
          <w:tab w:val="left" w:pos="1162"/>
        </w:tabs>
        <w:spacing w:before="80" w:after="0"/>
        <w:ind w:left="714" w:hanging="357"/>
        <w:rPr>
          <w:rFonts w:cs="Arial"/>
          <w:szCs w:val="20"/>
        </w:rPr>
      </w:pPr>
      <w:r w:rsidRPr="004C6E9F">
        <w:rPr>
          <w:rFonts w:cs="Arial"/>
          <w:szCs w:val="20"/>
        </w:rPr>
        <w:t>Stratif</w:t>
      </w:r>
      <w:r>
        <w:rPr>
          <w:rFonts w:cs="Arial"/>
          <w:szCs w:val="20"/>
        </w:rPr>
        <w:t>y</w:t>
      </w:r>
      <w:r w:rsidRPr="004C6E9F">
        <w:rPr>
          <w:rFonts w:cs="Arial"/>
          <w:szCs w:val="20"/>
        </w:rPr>
        <w:t xml:space="preserve"> and weigh</w:t>
      </w:r>
      <w:r>
        <w:rPr>
          <w:rFonts w:cs="Arial"/>
          <w:szCs w:val="20"/>
        </w:rPr>
        <w:t>t</w:t>
      </w:r>
      <w:r w:rsidRPr="004C6E9F">
        <w:rPr>
          <w:rFonts w:cs="Arial"/>
          <w:szCs w:val="20"/>
        </w:rPr>
        <w:t xml:space="preserve"> cost data to activity data</w:t>
      </w:r>
      <w:r>
        <w:rPr>
          <w:rFonts w:cs="Arial"/>
          <w:szCs w:val="20"/>
        </w:rPr>
        <w:t>.</w:t>
      </w:r>
    </w:p>
    <w:p w:rsidR="00460371" w:rsidRPr="004C6E9F" w:rsidRDefault="00460371" w:rsidP="00AD4FFC">
      <w:pPr>
        <w:pStyle w:val="ListParagraph"/>
        <w:numPr>
          <w:ilvl w:val="0"/>
          <w:numId w:val="17"/>
        </w:numPr>
        <w:tabs>
          <w:tab w:val="left" w:pos="1162"/>
        </w:tabs>
        <w:spacing w:before="80" w:after="0"/>
        <w:ind w:left="714" w:hanging="357"/>
        <w:rPr>
          <w:rFonts w:cs="Arial"/>
          <w:szCs w:val="20"/>
        </w:rPr>
      </w:pPr>
      <w:r w:rsidRPr="004C6E9F">
        <w:rPr>
          <w:rFonts w:cs="Arial"/>
          <w:szCs w:val="20"/>
        </w:rPr>
        <w:t>Calculat</w:t>
      </w:r>
      <w:r>
        <w:rPr>
          <w:rFonts w:cs="Arial"/>
          <w:szCs w:val="20"/>
        </w:rPr>
        <w:t>e</w:t>
      </w:r>
      <w:r w:rsidRPr="004C6E9F">
        <w:rPr>
          <w:rFonts w:cs="Arial"/>
          <w:szCs w:val="20"/>
        </w:rPr>
        <w:t xml:space="preserve"> inlier bounds from activity data</w:t>
      </w:r>
      <w:r>
        <w:rPr>
          <w:rFonts w:cs="Arial"/>
          <w:szCs w:val="20"/>
        </w:rPr>
        <w:t>.</w:t>
      </w:r>
    </w:p>
    <w:p w:rsidR="00460371" w:rsidRPr="004C6E9F" w:rsidRDefault="00460371" w:rsidP="00AD4FFC">
      <w:pPr>
        <w:pStyle w:val="ListParagraph"/>
        <w:numPr>
          <w:ilvl w:val="0"/>
          <w:numId w:val="17"/>
        </w:numPr>
        <w:tabs>
          <w:tab w:val="left" w:pos="1162"/>
        </w:tabs>
        <w:spacing w:before="80" w:after="0"/>
        <w:ind w:left="714" w:hanging="357"/>
        <w:rPr>
          <w:rFonts w:cs="Arial"/>
          <w:szCs w:val="20"/>
        </w:rPr>
      </w:pPr>
      <w:r w:rsidRPr="004C6E9F">
        <w:rPr>
          <w:rFonts w:cs="Arial"/>
          <w:szCs w:val="20"/>
        </w:rPr>
        <w:t>Classify episodes into relevant categories including inliers, short</w:t>
      </w:r>
      <w:r>
        <w:rPr>
          <w:rFonts w:cs="Arial"/>
          <w:szCs w:val="20"/>
        </w:rPr>
        <w:t>-stay</w:t>
      </w:r>
      <w:r w:rsidRPr="004C6E9F">
        <w:rPr>
          <w:rFonts w:cs="Arial"/>
          <w:szCs w:val="20"/>
        </w:rPr>
        <w:t xml:space="preserve"> and long</w:t>
      </w:r>
      <w:r>
        <w:rPr>
          <w:rFonts w:cs="Arial"/>
          <w:szCs w:val="20"/>
        </w:rPr>
        <w:t>-</w:t>
      </w:r>
      <w:r w:rsidRPr="004C6E9F">
        <w:rPr>
          <w:rFonts w:cs="Arial"/>
          <w:szCs w:val="20"/>
        </w:rPr>
        <w:t xml:space="preserve">stay outliers, </w:t>
      </w:r>
      <w:r>
        <w:rPr>
          <w:rFonts w:cs="Arial"/>
          <w:szCs w:val="20"/>
        </w:rPr>
        <w:t>d</w:t>
      </w:r>
      <w:r w:rsidRPr="004C6E9F">
        <w:rPr>
          <w:rFonts w:cs="Arial"/>
          <w:szCs w:val="20"/>
        </w:rPr>
        <w:t xml:space="preserve">esignated </w:t>
      </w:r>
      <w:r>
        <w:rPr>
          <w:rFonts w:cs="Arial"/>
          <w:szCs w:val="20"/>
        </w:rPr>
        <w:t>same-day</w:t>
      </w:r>
      <w:r w:rsidRPr="004C6E9F">
        <w:rPr>
          <w:rFonts w:cs="Arial"/>
          <w:szCs w:val="20"/>
        </w:rPr>
        <w:t xml:space="preserve"> AR-DRGs, paediatric status, </w:t>
      </w:r>
      <w:r>
        <w:rPr>
          <w:rFonts w:cs="Arial"/>
          <w:szCs w:val="20"/>
        </w:rPr>
        <w:t>i</w:t>
      </w:r>
      <w:r w:rsidRPr="004C6E9F">
        <w:rPr>
          <w:rFonts w:cs="Arial"/>
          <w:szCs w:val="20"/>
        </w:rPr>
        <w:t>ndigenous status and remoteness area status</w:t>
      </w:r>
      <w:r>
        <w:rPr>
          <w:rFonts w:cs="Arial"/>
          <w:szCs w:val="20"/>
        </w:rPr>
        <w:t>, and those reporting radiotherapy procedures.</w:t>
      </w:r>
    </w:p>
    <w:p w:rsidR="00460371" w:rsidRPr="004C6E9F" w:rsidRDefault="00460371" w:rsidP="00AD4FFC">
      <w:pPr>
        <w:pStyle w:val="ListParagraph"/>
        <w:numPr>
          <w:ilvl w:val="0"/>
          <w:numId w:val="17"/>
        </w:numPr>
        <w:tabs>
          <w:tab w:val="left" w:pos="1162"/>
        </w:tabs>
        <w:spacing w:before="80" w:after="0"/>
        <w:ind w:left="714" w:hanging="357"/>
        <w:rPr>
          <w:rFonts w:cs="Arial"/>
          <w:szCs w:val="20"/>
        </w:rPr>
      </w:pPr>
      <w:r w:rsidRPr="004C6E9F">
        <w:rPr>
          <w:rFonts w:cs="Arial"/>
          <w:szCs w:val="20"/>
        </w:rPr>
        <w:lastRenderedPageBreak/>
        <w:t xml:space="preserve">Determine </w:t>
      </w:r>
      <w:r>
        <w:rPr>
          <w:rFonts w:cs="Arial"/>
          <w:szCs w:val="20"/>
        </w:rPr>
        <w:t>cost</w:t>
      </w:r>
      <w:r w:rsidRPr="004C6E9F">
        <w:rPr>
          <w:rFonts w:cs="Arial"/>
          <w:szCs w:val="20"/>
        </w:rPr>
        <w:t xml:space="preserve"> level for ICU </w:t>
      </w:r>
      <w:r>
        <w:rPr>
          <w:rFonts w:cs="Arial"/>
          <w:szCs w:val="20"/>
        </w:rPr>
        <w:t>a</w:t>
      </w:r>
      <w:r w:rsidRPr="004C6E9F">
        <w:rPr>
          <w:rFonts w:cs="Arial"/>
          <w:szCs w:val="20"/>
        </w:rPr>
        <w:t>djustment and deduct associated costs</w:t>
      </w:r>
      <w:r>
        <w:rPr>
          <w:rFonts w:cs="Arial"/>
          <w:szCs w:val="20"/>
        </w:rPr>
        <w:t>.</w:t>
      </w:r>
    </w:p>
    <w:p w:rsidR="00460371" w:rsidRPr="004C6E9F" w:rsidRDefault="00460371" w:rsidP="00AD4FFC">
      <w:pPr>
        <w:pStyle w:val="ListParagraph"/>
        <w:numPr>
          <w:ilvl w:val="0"/>
          <w:numId w:val="17"/>
        </w:numPr>
        <w:tabs>
          <w:tab w:val="left" w:pos="1162"/>
        </w:tabs>
        <w:spacing w:before="80" w:after="0"/>
        <w:ind w:left="714" w:hanging="357"/>
        <w:rPr>
          <w:rFonts w:cs="Arial"/>
          <w:szCs w:val="20"/>
        </w:rPr>
      </w:pPr>
      <w:r w:rsidRPr="004C6E9F">
        <w:rPr>
          <w:rFonts w:cs="Arial"/>
          <w:szCs w:val="20"/>
        </w:rPr>
        <w:t xml:space="preserve">Derive initial parameters for </w:t>
      </w:r>
      <w:r>
        <w:rPr>
          <w:rFonts w:cs="Arial"/>
          <w:szCs w:val="20"/>
        </w:rPr>
        <w:t xml:space="preserve">AR-DRG inlier/outlier model </w:t>
      </w:r>
      <w:r w:rsidRPr="004C6E9F">
        <w:rPr>
          <w:rFonts w:cs="Arial"/>
          <w:szCs w:val="20"/>
        </w:rPr>
        <w:t>and ensure predicted costs align with actual costs</w:t>
      </w:r>
      <w:r>
        <w:rPr>
          <w:rFonts w:cs="Arial"/>
          <w:szCs w:val="20"/>
        </w:rPr>
        <w:t xml:space="preserve"> by AR-DRG.</w:t>
      </w:r>
    </w:p>
    <w:p w:rsidR="00460371" w:rsidRPr="00D73FE8" w:rsidRDefault="00460371" w:rsidP="00AD4FFC">
      <w:pPr>
        <w:pStyle w:val="ListParagraph"/>
        <w:numPr>
          <w:ilvl w:val="0"/>
          <w:numId w:val="17"/>
        </w:numPr>
        <w:tabs>
          <w:tab w:val="left" w:pos="1162"/>
        </w:tabs>
        <w:spacing w:before="80" w:after="0"/>
        <w:ind w:left="714" w:hanging="357"/>
        <w:rPr>
          <w:rFonts w:cs="Arial"/>
          <w:szCs w:val="20"/>
        </w:rPr>
      </w:pPr>
      <w:r w:rsidRPr="004C6E9F">
        <w:rPr>
          <w:rFonts w:cs="Arial"/>
          <w:szCs w:val="20"/>
        </w:rPr>
        <w:t xml:space="preserve">Derive </w:t>
      </w:r>
      <w:r>
        <w:rPr>
          <w:rFonts w:cs="Arial"/>
          <w:szCs w:val="20"/>
        </w:rPr>
        <w:t xml:space="preserve">paediatric adjustment, specialist psychiatric age adjustment (see Section </w:t>
      </w:r>
      <w:r>
        <w:rPr>
          <w:rFonts w:cs="Arial"/>
          <w:szCs w:val="20"/>
        </w:rPr>
        <w:fldChar w:fldCharType="begin"/>
      </w:r>
      <w:r>
        <w:rPr>
          <w:rFonts w:cs="Arial"/>
          <w:szCs w:val="20"/>
        </w:rPr>
        <w:instrText xml:space="preserve"> REF _Ref342306507 \w \h </w:instrText>
      </w:r>
      <w:r w:rsidR="00E045B9">
        <w:rPr>
          <w:rFonts w:cs="Arial"/>
          <w:szCs w:val="20"/>
        </w:rPr>
        <w:instrText xml:space="preserve"> \* MERGEFORMAT </w:instrText>
      </w:r>
      <w:r>
        <w:rPr>
          <w:rFonts w:cs="Arial"/>
          <w:szCs w:val="20"/>
        </w:rPr>
      </w:r>
      <w:r>
        <w:rPr>
          <w:rFonts w:cs="Arial"/>
          <w:szCs w:val="20"/>
        </w:rPr>
        <w:fldChar w:fldCharType="separate"/>
      </w:r>
      <w:r w:rsidR="00915776">
        <w:rPr>
          <w:rFonts w:cs="Arial"/>
          <w:szCs w:val="20"/>
        </w:rPr>
        <w:t>3</w:t>
      </w:r>
      <w:r>
        <w:rPr>
          <w:rFonts w:cs="Arial"/>
          <w:szCs w:val="20"/>
        </w:rPr>
        <w:fldChar w:fldCharType="end"/>
      </w:r>
      <w:r>
        <w:rPr>
          <w:rFonts w:cs="Arial"/>
          <w:szCs w:val="20"/>
        </w:rPr>
        <w:t>), i</w:t>
      </w:r>
      <w:r w:rsidRPr="004C6E9F">
        <w:rPr>
          <w:rFonts w:cs="Arial"/>
          <w:szCs w:val="20"/>
        </w:rPr>
        <w:t xml:space="preserve">ndigenous </w:t>
      </w:r>
      <w:r>
        <w:rPr>
          <w:rFonts w:cs="Arial"/>
          <w:szCs w:val="20"/>
        </w:rPr>
        <w:t>adjustment, remoteness adjustment, radiotherapy adjustment</w:t>
      </w:r>
      <w:r w:rsidR="00F731FB">
        <w:rPr>
          <w:rFonts w:cs="Arial"/>
          <w:szCs w:val="20"/>
        </w:rPr>
        <w:t xml:space="preserve"> and dialysis adjustment</w:t>
      </w:r>
      <w:r>
        <w:rPr>
          <w:rFonts w:cs="Arial"/>
          <w:szCs w:val="20"/>
        </w:rPr>
        <w:t>.</w:t>
      </w:r>
    </w:p>
    <w:p w:rsidR="00460371" w:rsidRDefault="00460371" w:rsidP="00AD4FFC">
      <w:pPr>
        <w:pStyle w:val="ListParagraph"/>
        <w:numPr>
          <w:ilvl w:val="0"/>
          <w:numId w:val="17"/>
        </w:numPr>
        <w:tabs>
          <w:tab w:val="left" w:pos="1162"/>
        </w:tabs>
        <w:spacing w:before="80" w:after="0"/>
        <w:ind w:left="714" w:hanging="357"/>
        <w:rPr>
          <w:rFonts w:cs="Arial"/>
          <w:szCs w:val="20"/>
        </w:rPr>
      </w:pPr>
      <w:r>
        <w:rPr>
          <w:rFonts w:cs="Arial"/>
          <w:szCs w:val="20"/>
        </w:rPr>
        <w:t xml:space="preserve">Derive </w:t>
      </w:r>
      <w:r w:rsidRPr="004C6E9F">
        <w:rPr>
          <w:rFonts w:cs="Arial"/>
          <w:szCs w:val="20"/>
        </w:rPr>
        <w:t xml:space="preserve">private patient </w:t>
      </w:r>
      <w:r>
        <w:rPr>
          <w:rFonts w:cs="Arial"/>
          <w:szCs w:val="20"/>
        </w:rPr>
        <w:t>service adjustment and private patient accommodation adjustment</w:t>
      </w:r>
      <w:r w:rsidRPr="004C6E9F">
        <w:rPr>
          <w:rFonts w:cs="Arial"/>
          <w:szCs w:val="20"/>
        </w:rPr>
        <w:t>.</w:t>
      </w:r>
    </w:p>
    <w:p w:rsidR="00460371" w:rsidRPr="007D74F6" w:rsidRDefault="00460371" w:rsidP="00AD4FFC">
      <w:pPr>
        <w:pStyle w:val="ListParagraph"/>
        <w:numPr>
          <w:ilvl w:val="0"/>
          <w:numId w:val="17"/>
        </w:numPr>
        <w:tabs>
          <w:tab w:val="left" w:pos="1162"/>
        </w:tabs>
        <w:spacing w:before="80" w:after="0"/>
        <w:ind w:left="714" w:hanging="357"/>
        <w:rPr>
          <w:rFonts w:cs="Arial"/>
          <w:szCs w:val="20"/>
        </w:rPr>
      </w:pPr>
      <w:r w:rsidRPr="007D74F6">
        <w:rPr>
          <w:rFonts w:cs="Arial"/>
          <w:szCs w:val="20"/>
        </w:rPr>
        <w:t>Incorporate data trimmed in data preparation process.</w:t>
      </w:r>
    </w:p>
    <w:p w:rsidR="00460371" w:rsidRDefault="00460371" w:rsidP="00AD4FFC">
      <w:pPr>
        <w:tabs>
          <w:tab w:val="left" w:pos="1162"/>
        </w:tabs>
        <w:spacing w:before="240"/>
        <w:rPr>
          <w:rFonts w:cs="Arial"/>
          <w:szCs w:val="20"/>
        </w:rPr>
      </w:pPr>
      <w:r w:rsidRPr="004C6E9F">
        <w:rPr>
          <w:rFonts w:cs="Arial"/>
          <w:szCs w:val="20"/>
        </w:rPr>
        <w:t>These steps are described in further detail below.</w:t>
      </w:r>
    </w:p>
    <w:p w:rsidR="00460371" w:rsidRPr="00BD39DD" w:rsidRDefault="00460371" w:rsidP="00AD4FFC">
      <w:pPr>
        <w:pStyle w:val="Heading3"/>
        <w:keepLines w:val="0"/>
        <w:numPr>
          <w:ilvl w:val="2"/>
          <w:numId w:val="35"/>
        </w:numPr>
        <w:tabs>
          <w:tab w:val="left" w:pos="1162"/>
        </w:tabs>
        <w:spacing w:before="240" w:after="120"/>
      </w:pPr>
      <w:bookmarkStart w:id="37" w:name="_Ref342385231"/>
      <w:bookmarkStart w:id="38" w:name="_Toc380754697"/>
      <w:bookmarkStart w:id="39" w:name="_Toc412550714"/>
      <w:r w:rsidRPr="00BD39DD">
        <w:t>Data preparation</w:t>
      </w:r>
      <w:bookmarkEnd w:id="37"/>
      <w:bookmarkEnd w:id="38"/>
      <w:bookmarkEnd w:id="39"/>
    </w:p>
    <w:p w:rsidR="00BE1344" w:rsidRDefault="00BE1344" w:rsidP="00AD4FFC">
      <w:pPr>
        <w:tabs>
          <w:tab w:val="left" w:pos="1162"/>
        </w:tabs>
        <w:rPr>
          <w:rFonts w:cs="Arial"/>
          <w:szCs w:val="20"/>
        </w:rPr>
      </w:pPr>
      <w:bookmarkStart w:id="40" w:name="_Ref342305207"/>
      <w:r w:rsidRPr="00E74059">
        <w:rPr>
          <w:rFonts w:cs="Arial"/>
          <w:szCs w:val="20"/>
        </w:rPr>
        <w:t xml:space="preserve">The 2012-13 NHCDC cost data was first adjusted to remove those costs associated with the spending under other Commonwealth programs. </w:t>
      </w:r>
      <w:r w:rsidRPr="008D4C15">
        <w:rPr>
          <w:rFonts w:cs="Arial"/>
          <w:szCs w:val="20"/>
        </w:rPr>
        <w:t xml:space="preserve">Costs associated with the Commonwealth’s pharmaceutical programs were identified by matching the NHCDC at the patient level with a record of the Commonwealth pharmaceutical payments. The residual unmatched payments were apportioned according to the distribution of costs associated with the matched records. All reported blood costs were removed from the NHCDC. The amounts deducted from the reported costs are identified in Chapter 2 of the NEP15 Determination. </w:t>
      </w:r>
    </w:p>
    <w:p w:rsidR="00FF4DCF" w:rsidRPr="00FF4DCF" w:rsidRDefault="00FF4DCF" w:rsidP="00AD4FFC">
      <w:pPr>
        <w:tabs>
          <w:tab w:val="left" w:pos="1162"/>
        </w:tabs>
        <w:rPr>
          <w:rFonts w:cs="Arial"/>
          <w:szCs w:val="20"/>
        </w:rPr>
      </w:pPr>
      <w:r w:rsidRPr="00FF4DCF">
        <w:rPr>
          <w:rFonts w:cs="Arial"/>
          <w:szCs w:val="20"/>
        </w:rPr>
        <w:t xml:space="preserve">For the financial year 2012-13, an activity-level cost sample of </w:t>
      </w:r>
      <w:r w:rsidR="00953CE0">
        <w:rPr>
          <w:rFonts w:cs="Arial"/>
          <w:szCs w:val="20"/>
        </w:rPr>
        <w:t xml:space="preserve">4,675,397 </w:t>
      </w:r>
      <w:r w:rsidRPr="00FF4DCF">
        <w:rPr>
          <w:rFonts w:cs="Arial"/>
          <w:szCs w:val="20"/>
        </w:rPr>
        <w:t>acute admitted records (with both the admission and separation dates within this period), was partitioned into two groups for modelling purposes. The first group was evaluated as fit for use to develop AR</w:t>
      </w:r>
      <w:r w:rsidRPr="00FF4DCF">
        <w:rPr>
          <w:rFonts w:cs="Arial"/>
          <w:szCs w:val="20"/>
        </w:rPr>
        <w:noBreakHyphen/>
        <w:t>DRG cost profiles for the 2012-13 cost model and a second group identified as not fit for this purpose.</w:t>
      </w:r>
    </w:p>
    <w:p w:rsidR="00FF4DCF" w:rsidRPr="00FF4DCF" w:rsidRDefault="00FF4DCF" w:rsidP="00AD4FFC">
      <w:pPr>
        <w:tabs>
          <w:tab w:val="left" w:pos="1162"/>
        </w:tabs>
        <w:rPr>
          <w:rFonts w:cs="Arial"/>
          <w:szCs w:val="20"/>
        </w:rPr>
      </w:pPr>
      <w:r w:rsidRPr="00FF4DCF">
        <w:rPr>
          <w:rFonts w:cs="Arial"/>
          <w:szCs w:val="20"/>
        </w:rPr>
        <w:t xml:space="preserve">The second group was </w:t>
      </w:r>
      <w:r w:rsidR="00953CE0">
        <w:rPr>
          <w:rFonts w:cs="Arial"/>
          <w:szCs w:val="20"/>
        </w:rPr>
        <w:t xml:space="preserve">later </w:t>
      </w:r>
      <w:r w:rsidRPr="00FF4DCF">
        <w:rPr>
          <w:rFonts w:cs="Arial"/>
          <w:szCs w:val="20"/>
        </w:rPr>
        <w:t>incorporated into the cost model to calibrate the overall level of costs within the model (see Section </w:t>
      </w:r>
      <w:r w:rsidRPr="00FF4DCF">
        <w:rPr>
          <w:rFonts w:cs="Arial"/>
          <w:szCs w:val="20"/>
        </w:rPr>
        <w:fldChar w:fldCharType="begin"/>
      </w:r>
      <w:r w:rsidRPr="00FF4DCF">
        <w:rPr>
          <w:rFonts w:cs="Arial"/>
          <w:szCs w:val="20"/>
        </w:rPr>
        <w:instrText xml:space="preserve"> REF _Ref349667532 \r \h  \* MERGEFORMAT </w:instrText>
      </w:r>
      <w:r w:rsidRPr="00FF4DCF">
        <w:rPr>
          <w:rFonts w:cs="Arial"/>
          <w:szCs w:val="20"/>
        </w:rPr>
      </w:r>
      <w:r w:rsidRPr="00FF4DCF">
        <w:rPr>
          <w:rFonts w:cs="Arial"/>
          <w:szCs w:val="20"/>
        </w:rPr>
        <w:fldChar w:fldCharType="separate"/>
      </w:r>
      <w:r w:rsidR="00915776">
        <w:rPr>
          <w:rFonts w:cs="Arial"/>
          <w:szCs w:val="20"/>
        </w:rPr>
        <w:t>2.2.9</w:t>
      </w:r>
      <w:r w:rsidRPr="00FF4DCF">
        <w:rPr>
          <w:rFonts w:cs="Arial"/>
          <w:szCs w:val="20"/>
        </w:rPr>
        <w:fldChar w:fldCharType="end"/>
      </w:r>
      <w:r w:rsidRPr="00FF4DCF">
        <w:rPr>
          <w:rFonts w:cs="Arial"/>
          <w:szCs w:val="20"/>
        </w:rPr>
        <w:t>).</w:t>
      </w:r>
    </w:p>
    <w:p w:rsidR="00FF4DCF" w:rsidRPr="00FF4DCF" w:rsidRDefault="00FF4DCF" w:rsidP="00AD4FFC">
      <w:pPr>
        <w:tabs>
          <w:tab w:val="left" w:pos="1162"/>
        </w:tabs>
        <w:rPr>
          <w:rFonts w:cs="Arial"/>
          <w:szCs w:val="20"/>
        </w:rPr>
      </w:pPr>
      <w:r w:rsidRPr="00FF4DCF">
        <w:rPr>
          <w:rFonts w:cs="Arial"/>
          <w:szCs w:val="20"/>
        </w:rPr>
        <w:t>Patient level cost data from four establishments, totalling 27,</w:t>
      </w:r>
      <w:r w:rsidR="00953CE0">
        <w:rPr>
          <w:rFonts w:cs="Arial"/>
          <w:szCs w:val="20"/>
        </w:rPr>
        <w:t>603</w:t>
      </w:r>
      <w:r w:rsidR="00953CE0" w:rsidRPr="00FF4DCF">
        <w:rPr>
          <w:rFonts w:cs="Arial"/>
          <w:szCs w:val="20"/>
        </w:rPr>
        <w:t xml:space="preserve"> </w:t>
      </w:r>
      <w:r w:rsidRPr="00FF4DCF">
        <w:rPr>
          <w:rFonts w:cs="Arial"/>
          <w:szCs w:val="20"/>
        </w:rPr>
        <w:t>episodes, was removed from the sample, based on jurisdictional advice.</w:t>
      </w:r>
    </w:p>
    <w:p w:rsidR="00FF4DCF" w:rsidRPr="00FF4DCF" w:rsidRDefault="00FF4DCF" w:rsidP="00AD4FFC">
      <w:pPr>
        <w:tabs>
          <w:tab w:val="left" w:pos="1162"/>
        </w:tabs>
        <w:rPr>
          <w:rFonts w:cs="Arial"/>
          <w:szCs w:val="20"/>
        </w:rPr>
      </w:pPr>
      <w:r w:rsidRPr="00FF4DCF">
        <w:rPr>
          <w:rFonts w:cs="Arial"/>
          <w:szCs w:val="20"/>
        </w:rPr>
        <w:t xml:space="preserve">A preliminary model with length of stay and DRG as explanatory variables of patient cost was derived and applied to the remaining sample. The </w:t>
      </w:r>
      <w:r w:rsidR="00953CE0" w:rsidRPr="00FF4DCF">
        <w:rPr>
          <w:rFonts w:cs="Arial"/>
          <w:szCs w:val="20"/>
        </w:rPr>
        <w:t>6</w:t>
      </w:r>
      <w:r w:rsidR="00953CE0">
        <w:rPr>
          <w:rFonts w:cs="Arial"/>
          <w:szCs w:val="20"/>
        </w:rPr>
        <w:t>12</w:t>
      </w:r>
      <w:r w:rsidR="00953CE0" w:rsidRPr="00FF4DCF">
        <w:rPr>
          <w:rFonts w:cs="Arial"/>
          <w:szCs w:val="20"/>
        </w:rPr>
        <w:t xml:space="preserve"> </w:t>
      </w:r>
      <w:r w:rsidRPr="00FF4DCF">
        <w:rPr>
          <w:rFonts w:cs="Arial"/>
          <w:szCs w:val="20"/>
        </w:rPr>
        <w:t>Hospital-DRG combinations with extremely high or low cost to funding ratios were also excluded from the patient level modelling.</w:t>
      </w:r>
    </w:p>
    <w:p w:rsidR="00FF4DCF" w:rsidRPr="00FF4DCF" w:rsidRDefault="00FF4DCF" w:rsidP="00AD4FFC">
      <w:pPr>
        <w:tabs>
          <w:tab w:val="left" w:pos="1162"/>
        </w:tabs>
        <w:rPr>
          <w:rFonts w:cs="Arial"/>
          <w:szCs w:val="20"/>
        </w:rPr>
      </w:pPr>
      <w:r w:rsidRPr="00FF4DCF">
        <w:rPr>
          <w:rFonts w:cs="Arial"/>
          <w:szCs w:val="20"/>
        </w:rPr>
        <w:t xml:space="preserve">The sample was further reduced by </w:t>
      </w:r>
      <w:r w:rsidR="00D81721">
        <w:rPr>
          <w:rFonts w:cs="Arial"/>
          <w:szCs w:val="20"/>
        </w:rPr>
        <w:t xml:space="preserve">14,495 </w:t>
      </w:r>
      <w:r w:rsidRPr="00FF4DCF">
        <w:rPr>
          <w:rFonts w:cs="Arial"/>
          <w:szCs w:val="20"/>
        </w:rPr>
        <w:t xml:space="preserve">by restricting the records with total in-scope costs (excluding depreciation and ED costs) greater than $23. </w:t>
      </w:r>
    </w:p>
    <w:p w:rsidR="00FF4DCF" w:rsidRPr="00FF4DCF" w:rsidRDefault="00FF4DCF" w:rsidP="00AD4FFC">
      <w:pPr>
        <w:tabs>
          <w:tab w:val="left" w:pos="1162"/>
        </w:tabs>
        <w:rPr>
          <w:rFonts w:cs="Arial"/>
          <w:szCs w:val="20"/>
        </w:rPr>
      </w:pPr>
      <w:r w:rsidRPr="00FF4DCF">
        <w:rPr>
          <w:rFonts w:cs="Arial"/>
          <w:szCs w:val="20"/>
        </w:rPr>
        <w:t>The remaining sample was then analysed by AR-DRG, and observations with extreme outlier costs were identified and removed. This was done by ranking observations by cost and identifying those values that recorded an extreme jump in cost over 300 per cent (or a decrease in cost of less than 25 per cent) from the previous observation, as illustrated in</w:t>
      </w:r>
      <w:r w:rsidR="00DC42AD">
        <w:rPr>
          <w:rFonts w:cs="Arial"/>
          <w:szCs w:val="20"/>
        </w:rPr>
        <w:t xml:space="preserve"> Figure 2</w:t>
      </w:r>
      <w:r w:rsidRPr="00FF4DCF">
        <w:rPr>
          <w:rFonts w:cs="Arial"/>
          <w:szCs w:val="20"/>
        </w:rPr>
        <w:t xml:space="preserve">. In total, </w:t>
      </w:r>
      <w:r w:rsidR="00D81721">
        <w:rPr>
          <w:rFonts w:cs="Arial"/>
          <w:szCs w:val="20"/>
        </w:rPr>
        <w:t>73</w:t>
      </w:r>
      <w:r w:rsidR="00D81721" w:rsidRPr="00FF4DCF">
        <w:rPr>
          <w:rFonts w:cs="Arial"/>
          <w:szCs w:val="20"/>
        </w:rPr>
        <w:t xml:space="preserve"> </w:t>
      </w:r>
      <w:r w:rsidRPr="00FF4DCF">
        <w:rPr>
          <w:rFonts w:cs="Arial"/>
          <w:szCs w:val="20"/>
        </w:rPr>
        <w:t>records were removed at this stage.</w:t>
      </w:r>
    </w:p>
    <w:p w:rsidR="00FF4DCF" w:rsidRPr="00FF4DCF" w:rsidRDefault="00FF4DCF" w:rsidP="00AD4FFC">
      <w:pPr>
        <w:tabs>
          <w:tab w:val="left" w:pos="1162"/>
        </w:tabs>
        <w:rPr>
          <w:rFonts w:cs="Arial"/>
          <w:szCs w:val="20"/>
        </w:rPr>
      </w:pPr>
      <w:r w:rsidRPr="00FF4DCF">
        <w:rPr>
          <w:rFonts w:cs="Arial"/>
          <w:szCs w:val="20"/>
        </w:rPr>
        <w:t xml:space="preserve">The final stage of extreme outlier identification was undertaken by first deriving a preliminary regression model using length of stay and DRG, and analysing the resulting cost ratios. Following this, another </w:t>
      </w:r>
      <w:r w:rsidR="00D81721">
        <w:rPr>
          <w:rFonts w:cs="Arial"/>
          <w:szCs w:val="20"/>
        </w:rPr>
        <w:t>553</w:t>
      </w:r>
      <w:r w:rsidRPr="00FF4DCF">
        <w:rPr>
          <w:rFonts w:cs="Arial"/>
          <w:szCs w:val="20"/>
        </w:rPr>
        <w:t xml:space="preserve"> individual records with extremely high or low cost ratios were removed. The resulting sample of 4,</w:t>
      </w:r>
      <w:r w:rsidR="00D81721">
        <w:rPr>
          <w:rFonts w:cs="Arial"/>
          <w:szCs w:val="20"/>
        </w:rPr>
        <w:t>627,160</w:t>
      </w:r>
      <w:r w:rsidRPr="00FF4DCF">
        <w:rPr>
          <w:rFonts w:cs="Arial"/>
          <w:szCs w:val="20"/>
        </w:rPr>
        <w:t xml:space="preserve"> separations was identified for use in creating AR-DRG cost profiles.</w:t>
      </w:r>
    </w:p>
    <w:p w:rsidR="00C74612" w:rsidRDefault="00C74612">
      <w:pPr>
        <w:spacing w:after="200" w:line="276" w:lineRule="auto"/>
        <w:rPr>
          <w:rFonts w:ascii="Arial" w:eastAsia="Times New Roman" w:hAnsi="Arial" w:cstheme="minorHAnsi"/>
          <w:b/>
          <w:color w:val="000000"/>
          <w:sz w:val="20"/>
          <w:szCs w:val="20"/>
          <w:lang w:eastAsia="en-AU"/>
        </w:rPr>
      </w:pPr>
      <w:r>
        <w:br w:type="page"/>
      </w:r>
    </w:p>
    <w:p w:rsidR="00460371" w:rsidRDefault="00460371">
      <w:pPr>
        <w:pStyle w:val="table"/>
      </w:pPr>
      <w:r>
        <w:lastRenderedPageBreak/>
        <w:t xml:space="preserve">Figure </w:t>
      </w:r>
      <w:fldSimple w:instr=" SEQ Figure \* ARABIC ">
        <w:r w:rsidR="00915776">
          <w:rPr>
            <w:noProof/>
          </w:rPr>
          <w:t>2</w:t>
        </w:r>
      </w:fldSimple>
      <w:bookmarkEnd w:id="40"/>
      <w:r>
        <w:t xml:space="preserve">: </w:t>
      </w:r>
      <w:r w:rsidRPr="00D041D5">
        <w:t>Illustration of outlier identification</w:t>
      </w:r>
    </w:p>
    <w:p w:rsidR="00460371" w:rsidRDefault="00460371" w:rsidP="00AD4FFC">
      <w:pPr>
        <w:tabs>
          <w:tab w:val="left" w:pos="1162"/>
        </w:tabs>
        <w:jc w:val="center"/>
        <w:rPr>
          <w:rFonts w:cs="Arial"/>
        </w:rPr>
      </w:pPr>
      <w:r w:rsidRPr="00474424">
        <w:rPr>
          <w:noProof/>
          <w:lang w:eastAsia="en-AU"/>
        </w:rPr>
        <w:drawing>
          <wp:inline distT="0" distB="0" distL="0" distR="0" wp14:anchorId="6122B62E" wp14:editId="0BB3DCB4">
            <wp:extent cx="5729605" cy="1178560"/>
            <wp:effectExtent l="0" t="0" r="0" b="0"/>
            <wp:docPr id="13" name="Picture 13" descr="This figure shows markers representing relative values are illustrated along a horizontal axis representing cost with increasing costs as the axis moves to the right. &#10;&#10;The distance between two markers along the cost axis is referred to as the cost change interval. &#10;&#10;A value is regarded as an outlier if its increase in cost is over 500 per cent (or decrease in cost to less than 20 per cent) of the previous observation. An outlier sits on the far right of the cost axis. The cost change interval between it and the previous value (to the immediate left of it) is over five times greater than the cost change interval between the previous pair of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5729605" cy="1178560"/>
                    </a:xfrm>
                    <a:prstGeom prst="rect">
                      <a:avLst/>
                    </a:prstGeom>
                    <a:noFill/>
                    <a:ln>
                      <a:noFill/>
                    </a:ln>
                  </pic:spPr>
                </pic:pic>
              </a:graphicData>
            </a:graphic>
          </wp:inline>
        </w:drawing>
      </w:r>
    </w:p>
    <w:p w:rsidR="00460371" w:rsidRPr="009708FF" w:rsidRDefault="00460371" w:rsidP="00AD4FFC">
      <w:pPr>
        <w:pStyle w:val="Heading3"/>
        <w:keepLines w:val="0"/>
        <w:numPr>
          <w:ilvl w:val="2"/>
          <w:numId w:val="35"/>
        </w:numPr>
        <w:tabs>
          <w:tab w:val="left" w:pos="1162"/>
        </w:tabs>
        <w:spacing w:before="240" w:after="120"/>
      </w:pPr>
      <w:bookmarkStart w:id="41" w:name="_Ref342385246"/>
      <w:bookmarkStart w:id="42" w:name="_Toc380754698"/>
      <w:bookmarkStart w:id="43" w:name="_Toc412550715"/>
      <w:r w:rsidRPr="009708FF">
        <w:t>Stratification and weighting</w:t>
      </w:r>
      <w:bookmarkEnd w:id="41"/>
      <w:bookmarkEnd w:id="42"/>
      <w:bookmarkEnd w:id="43"/>
    </w:p>
    <w:p w:rsidR="00460371" w:rsidRPr="00881D36" w:rsidRDefault="00460371" w:rsidP="00AD4FFC">
      <w:pPr>
        <w:tabs>
          <w:tab w:val="left" w:pos="1162"/>
        </w:tabs>
        <w:rPr>
          <w:rFonts w:cs="Arial"/>
          <w:szCs w:val="20"/>
        </w:rPr>
      </w:pPr>
      <w:r w:rsidRPr="00881D36">
        <w:rPr>
          <w:rFonts w:cs="Arial"/>
          <w:szCs w:val="20"/>
        </w:rPr>
        <w:t xml:space="preserve">Weighting of the </w:t>
      </w:r>
      <w:r>
        <w:rPr>
          <w:rFonts w:cs="Arial"/>
          <w:szCs w:val="20"/>
        </w:rPr>
        <w:t xml:space="preserve">entire </w:t>
      </w:r>
      <w:r w:rsidRPr="00881D36">
        <w:rPr>
          <w:rFonts w:cs="Arial"/>
          <w:szCs w:val="20"/>
        </w:rPr>
        <w:t xml:space="preserve">sample of costed activity from ABF establishments up to the population of all </w:t>
      </w:r>
      <w:r>
        <w:rPr>
          <w:rFonts w:cs="Arial"/>
          <w:szCs w:val="20"/>
        </w:rPr>
        <w:t xml:space="preserve">in-scope </w:t>
      </w:r>
      <w:r w:rsidRPr="00881D36">
        <w:rPr>
          <w:rFonts w:cs="Arial"/>
          <w:szCs w:val="20"/>
        </w:rPr>
        <w:t xml:space="preserve">acute admitted activity from ABF establishments occurred in two stages. The two-stage approach was required to </w:t>
      </w:r>
      <w:r>
        <w:rPr>
          <w:rFonts w:cs="Arial"/>
          <w:szCs w:val="20"/>
        </w:rPr>
        <w:t>account</w:t>
      </w:r>
      <w:r w:rsidRPr="00881D36">
        <w:rPr>
          <w:rFonts w:cs="Arial"/>
          <w:szCs w:val="20"/>
        </w:rPr>
        <w:t xml:space="preserve"> for the</w:t>
      </w:r>
      <w:r>
        <w:rPr>
          <w:rFonts w:cs="Arial"/>
          <w:szCs w:val="20"/>
        </w:rPr>
        <w:t xml:space="preserve"> cost data sample not including any </w:t>
      </w:r>
      <w:r w:rsidRPr="00881D36">
        <w:rPr>
          <w:rFonts w:cs="Arial"/>
          <w:szCs w:val="20"/>
        </w:rPr>
        <w:t>activity with an admission date prior to 1 July 201</w:t>
      </w:r>
      <w:r w:rsidR="00265B8F">
        <w:rPr>
          <w:rFonts w:cs="Arial"/>
          <w:szCs w:val="20"/>
        </w:rPr>
        <w:t>2</w:t>
      </w:r>
      <w:r w:rsidRPr="00881D36">
        <w:rPr>
          <w:rFonts w:cs="Arial"/>
          <w:szCs w:val="20"/>
        </w:rPr>
        <w:t>.</w:t>
      </w:r>
    </w:p>
    <w:p w:rsidR="00460371" w:rsidRPr="00881D36" w:rsidRDefault="00460371" w:rsidP="00AD4FFC">
      <w:pPr>
        <w:tabs>
          <w:tab w:val="left" w:pos="1162"/>
        </w:tabs>
        <w:rPr>
          <w:rFonts w:cs="Arial"/>
          <w:szCs w:val="20"/>
        </w:rPr>
      </w:pPr>
      <w:r w:rsidRPr="00881D36">
        <w:rPr>
          <w:rFonts w:cs="Arial"/>
          <w:szCs w:val="20"/>
        </w:rPr>
        <w:t xml:space="preserve">The first stage of the weighting process stratified and weighted the ABF sample up to the population of all </w:t>
      </w:r>
      <w:r w:rsidR="00B94FB5">
        <w:rPr>
          <w:rFonts w:cs="Arial"/>
          <w:szCs w:val="20"/>
        </w:rPr>
        <w:t>2012-13</w:t>
      </w:r>
      <w:r>
        <w:rPr>
          <w:rFonts w:cs="Arial"/>
          <w:szCs w:val="20"/>
        </w:rPr>
        <w:t xml:space="preserve"> </w:t>
      </w:r>
      <w:r w:rsidRPr="00881D36">
        <w:rPr>
          <w:rFonts w:cs="Arial"/>
          <w:szCs w:val="20"/>
        </w:rPr>
        <w:t xml:space="preserve">ABF acute admitted </w:t>
      </w:r>
      <w:proofErr w:type="gramStart"/>
      <w:r w:rsidRPr="00881D36">
        <w:rPr>
          <w:rFonts w:cs="Arial"/>
          <w:szCs w:val="20"/>
        </w:rPr>
        <w:t>activity</w:t>
      </w:r>
      <w:proofErr w:type="gramEnd"/>
      <w:r w:rsidRPr="00881D36">
        <w:rPr>
          <w:rFonts w:cs="Arial"/>
          <w:szCs w:val="20"/>
        </w:rPr>
        <w:t xml:space="preserve"> with an admission date on or after 1</w:t>
      </w:r>
      <w:r w:rsidR="008949CE">
        <w:rPr>
          <w:rFonts w:cs="Arial"/>
          <w:szCs w:val="20"/>
        </w:rPr>
        <w:t> </w:t>
      </w:r>
      <w:r w:rsidRPr="00881D36">
        <w:rPr>
          <w:rFonts w:cs="Arial"/>
          <w:szCs w:val="20"/>
        </w:rPr>
        <w:t>July 201</w:t>
      </w:r>
      <w:r w:rsidR="00265B8F">
        <w:rPr>
          <w:rFonts w:cs="Arial"/>
          <w:szCs w:val="20"/>
        </w:rPr>
        <w:t>2</w:t>
      </w:r>
      <w:r w:rsidRPr="00881D36">
        <w:rPr>
          <w:rFonts w:cs="Arial"/>
          <w:szCs w:val="20"/>
        </w:rPr>
        <w:t xml:space="preserve">. The stratification </w:t>
      </w:r>
      <w:r>
        <w:rPr>
          <w:rFonts w:cs="Arial"/>
          <w:szCs w:val="20"/>
        </w:rPr>
        <w:t>is</w:t>
      </w:r>
      <w:r w:rsidRPr="00881D36">
        <w:rPr>
          <w:rFonts w:cs="Arial"/>
          <w:szCs w:val="20"/>
        </w:rPr>
        <w:t xml:space="preserve"> based on establishment state/territory</w:t>
      </w:r>
      <w:r>
        <w:rPr>
          <w:rFonts w:cs="Arial"/>
          <w:szCs w:val="20"/>
        </w:rPr>
        <w:t>, size, location and paediatric specialty.</w:t>
      </w:r>
      <w:r w:rsidRPr="00881D36">
        <w:rPr>
          <w:rFonts w:cs="Arial"/>
          <w:szCs w:val="20"/>
        </w:rPr>
        <w:t xml:space="preserve"> </w:t>
      </w:r>
      <w:r>
        <w:rPr>
          <w:rFonts w:cs="Arial"/>
          <w:szCs w:val="20"/>
        </w:rPr>
        <w:t xml:space="preserve">Establishments are classified by size using </w:t>
      </w:r>
      <w:r w:rsidRPr="00881D36">
        <w:rPr>
          <w:rFonts w:cs="Arial"/>
          <w:szCs w:val="20"/>
        </w:rPr>
        <w:t>201</w:t>
      </w:r>
      <w:r w:rsidR="00265B8F">
        <w:rPr>
          <w:rFonts w:cs="Arial"/>
          <w:szCs w:val="20"/>
        </w:rPr>
        <w:t>4</w:t>
      </w:r>
      <w:r>
        <w:rPr>
          <w:rFonts w:cs="Arial"/>
          <w:szCs w:val="20"/>
        </w:rPr>
        <w:t>-1</w:t>
      </w:r>
      <w:r w:rsidR="00265B8F">
        <w:rPr>
          <w:rFonts w:cs="Arial"/>
          <w:szCs w:val="20"/>
        </w:rPr>
        <w:t>5</w:t>
      </w:r>
      <w:r w:rsidRPr="00881D36">
        <w:rPr>
          <w:rFonts w:cs="Arial"/>
          <w:szCs w:val="20"/>
        </w:rPr>
        <w:t xml:space="preserve"> acute admitted NWAU calculated on </w:t>
      </w:r>
      <w:r w:rsidR="00B94FB5">
        <w:rPr>
          <w:rFonts w:cs="Arial"/>
          <w:szCs w:val="20"/>
        </w:rPr>
        <w:t>2012-13</w:t>
      </w:r>
      <w:r w:rsidRPr="00881D36">
        <w:rPr>
          <w:rFonts w:cs="Arial"/>
          <w:szCs w:val="20"/>
        </w:rPr>
        <w:t xml:space="preserve"> </w:t>
      </w:r>
      <w:r>
        <w:rPr>
          <w:rFonts w:cs="Arial"/>
          <w:szCs w:val="20"/>
        </w:rPr>
        <w:t xml:space="preserve">activity </w:t>
      </w:r>
      <w:r w:rsidRPr="00881D36">
        <w:rPr>
          <w:rFonts w:cs="Arial"/>
          <w:szCs w:val="20"/>
        </w:rPr>
        <w:t>data</w:t>
      </w:r>
      <w:r w:rsidR="00CD72F6">
        <w:rPr>
          <w:rFonts w:cs="Arial"/>
          <w:szCs w:val="20"/>
        </w:rPr>
        <w:t xml:space="preserve"> (i.e. NWAU14 calculator applied to 2012-13 data)</w:t>
      </w:r>
      <w:r w:rsidRPr="00881D36">
        <w:rPr>
          <w:rFonts w:cs="Arial"/>
          <w:szCs w:val="20"/>
        </w:rPr>
        <w:t xml:space="preserve">. </w:t>
      </w:r>
    </w:p>
    <w:p w:rsidR="00460371" w:rsidRPr="00881D36" w:rsidRDefault="00460371" w:rsidP="00AD4FFC">
      <w:pPr>
        <w:tabs>
          <w:tab w:val="left" w:pos="1162"/>
        </w:tabs>
        <w:rPr>
          <w:rFonts w:cs="Arial"/>
          <w:szCs w:val="20"/>
        </w:rPr>
      </w:pPr>
      <w:r w:rsidRPr="00881D36">
        <w:rPr>
          <w:rFonts w:cs="Arial"/>
          <w:szCs w:val="20"/>
        </w:rPr>
        <w:t xml:space="preserve">The second stage of the weighting process weighted the </w:t>
      </w:r>
      <w:r w:rsidR="00B94FB5">
        <w:rPr>
          <w:rFonts w:cs="Arial"/>
          <w:szCs w:val="20"/>
        </w:rPr>
        <w:t>2012-13</w:t>
      </w:r>
      <w:r>
        <w:rPr>
          <w:rFonts w:cs="Arial"/>
          <w:szCs w:val="20"/>
        </w:rPr>
        <w:t xml:space="preserve"> </w:t>
      </w:r>
      <w:r w:rsidRPr="00881D36">
        <w:rPr>
          <w:rFonts w:cs="Arial"/>
          <w:szCs w:val="20"/>
        </w:rPr>
        <w:t xml:space="preserve">activity with admission date </w:t>
      </w:r>
      <w:r w:rsidR="00DD7D45">
        <w:rPr>
          <w:rFonts w:cs="Arial"/>
          <w:szCs w:val="20"/>
        </w:rPr>
        <w:t>prior to</w:t>
      </w:r>
      <w:r w:rsidRPr="00881D36">
        <w:rPr>
          <w:rFonts w:cs="Arial"/>
          <w:szCs w:val="20"/>
        </w:rPr>
        <w:t xml:space="preserve"> 1 July 201</w:t>
      </w:r>
      <w:r w:rsidR="00265B8F">
        <w:rPr>
          <w:rFonts w:cs="Arial"/>
          <w:szCs w:val="20"/>
        </w:rPr>
        <w:t>2</w:t>
      </w:r>
      <w:r>
        <w:rPr>
          <w:rFonts w:cs="Arial"/>
          <w:szCs w:val="20"/>
        </w:rPr>
        <w:t>,</w:t>
      </w:r>
      <w:r w:rsidRPr="00881D36">
        <w:rPr>
          <w:rFonts w:cs="Arial"/>
          <w:szCs w:val="20"/>
        </w:rPr>
        <w:t xml:space="preserve"> up to all activity with separation date</w:t>
      </w:r>
      <w:r>
        <w:rPr>
          <w:rFonts w:cs="Arial"/>
          <w:szCs w:val="20"/>
        </w:rPr>
        <w:t>s</w:t>
      </w:r>
      <w:r w:rsidRPr="00881D36">
        <w:rPr>
          <w:rFonts w:cs="Arial"/>
          <w:szCs w:val="20"/>
        </w:rPr>
        <w:t xml:space="preserve"> within </w:t>
      </w:r>
      <w:r w:rsidR="00B94FB5">
        <w:rPr>
          <w:rFonts w:cs="Arial"/>
          <w:szCs w:val="20"/>
        </w:rPr>
        <w:t>2012-13</w:t>
      </w:r>
      <w:r w:rsidRPr="00881D36">
        <w:rPr>
          <w:rFonts w:cs="Arial"/>
          <w:szCs w:val="20"/>
        </w:rPr>
        <w:t xml:space="preserve">. This weighting </w:t>
      </w:r>
      <w:r>
        <w:rPr>
          <w:rFonts w:cs="Arial"/>
          <w:szCs w:val="20"/>
        </w:rPr>
        <w:t>is</w:t>
      </w:r>
      <w:r w:rsidRPr="00881D36">
        <w:rPr>
          <w:rFonts w:cs="Arial"/>
          <w:szCs w:val="20"/>
        </w:rPr>
        <w:t xml:space="preserve"> done by </w:t>
      </w:r>
      <w:r>
        <w:rPr>
          <w:rFonts w:cs="Arial"/>
          <w:szCs w:val="20"/>
        </w:rPr>
        <w:t>l</w:t>
      </w:r>
      <w:r w:rsidRPr="00881D36">
        <w:rPr>
          <w:rFonts w:cs="Arial"/>
          <w:szCs w:val="20"/>
        </w:rPr>
        <w:t xml:space="preserve">ength of </w:t>
      </w:r>
      <w:r>
        <w:rPr>
          <w:rFonts w:cs="Arial"/>
          <w:szCs w:val="20"/>
        </w:rPr>
        <w:t>s</w:t>
      </w:r>
      <w:r w:rsidRPr="00881D36">
        <w:rPr>
          <w:rFonts w:cs="Arial"/>
          <w:szCs w:val="20"/>
        </w:rPr>
        <w:t>tay quartile</w:t>
      </w:r>
      <w:r>
        <w:rPr>
          <w:rFonts w:cs="Arial"/>
          <w:szCs w:val="20"/>
        </w:rPr>
        <w:t>s</w:t>
      </w:r>
      <w:r w:rsidRPr="00881D36">
        <w:rPr>
          <w:rFonts w:cs="Arial"/>
          <w:szCs w:val="20"/>
        </w:rPr>
        <w:t xml:space="preserve"> within</w:t>
      </w:r>
      <w:r>
        <w:rPr>
          <w:rFonts w:cs="Arial"/>
          <w:szCs w:val="20"/>
        </w:rPr>
        <w:t xml:space="preserve"> AR-DRG</w:t>
      </w:r>
      <w:r w:rsidRPr="00881D36">
        <w:rPr>
          <w:rFonts w:cs="Arial"/>
          <w:szCs w:val="20"/>
        </w:rPr>
        <w:t>.</w:t>
      </w:r>
      <w:r>
        <w:rPr>
          <w:rFonts w:cs="Arial"/>
          <w:szCs w:val="20"/>
        </w:rPr>
        <w:t xml:space="preserve"> Same-day activity received a weight of 1 in this process, as there are no </w:t>
      </w:r>
      <w:r w:rsidR="00B94FB5">
        <w:rPr>
          <w:rFonts w:cs="Arial"/>
          <w:szCs w:val="20"/>
        </w:rPr>
        <w:t>2012-13</w:t>
      </w:r>
      <w:r>
        <w:rPr>
          <w:rFonts w:cs="Arial"/>
          <w:szCs w:val="20"/>
        </w:rPr>
        <w:t xml:space="preserve"> same-day separations with admission dates prior to 1 July 201</w:t>
      </w:r>
      <w:r w:rsidR="00265B8F">
        <w:rPr>
          <w:rFonts w:cs="Arial"/>
          <w:szCs w:val="20"/>
        </w:rPr>
        <w:t>2</w:t>
      </w:r>
      <w:r>
        <w:rPr>
          <w:rFonts w:cs="Arial"/>
          <w:szCs w:val="20"/>
        </w:rPr>
        <w:t>.</w:t>
      </w:r>
    </w:p>
    <w:p w:rsidR="00460371" w:rsidRDefault="00460371" w:rsidP="00AD4FFC">
      <w:pPr>
        <w:tabs>
          <w:tab w:val="left" w:pos="1162"/>
        </w:tabs>
        <w:rPr>
          <w:rFonts w:cs="Arial"/>
        </w:rPr>
      </w:pPr>
      <w:r>
        <w:rPr>
          <w:rFonts w:cs="Arial"/>
        </w:rPr>
        <w:t>Note that the resulting sample-to-population weights are used throughout all stages of the cost model development.</w:t>
      </w:r>
    </w:p>
    <w:p w:rsidR="00460371" w:rsidRPr="009708FF" w:rsidRDefault="00460371" w:rsidP="00AD4FFC">
      <w:pPr>
        <w:pStyle w:val="Heading3"/>
        <w:keepLines w:val="0"/>
        <w:numPr>
          <w:ilvl w:val="2"/>
          <w:numId w:val="35"/>
        </w:numPr>
        <w:tabs>
          <w:tab w:val="left" w:pos="1162"/>
        </w:tabs>
        <w:spacing w:before="240" w:after="120"/>
      </w:pPr>
      <w:bookmarkStart w:id="44" w:name="_Ref342387300"/>
      <w:bookmarkStart w:id="45" w:name="_Toc380754699"/>
      <w:bookmarkStart w:id="46" w:name="_Toc412550716"/>
      <w:r>
        <w:t>Inlier bounds</w:t>
      </w:r>
      <w:bookmarkEnd w:id="44"/>
      <w:bookmarkEnd w:id="45"/>
      <w:bookmarkEnd w:id="46"/>
    </w:p>
    <w:p w:rsidR="00F919F3" w:rsidRDefault="00460371" w:rsidP="00AD4FFC">
      <w:pPr>
        <w:tabs>
          <w:tab w:val="left" w:pos="1162"/>
        </w:tabs>
        <w:rPr>
          <w:rFonts w:cs="Arial"/>
          <w:szCs w:val="20"/>
        </w:rPr>
      </w:pPr>
      <w:r w:rsidRPr="006A1917">
        <w:rPr>
          <w:rFonts w:cs="Arial"/>
          <w:szCs w:val="20"/>
        </w:rPr>
        <w:t>The L3H3 method</w:t>
      </w:r>
      <w:r>
        <w:rPr>
          <w:rFonts w:cs="Arial"/>
          <w:szCs w:val="20"/>
        </w:rPr>
        <w:t xml:space="preserve"> (L1.5H1.5 for Mental Health </w:t>
      </w:r>
      <w:r w:rsidR="000A513F">
        <w:rPr>
          <w:rFonts w:cs="Arial"/>
          <w:szCs w:val="20"/>
        </w:rPr>
        <w:t>Major Diagnostic Categories (</w:t>
      </w:r>
      <w:r>
        <w:rPr>
          <w:rFonts w:cs="Arial"/>
          <w:szCs w:val="20"/>
        </w:rPr>
        <w:t>MDC</w:t>
      </w:r>
      <w:r w:rsidR="000A513F">
        <w:rPr>
          <w:rFonts w:cs="Arial"/>
          <w:szCs w:val="20"/>
        </w:rPr>
        <w:t>)</w:t>
      </w:r>
      <w:r>
        <w:rPr>
          <w:rFonts w:cs="Arial"/>
          <w:szCs w:val="20"/>
        </w:rPr>
        <w:t xml:space="preserve"> 19 and 20</w:t>
      </w:r>
      <w:r w:rsidR="00265B8F">
        <w:rPr>
          <w:rFonts w:cs="Arial"/>
          <w:szCs w:val="20"/>
        </w:rPr>
        <w:t xml:space="preserve"> and 21 DRGs that had very high cost long-stay outliers</w:t>
      </w:r>
      <w:r>
        <w:rPr>
          <w:rFonts w:cs="Arial"/>
          <w:szCs w:val="20"/>
        </w:rPr>
        <w:t>)</w:t>
      </w:r>
      <w:r w:rsidRPr="006A1917">
        <w:rPr>
          <w:rFonts w:cs="Arial"/>
          <w:szCs w:val="20"/>
        </w:rPr>
        <w:t xml:space="preserve"> was applied to the </w:t>
      </w:r>
      <w:r>
        <w:rPr>
          <w:rFonts w:cs="Arial"/>
          <w:szCs w:val="20"/>
        </w:rPr>
        <w:t>population of in-scope activity from</w:t>
      </w:r>
      <w:r w:rsidRPr="006A1917">
        <w:rPr>
          <w:rFonts w:cs="Arial"/>
          <w:szCs w:val="20"/>
        </w:rPr>
        <w:t xml:space="preserve"> </w:t>
      </w:r>
      <w:r>
        <w:rPr>
          <w:rFonts w:cs="Arial"/>
          <w:szCs w:val="20"/>
        </w:rPr>
        <w:t>ABF establishments</w:t>
      </w:r>
      <w:r w:rsidRPr="006A1917">
        <w:rPr>
          <w:rFonts w:cs="Arial"/>
          <w:szCs w:val="20"/>
        </w:rPr>
        <w:t xml:space="preserve"> to identify </w:t>
      </w:r>
      <w:r>
        <w:rPr>
          <w:rFonts w:cs="Arial"/>
          <w:szCs w:val="20"/>
        </w:rPr>
        <w:t>inlier bounds outside of which are</w:t>
      </w:r>
      <w:r w:rsidRPr="006A1917">
        <w:rPr>
          <w:rFonts w:cs="Arial"/>
          <w:szCs w:val="20"/>
        </w:rPr>
        <w:t xml:space="preserve"> short</w:t>
      </w:r>
      <w:r>
        <w:rPr>
          <w:rFonts w:cs="Arial"/>
          <w:szCs w:val="20"/>
        </w:rPr>
        <w:t>-</w:t>
      </w:r>
      <w:r w:rsidRPr="006A1917">
        <w:rPr>
          <w:rFonts w:cs="Arial"/>
          <w:szCs w:val="20"/>
        </w:rPr>
        <w:t>stay and long</w:t>
      </w:r>
      <w:r>
        <w:rPr>
          <w:rFonts w:cs="Arial"/>
          <w:szCs w:val="20"/>
        </w:rPr>
        <w:t>-</w:t>
      </w:r>
      <w:r w:rsidRPr="006A1917">
        <w:rPr>
          <w:rFonts w:cs="Arial"/>
          <w:szCs w:val="20"/>
        </w:rPr>
        <w:t>stay outliers</w:t>
      </w:r>
      <w:r>
        <w:rPr>
          <w:rFonts w:cs="Arial"/>
          <w:szCs w:val="20"/>
        </w:rPr>
        <w:t xml:space="preserve">. </w:t>
      </w:r>
      <w:r w:rsidRPr="006A1917">
        <w:rPr>
          <w:rFonts w:cs="Arial"/>
          <w:szCs w:val="20"/>
        </w:rPr>
        <w:t xml:space="preserve">The method </w:t>
      </w:r>
      <w:r>
        <w:rPr>
          <w:rFonts w:cs="Arial"/>
          <w:szCs w:val="20"/>
        </w:rPr>
        <w:t>excludes same-day</w:t>
      </w:r>
      <w:r w:rsidRPr="006A1917">
        <w:rPr>
          <w:rFonts w:cs="Arial"/>
          <w:szCs w:val="20"/>
        </w:rPr>
        <w:t xml:space="preserve"> episodes occurring in AR</w:t>
      </w:r>
      <w:r w:rsidR="000A513F">
        <w:rPr>
          <w:rFonts w:cs="Arial"/>
          <w:szCs w:val="20"/>
        </w:rPr>
        <w:noBreakHyphen/>
      </w:r>
      <w:r w:rsidRPr="006A1917">
        <w:rPr>
          <w:rFonts w:cs="Arial"/>
          <w:szCs w:val="20"/>
        </w:rPr>
        <w:t xml:space="preserve">DRGs designated for a separate </w:t>
      </w:r>
      <w:r>
        <w:rPr>
          <w:rFonts w:cs="Arial"/>
          <w:szCs w:val="20"/>
        </w:rPr>
        <w:t>same-day</w:t>
      </w:r>
      <w:r w:rsidRPr="006A1917">
        <w:rPr>
          <w:rFonts w:cs="Arial"/>
          <w:szCs w:val="20"/>
        </w:rPr>
        <w:t xml:space="preserve"> payment</w:t>
      </w:r>
      <w:r>
        <w:rPr>
          <w:rFonts w:cs="Arial"/>
          <w:szCs w:val="20"/>
        </w:rPr>
        <w:t xml:space="preserve">, and uses length of stay </w:t>
      </w:r>
      <w:r w:rsidRPr="006A1917">
        <w:rPr>
          <w:rFonts w:cs="Arial"/>
          <w:szCs w:val="20"/>
        </w:rPr>
        <w:t xml:space="preserve">adjusted to remove ICU days for </w:t>
      </w:r>
      <w:r>
        <w:rPr>
          <w:rFonts w:cs="Arial"/>
          <w:szCs w:val="20"/>
        </w:rPr>
        <w:t>ICU-unbundled AR-DRGs.</w:t>
      </w:r>
      <w:r w:rsidRPr="006A1917">
        <w:rPr>
          <w:rFonts w:cs="Arial"/>
          <w:szCs w:val="20"/>
        </w:rPr>
        <w:t xml:space="preserve"> </w:t>
      </w:r>
    </w:p>
    <w:p w:rsidR="00265B8F" w:rsidRDefault="00265B8F" w:rsidP="00AD4FFC">
      <w:pPr>
        <w:tabs>
          <w:tab w:val="left" w:pos="1162"/>
        </w:tabs>
        <w:rPr>
          <w:rFonts w:cs="Arial"/>
          <w:szCs w:val="20"/>
        </w:rPr>
      </w:pPr>
      <w:r>
        <w:rPr>
          <w:rFonts w:cs="Arial"/>
          <w:szCs w:val="20"/>
        </w:rPr>
        <w:t xml:space="preserve">The list of 21 DRGs where the L1.5H1.5 method has been used to determine the inlier bounds is provided at </w:t>
      </w:r>
      <w:r w:rsidRPr="002B0802">
        <w:rPr>
          <w:rStyle w:val="Hyperlink"/>
          <w:b/>
        </w:rPr>
        <w:t>Attachment C</w:t>
      </w:r>
      <w:r>
        <w:rPr>
          <w:rFonts w:cs="Arial"/>
          <w:szCs w:val="20"/>
        </w:rPr>
        <w:t xml:space="preserve">. </w:t>
      </w:r>
    </w:p>
    <w:p w:rsidR="00E045B9" w:rsidRPr="00E045B9" w:rsidRDefault="00460371" w:rsidP="00AD4FFC">
      <w:pPr>
        <w:tabs>
          <w:tab w:val="left" w:pos="1162"/>
        </w:tabs>
        <w:rPr>
          <w:rFonts w:cs="Arial"/>
          <w:szCs w:val="20"/>
        </w:rPr>
      </w:pPr>
      <w:r w:rsidRPr="006A1917">
        <w:rPr>
          <w:rFonts w:cs="Arial"/>
          <w:szCs w:val="20"/>
        </w:rPr>
        <w:t xml:space="preserve">The steps </w:t>
      </w:r>
      <w:r>
        <w:rPr>
          <w:rFonts w:cs="Arial"/>
          <w:szCs w:val="20"/>
        </w:rPr>
        <w:t>are</w:t>
      </w:r>
      <w:r w:rsidRPr="006A1917">
        <w:rPr>
          <w:rFonts w:cs="Arial"/>
          <w:szCs w:val="20"/>
        </w:rPr>
        <w:t>:</w:t>
      </w:r>
    </w:p>
    <w:p w:rsidR="00460371" w:rsidRPr="00BF1235" w:rsidRDefault="00460371" w:rsidP="00C245E0">
      <w:pPr>
        <w:pStyle w:val="ListParagraph"/>
        <w:numPr>
          <w:ilvl w:val="0"/>
          <w:numId w:val="48"/>
        </w:numPr>
        <w:tabs>
          <w:tab w:val="left" w:pos="1162"/>
        </w:tabs>
        <w:spacing w:before="80" w:after="0"/>
        <w:rPr>
          <w:rFonts w:cs="Arial"/>
          <w:szCs w:val="20"/>
        </w:rPr>
      </w:pPr>
      <w:r w:rsidRPr="00BF1235">
        <w:rPr>
          <w:rFonts w:cs="Arial"/>
          <w:szCs w:val="20"/>
        </w:rPr>
        <w:t xml:space="preserve">Calculate the national mean length of stay for each AR-DRG. </w:t>
      </w:r>
    </w:p>
    <w:p w:rsidR="00460371" w:rsidRPr="00BF1235" w:rsidRDefault="00460371" w:rsidP="00C245E0">
      <w:pPr>
        <w:pStyle w:val="ListParagraph"/>
        <w:numPr>
          <w:ilvl w:val="0"/>
          <w:numId w:val="48"/>
        </w:numPr>
        <w:tabs>
          <w:tab w:val="left" w:pos="1162"/>
        </w:tabs>
        <w:spacing w:before="80" w:after="0"/>
        <w:ind w:left="714" w:hanging="357"/>
        <w:rPr>
          <w:rFonts w:cs="Arial"/>
          <w:szCs w:val="20"/>
        </w:rPr>
      </w:pPr>
      <w:r w:rsidRPr="00BF1235">
        <w:rPr>
          <w:rFonts w:cs="Arial"/>
          <w:szCs w:val="20"/>
        </w:rPr>
        <w:t>Calculate the inlier lower bound for each AR-DRG. This is based on the calculation: national mean length of stay divided by 3 (1.5 for Mental Health</w:t>
      </w:r>
      <w:r w:rsidR="00DB2A7C">
        <w:rPr>
          <w:rFonts w:cs="Arial"/>
          <w:szCs w:val="20"/>
        </w:rPr>
        <w:t xml:space="preserve"> and the 21 specified DRGs</w:t>
      </w:r>
      <w:r w:rsidRPr="00BF1235">
        <w:rPr>
          <w:rFonts w:cs="Arial"/>
          <w:szCs w:val="20"/>
        </w:rPr>
        <w:t>). The result was truncated. This means that it was rounded down to the next lowest integer (e.g. if the result was 3.6, the inlier lower bound was set to 3).</w:t>
      </w:r>
    </w:p>
    <w:p w:rsidR="00460371" w:rsidRPr="00BF1235" w:rsidRDefault="00460371" w:rsidP="00C245E0">
      <w:pPr>
        <w:pStyle w:val="ListParagraph"/>
        <w:numPr>
          <w:ilvl w:val="0"/>
          <w:numId w:val="48"/>
        </w:numPr>
        <w:tabs>
          <w:tab w:val="left" w:pos="1162"/>
        </w:tabs>
        <w:spacing w:before="80" w:after="0"/>
        <w:ind w:left="714" w:hanging="357"/>
        <w:rPr>
          <w:rFonts w:cs="Arial"/>
          <w:szCs w:val="20"/>
        </w:rPr>
      </w:pPr>
      <w:r w:rsidRPr="00BF1235">
        <w:rPr>
          <w:rFonts w:cs="Arial"/>
          <w:szCs w:val="20"/>
        </w:rPr>
        <w:t>Calculate the inlier upper bound for each AR-DRG. This is based on the calculation: national mean length of stay multiplied by 3 (1.5 for Mental Health</w:t>
      </w:r>
      <w:r w:rsidR="00FD1DA3">
        <w:rPr>
          <w:rFonts w:cs="Arial"/>
          <w:szCs w:val="20"/>
        </w:rPr>
        <w:t xml:space="preserve"> and the 21</w:t>
      </w:r>
      <w:r w:rsidR="00490245">
        <w:rPr>
          <w:rFonts w:cs="Arial"/>
          <w:szCs w:val="20"/>
        </w:rPr>
        <w:t> </w:t>
      </w:r>
      <w:r w:rsidR="00FD1DA3">
        <w:rPr>
          <w:rFonts w:cs="Arial"/>
          <w:szCs w:val="20"/>
        </w:rPr>
        <w:t>specified DRGs</w:t>
      </w:r>
      <w:r w:rsidRPr="00BF1235">
        <w:rPr>
          <w:rFonts w:cs="Arial"/>
          <w:szCs w:val="20"/>
        </w:rPr>
        <w:t>). The result was rounded to the nearest integer (e.g. 10.2 would result in the upper bound being set to 10, whereas 10.7 would result in the upper bound being set to 11).</w:t>
      </w:r>
    </w:p>
    <w:p w:rsidR="00460371" w:rsidRPr="00BF1235" w:rsidRDefault="00460371" w:rsidP="00C245E0">
      <w:pPr>
        <w:pStyle w:val="ListParagraph"/>
        <w:numPr>
          <w:ilvl w:val="0"/>
          <w:numId w:val="48"/>
        </w:numPr>
        <w:tabs>
          <w:tab w:val="left" w:pos="1162"/>
        </w:tabs>
        <w:spacing w:before="80" w:after="0"/>
        <w:ind w:left="714" w:hanging="357"/>
        <w:rPr>
          <w:rFonts w:cs="Arial"/>
          <w:szCs w:val="20"/>
        </w:rPr>
      </w:pPr>
      <w:r w:rsidRPr="00BF1235">
        <w:rPr>
          <w:rFonts w:cs="Arial"/>
          <w:szCs w:val="20"/>
        </w:rPr>
        <w:lastRenderedPageBreak/>
        <w:t>Episodes with an ICU-adjusted length of stay equal to or between the two inlier bounds of the AR</w:t>
      </w:r>
      <w:r w:rsidRPr="00BF1235">
        <w:rPr>
          <w:rFonts w:cs="Arial"/>
          <w:szCs w:val="20"/>
        </w:rPr>
        <w:noBreakHyphen/>
        <w:t>DRG to which they belong are considered inlier episodes.</w:t>
      </w:r>
    </w:p>
    <w:p w:rsidR="00460371" w:rsidRDefault="00460371" w:rsidP="00AD4FFC">
      <w:pPr>
        <w:tabs>
          <w:tab w:val="left" w:pos="1162"/>
        </w:tabs>
        <w:spacing w:before="240"/>
        <w:rPr>
          <w:rFonts w:cs="Arial"/>
          <w:szCs w:val="20"/>
        </w:rPr>
      </w:pPr>
      <w:r>
        <w:rPr>
          <w:rFonts w:cs="Arial"/>
          <w:szCs w:val="20"/>
        </w:rPr>
        <w:t>Further to the above process, changes with respect to inlier bounds from the 201</w:t>
      </w:r>
      <w:r w:rsidR="00FD1DA3">
        <w:rPr>
          <w:rFonts w:cs="Arial"/>
          <w:szCs w:val="20"/>
        </w:rPr>
        <w:t>1</w:t>
      </w:r>
      <w:r>
        <w:rPr>
          <w:rFonts w:cs="Arial"/>
          <w:szCs w:val="20"/>
        </w:rPr>
        <w:t>-1</w:t>
      </w:r>
      <w:r w:rsidR="00FD1DA3">
        <w:rPr>
          <w:rFonts w:cs="Arial"/>
          <w:szCs w:val="20"/>
        </w:rPr>
        <w:t>2</w:t>
      </w:r>
      <w:r>
        <w:rPr>
          <w:rFonts w:cs="Arial"/>
          <w:szCs w:val="20"/>
        </w:rPr>
        <w:t xml:space="preserve"> cost </w:t>
      </w:r>
      <w:proofErr w:type="gramStart"/>
      <w:r>
        <w:rPr>
          <w:rFonts w:cs="Arial"/>
          <w:szCs w:val="20"/>
        </w:rPr>
        <w:t>model</w:t>
      </w:r>
      <w:proofErr w:type="gramEnd"/>
      <w:r>
        <w:rPr>
          <w:rFonts w:cs="Arial"/>
          <w:szCs w:val="20"/>
        </w:rPr>
        <w:t xml:space="preserve"> were </w:t>
      </w:r>
      <w:r w:rsidRPr="009E1B1B">
        <w:rPr>
          <w:rFonts w:cs="Arial"/>
          <w:szCs w:val="20"/>
        </w:rPr>
        <w:t>monitor</w:t>
      </w:r>
      <w:r>
        <w:rPr>
          <w:rFonts w:cs="Arial"/>
          <w:szCs w:val="20"/>
        </w:rPr>
        <w:t>ed</w:t>
      </w:r>
      <w:r w:rsidRPr="009E1B1B">
        <w:rPr>
          <w:rFonts w:cs="Arial"/>
          <w:szCs w:val="20"/>
        </w:rPr>
        <w:t xml:space="preserve"> to ensure they </w:t>
      </w:r>
      <w:r>
        <w:rPr>
          <w:rFonts w:cs="Arial"/>
          <w:szCs w:val="20"/>
        </w:rPr>
        <w:t xml:space="preserve">were the result of </w:t>
      </w:r>
      <w:r w:rsidRPr="009E1B1B">
        <w:rPr>
          <w:rFonts w:cs="Arial"/>
          <w:szCs w:val="20"/>
        </w:rPr>
        <w:t xml:space="preserve">real change and were not </w:t>
      </w:r>
      <w:r>
        <w:rPr>
          <w:rFonts w:cs="Arial"/>
          <w:szCs w:val="20"/>
        </w:rPr>
        <w:t xml:space="preserve">due to </w:t>
      </w:r>
      <w:r w:rsidRPr="009E1B1B">
        <w:rPr>
          <w:rFonts w:cs="Arial"/>
          <w:szCs w:val="20"/>
        </w:rPr>
        <w:t>statistical noise.</w:t>
      </w:r>
      <w:r>
        <w:rPr>
          <w:rFonts w:cs="Arial"/>
          <w:szCs w:val="20"/>
        </w:rPr>
        <w:t xml:space="preserve"> Wherever an AR-DRG has not been signifi</w:t>
      </w:r>
      <w:r w:rsidR="00F919F3">
        <w:rPr>
          <w:rFonts w:cs="Arial"/>
          <w:szCs w:val="20"/>
        </w:rPr>
        <w:t xml:space="preserve">cantly affected by a </w:t>
      </w:r>
      <w:r w:rsidR="00FD1DA3">
        <w:rPr>
          <w:rFonts w:cs="Arial"/>
          <w:szCs w:val="20"/>
        </w:rPr>
        <w:t>specific change in methodology</w:t>
      </w:r>
      <w:r>
        <w:rPr>
          <w:rFonts w:cs="Arial"/>
          <w:szCs w:val="20"/>
        </w:rPr>
        <w:t xml:space="preserve">, </w:t>
      </w:r>
      <w:r w:rsidRPr="006A1917">
        <w:rPr>
          <w:rFonts w:cs="Arial"/>
          <w:szCs w:val="20"/>
        </w:rPr>
        <w:t>95</w:t>
      </w:r>
      <w:r>
        <w:rPr>
          <w:rFonts w:cs="Arial"/>
          <w:szCs w:val="20"/>
        </w:rPr>
        <w:t xml:space="preserve"> per cent</w:t>
      </w:r>
      <w:r w:rsidRPr="006A1917">
        <w:rPr>
          <w:rFonts w:cs="Arial"/>
          <w:szCs w:val="20"/>
        </w:rPr>
        <w:t xml:space="preserve"> </w:t>
      </w:r>
      <w:r>
        <w:rPr>
          <w:rFonts w:cs="Arial"/>
          <w:szCs w:val="20"/>
        </w:rPr>
        <w:t>c</w:t>
      </w:r>
      <w:r w:rsidRPr="006A1917">
        <w:rPr>
          <w:rFonts w:cs="Arial"/>
          <w:szCs w:val="20"/>
        </w:rPr>
        <w:t xml:space="preserve">onfidence </w:t>
      </w:r>
      <w:r>
        <w:rPr>
          <w:rFonts w:cs="Arial"/>
          <w:szCs w:val="20"/>
        </w:rPr>
        <w:t>i</w:t>
      </w:r>
      <w:r w:rsidRPr="006A1917">
        <w:rPr>
          <w:rFonts w:cs="Arial"/>
          <w:szCs w:val="20"/>
        </w:rPr>
        <w:t>nterval</w:t>
      </w:r>
      <w:r>
        <w:rPr>
          <w:rFonts w:cs="Arial"/>
          <w:szCs w:val="20"/>
        </w:rPr>
        <w:t>s around bounds are used to evaluate changes as significant or not. Changes are also evaluated in terms of their materiality (required to affect at least 1 per cent of an AR</w:t>
      </w:r>
      <w:r>
        <w:rPr>
          <w:rFonts w:cs="Arial"/>
          <w:szCs w:val="20"/>
        </w:rPr>
        <w:noBreakHyphen/>
        <w:t>DRG’s separation</w:t>
      </w:r>
      <w:r w:rsidR="00D81721">
        <w:rPr>
          <w:rFonts w:cs="Arial"/>
          <w:szCs w:val="20"/>
        </w:rPr>
        <w:t>s</w:t>
      </w:r>
      <w:r>
        <w:rPr>
          <w:rFonts w:cs="Arial"/>
          <w:szCs w:val="20"/>
        </w:rPr>
        <w:t xml:space="preserve"> and at least 10</w:t>
      </w:r>
      <w:r w:rsidR="00452012">
        <w:t> </w:t>
      </w:r>
      <w:r>
        <w:rPr>
          <w:rFonts w:cs="Arial"/>
          <w:szCs w:val="20"/>
        </w:rPr>
        <w:t>separations).</w:t>
      </w:r>
    </w:p>
    <w:p w:rsidR="00460371" w:rsidRDefault="00460371" w:rsidP="00AD4FFC">
      <w:pPr>
        <w:pStyle w:val="Heading3"/>
        <w:keepLines w:val="0"/>
        <w:numPr>
          <w:ilvl w:val="2"/>
          <w:numId w:val="35"/>
        </w:numPr>
        <w:tabs>
          <w:tab w:val="left" w:pos="1162"/>
        </w:tabs>
        <w:spacing w:before="240" w:after="120"/>
      </w:pPr>
      <w:bookmarkStart w:id="47" w:name="_Ref319574396"/>
      <w:bookmarkStart w:id="48" w:name="_Ref319940031"/>
      <w:bookmarkStart w:id="49" w:name="_Toc380754700"/>
      <w:bookmarkStart w:id="50" w:name="_Toc412550717"/>
      <w:r w:rsidRPr="00413396">
        <w:t>Classification of patient</w:t>
      </w:r>
      <w:r>
        <w:t>-level cost data</w:t>
      </w:r>
      <w:r w:rsidRPr="00413396">
        <w:t xml:space="preserve"> in relevant categories</w:t>
      </w:r>
      <w:bookmarkEnd w:id="47"/>
      <w:bookmarkEnd w:id="48"/>
      <w:bookmarkEnd w:id="49"/>
      <w:bookmarkEnd w:id="50"/>
    </w:p>
    <w:p w:rsidR="00460371" w:rsidRPr="00C14893" w:rsidRDefault="00460371" w:rsidP="00AD4FFC">
      <w:pPr>
        <w:tabs>
          <w:tab w:val="left" w:pos="1162"/>
        </w:tabs>
        <w:rPr>
          <w:rFonts w:cs="Arial"/>
          <w:szCs w:val="20"/>
        </w:rPr>
      </w:pPr>
      <w:r w:rsidRPr="00C14893">
        <w:rPr>
          <w:rFonts w:cs="Arial"/>
          <w:szCs w:val="20"/>
        </w:rPr>
        <w:t>Prior to analysing costs, episode</w:t>
      </w:r>
      <w:r>
        <w:rPr>
          <w:rFonts w:cs="Arial"/>
          <w:szCs w:val="20"/>
        </w:rPr>
        <w:t>s</w:t>
      </w:r>
      <w:r w:rsidRPr="00C14893">
        <w:rPr>
          <w:rFonts w:cs="Arial"/>
          <w:szCs w:val="20"/>
        </w:rPr>
        <w:t xml:space="preserve"> </w:t>
      </w:r>
      <w:r>
        <w:rPr>
          <w:rFonts w:cs="Arial"/>
          <w:szCs w:val="20"/>
        </w:rPr>
        <w:t xml:space="preserve">are </w:t>
      </w:r>
      <w:r w:rsidRPr="00C14893">
        <w:rPr>
          <w:rFonts w:cs="Arial"/>
          <w:szCs w:val="20"/>
        </w:rPr>
        <w:t xml:space="preserve">assigned to categories reflecting the relevant adjustments to be made through the </w:t>
      </w:r>
      <w:r w:rsidR="00B94FB5">
        <w:rPr>
          <w:rFonts w:cs="Arial"/>
          <w:szCs w:val="20"/>
        </w:rPr>
        <w:t>2012-13</w:t>
      </w:r>
      <w:r>
        <w:rPr>
          <w:rFonts w:cs="Arial"/>
          <w:szCs w:val="20"/>
        </w:rPr>
        <w:t xml:space="preserve"> cost</w:t>
      </w:r>
      <w:r w:rsidRPr="00C14893">
        <w:rPr>
          <w:rFonts w:cs="Arial"/>
          <w:szCs w:val="20"/>
        </w:rPr>
        <w:t xml:space="preserve"> </w:t>
      </w:r>
      <w:proofErr w:type="gramStart"/>
      <w:r w:rsidRPr="00C14893">
        <w:rPr>
          <w:rFonts w:cs="Arial"/>
          <w:szCs w:val="20"/>
        </w:rPr>
        <w:t>model</w:t>
      </w:r>
      <w:proofErr w:type="gramEnd"/>
      <w:r>
        <w:rPr>
          <w:rFonts w:cs="Arial"/>
          <w:szCs w:val="20"/>
        </w:rPr>
        <w:t xml:space="preserve">. </w:t>
      </w:r>
      <w:r w:rsidRPr="00C14893">
        <w:rPr>
          <w:rFonts w:cs="Arial"/>
          <w:szCs w:val="20"/>
        </w:rPr>
        <w:t>The steps involved include:</w:t>
      </w:r>
    </w:p>
    <w:p w:rsidR="00460371" w:rsidRPr="005C56B4" w:rsidRDefault="00460371" w:rsidP="00C245E0">
      <w:pPr>
        <w:pStyle w:val="ListParagraph"/>
        <w:numPr>
          <w:ilvl w:val="0"/>
          <w:numId w:val="49"/>
        </w:numPr>
        <w:tabs>
          <w:tab w:val="left" w:pos="1162"/>
        </w:tabs>
        <w:spacing w:before="80" w:after="0"/>
        <w:rPr>
          <w:rFonts w:cs="Arial"/>
          <w:i/>
          <w:szCs w:val="20"/>
        </w:rPr>
      </w:pPr>
      <w:r w:rsidRPr="005C56B4">
        <w:rPr>
          <w:rFonts w:cs="Arial"/>
          <w:i/>
          <w:szCs w:val="20"/>
        </w:rPr>
        <w:t>Assign</w:t>
      </w:r>
      <w:r>
        <w:rPr>
          <w:rFonts w:cs="Arial"/>
          <w:i/>
          <w:szCs w:val="20"/>
        </w:rPr>
        <w:t>ing</w:t>
      </w:r>
      <w:r w:rsidRPr="005C56B4">
        <w:rPr>
          <w:rFonts w:cs="Arial"/>
          <w:i/>
          <w:szCs w:val="20"/>
        </w:rPr>
        <w:t xml:space="preserve"> one of the following categories</w:t>
      </w:r>
      <w:r>
        <w:rPr>
          <w:rFonts w:cs="Arial"/>
          <w:i/>
          <w:szCs w:val="20"/>
        </w:rPr>
        <w:t xml:space="preserve"> to each episode</w:t>
      </w:r>
      <w:r w:rsidRPr="005C56B4">
        <w:rPr>
          <w:rFonts w:cs="Arial"/>
          <w:i/>
          <w:szCs w:val="20"/>
        </w:rPr>
        <w:t>:</w:t>
      </w:r>
    </w:p>
    <w:p w:rsidR="00460371" w:rsidRPr="005C56B4" w:rsidRDefault="00460371" w:rsidP="00C245E0">
      <w:pPr>
        <w:pStyle w:val="ListParagraph"/>
        <w:numPr>
          <w:ilvl w:val="1"/>
          <w:numId w:val="49"/>
        </w:numPr>
        <w:tabs>
          <w:tab w:val="left" w:pos="1162"/>
        </w:tabs>
        <w:spacing w:before="80" w:after="0"/>
        <w:ind w:left="1434" w:hanging="357"/>
        <w:rPr>
          <w:rFonts w:cs="Arial"/>
          <w:szCs w:val="20"/>
        </w:rPr>
      </w:pPr>
      <w:r>
        <w:rPr>
          <w:rFonts w:cs="Arial"/>
          <w:szCs w:val="20"/>
        </w:rPr>
        <w:t>Same-day</w:t>
      </w:r>
      <w:r w:rsidRPr="005C56B4">
        <w:rPr>
          <w:rFonts w:cs="Arial"/>
          <w:szCs w:val="20"/>
        </w:rPr>
        <w:t xml:space="preserve"> </w:t>
      </w:r>
      <w:r>
        <w:rPr>
          <w:rFonts w:cs="Arial"/>
          <w:szCs w:val="20"/>
        </w:rPr>
        <w:t>separation from an AR-DRG on the Designated Same-Day Payment list</w:t>
      </w:r>
    </w:p>
    <w:p w:rsidR="00460371" w:rsidRDefault="00460371" w:rsidP="00C245E0">
      <w:pPr>
        <w:pStyle w:val="ListParagraph"/>
        <w:numPr>
          <w:ilvl w:val="1"/>
          <w:numId w:val="49"/>
        </w:numPr>
        <w:tabs>
          <w:tab w:val="left" w:pos="1162"/>
        </w:tabs>
        <w:spacing w:before="80" w:after="0"/>
        <w:ind w:left="1434" w:hanging="357"/>
        <w:rPr>
          <w:rFonts w:cs="Arial"/>
          <w:szCs w:val="20"/>
        </w:rPr>
      </w:pPr>
      <w:r w:rsidRPr="005C56B4">
        <w:rPr>
          <w:rFonts w:cs="Arial"/>
          <w:szCs w:val="20"/>
        </w:rPr>
        <w:t>Short stay outlier</w:t>
      </w:r>
    </w:p>
    <w:p w:rsidR="00460371" w:rsidRPr="00A84BF6" w:rsidRDefault="00460371" w:rsidP="00C245E0">
      <w:pPr>
        <w:pStyle w:val="ListParagraph"/>
        <w:numPr>
          <w:ilvl w:val="1"/>
          <w:numId w:val="49"/>
        </w:numPr>
        <w:tabs>
          <w:tab w:val="left" w:pos="1162"/>
        </w:tabs>
        <w:spacing w:before="80" w:after="0"/>
        <w:ind w:left="1434" w:hanging="357"/>
        <w:rPr>
          <w:rFonts w:cs="Arial"/>
          <w:szCs w:val="20"/>
        </w:rPr>
      </w:pPr>
      <w:r w:rsidRPr="005C56B4">
        <w:rPr>
          <w:rFonts w:cs="Arial"/>
          <w:szCs w:val="20"/>
        </w:rPr>
        <w:t>Inlier</w:t>
      </w:r>
    </w:p>
    <w:p w:rsidR="00460371" w:rsidRPr="005C56B4" w:rsidRDefault="00460371" w:rsidP="00C245E0">
      <w:pPr>
        <w:pStyle w:val="ListParagraph"/>
        <w:numPr>
          <w:ilvl w:val="1"/>
          <w:numId w:val="49"/>
        </w:numPr>
        <w:tabs>
          <w:tab w:val="left" w:pos="1162"/>
        </w:tabs>
        <w:spacing w:before="80" w:after="0"/>
        <w:ind w:left="1434" w:hanging="357"/>
        <w:rPr>
          <w:rFonts w:cs="Arial"/>
          <w:szCs w:val="20"/>
        </w:rPr>
      </w:pPr>
      <w:r w:rsidRPr="005C56B4">
        <w:rPr>
          <w:rFonts w:cs="Arial"/>
          <w:szCs w:val="20"/>
        </w:rPr>
        <w:t>Long stay outlier</w:t>
      </w:r>
      <w:r w:rsidR="00C35A0D">
        <w:rPr>
          <w:rFonts w:cs="Arial"/>
          <w:szCs w:val="20"/>
        </w:rPr>
        <w:t>.</w:t>
      </w:r>
    </w:p>
    <w:p w:rsidR="00460371" w:rsidRPr="005C56B4" w:rsidRDefault="00460371" w:rsidP="00C245E0">
      <w:pPr>
        <w:pStyle w:val="ListParagraph"/>
        <w:numPr>
          <w:ilvl w:val="0"/>
          <w:numId w:val="49"/>
        </w:numPr>
        <w:tabs>
          <w:tab w:val="left" w:pos="1162"/>
        </w:tabs>
        <w:spacing w:before="80" w:after="0"/>
        <w:ind w:left="714" w:hanging="357"/>
        <w:rPr>
          <w:rFonts w:cs="Arial"/>
          <w:i/>
          <w:szCs w:val="20"/>
        </w:rPr>
      </w:pPr>
      <w:bookmarkStart w:id="51" w:name="_Ref319574423"/>
      <w:r w:rsidRPr="005C56B4">
        <w:rPr>
          <w:rFonts w:cs="Arial"/>
          <w:i/>
          <w:szCs w:val="20"/>
        </w:rPr>
        <w:t>Flag</w:t>
      </w:r>
      <w:r>
        <w:rPr>
          <w:rFonts w:cs="Arial"/>
          <w:i/>
          <w:szCs w:val="20"/>
        </w:rPr>
        <w:t>ging</w:t>
      </w:r>
      <w:r w:rsidRPr="005C56B4">
        <w:rPr>
          <w:rFonts w:cs="Arial"/>
          <w:i/>
          <w:szCs w:val="20"/>
        </w:rPr>
        <w:t xml:space="preserve"> episodes that are eligible for the paediatric adjustment</w:t>
      </w:r>
      <w:r>
        <w:rPr>
          <w:rFonts w:cs="Arial"/>
          <w:i/>
          <w:szCs w:val="20"/>
        </w:rPr>
        <w:t>.</w:t>
      </w:r>
      <w:r w:rsidRPr="00063E42">
        <w:rPr>
          <w:rFonts w:cs="Arial"/>
          <w:szCs w:val="20"/>
        </w:rPr>
        <w:t xml:space="preserve"> These are episodes that:</w:t>
      </w:r>
      <w:bookmarkEnd w:id="51"/>
    </w:p>
    <w:p w:rsidR="00460371" w:rsidRPr="005C56B4" w:rsidRDefault="00460371" w:rsidP="00C245E0">
      <w:pPr>
        <w:pStyle w:val="ListParagraph"/>
        <w:numPr>
          <w:ilvl w:val="1"/>
          <w:numId w:val="49"/>
        </w:numPr>
        <w:tabs>
          <w:tab w:val="left" w:pos="1162"/>
        </w:tabs>
        <w:spacing w:before="80" w:after="0"/>
        <w:ind w:left="1434" w:hanging="357"/>
        <w:rPr>
          <w:rFonts w:cs="Arial"/>
          <w:szCs w:val="20"/>
        </w:rPr>
      </w:pPr>
      <w:r w:rsidRPr="005C56B4">
        <w:rPr>
          <w:rFonts w:cs="Arial"/>
          <w:szCs w:val="20"/>
        </w:rPr>
        <w:t xml:space="preserve">Occur in </w:t>
      </w:r>
      <w:r>
        <w:rPr>
          <w:rFonts w:cs="Arial"/>
          <w:szCs w:val="20"/>
        </w:rPr>
        <w:t xml:space="preserve">establishments </w:t>
      </w:r>
      <w:r w:rsidRPr="005C56B4">
        <w:rPr>
          <w:rFonts w:cs="Arial"/>
          <w:szCs w:val="20"/>
        </w:rPr>
        <w:t xml:space="preserve">identified as </w:t>
      </w:r>
      <w:r>
        <w:rPr>
          <w:rFonts w:cs="Arial"/>
          <w:szCs w:val="20"/>
        </w:rPr>
        <w:t xml:space="preserve">delivering </w:t>
      </w:r>
      <w:r w:rsidRPr="005C56B4">
        <w:rPr>
          <w:rFonts w:cs="Arial"/>
          <w:szCs w:val="20"/>
        </w:rPr>
        <w:t>specialised paediatric service</w:t>
      </w:r>
      <w:r>
        <w:rPr>
          <w:rFonts w:cs="Arial"/>
          <w:szCs w:val="20"/>
        </w:rPr>
        <w:t>s (</w:t>
      </w:r>
      <w:r w:rsidRPr="005C56B4">
        <w:rPr>
          <w:rFonts w:cs="Arial"/>
          <w:szCs w:val="20"/>
        </w:rPr>
        <w:t>listed in</w:t>
      </w:r>
      <w:r w:rsidR="00FD1DA3">
        <w:rPr>
          <w:rFonts w:cs="Arial"/>
          <w:szCs w:val="20"/>
        </w:rPr>
        <w:t xml:space="preserve"> Appendix </w:t>
      </w:r>
      <w:r w:rsidR="00770EA2">
        <w:rPr>
          <w:rFonts w:cs="Arial"/>
          <w:szCs w:val="20"/>
        </w:rPr>
        <w:t>E</w:t>
      </w:r>
      <w:r w:rsidR="00770EA2" w:rsidRPr="005C56B4">
        <w:rPr>
          <w:rFonts w:cs="Arial"/>
          <w:szCs w:val="20"/>
        </w:rPr>
        <w:t xml:space="preserve"> </w:t>
      </w:r>
      <w:r w:rsidRPr="005C56B4">
        <w:rPr>
          <w:rFonts w:cs="Arial"/>
          <w:szCs w:val="20"/>
        </w:rPr>
        <w:t xml:space="preserve">the </w:t>
      </w:r>
      <w:r w:rsidR="00FD1DA3" w:rsidRPr="00B3571F">
        <w:rPr>
          <w:rFonts w:cs="Arial"/>
          <w:szCs w:val="20"/>
        </w:rPr>
        <w:t>NEP15 Determination</w:t>
      </w:r>
      <w:r w:rsidRPr="00B3571F">
        <w:rPr>
          <w:rFonts w:cs="Arial"/>
          <w:szCs w:val="20"/>
        </w:rPr>
        <w:t>)</w:t>
      </w:r>
      <w:r w:rsidR="0041687B" w:rsidRPr="00B3571F">
        <w:rPr>
          <w:rFonts w:cs="Arial"/>
          <w:szCs w:val="20"/>
        </w:rPr>
        <w:t>;</w:t>
      </w:r>
      <w:r w:rsidRPr="005C56B4">
        <w:rPr>
          <w:rFonts w:cs="Arial"/>
          <w:szCs w:val="20"/>
        </w:rPr>
        <w:t xml:space="preserve"> </w:t>
      </w:r>
    </w:p>
    <w:p w:rsidR="00460371" w:rsidRPr="005C56B4" w:rsidRDefault="00460371" w:rsidP="00C245E0">
      <w:pPr>
        <w:pStyle w:val="ListParagraph"/>
        <w:numPr>
          <w:ilvl w:val="1"/>
          <w:numId w:val="49"/>
        </w:numPr>
        <w:tabs>
          <w:tab w:val="left" w:pos="1162"/>
        </w:tabs>
        <w:spacing w:before="80" w:after="0"/>
        <w:ind w:left="1434" w:hanging="357"/>
        <w:rPr>
          <w:rFonts w:cs="Arial"/>
          <w:szCs w:val="20"/>
        </w:rPr>
      </w:pPr>
      <w:r w:rsidRPr="005C56B4">
        <w:rPr>
          <w:rFonts w:cs="Arial"/>
          <w:szCs w:val="20"/>
        </w:rPr>
        <w:t xml:space="preserve">Have an AR-DRG which is not within </w:t>
      </w:r>
      <w:r w:rsidR="000A513F">
        <w:rPr>
          <w:rFonts w:cs="Arial"/>
          <w:szCs w:val="20"/>
        </w:rPr>
        <w:t>MDC</w:t>
      </w:r>
      <w:r w:rsidRPr="005C56B4">
        <w:rPr>
          <w:rFonts w:cs="Arial"/>
          <w:szCs w:val="20"/>
        </w:rPr>
        <w:t xml:space="preserve"> 15 </w:t>
      </w:r>
      <w:r>
        <w:rPr>
          <w:rFonts w:cs="Arial"/>
          <w:szCs w:val="20"/>
        </w:rPr>
        <w:t>(</w:t>
      </w:r>
      <w:r w:rsidRPr="005C56B4">
        <w:rPr>
          <w:rFonts w:cs="Arial"/>
          <w:szCs w:val="20"/>
        </w:rPr>
        <w:t>Newborns and other neonates</w:t>
      </w:r>
      <w:r>
        <w:rPr>
          <w:rFonts w:cs="Arial"/>
          <w:szCs w:val="20"/>
        </w:rPr>
        <w:t>)</w:t>
      </w:r>
      <w:r w:rsidR="0041687B">
        <w:rPr>
          <w:rFonts w:cs="Arial"/>
          <w:szCs w:val="20"/>
        </w:rPr>
        <w:t>; and</w:t>
      </w:r>
    </w:p>
    <w:p w:rsidR="00460371" w:rsidRPr="005C56B4" w:rsidRDefault="00460371" w:rsidP="00C245E0">
      <w:pPr>
        <w:pStyle w:val="ListParagraph"/>
        <w:numPr>
          <w:ilvl w:val="1"/>
          <w:numId w:val="49"/>
        </w:numPr>
        <w:tabs>
          <w:tab w:val="left" w:pos="1162"/>
        </w:tabs>
        <w:spacing w:before="80" w:after="0"/>
        <w:ind w:left="1434" w:hanging="357"/>
        <w:rPr>
          <w:rFonts w:cs="Arial"/>
          <w:szCs w:val="20"/>
        </w:rPr>
      </w:pPr>
      <w:r>
        <w:rPr>
          <w:rFonts w:cs="Arial"/>
          <w:szCs w:val="20"/>
        </w:rPr>
        <w:t xml:space="preserve">Have </w:t>
      </w:r>
      <w:r w:rsidRPr="005C56B4">
        <w:rPr>
          <w:rFonts w:cs="Arial"/>
          <w:szCs w:val="20"/>
        </w:rPr>
        <w:t xml:space="preserve">patient </w:t>
      </w:r>
      <w:r>
        <w:rPr>
          <w:rFonts w:cs="Arial"/>
          <w:szCs w:val="20"/>
        </w:rPr>
        <w:t xml:space="preserve">age </w:t>
      </w:r>
      <w:r w:rsidRPr="005C56B4">
        <w:rPr>
          <w:rFonts w:cs="Arial"/>
          <w:szCs w:val="20"/>
        </w:rPr>
        <w:t xml:space="preserve">at admission </w:t>
      </w:r>
      <w:r>
        <w:rPr>
          <w:rFonts w:cs="Arial"/>
          <w:szCs w:val="20"/>
        </w:rPr>
        <w:t xml:space="preserve">of </w:t>
      </w:r>
      <w:r w:rsidRPr="005C56B4">
        <w:rPr>
          <w:rFonts w:cs="Arial"/>
          <w:szCs w:val="20"/>
        </w:rPr>
        <w:t>1</w:t>
      </w:r>
      <w:r w:rsidR="00E74059">
        <w:rPr>
          <w:rFonts w:cs="Arial"/>
          <w:szCs w:val="20"/>
        </w:rPr>
        <w:t>7</w:t>
      </w:r>
      <w:r w:rsidRPr="005C56B4">
        <w:rPr>
          <w:rFonts w:cs="Arial"/>
          <w:szCs w:val="20"/>
        </w:rPr>
        <w:t xml:space="preserve"> years or less. </w:t>
      </w:r>
    </w:p>
    <w:p w:rsidR="00460371" w:rsidRDefault="00460371" w:rsidP="00C245E0">
      <w:pPr>
        <w:pStyle w:val="ListParagraph"/>
        <w:numPr>
          <w:ilvl w:val="0"/>
          <w:numId w:val="49"/>
        </w:numPr>
        <w:tabs>
          <w:tab w:val="left" w:pos="1162"/>
        </w:tabs>
        <w:spacing w:before="80" w:after="0"/>
        <w:ind w:left="714" w:hanging="357"/>
        <w:rPr>
          <w:rFonts w:cs="Arial"/>
          <w:i/>
          <w:szCs w:val="20"/>
        </w:rPr>
      </w:pPr>
      <w:r>
        <w:rPr>
          <w:rFonts w:cs="Arial"/>
          <w:i/>
          <w:szCs w:val="20"/>
        </w:rPr>
        <w:t>Flagging episodes that are eligible for the specialist psychiatric age adjustment.</w:t>
      </w:r>
      <w:r w:rsidRPr="00063E42">
        <w:rPr>
          <w:rFonts w:cs="Arial"/>
          <w:szCs w:val="20"/>
        </w:rPr>
        <w:t xml:space="preserve"> These are episodes that have patient psychiatric care days and fall within the age categories specific to the adjustment</w:t>
      </w:r>
      <w:r>
        <w:rPr>
          <w:rFonts w:cs="Arial"/>
          <w:szCs w:val="20"/>
        </w:rPr>
        <w:t xml:space="preserve"> (see Section </w:t>
      </w:r>
      <w:r>
        <w:rPr>
          <w:rFonts w:cs="Arial"/>
          <w:szCs w:val="20"/>
        </w:rPr>
        <w:fldChar w:fldCharType="begin"/>
      </w:r>
      <w:r>
        <w:rPr>
          <w:rFonts w:cs="Arial"/>
          <w:szCs w:val="20"/>
        </w:rPr>
        <w:instrText xml:space="preserve"> REF _Ref342306421 \r \h </w:instrText>
      </w:r>
      <w:r w:rsidR="00AD4FFC">
        <w:rPr>
          <w:rFonts w:cs="Arial"/>
          <w:szCs w:val="20"/>
        </w:rPr>
        <w:instrText xml:space="preserve"> \* MERGEFORMAT </w:instrText>
      </w:r>
      <w:r>
        <w:rPr>
          <w:rFonts w:cs="Arial"/>
          <w:szCs w:val="20"/>
        </w:rPr>
      </w:r>
      <w:r>
        <w:rPr>
          <w:rFonts w:cs="Arial"/>
          <w:szCs w:val="20"/>
        </w:rPr>
        <w:fldChar w:fldCharType="separate"/>
      </w:r>
      <w:r w:rsidR="00915776">
        <w:rPr>
          <w:rFonts w:cs="Arial"/>
          <w:szCs w:val="20"/>
        </w:rPr>
        <w:t>3</w:t>
      </w:r>
      <w:r>
        <w:rPr>
          <w:rFonts w:cs="Arial"/>
          <w:szCs w:val="20"/>
        </w:rPr>
        <w:fldChar w:fldCharType="end"/>
      </w:r>
      <w:r>
        <w:rPr>
          <w:rFonts w:cs="Arial"/>
          <w:szCs w:val="20"/>
        </w:rPr>
        <w:t>)</w:t>
      </w:r>
      <w:r w:rsidRPr="00063E42">
        <w:rPr>
          <w:rFonts w:cs="Arial"/>
          <w:szCs w:val="20"/>
        </w:rPr>
        <w:t>.</w:t>
      </w:r>
      <w:r>
        <w:rPr>
          <w:rFonts w:cs="Arial"/>
          <w:i/>
          <w:szCs w:val="20"/>
        </w:rPr>
        <w:t xml:space="preserve"> </w:t>
      </w:r>
      <w:r w:rsidRPr="00025791">
        <w:rPr>
          <w:rFonts w:cs="Arial"/>
          <w:szCs w:val="20"/>
        </w:rPr>
        <w:t>T</w:t>
      </w:r>
      <w:r w:rsidRPr="007508EE">
        <w:rPr>
          <w:rFonts w:cs="Arial"/>
          <w:szCs w:val="20"/>
        </w:rPr>
        <w:t xml:space="preserve">hese episodes together with all the episodes in MDCs 19 and 20 (Mental </w:t>
      </w:r>
      <w:r>
        <w:rPr>
          <w:rFonts w:cs="Arial"/>
          <w:szCs w:val="20"/>
        </w:rPr>
        <w:t>D</w:t>
      </w:r>
      <w:r w:rsidRPr="007508EE">
        <w:rPr>
          <w:rFonts w:cs="Arial"/>
          <w:szCs w:val="20"/>
        </w:rPr>
        <w:t xml:space="preserve">iseases and </w:t>
      </w:r>
      <w:r>
        <w:rPr>
          <w:rFonts w:cs="Arial"/>
          <w:szCs w:val="20"/>
        </w:rPr>
        <w:t>D</w:t>
      </w:r>
      <w:r w:rsidRPr="007508EE">
        <w:rPr>
          <w:rFonts w:cs="Arial"/>
          <w:szCs w:val="20"/>
        </w:rPr>
        <w:t>isorders</w:t>
      </w:r>
      <w:r>
        <w:rPr>
          <w:rFonts w:cs="Arial"/>
          <w:szCs w:val="20"/>
        </w:rPr>
        <w:t>,</w:t>
      </w:r>
      <w:r w:rsidRPr="007508EE">
        <w:rPr>
          <w:rFonts w:cs="Arial"/>
          <w:szCs w:val="20"/>
        </w:rPr>
        <w:t xml:space="preserve"> and Alcohol/</w:t>
      </w:r>
      <w:r>
        <w:rPr>
          <w:rFonts w:cs="Arial"/>
          <w:szCs w:val="20"/>
        </w:rPr>
        <w:t>D</w:t>
      </w:r>
      <w:r w:rsidRPr="007508EE">
        <w:rPr>
          <w:rFonts w:cs="Arial"/>
          <w:szCs w:val="20"/>
        </w:rPr>
        <w:t xml:space="preserve">rug </w:t>
      </w:r>
      <w:r>
        <w:rPr>
          <w:rFonts w:cs="Arial"/>
          <w:szCs w:val="20"/>
        </w:rPr>
        <w:t>U</w:t>
      </w:r>
      <w:r w:rsidRPr="007508EE">
        <w:rPr>
          <w:rFonts w:cs="Arial"/>
          <w:szCs w:val="20"/>
        </w:rPr>
        <w:t xml:space="preserve">se and </w:t>
      </w:r>
      <w:r>
        <w:rPr>
          <w:rFonts w:cs="Arial"/>
          <w:szCs w:val="20"/>
        </w:rPr>
        <w:t>A</w:t>
      </w:r>
      <w:r w:rsidRPr="007508EE">
        <w:rPr>
          <w:rFonts w:cs="Arial"/>
          <w:szCs w:val="20"/>
        </w:rPr>
        <w:t>lcohol/</w:t>
      </w:r>
      <w:r>
        <w:rPr>
          <w:rFonts w:cs="Arial"/>
          <w:szCs w:val="20"/>
        </w:rPr>
        <w:t>D</w:t>
      </w:r>
      <w:r w:rsidRPr="007508EE">
        <w:rPr>
          <w:rFonts w:cs="Arial"/>
          <w:szCs w:val="20"/>
        </w:rPr>
        <w:t xml:space="preserve">rug </w:t>
      </w:r>
      <w:r>
        <w:rPr>
          <w:rFonts w:cs="Arial"/>
          <w:szCs w:val="20"/>
        </w:rPr>
        <w:t>I</w:t>
      </w:r>
      <w:r w:rsidRPr="007508EE">
        <w:rPr>
          <w:rFonts w:cs="Arial"/>
          <w:szCs w:val="20"/>
        </w:rPr>
        <w:t xml:space="preserve">nduced </w:t>
      </w:r>
      <w:r>
        <w:rPr>
          <w:rFonts w:cs="Arial"/>
          <w:szCs w:val="20"/>
        </w:rPr>
        <w:t>O</w:t>
      </w:r>
      <w:r w:rsidRPr="007508EE">
        <w:rPr>
          <w:rFonts w:cs="Arial"/>
          <w:szCs w:val="20"/>
        </w:rPr>
        <w:t xml:space="preserve">rganic </w:t>
      </w:r>
      <w:r>
        <w:rPr>
          <w:rFonts w:cs="Arial"/>
          <w:szCs w:val="20"/>
        </w:rPr>
        <w:t>M</w:t>
      </w:r>
      <w:r w:rsidRPr="007508EE">
        <w:rPr>
          <w:rFonts w:cs="Arial"/>
          <w:szCs w:val="20"/>
        </w:rPr>
        <w:t xml:space="preserve">ental </w:t>
      </w:r>
      <w:r>
        <w:rPr>
          <w:rFonts w:cs="Arial"/>
          <w:szCs w:val="20"/>
        </w:rPr>
        <w:t>D</w:t>
      </w:r>
      <w:r w:rsidRPr="007508EE">
        <w:rPr>
          <w:rFonts w:cs="Arial"/>
          <w:szCs w:val="20"/>
        </w:rPr>
        <w:t xml:space="preserve">isorders respectively) </w:t>
      </w:r>
      <w:r>
        <w:rPr>
          <w:rFonts w:cs="Arial"/>
          <w:szCs w:val="20"/>
        </w:rPr>
        <w:t xml:space="preserve">are considered part of the mental health model and are </w:t>
      </w:r>
      <w:r w:rsidRPr="007508EE">
        <w:rPr>
          <w:rFonts w:cs="Arial"/>
          <w:szCs w:val="20"/>
        </w:rPr>
        <w:t xml:space="preserve">explained in </w:t>
      </w:r>
      <w:r w:rsidRPr="00DD5F72">
        <w:rPr>
          <w:rFonts w:cs="Arial"/>
          <w:szCs w:val="20"/>
        </w:rPr>
        <w:t>S</w:t>
      </w:r>
      <w:r>
        <w:rPr>
          <w:rFonts w:cs="Arial"/>
          <w:szCs w:val="20"/>
        </w:rPr>
        <w:t>ec</w:t>
      </w:r>
      <w:r w:rsidRPr="00DD5F72">
        <w:rPr>
          <w:rFonts w:cs="Arial"/>
          <w:szCs w:val="20"/>
        </w:rPr>
        <w:t xml:space="preserve">tion </w:t>
      </w:r>
      <w:r w:rsidRPr="00DD5F72">
        <w:rPr>
          <w:rFonts w:cs="Arial"/>
          <w:szCs w:val="20"/>
        </w:rPr>
        <w:fldChar w:fldCharType="begin"/>
      </w:r>
      <w:r w:rsidRPr="00DD5F72">
        <w:rPr>
          <w:rFonts w:cs="Arial"/>
          <w:szCs w:val="20"/>
        </w:rPr>
        <w:instrText xml:space="preserve"> REF _Ref342306421 \r \h  \* MERGEFORMAT </w:instrText>
      </w:r>
      <w:r w:rsidRPr="00DD5F72">
        <w:rPr>
          <w:rFonts w:cs="Arial"/>
          <w:szCs w:val="20"/>
        </w:rPr>
      </w:r>
      <w:r w:rsidRPr="00DD5F72">
        <w:rPr>
          <w:rFonts w:cs="Arial"/>
          <w:szCs w:val="20"/>
        </w:rPr>
        <w:fldChar w:fldCharType="separate"/>
      </w:r>
      <w:r w:rsidR="00915776">
        <w:rPr>
          <w:rFonts w:cs="Arial"/>
          <w:szCs w:val="20"/>
        </w:rPr>
        <w:t>3</w:t>
      </w:r>
      <w:r w:rsidRPr="00DD5F72">
        <w:rPr>
          <w:rFonts w:cs="Arial"/>
          <w:szCs w:val="20"/>
        </w:rPr>
        <w:fldChar w:fldCharType="end"/>
      </w:r>
      <w:r w:rsidRPr="00DD5F72">
        <w:rPr>
          <w:rFonts w:cs="Arial"/>
          <w:szCs w:val="20"/>
        </w:rPr>
        <w:t>.</w:t>
      </w:r>
    </w:p>
    <w:p w:rsidR="00460371" w:rsidRPr="005C56B4" w:rsidRDefault="00460371" w:rsidP="00C245E0">
      <w:pPr>
        <w:pStyle w:val="ListParagraph"/>
        <w:numPr>
          <w:ilvl w:val="0"/>
          <w:numId w:val="49"/>
        </w:numPr>
        <w:tabs>
          <w:tab w:val="left" w:pos="1162"/>
        </w:tabs>
        <w:spacing w:before="80" w:after="0"/>
        <w:ind w:left="714" w:hanging="357"/>
        <w:rPr>
          <w:rFonts w:cs="Arial"/>
          <w:szCs w:val="20"/>
        </w:rPr>
      </w:pPr>
      <w:r w:rsidRPr="005C56B4">
        <w:rPr>
          <w:rFonts w:cs="Arial"/>
          <w:i/>
          <w:szCs w:val="20"/>
        </w:rPr>
        <w:t>Flag</w:t>
      </w:r>
      <w:r>
        <w:rPr>
          <w:rFonts w:cs="Arial"/>
          <w:i/>
          <w:szCs w:val="20"/>
        </w:rPr>
        <w:t>ging</w:t>
      </w:r>
      <w:r w:rsidRPr="005C56B4">
        <w:rPr>
          <w:rFonts w:cs="Arial"/>
          <w:i/>
          <w:szCs w:val="20"/>
        </w:rPr>
        <w:t xml:space="preserve"> episodes that are eligible for the </w:t>
      </w:r>
      <w:r>
        <w:rPr>
          <w:rFonts w:cs="Arial"/>
          <w:i/>
          <w:szCs w:val="20"/>
        </w:rPr>
        <w:t>i</w:t>
      </w:r>
      <w:r w:rsidRPr="005C56B4">
        <w:rPr>
          <w:rFonts w:cs="Arial"/>
          <w:i/>
          <w:szCs w:val="20"/>
        </w:rPr>
        <w:t xml:space="preserve">ndigenous </w:t>
      </w:r>
      <w:r>
        <w:rPr>
          <w:rFonts w:cs="Arial"/>
          <w:i/>
          <w:szCs w:val="20"/>
        </w:rPr>
        <w:t>a</w:t>
      </w:r>
      <w:r w:rsidRPr="005C56B4">
        <w:rPr>
          <w:rFonts w:cs="Arial"/>
          <w:i/>
          <w:szCs w:val="20"/>
        </w:rPr>
        <w:t>djustment</w:t>
      </w:r>
      <w:r>
        <w:rPr>
          <w:rFonts w:cs="Arial"/>
          <w:i/>
          <w:szCs w:val="20"/>
        </w:rPr>
        <w:t xml:space="preserve">. </w:t>
      </w:r>
      <w:r w:rsidRPr="00063E42">
        <w:rPr>
          <w:rFonts w:cs="Arial"/>
          <w:szCs w:val="20"/>
        </w:rPr>
        <w:t>These are episodes with indigenous status</w:t>
      </w:r>
      <w:r w:rsidRPr="00063E42">
        <w:rPr>
          <w:rFonts w:cs="Arial"/>
          <w:szCs w:val="20"/>
          <w:vertAlign w:val="superscript"/>
        </w:rPr>
        <w:footnoteReference w:id="8"/>
      </w:r>
      <w:r w:rsidRPr="00063E42">
        <w:rPr>
          <w:rFonts w:cs="Arial"/>
          <w:szCs w:val="20"/>
        </w:rPr>
        <w:t xml:space="preserve"> of</w:t>
      </w:r>
      <w:r>
        <w:rPr>
          <w:rFonts w:cs="Arial"/>
          <w:szCs w:val="20"/>
        </w:rPr>
        <w:t xml:space="preserve"> Aboriginal and/or </w:t>
      </w:r>
      <w:r w:rsidRPr="005C56B4">
        <w:rPr>
          <w:rFonts w:cs="Arial"/>
          <w:szCs w:val="20"/>
        </w:rPr>
        <w:t>Torres Strait Islander origin</w:t>
      </w:r>
      <w:r>
        <w:rPr>
          <w:rFonts w:cs="Arial"/>
          <w:szCs w:val="20"/>
        </w:rPr>
        <w:t>.</w:t>
      </w:r>
    </w:p>
    <w:p w:rsidR="00460371" w:rsidRPr="005C56B4" w:rsidRDefault="00460371" w:rsidP="00C245E0">
      <w:pPr>
        <w:pStyle w:val="ListParagraph"/>
        <w:numPr>
          <w:ilvl w:val="0"/>
          <w:numId w:val="49"/>
        </w:numPr>
        <w:tabs>
          <w:tab w:val="left" w:pos="1162"/>
        </w:tabs>
        <w:spacing w:before="80" w:after="0"/>
        <w:ind w:left="714" w:hanging="357"/>
        <w:rPr>
          <w:rFonts w:cs="Arial"/>
          <w:i/>
          <w:szCs w:val="20"/>
        </w:rPr>
      </w:pPr>
      <w:r w:rsidRPr="005C56B4">
        <w:rPr>
          <w:rFonts w:cs="Arial"/>
          <w:i/>
          <w:szCs w:val="20"/>
        </w:rPr>
        <w:t>Fla</w:t>
      </w:r>
      <w:r w:rsidR="00717DB3">
        <w:rPr>
          <w:rFonts w:cs="Arial"/>
          <w:i/>
          <w:szCs w:val="20"/>
        </w:rPr>
        <w:t>g</w:t>
      </w:r>
      <w:r>
        <w:rPr>
          <w:rFonts w:cs="Arial"/>
          <w:i/>
          <w:szCs w:val="20"/>
        </w:rPr>
        <w:t>ging</w:t>
      </w:r>
      <w:r w:rsidRPr="005C56B4">
        <w:rPr>
          <w:rFonts w:cs="Arial"/>
          <w:i/>
          <w:szCs w:val="20"/>
        </w:rPr>
        <w:t xml:space="preserve"> episodes that are eligible for the </w:t>
      </w:r>
      <w:r>
        <w:rPr>
          <w:rFonts w:cs="Arial"/>
          <w:i/>
          <w:szCs w:val="20"/>
        </w:rPr>
        <w:t>r</w:t>
      </w:r>
      <w:r w:rsidRPr="005C56B4">
        <w:rPr>
          <w:rFonts w:cs="Arial"/>
          <w:i/>
          <w:szCs w:val="20"/>
        </w:rPr>
        <w:t>emote</w:t>
      </w:r>
      <w:r>
        <w:rPr>
          <w:rFonts w:cs="Arial"/>
          <w:i/>
          <w:szCs w:val="20"/>
        </w:rPr>
        <w:t>ness</w:t>
      </w:r>
      <w:r w:rsidRPr="005C56B4">
        <w:rPr>
          <w:rFonts w:cs="Arial"/>
          <w:i/>
          <w:szCs w:val="20"/>
        </w:rPr>
        <w:t xml:space="preserve"> adjustment</w:t>
      </w:r>
      <w:r>
        <w:rPr>
          <w:rFonts w:cs="Arial"/>
          <w:i/>
          <w:szCs w:val="20"/>
        </w:rPr>
        <w:t>.</w:t>
      </w:r>
      <w:r w:rsidRPr="00063E42">
        <w:rPr>
          <w:rFonts w:cs="Arial"/>
          <w:szCs w:val="20"/>
        </w:rPr>
        <w:t xml:space="preserve"> These are episodes where the patient’s place of usual residence</w:t>
      </w:r>
      <w:r>
        <w:rPr>
          <w:rFonts w:cs="Arial"/>
          <w:szCs w:val="20"/>
          <w:vertAlign w:val="superscript"/>
        </w:rPr>
        <w:t xml:space="preserve"> </w:t>
      </w:r>
      <w:r w:rsidRPr="00063E42">
        <w:rPr>
          <w:rFonts w:cs="Arial"/>
          <w:szCs w:val="20"/>
        </w:rPr>
        <w:t>has been assigned to a remoteness area</w:t>
      </w:r>
      <w:r w:rsidRPr="00063E42">
        <w:rPr>
          <w:rFonts w:cs="Arial"/>
          <w:szCs w:val="20"/>
          <w:vertAlign w:val="superscript"/>
        </w:rPr>
        <w:footnoteReference w:id="9"/>
      </w:r>
      <w:r w:rsidRPr="00063E42">
        <w:rPr>
          <w:rFonts w:cs="Arial"/>
          <w:szCs w:val="20"/>
          <w:vertAlign w:val="superscript"/>
        </w:rPr>
        <w:t xml:space="preserve"> </w:t>
      </w:r>
      <w:r w:rsidRPr="00063E42">
        <w:rPr>
          <w:rFonts w:cs="Arial"/>
          <w:szCs w:val="20"/>
        </w:rPr>
        <w:t>of:</w:t>
      </w:r>
    </w:p>
    <w:p w:rsidR="00460371" w:rsidRPr="005C56B4" w:rsidRDefault="00460371" w:rsidP="00C245E0">
      <w:pPr>
        <w:pStyle w:val="ListParagraph"/>
        <w:numPr>
          <w:ilvl w:val="1"/>
          <w:numId w:val="49"/>
        </w:numPr>
        <w:tabs>
          <w:tab w:val="left" w:pos="1162"/>
        </w:tabs>
        <w:spacing w:before="80" w:after="0"/>
        <w:ind w:left="1434" w:hanging="357"/>
        <w:rPr>
          <w:rFonts w:cs="Arial"/>
          <w:szCs w:val="20"/>
        </w:rPr>
      </w:pPr>
      <w:r w:rsidRPr="005C56B4">
        <w:rPr>
          <w:rFonts w:cs="Arial"/>
          <w:szCs w:val="20"/>
        </w:rPr>
        <w:t xml:space="preserve">RA2 - Outer </w:t>
      </w:r>
      <w:r>
        <w:rPr>
          <w:rFonts w:cs="Arial"/>
          <w:szCs w:val="20"/>
        </w:rPr>
        <w:t>R</w:t>
      </w:r>
      <w:r w:rsidRPr="005C56B4">
        <w:rPr>
          <w:rFonts w:cs="Arial"/>
          <w:szCs w:val="20"/>
        </w:rPr>
        <w:t>egional Australia</w:t>
      </w:r>
      <w:r>
        <w:rPr>
          <w:rFonts w:cs="Arial"/>
          <w:szCs w:val="20"/>
        </w:rPr>
        <w:t>;</w:t>
      </w:r>
    </w:p>
    <w:p w:rsidR="00460371" w:rsidRPr="005C56B4" w:rsidRDefault="00460371" w:rsidP="00C245E0">
      <w:pPr>
        <w:pStyle w:val="ListParagraph"/>
        <w:numPr>
          <w:ilvl w:val="1"/>
          <w:numId w:val="49"/>
        </w:numPr>
        <w:tabs>
          <w:tab w:val="left" w:pos="1162"/>
        </w:tabs>
        <w:spacing w:before="80" w:after="0"/>
        <w:ind w:left="1434" w:hanging="357"/>
        <w:rPr>
          <w:rFonts w:cs="Arial"/>
          <w:szCs w:val="20"/>
        </w:rPr>
      </w:pPr>
      <w:r w:rsidRPr="005C56B4">
        <w:rPr>
          <w:rFonts w:cs="Arial"/>
          <w:szCs w:val="20"/>
        </w:rPr>
        <w:t>RA3 - Remote Australia</w:t>
      </w:r>
      <w:r>
        <w:rPr>
          <w:rFonts w:cs="Arial"/>
          <w:szCs w:val="20"/>
        </w:rPr>
        <w:t xml:space="preserve">; and </w:t>
      </w:r>
    </w:p>
    <w:p w:rsidR="00460371" w:rsidRPr="00F5701A" w:rsidRDefault="00460371" w:rsidP="00C245E0">
      <w:pPr>
        <w:pStyle w:val="ListParagraph"/>
        <w:numPr>
          <w:ilvl w:val="1"/>
          <w:numId w:val="49"/>
        </w:numPr>
        <w:tabs>
          <w:tab w:val="left" w:pos="1162"/>
        </w:tabs>
        <w:spacing w:before="80" w:after="0"/>
        <w:ind w:left="1434" w:hanging="357"/>
        <w:rPr>
          <w:rFonts w:cs="Arial"/>
          <w:szCs w:val="20"/>
        </w:rPr>
      </w:pPr>
      <w:r w:rsidRPr="005C56B4">
        <w:rPr>
          <w:rFonts w:cs="Arial"/>
          <w:szCs w:val="20"/>
        </w:rPr>
        <w:t xml:space="preserve">RA4 - Very </w:t>
      </w:r>
      <w:r>
        <w:rPr>
          <w:rFonts w:cs="Arial"/>
          <w:szCs w:val="20"/>
        </w:rPr>
        <w:t>R</w:t>
      </w:r>
      <w:r w:rsidRPr="005C56B4">
        <w:rPr>
          <w:rFonts w:cs="Arial"/>
          <w:szCs w:val="20"/>
        </w:rPr>
        <w:t>emote Australia</w:t>
      </w:r>
      <w:r>
        <w:rPr>
          <w:rFonts w:cs="Arial"/>
          <w:szCs w:val="20"/>
        </w:rPr>
        <w:t>.</w:t>
      </w:r>
    </w:p>
    <w:p w:rsidR="00460371" w:rsidRPr="005C56B4" w:rsidRDefault="00460371" w:rsidP="00AD4FFC">
      <w:pPr>
        <w:pStyle w:val="ListParagraph"/>
        <w:tabs>
          <w:tab w:val="left" w:pos="1162"/>
        </w:tabs>
        <w:spacing w:before="200"/>
        <w:rPr>
          <w:rFonts w:cs="Arial"/>
          <w:szCs w:val="20"/>
        </w:rPr>
      </w:pPr>
      <w:r w:rsidRPr="005C56B4">
        <w:rPr>
          <w:rFonts w:cs="Arial"/>
          <w:szCs w:val="20"/>
        </w:rPr>
        <w:lastRenderedPageBreak/>
        <w:t xml:space="preserve">Three flags are used: one for outer regional Australia, one for remote Australia and one for very remote Australia. The remoteness area of the usual residence of a patient </w:t>
      </w:r>
      <w:r>
        <w:rPr>
          <w:rFonts w:cs="Arial"/>
          <w:szCs w:val="20"/>
        </w:rPr>
        <w:t>is</w:t>
      </w:r>
      <w:r w:rsidRPr="005C56B4">
        <w:rPr>
          <w:rFonts w:cs="Arial"/>
          <w:szCs w:val="20"/>
        </w:rPr>
        <w:t xml:space="preserve"> determined using the following process:</w:t>
      </w:r>
    </w:p>
    <w:p w:rsidR="00460371" w:rsidRDefault="00460371" w:rsidP="00C245E0">
      <w:pPr>
        <w:pStyle w:val="ListParagraph"/>
        <w:numPr>
          <w:ilvl w:val="1"/>
          <w:numId w:val="49"/>
        </w:numPr>
        <w:tabs>
          <w:tab w:val="left" w:pos="1162"/>
        </w:tabs>
        <w:spacing w:before="80" w:after="0"/>
        <w:ind w:left="1434" w:hanging="357"/>
        <w:rPr>
          <w:rFonts w:cs="Arial"/>
          <w:szCs w:val="20"/>
        </w:rPr>
      </w:pPr>
      <w:r w:rsidRPr="00A477E6">
        <w:rPr>
          <w:rFonts w:cs="Arial"/>
          <w:szCs w:val="20"/>
        </w:rPr>
        <w:t xml:space="preserve">The patient’s postcode of usual residence </w:t>
      </w:r>
      <w:r>
        <w:rPr>
          <w:rFonts w:cs="Arial"/>
          <w:szCs w:val="20"/>
        </w:rPr>
        <w:t>is</w:t>
      </w:r>
      <w:r w:rsidRPr="00A477E6">
        <w:rPr>
          <w:rFonts w:cs="Arial"/>
          <w:szCs w:val="20"/>
        </w:rPr>
        <w:t xml:space="preserve"> mapped to remoteness areas (see Supplementary Table 1).</w:t>
      </w:r>
    </w:p>
    <w:p w:rsidR="00FF4DCF" w:rsidRPr="00D1048A" w:rsidRDefault="00FF4DCF" w:rsidP="00C245E0">
      <w:pPr>
        <w:pStyle w:val="ListParagraph"/>
        <w:numPr>
          <w:ilvl w:val="1"/>
          <w:numId w:val="49"/>
        </w:numPr>
        <w:tabs>
          <w:tab w:val="left" w:pos="1162"/>
        </w:tabs>
        <w:spacing w:before="80" w:after="0"/>
        <w:ind w:left="1434" w:hanging="357"/>
        <w:rPr>
          <w:rFonts w:cs="Arial"/>
          <w:szCs w:val="20"/>
        </w:rPr>
      </w:pPr>
      <w:r w:rsidRPr="00A477E6">
        <w:rPr>
          <w:rFonts w:cs="Arial"/>
          <w:szCs w:val="20"/>
        </w:rPr>
        <w:t xml:space="preserve">If the postcode </w:t>
      </w:r>
      <w:r>
        <w:rPr>
          <w:rFonts w:cs="Arial"/>
          <w:szCs w:val="20"/>
        </w:rPr>
        <w:t>is</w:t>
      </w:r>
      <w:r w:rsidRPr="00A477E6">
        <w:rPr>
          <w:rFonts w:cs="Arial"/>
          <w:szCs w:val="20"/>
        </w:rPr>
        <w:t xml:space="preserve"> missing o</w:t>
      </w:r>
      <w:r>
        <w:rPr>
          <w:rFonts w:cs="Arial"/>
          <w:szCs w:val="20"/>
        </w:rPr>
        <w:t>r invalid, then the supplied ASGS</w:t>
      </w:r>
      <w:r w:rsidRPr="00A477E6">
        <w:rPr>
          <w:rFonts w:cs="Arial"/>
          <w:szCs w:val="20"/>
        </w:rPr>
        <w:t xml:space="preserve"> code is used (see Supplementary Table 2).</w:t>
      </w:r>
    </w:p>
    <w:p w:rsidR="00FF4DCF" w:rsidRPr="00A477E6" w:rsidRDefault="00FF4DCF" w:rsidP="00C245E0">
      <w:pPr>
        <w:pStyle w:val="ListParagraph"/>
        <w:numPr>
          <w:ilvl w:val="1"/>
          <w:numId w:val="49"/>
        </w:numPr>
        <w:tabs>
          <w:tab w:val="left" w:pos="1162"/>
        </w:tabs>
        <w:spacing w:before="80" w:after="0"/>
        <w:ind w:left="1434" w:hanging="357"/>
        <w:rPr>
          <w:rFonts w:cs="Arial"/>
          <w:szCs w:val="20"/>
        </w:rPr>
      </w:pPr>
      <w:r w:rsidRPr="00A477E6">
        <w:rPr>
          <w:rFonts w:cs="Arial"/>
          <w:szCs w:val="20"/>
        </w:rPr>
        <w:t xml:space="preserve">If the </w:t>
      </w:r>
      <w:r>
        <w:rPr>
          <w:rFonts w:cs="Arial"/>
          <w:szCs w:val="20"/>
        </w:rPr>
        <w:t>supplied ASGS</w:t>
      </w:r>
      <w:r w:rsidRPr="00A477E6">
        <w:rPr>
          <w:rFonts w:cs="Arial"/>
          <w:szCs w:val="20"/>
        </w:rPr>
        <w:t xml:space="preserve"> code </w:t>
      </w:r>
      <w:r>
        <w:rPr>
          <w:rFonts w:cs="Arial"/>
          <w:szCs w:val="20"/>
        </w:rPr>
        <w:t>is</w:t>
      </w:r>
      <w:r w:rsidRPr="00A477E6">
        <w:rPr>
          <w:rFonts w:cs="Arial"/>
          <w:szCs w:val="20"/>
        </w:rPr>
        <w:t xml:space="preserve"> missing or invalid, then the supplied SLA code is used (see Supplementary Table </w:t>
      </w:r>
      <w:r>
        <w:rPr>
          <w:rFonts w:cs="Arial"/>
          <w:szCs w:val="20"/>
        </w:rPr>
        <w:t>3</w:t>
      </w:r>
      <w:r w:rsidRPr="00A477E6">
        <w:rPr>
          <w:rFonts w:cs="Arial"/>
          <w:szCs w:val="20"/>
        </w:rPr>
        <w:t>).</w:t>
      </w:r>
    </w:p>
    <w:p w:rsidR="00460371" w:rsidRPr="00E8709C" w:rsidRDefault="00460371" w:rsidP="00C245E0">
      <w:pPr>
        <w:pStyle w:val="ListParagraph"/>
        <w:numPr>
          <w:ilvl w:val="1"/>
          <w:numId w:val="49"/>
        </w:numPr>
        <w:tabs>
          <w:tab w:val="left" w:pos="1162"/>
        </w:tabs>
        <w:spacing w:before="80" w:after="0"/>
        <w:ind w:left="1434" w:hanging="357"/>
        <w:rPr>
          <w:rFonts w:cs="Arial"/>
          <w:szCs w:val="20"/>
        </w:rPr>
      </w:pPr>
      <w:r w:rsidRPr="00A477E6">
        <w:rPr>
          <w:rFonts w:cs="Arial"/>
          <w:szCs w:val="20"/>
        </w:rPr>
        <w:t xml:space="preserve">If the SLA code </w:t>
      </w:r>
      <w:r>
        <w:rPr>
          <w:rFonts w:cs="Arial"/>
          <w:szCs w:val="20"/>
        </w:rPr>
        <w:t>is</w:t>
      </w:r>
      <w:r w:rsidRPr="00A477E6">
        <w:rPr>
          <w:rFonts w:cs="Arial"/>
          <w:szCs w:val="20"/>
        </w:rPr>
        <w:t xml:space="preserve"> also missing or invalid, then the remoteness area of the hospital is used</w:t>
      </w:r>
      <w:r>
        <w:rPr>
          <w:rFonts w:cs="Arial"/>
          <w:szCs w:val="20"/>
        </w:rPr>
        <w:t xml:space="preserve">. </w:t>
      </w:r>
      <w:r w:rsidRPr="00A477E6">
        <w:rPr>
          <w:rFonts w:cs="Arial"/>
          <w:szCs w:val="20"/>
        </w:rPr>
        <w:t xml:space="preserve">The remoteness code of the hospital </w:t>
      </w:r>
      <w:r>
        <w:rPr>
          <w:rFonts w:cs="Arial"/>
          <w:szCs w:val="20"/>
        </w:rPr>
        <w:t xml:space="preserve">is </w:t>
      </w:r>
      <w:r w:rsidRPr="00A477E6">
        <w:rPr>
          <w:rFonts w:cs="Arial"/>
          <w:szCs w:val="20"/>
        </w:rPr>
        <w:t xml:space="preserve">based on the remoteness area of the ABS collection district within which the hospital </w:t>
      </w:r>
      <w:r>
        <w:rPr>
          <w:rFonts w:cs="Arial"/>
          <w:szCs w:val="20"/>
        </w:rPr>
        <w:t>i</w:t>
      </w:r>
      <w:r w:rsidRPr="00A477E6">
        <w:rPr>
          <w:rFonts w:cs="Arial"/>
          <w:szCs w:val="20"/>
        </w:rPr>
        <w:t>s located.</w:t>
      </w:r>
    </w:p>
    <w:p w:rsidR="00460371" w:rsidRPr="00B3571F" w:rsidRDefault="00460371" w:rsidP="00C245E0">
      <w:pPr>
        <w:pStyle w:val="ListParagraph"/>
        <w:numPr>
          <w:ilvl w:val="0"/>
          <w:numId w:val="49"/>
        </w:numPr>
        <w:tabs>
          <w:tab w:val="left" w:pos="1162"/>
        </w:tabs>
        <w:spacing w:before="120"/>
        <w:ind w:left="714" w:hanging="357"/>
        <w:rPr>
          <w:rFonts w:cs="Arial"/>
          <w:szCs w:val="20"/>
        </w:rPr>
      </w:pPr>
      <w:r w:rsidRPr="00CC41A9">
        <w:rPr>
          <w:rFonts w:cs="Arial"/>
          <w:i/>
          <w:szCs w:val="20"/>
        </w:rPr>
        <w:t>Flag</w:t>
      </w:r>
      <w:r>
        <w:rPr>
          <w:rFonts w:cs="Arial"/>
          <w:i/>
          <w:szCs w:val="20"/>
        </w:rPr>
        <w:t xml:space="preserve">ging </w:t>
      </w:r>
      <w:r w:rsidRPr="00CC41A9">
        <w:rPr>
          <w:rFonts w:cs="Arial"/>
          <w:i/>
          <w:szCs w:val="20"/>
        </w:rPr>
        <w:t>episodes that are eligible for the radiotherapy adjustment.</w:t>
      </w:r>
      <w:r>
        <w:rPr>
          <w:rFonts w:cs="Arial"/>
          <w:szCs w:val="20"/>
        </w:rPr>
        <w:t xml:space="preserve"> These are episodes where the patient is eligible if they have recorded a radiotherapy-related procedure as defined in </w:t>
      </w:r>
      <w:r w:rsidRPr="00FE1B33">
        <w:rPr>
          <w:rFonts w:cs="Arial"/>
          <w:szCs w:val="20"/>
        </w:rPr>
        <w:t>Appendix B</w:t>
      </w:r>
      <w:r>
        <w:rPr>
          <w:rFonts w:cs="Arial"/>
          <w:szCs w:val="20"/>
        </w:rPr>
        <w:t xml:space="preserve"> of </w:t>
      </w:r>
      <w:r w:rsidRPr="00B3571F">
        <w:rPr>
          <w:rFonts w:cs="Arial"/>
          <w:szCs w:val="20"/>
        </w:rPr>
        <w:t xml:space="preserve">the </w:t>
      </w:r>
      <w:r w:rsidR="00B94FB5" w:rsidRPr="00B3571F">
        <w:rPr>
          <w:rFonts w:cs="Arial"/>
          <w:szCs w:val="20"/>
        </w:rPr>
        <w:t>NEP15</w:t>
      </w:r>
      <w:r w:rsidRPr="00B3571F">
        <w:rPr>
          <w:rFonts w:cs="Arial"/>
          <w:szCs w:val="20"/>
        </w:rPr>
        <w:t xml:space="preserve"> Determination.</w:t>
      </w:r>
    </w:p>
    <w:p w:rsidR="00FD1DA3" w:rsidRPr="00B3571F" w:rsidRDefault="00FD1DA3" w:rsidP="00C245E0">
      <w:pPr>
        <w:pStyle w:val="ListParagraph"/>
        <w:numPr>
          <w:ilvl w:val="0"/>
          <w:numId w:val="49"/>
        </w:numPr>
        <w:tabs>
          <w:tab w:val="left" w:pos="1162"/>
        </w:tabs>
        <w:spacing w:before="120"/>
        <w:ind w:left="714" w:hanging="357"/>
        <w:rPr>
          <w:rFonts w:cs="Arial"/>
          <w:szCs w:val="20"/>
        </w:rPr>
      </w:pPr>
      <w:r w:rsidRPr="00B3571F">
        <w:rPr>
          <w:rFonts w:cs="Arial"/>
          <w:szCs w:val="20"/>
        </w:rPr>
        <w:t xml:space="preserve">Flagging episodes that are eligible for the dialysis adjustment. These are episodes where the patient is eligible if they </w:t>
      </w:r>
      <w:r w:rsidR="008B4D5E" w:rsidRPr="00B3571F">
        <w:rPr>
          <w:rFonts w:cs="Arial"/>
          <w:szCs w:val="20"/>
        </w:rPr>
        <w:t xml:space="preserve">are outside the specified dialysis </w:t>
      </w:r>
      <w:r w:rsidR="00D81721" w:rsidRPr="00B3571F">
        <w:rPr>
          <w:rFonts w:cs="Arial"/>
          <w:szCs w:val="20"/>
        </w:rPr>
        <w:t>AR-</w:t>
      </w:r>
      <w:r w:rsidR="008B4D5E" w:rsidRPr="00B3571F">
        <w:rPr>
          <w:rFonts w:cs="Arial"/>
          <w:szCs w:val="20"/>
        </w:rPr>
        <w:t>DRG</w:t>
      </w:r>
      <w:r w:rsidR="00D81721" w:rsidRPr="00B3571F">
        <w:rPr>
          <w:rFonts w:cs="Arial"/>
          <w:szCs w:val="20"/>
        </w:rPr>
        <w:t>s</w:t>
      </w:r>
      <w:r w:rsidR="008B4D5E" w:rsidRPr="00B3571F">
        <w:rPr>
          <w:rFonts w:cs="Arial"/>
          <w:szCs w:val="20"/>
        </w:rPr>
        <w:t xml:space="preserve"> L61Z and </w:t>
      </w:r>
      <w:r w:rsidR="00E74059" w:rsidRPr="00B3571F">
        <w:rPr>
          <w:rFonts w:cs="Arial"/>
          <w:szCs w:val="20"/>
        </w:rPr>
        <w:t xml:space="preserve">L68Z, and </w:t>
      </w:r>
      <w:r w:rsidRPr="00B3571F">
        <w:rPr>
          <w:rFonts w:cs="Arial"/>
          <w:szCs w:val="20"/>
        </w:rPr>
        <w:t>have recorded a dialysis-related procedure as defined in Appendix C of the NEP15 Determination.</w:t>
      </w:r>
    </w:p>
    <w:p w:rsidR="00460371" w:rsidRPr="007508EE" w:rsidRDefault="00460371" w:rsidP="00C245E0">
      <w:pPr>
        <w:pStyle w:val="ListParagraph"/>
        <w:numPr>
          <w:ilvl w:val="0"/>
          <w:numId w:val="49"/>
        </w:numPr>
        <w:tabs>
          <w:tab w:val="left" w:pos="1162"/>
        </w:tabs>
        <w:spacing w:before="120"/>
        <w:ind w:left="714" w:hanging="357"/>
        <w:rPr>
          <w:rFonts w:cs="Arial"/>
          <w:szCs w:val="20"/>
        </w:rPr>
      </w:pPr>
      <w:r w:rsidRPr="00B3571F">
        <w:rPr>
          <w:rFonts w:cs="Arial"/>
          <w:szCs w:val="20"/>
        </w:rPr>
        <w:t xml:space="preserve">Flagging episodes eligible for ICU adjustment. These are episodes that occur in hospitals identified by IHPA as eligible for ICU adjustment as defined in Appendix </w:t>
      </w:r>
      <w:r w:rsidR="00FE1B33" w:rsidRPr="00B3571F">
        <w:rPr>
          <w:rFonts w:cs="Arial"/>
          <w:szCs w:val="20"/>
        </w:rPr>
        <w:t xml:space="preserve">D </w:t>
      </w:r>
      <w:r w:rsidRPr="00B3571F">
        <w:rPr>
          <w:rFonts w:cs="Arial"/>
          <w:szCs w:val="20"/>
        </w:rPr>
        <w:t xml:space="preserve">of the </w:t>
      </w:r>
      <w:r w:rsidR="00B94FB5" w:rsidRPr="00B3571F">
        <w:rPr>
          <w:rFonts w:cs="Arial"/>
          <w:szCs w:val="20"/>
        </w:rPr>
        <w:t>NEP15</w:t>
      </w:r>
      <w:r w:rsidRPr="00B3571F">
        <w:rPr>
          <w:rFonts w:cs="Arial"/>
          <w:szCs w:val="20"/>
        </w:rPr>
        <w:t> Determination and have an AR</w:t>
      </w:r>
      <w:r w:rsidRPr="00B3571F">
        <w:rPr>
          <w:rFonts w:cs="Arial"/>
          <w:szCs w:val="20"/>
        </w:rPr>
        <w:noBreakHyphen/>
        <w:t>DRG not on the Bundled ICU list</w:t>
      </w:r>
      <w:r w:rsidR="00490245" w:rsidRPr="00B3571F">
        <w:rPr>
          <w:rFonts w:cs="Arial"/>
          <w:szCs w:val="20"/>
        </w:rPr>
        <w:t xml:space="preserve"> (</w:t>
      </w:r>
      <w:r w:rsidR="00D12D4B" w:rsidRPr="00B3571F">
        <w:rPr>
          <w:rFonts w:cs="Arial"/>
          <w:szCs w:val="20"/>
        </w:rPr>
        <w:t>i.e.</w:t>
      </w:r>
      <w:r w:rsidR="00FD1DA3" w:rsidRPr="00B3571F">
        <w:rPr>
          <w:rFonts w:cs="Arial"/>
          <w:szCs w:val="20"/>
        </w:rPr>
        <w:t xml:space="preserve"> not from MDC</w:t>
      </w:r>
      <w:r w:rsidR="000A513F" w:rsidRPr="00B3571F">
        <w:rPr>
          <w:rFonts w:cs="Arial"/>
          <w:szCs w:val="20"/>
        </w:rPr>
        <w:t xml:space="preserve"> </w:t>
      </w:r>
      <w:r w:rsidR="00FD1DA3" w:rsidRPr="00B3571F">
        <w:rPr>
          <w:rFonts w:cs="Arial"/>
          <w:szCs w:val="20"/>
        </w:rPr>
        <w:t>15 for newborns</w:t>
      </w:r>
      <w:r w:rsidR="00FD1DA3">
        <w:rPr>
          <w:rFonts w:cs="Arial"/>
          <w:szCs w:val="20"/>
        </w:rPr>
        <w:t xml:space="preserve"> and other neonates)</w:t>
      </w:r>
      <w:r w:rsidRPr="007508EE">
        <w:rPr>
          <w:rFonts w:cs="Arial"/>
          <w:szCs w:val="20"/>
        </w:rPr>
        <w:t>.</w:t>
      </w:r>
    </w:p>
    <w:p w:rsidR="00460371" w:rsidRPr="008878B0" w:rsidRDefault="00460371" w:rsidP="00C245E0">
      <w:pPr>
        <w:pStyle w:val="ListParagraph"/>
        <w:numPr>
          <w:ilvl w:val="0"/>
          <w:numId w:val="49"/>
        </w:numPr>
        <w:tabs>
          <w:tab w:val="left" w:pos="1162"/>
        </w:tabs>
        <w:spacing w:before="120"/>
        <w:rPr>
          <w:rFonts w:cs="Arial"/>
          <w:i/>
          <w:szCs w:val="20"/>
        </w:rPr>
      </w:pPr>
      <w:r w:rsidRPr="007508EE">
        <w:rPr>
          <w:rFonts w:cs="Arial"/>
          <w:i/>
          <w:szCs w:val="20"/>
        </w:rPr>
        <w:t>Flag</w:t>
      </w:r>
      <w:r>
        <w:rPr>
          <w:rFonts w:cs="Arial"/>
          <w:i/>
          <w:szCs w:val="20"/>
        </w:rPr>
        <w:t>ging</w:t>
      </w:r>
      <w:r w:rsidRPr="007508EE">
        <w:rPr>
          <w:rFonts w:cs="Arial"/>
          <w:i/>
          <w:szCs w:val="20"/>
        </w:rPr>
        <w:t xml:space="preserve"> private episodes. </w:t>
      </w:r>
      <w:r w:rsidRPr="007508EE">
        <w:rPr>
          <w:rFonts w:cs="Arial"/>
          <w:szCs w:val="20"/>
        </w:rPr>
        <w:t>These are episodes with a funding source</w:t>
      </w:r>
      <w:r w:rsidRPr="007508EE">
        <w:rPr>
          <w:rStyle w:val="FootnoteReference"/>
          <w:rFonts w:cs="Arial"/>
          <w:szCs w:val="20"/>
        </w:rPr>
        <w:footnoteReference w:id="10"/>
      </w:r>
      <w:r w:rsidRPr="007508EE">
        <w:rPr>
          <w:rFonts w:cs="Arial"/>
          <w:szCs w:val="20"/>
        </w:rPr>
        <w:t xml:space="preserve"> of </w:t>
      </w:r>
      <w:r>
        <w:rPr>
          <w:rFonts w:cs="Arial"/>
          <w:szCs w:val="20"/>
        </w:rPr>
        <w:t>‘</w:t>
      </w:r>
      <w:r w:rsidRPr="007508EE">
        <w:rPr>
          <w:rFonts w:cs="Arial"/>
          <w:szCs w:val="20"/>
        </w:rPr>
        <w:t>0</w:t>
      </w:r>
      <w:r w:rsidR="00DD7D45">
        <w:rPr>
          <w:rFonts w:cs="Arial"/>
          <w:szCs w:val="20"/>
        </w:rPr>
        <w:t>9</w:t>
      </w:r>
      <w:r w:rsidRPr="007508EE">
        <w:rPr>
          <w:rFonts w:cs="Arial"/>
          <w:szCs w:val="20"/>
        </w:rPr>
        <w:t xml:space="preserve"> Private health insurance’ or </w:t>
      </w:r>
      <w:r w:rsidR="00DD7D45">
        <w:rPr>
          <w:rFonts w:cs="Arial"/>
          <w:szCs w:val="20"/>
        </w:rPr>
        <w:t>‘1</w:t>
      </w:r>
      <w:r w:rsidRPr="007508EE">
        <w:rPr>
          <w:rFonts w:cs="Arial"/>
          <w:szCs w:val="20"/>
        </w:rPr>
        <w:t>3 Self-funded’.</w:t>
      </w:r>
    </w:p>
    <w:p w:rsidR="00460371" w:rsidRDefault="00460371" w:rsidP="00AD4FFC">
      <w:pPr>
        <w:pStyle w:val="Heading3"/>
        <w:keepLines w:val="0"/>
        <w:numPr>
          <w:ilvl w:val="2"/>
          <w:numId w:val="35"/>
        </w:numPr>
        <w:tabs>
          <w:tab w:val="left" w:pos="1162"/>
        </w:tabs>
        <w:spacing w:before="240" w:after="120"/>
      </w:pPr>
      <w:bookmarkStart w:id="52" w:name="_Toc380754701"/>
      <w:bookmarkStart w:id="53" w:name="_Toc412550718"/>
      <w:bookmarkStart w:id="54" w:name="_Ref319574618"/>
      <w:r>
        <w:t>Determine ICU adjustment level and deduct associated costs</w:t>
      </w:r>
      <w:bookmarkEnd w:id="52"/>
      <w:bookmarkEnd w:id="53"/>
    </w:p>
    <w:p w:rsidR="00460371" w:rsidRPr="00475379" w:rsidRDefault="00460371" w:rsidP="00AD4FFC">
      <w:pPr>
        <w:tabs>
          <w:tab w:val="left" w:pos="1162"/>
        </w:tabs>
        <w:rPr>
          <w:rFonts w:cs="Arial"/>
          <w:szCs w:val="20"/>
        </w:rPr>
      </w:pPr>
      <w:r w:rsidRPr="00475379">
        <w:rPr>
          <w:rFonts w:cs="Arial"/>
          <w:szCs w:val="20"/>
        </w:rPr>
        <w:t>Patient</w:t>
      </w:r>
      <w:r>
        <w:rPr>
          <w:rFonts w:cs="Arial"/>
          <w:szCs w:val="20"/>
        </w:rPr>
        <w:t>-</w:t>
      </w:r>
      <w:r w:rsidRPr="00475379">
        <w:rPr>
          <w:rFonts w:cs="Arial"/>
          <w:szCs w:val="20"/>
        </w:rPr>
        <w:t xml:space="preserve">level </w:t>
      </w:r>
      <w:r>
        <w:rPr>
          <w:rFonts w:cs="Arial"/>
          <w:szCs w:val="20"/>
        </w:rPr>
        <w:t xml:space="preserve">cost </w:t>
      </w:r>
      <w:r w:rsidRPr="00475379">
        <w:rPr>
          <w:rFonts w:cs="Arial"/>
          <w:szCs w:val="20"/>
        </w:rPr>
        <w:t xml:space="preserve">data for episodes in hospitals with </w:t>
      </w:r>
      <w:r>
        <w:rPr>
          <w:rFonts w:cs="Arial"/>
          <w:szCs w:val="20"/>
        </w:rPr>
        <w:t xml:space="preserve">an eligible </w:t>
      </w:r>
      <w:r w:rsidRPr="00475379">
        <w:rPr>
          <w:rFonts w:cs="Arial"/>
          <w:szCs w:val="20"/>
        </w:rPr>
        <w:t xml:space="preserve">ICU or </w:t>
      </w:r>
      <w:r w:rsidR="00DC550F">
        <w:rPr>
          <w:rFonts w:cs="Arial"/>
          <w:szCs w:val="20"/>
        </w:rPr>
        <w:t>Paediatric ICU (</w:t>
      </w:r>
      <w:r w:rsidRPr="00475379">
        <w:rPr>
          <w:rFonts w:cs="Arial"/>
          <w:szCs w:val="20"/>
        </w:rPr>
        <w:t>PICU</w:t>
      </w:r>
      <w:r w:rsidR="00DC550F">
        <w:rPr>
          <w:rFonts w:cs="Arial"/>
          <w:szCs w:val="20"/>
        </w:rPr>
        <w:t>)</w:t>
      </w:r>
      <w:r w:rsidRPr="00475379">
        <w:rPr>
          <w:rFonts w:cs="Arial"/>
          <w:szCs w:val="20"/>
        </w:rPr>
        <w:t xml:space="preserve"> with ICU hours reported </w:t>
      </w:r>
      <w:r>
        <w:rPr>
          <w:rFonts w:cs="Arial"/>
          <w:szCs w:val="20"/>
        </w:rPr>
        <w:t>are</w:t>
      </w:r>
      <w:r w:rsidRPr="00475379">
        <w:rPr>
          <w:rFonts w:cs="Arial"/>
          <w:szCs w:val="20"/>
        </w:rPr>
        <w:t xml:space="preserve"> analysed to estimate an average cost per ICU hour</w:t>
      </w:r>
      <w:r>
        <w:rPr>
          <w:rFonts w:cs="Arial"/>
          <w:szCs w:val="20"/>
        </w:rPr>
        <w:t xml:space="preserve">. The eligible ICUs and PICUs are those belonging to hospitals that report more than 24,000 ICU hours and have more than 20 per cent of those hours reported with the use of mechanical ventilation. The specified hospitals with eligible ICUs and/or PICUs are listed at </w:t>
      </w:r>
      <w:r w:rsidRPr="00DD7D45">
        <w:rPr>
          <w:rFonts w:cs="Arial"/>
          <w:szCs w:val="20"/>
        </w:rPr>
        <w:t xml:space="preserve">Appendix </w:t>
      </w:r>
      <w:r w:rsidR="00FE1B33" w:rsidRPr="00DD7D45">
        <w:rPr>
          <w:rFonts w:cs="Arial"/>
          <w:szCs w:val="20"/>
        </w:rPr>
        <w:t>D</w:t>
      </w:r>
      <w:r>
        <w:rPr>
          <w:rFonts w:cs="Arial"/>
          <w:szCs w:val="20"/>
        </w:rPr>
        <w:t xml:space="preserve"> of the </w:t>
      </w:r>
      <w:r w:rsidR="00B94FB5" w:rsidRPr="00B3571F">
        <w:rPr>
          <w:rFonts w:cs="Arial"/>
          <w:szCs w:val="20"/>
        </w:rPr>
        <w:t>NEP15</w:t>
      </w:r>
      <w:r w:rsidR="000D32DE" w:rsidRPr="00B3571F">
        <w:rPr>
          <w:rFonts w:cs="Arial"/>
          <w:szCs w:val="20"/>
        </w:rPr>
        <w:t> </w:t>
      </w:r>
      <w:r w:rsidRPr="00B3571F">
        <w:rPr>
          <w:rFonts w:cs="Arial"/>
          <w:szCs w:val="20"/>
        </w:rPr>
        <w:t>Determination</w:t>
      </w:r>
      <w:r>
        <w:rPr>
          <w:rFonts w:cs="Arial"/>
          <w:i/>
          <w:szCs w:val="20"/>
        </w:rPr>
        <w:t>.</w:t>
      </w:r>
      <w:r>
        <w:rPr>
          <w:rFonts w:cs="Arial"/>
          <w:szCs w:val="20"/>
        </w:rPr>
        <w:t xml:space="preserve"> </w:t>
      </w:r>
      <w:r w:rsidRPr="00475379">
        <w:rPr>
          <w:rFonts w:cs="Arial"/>
          <w:szCs w:val="20"/>
        </w:rPr>
        <w:t xml:space="preserve">A total sample </w:t>
      </w:r>
      <w:r w:rsidRPr="00A24619">
        <w:rPr>
          <w:rFonts w:cs="Arial"/>
          <w:szCs w:val="20"/>
        </w:rPr>
        <w:t xml:space="preserve">of </w:t>
      </w:r>
      <w:r w:rsidR="00FF4DCF">
        <w:rPr>
          <w:rFonts w:cs="Arial"/>
          <w:szCs w:val="20"/>
        </w:rPr>
        <w:t xml:space="preserve">72,550 </w:t>
      </w:r>
      <w:r w:rsidRPr="00A24619">
        <w:rPr>
          <w:rFonts w:cs="Arial"/>
          <w:szCs w:val="20"/>
        </w:rPr>
        <w:t>separations</w:t>
      </w:r>
      <w:r>
        <w:rPr>
          <w:rFonts w:cs="Arial"/>
          <w:szCs w:val="20"/>
        </w:rPr>
        <w:t xml:space="preserve"> with</w:t>
      </w:r>
      <w:r w:rsidRPr="00475379">
        <w:rPr>
          <w:rFonts w:cs="Arial"/>
          <w:szCs w:val="20"/>
        </w:rPr>
        <w:t xml:space="preserve"> ICU hours </w:t>
      </w:r>
      <w:r>
        <w:rPr>
          <w:rFonts w:cs="Arial"/>
          <w:szCs w:val="20"/>
        </w:rPr>
        <w:t xml:space="preserve">and costs </w:t>
      </w:r>
      <w:r w:rsidRPr="00475379">
        <w:rPr>
          <w:rFonts w:cs="Arial"/>
          <w:szCs w:val="20"/>
        </w:rPr>
        <w:t xml:space="preserve">from establishments with </w:t>
      </w:r>
      <w:r>
        <w:rPr>
          <w:rFonts w:cs="Arial"/>
          <w:szCs w:val="20"/>
        </w:rPr>
        <w:t>eligible</w:t>
      </w:r>
      <w:r w:rsidRPr="00475379">
        <w:rPr>
          <w:rFonts w:cs="Arial"/>
          <w:szCs w:val="20"/>
        </w:rPr>
        <w:t xml:space="preserve"> ICUs/PICU</w:t>
      </w:r>
      <w:r>
        <w:rPr>
          <w:rFonts w:cs="Arial"/>
          <w:szCs w:val="20"/>
        </w:rPr>
        <w:t>s was used.</w:t>
      </w:r>
    </w:p>
    <w:p w:rsidR="00460371" w:rsidRPr="00475379" w:rsidRDefault="00460371" w:rsidP="00AD4FFC">
      <w:pPr>
        <w:tabs>
          <w:tab w:val="left" w:pos="1162"/>
        </w:tabs>
        <w:rPr>
          <w:rFonts w:cs="Arial"/>
          <w:szCs w:val="20"/>
        </w:rPr>
      </w:pPr>
      <w:r w:rsidRPr="00475379">
        <w:rPr>
          <w:rFonts w:cs="Arial"/>
          <w:szCs w:val="20"/>
        </w:rPr>
        <w:t>Linear regression by state</w:t>
      </w:r>
      <w:r>
        <w:rPr>
          <w:rFonts w:cs="Arial"/>
          <w:szCs w:val="20"/>
        </w:rPr>
        <w:t>/territory</w:t>
      </w:r>
      <w:r w:rsidRPr="00475379">
        <w:rPr>
          <w:rFonts w:cs="Arial"/>
          <w:szCs w:val="20"/>
        </w:rPr>
        <w:t xml:space="preserve"> was used to derive state</w:t>
      </w:r>
      <w:r>
        <w:rPr>
          <w:rFonts w:cs="Arial"/>
          <w:szCs w:val="20"/>
        </w:rPr>
        <w:t>/territory</w:t>
      </w:r>
      <w:r w:rsidRPr="00475379">
        <w:rPr>
          <w:rFonts w:cs="Arial"/>
          <w:szCs w:val="20"/>
        </w:rPr>
        <w:t xml:space="preserve"> hourly ICU costs.</w:t>
      </w:r>
      <w:r>
        <w:rPr>
          <w:rFonts w:cs="Arial"/>
          <w:szCs w:val="20"/>
        </w:rPr>
        <w:t xml:space="preserve"> DFFITS statistics are used to exclude overly influential observations.</w:t>
      </w:r>
      <w:r w:rsidRPr="00475379">
        <w:rPr>
          <w:rFonts w:cs="Arial"/>
          <w:szCs w:val="20"/>
        </w:rPr>
        <w:t xml:space="preserve"> The weighted mean of the </w:t>
      </w:r>
      <w:r>
        <w:rPr>
          <w:rFonts w:cs="Arial"/>
          <w:szCs w:val="20"/>
        </w:rPr>
        <w:t>hourly ICU</w:t>
      </w:r>
      <w:r w:rsidRPr="00475379">
        <w:rPr>
          <w:rFonts w:cs="Arial"/>
          <w:szCs w:val="20"/>
        </w:rPr>
        <w:t xml:space="preserve"> cost</w:t>
      </w:r>
      <w:r>
        <w:rPr>
          <w:rFonts w:cs="Arial"/>
          <w:szCs w:val="20"/>
        </w:rPr>
        <w:t>s</w:t>
      </w:r>
      <w:r w:rsidRPr="00475379">
        <w:rPr>
          <w:rFonts w:cs="Arial"/>
          <w:szCs w:val="20"/>
        </w:rPr>
        <w:t xml:space="preserve"> taken across states was used to derive a nati</w:t>
      </w:r>
      <w:r>
        <w:rPr>
          <w:rFonts w:cs="Arial"/>
          <w:szCs w:val="20"/>
        </w:rPr>
        <w:t>onal ICU ra</w:t>
      </w:r>
      <w:r w:rsidRPr="00FF4DCF">
        <w:rPr>
          <w:rFonts w:cs="Arial"/>
          <w:szCs w:val="20"/>
        </w:rPr>
        <w:t>te of $</w:t>
      </w:r>
      <w:r w:rsidR="00FF6DF6" w:rsidRPr="00FF4DCF">
        <w:rPr>
          <w:rFonts w:cs="Arial"/>
          <w:szCs w:val="20"/>
        </w:rPr>
        <w:t>200</w:t>
      </w:r>
      <w:r>
        <w:rPr>
          <w:rFonts w:cs="Arial"/>
          <w:szCs w:val="20"/>
        </w:rPr>
        <w:t>.</w:t>
      </w:r>
    </w:p>
    <w:p w:rsidR="00460371" w:rsidRDefault="00460371" w:rsidP="00AD4FFC">
      <w:pPr>
        <w:tabs>
          <w:tab w:val="left" w:pos="1162"/>
        </w:tabs>
        <w:rPr>
          <w:rFonts w:cs="Arial"/>
          <w:szCs w:val="20"/>
        </w:rPr>
      </w:pPr>
      <w:r w:rsidRPr="00475379">
        <w:rPr>
          <w:rFonts w:cs="Arial"/>
          <w:szCs w:val="20"/>
        </w:rPr>
        <w:t>For ICU</w:t>
      </w:r>
      <w:r>
        <w:rPr>
          <w:rFonts w:cs="Arial"/>
          <w:szCs w:val="20"/>
        </w:rPr>
        <w:t>-</w:t>
      </w:r>
      <w:r w:rsidRPr="00475379">
        <w:rPr>
          <w:rFonts w:cs="Arial"/>
          <w:szCs w:val="20"/>
        </w:rPr>
        <w:t xml:space="preserve">eligible episodes, </w:t>
      </w:r>
      <w:r>
        <w:rPr>
          <w:rFonts w:cs="Arial"/>
          <w:szCs w:val="20"/>
        </w:rPr>
        <w:t>an</w:t>
      </w:r>
      <w:r w:rsidRPr="00475379">
        <w:rPr>
          <w:rFonts w:cs="Arial"/>
          <w:szCs w:val="20"/>
        </w:rPr>
        <w:t xml:space="preserve"> ICU </w:t>
      </w:r>
      <w:r>
        <w:rPr>
          <w:rFonts w:cs="Arial"/>
          <w:szCs w:val="20"/>
        </w:rPr>
        <w:t xml:space="preserve">adjustment is calculated </w:t>
      </w:r>
      <w:r w:rsidRPr="00475379">
        <w:rPr>
          <w:rFonts w:cs="Arial"/>
          <w:szCs w:val="20"/>
        </w:rPr>
        <w:t xml:space="preserve">using the estimated ICU cost per hour and the reported number of </w:t>
      </w:r>
      <w:r>
        <w:rPr>
          <w:rFonts w:cs="Arial"/>
          <w:szCs w:val="20"/>
        </w:rPr>
        <w:t xml:space="preserve">whole </w:t>
      </w:r>
      <w:r w:rsidRPr="00475379">
        <w:rPr>
          <w:rFonts w:cs="Arial"/>
          <w:szCs w:val="20"/>
        </w:rPr>
        <w:t>ICU hours</w:t>
      </w:r>
      <w:r>
        <w:rPr>
          <w:rFonts w:cs="Arial"/>
          <w:szCs w:val="20"/>
        </w:rPr>
        <w:t xml:space="preserve">. </w:t>
      </w:r>
      <w:r w:rsidRPr="00475379">
        <w:rPr>
          <w:rFonts w:cs="Arial"/>
          <w:szCs w:val="20"/>
        </w:rPr>
        <w:t xml:space="preserve">This amount </w:t>
      </w:r>
      <w:r>
        <w:rPr>
          <w:rFonts w:cs="Arial"/>
          <w:szCs w:val="20"/>
        </w:rPr>
        <w:t>is</w:t>
      </w:r>
      <w:r w:rsidRPr="00475379">
        <w:rPr>
          <w:rFonts w:cs="Arial"/>
          <w:szCs w:val="20"/>
        </w:rPr>
        <w:t xml:space="preserve"> deducted from the in-scope costs used for modelling the </w:t>
      </w:r>
      <w:r>
        <w:rPr>
          <w:rFonts w:cs="Arial"/>
          <w:szCs w:val="20"/>
        </w:rPr>
        <w:t>same-day</w:t>
      </w:r>
      <w:r w:rsidRPr="00475379">
        <w:rPr>
          <w:rFonts w:cs="Arial"/>
          <w:szCs w:val="20"/>
        </w:rPr>
        <w:t xml:space="preserve"> payment AR-DRG, short stay outlier</w:t>
      </w:r>
      <w:r>
        <w:rPr>
          <w:rFonts w:cs="Arial"/>
          <w:szCs w:val="20"/>
        </w:rPr>
        <w:t>, inlier</w:t>
      </w:r>
      <w:r w:rsidRPr="00475379">
        <w:rPr>
          <w:rFonts w:cs="Arial"/>
          <w:szCs w:val="20"/>
        </w:rPr>
        <w:t xml:space="preserve"> and long stay outlier costs and associated adjustments, but added back in for the ICU adjustment.</w:t>
      </w:r>
      <w:r>
        <w:rPr>
          <w:rFonts w:cs="Arial"/>
          <w:szCs w:val="20"/>
        </w:rPr>
        <w:t xml:space="preserve"> Whole ICU days are also removed from each eligible episode’s length of stay.</w:t>
      </w:r>
    </w:p>
    <w:p w:rsidR="00460371" w:rsidRPr="00B85B5A" w:rsidRDefault="00460371" w:rsidP="00AD4FFC">
      <w:pPr>
        <w:pStyle w:val="Heading3"/>
        <w:keepLines w:val="0"/>
        <w:numPr>
          <w:ilvl w:val="2"/>
          <w:numId w:val="35"/>
        </w:numPr>
        <w:tabs>
          <w:tab w:val="left" w:pos="1162"/>
        </w:tabs>
        <w:spacing w:before="240" w:after="120"/>
      </w:pPr>
      <w:bookmarkStart w:id="55" w:name="_Ref342387309"/>
      <w:bookmarkStart w:id="56" w:name="_Toc380754702"/>
      <w:bookmarkStart w:id="57" w:name="_Toc412550719"/>
      <w:bookmarkEnd w:id="54"/>
      <w:r>
        <w:lastRenderedPageBreak/>
        <w:t>DRG Inlier/Outlier Model</w:t>
      </w:r>
      <w:bookmarkEnd w:id="55"/>
      <w:bookmarkEnd w:id="56"/>
      <w:bookmarkEnd w:id="57"/>
    </w:p>
    <w:p w:rsidR="00460371" w:rsidRPr="00475379" w:rsidRDefault="00460371" w:rsidP="00AD4FFC">
      <w:pPr>
        <w:tabs>
          <w:tab w:val="left" w:pos="1162"/>
        </w:tabs>
        <w:rPr>
          <w:rFonts w:cs="Arial"/>
          <w:szCs w:val="20"/>
        </w:rPr>
      </w:pPr>
      <w:r w:rsidRPr="00475379">
        <w:rPr>
          <w:rFonts w:cs="Arial"/>
          <w:szCs w:val="20"/>
        </w:rPr>
        <w:t xml:space="preserve">Initial parameters </w:t>
      </w:r>
      <w:r>
        <w:rPr>
          <w:rFonts w:cs="Arial"/>
          <w:szCs w:val="20"/>
        </w:rPr>
        <w:t xml:space="preserve">are </w:t>
      </w:r>
      <w:r w:rsidRPr="00475379">
        <w:rPr>
          <w:rFonts w:cs="Arial"/>
          <w:szCs w:val="20"/>
        </w:rPr>
        <w:t xml:space="preserve">derived for </w:t>
      </w:r>
      <w:r>
        <w:rPr>
          <w:rFonts w:cs="Arial"/>
          <w:szCs w:val="20"/>
        </w:rPr>
        <w:t xml:space="preserve">designated </w:t>
      </w:r>
      <w:r w:rsidRPr="00475379">
        <w:rPr>
          <w:rFonts w:cs="Arial"/>
          <w:szCs w:val="20"/>
        </w:rPr>
        <w:t>same</w:t>
      </w:r>
      <w:r>
        <w:rPr>
          <w:rFonts w:cs="Arial"/>
          <w:szCs w:val="20"/>
        </w:rPr>
        <w:t>-</w:t>
      </w:r>
      <w:r w:rsidRPr="00475379">
        <w:rPr>
          <w:rFonts w:cs="Arial"/>
          <w:szCs w:val="20"/>
        </w:rPr>
        <w:t>day</w:t>
      </w:r>
      <w:r>
        <w:rPr>
          <w:rFonts w:cs="Arial"/>
          <w:szCs w:val="20"/>
        </w:rPr>
        <w:t xml:space="preserve"> payment</w:t>
      </w:r>
      <w:r w:rsidRPr="00475379">
        <w:rPr>
          <w:rFonts w:cs="Arial"/>
          <w:szCs w:val="20"/>
        </w:rPr>
        <w:t xml:space="preserve"> AR-DRG episodes, short</w:t>
      </w:r>
      <w:r>
        <w:rPr>
          <w:rFonts w:cs="Arial"/>
          <w:szCs w:val="20"/>
        </w:rPr>
        <w:t>-</w:t>
      </w:r>
      <w:r w:rsidRPr="00475379">
        <w:rPr>
          <w:rFonts w:cs="Arial"/>
          <w:szCs w:val="20"/>
        </w:rPr>
        <w:t>stay outlier episodes, inlier</w:t>
      </w:r>
      <w:r>
        <w:rPr>
          <w:rFonts w:cs="Arial"/>
          <w:szCs w:val="20"/>
        </w:rPr>
        <w:t xml:space="preserve"> episodes,</w:t>
      </w:r>
      <w:r w:rsidRPr="00475379">
        <w:rPr>
          <w:rFonts w:cs="Arial"/>
          <w:szCs w:val="20"/>
        </w:rPr>
        <w:t xml:space="preserve"> and long</w:t>
      </w:r>
      <w:r>
        <w:rPr>
          <w:rFonts w:cs="Arial"/>
          <w:szCs w:val="20"/>
        </w:rPr>
        <w:t>-</w:t>
      </w:r>
      <w:r w:rsidRPr="00475379">
        <w:rPr>
          <w:rFonts w:cs="Arial"/>
          <w:szCs w:val="20"/>
        </w:rPr>
        <w:t xml:space="preserve">stay outlier episodes. The steps involved </w:t>
      </w:r>
      <w:r>
        <w:rPr>
          <w:rFonts w:cs="Arial"/>
          <w:szCs w:val="20"/>
        </w:rPr>
        <w:t>are</w:t>
      </w:r>
      <w:r w:rsidRPr="00475379">
        <w:rPr>
          <w:rFonts w:cs="Arial"/>
          <w:szCs w:val="20"/>
        </w:rPr>
        <w:t xml:space="preserve"> as follows:</w:t>
      </w:r>
    </w:p>
    <w:p w:rsidR="00460371" w:rsidRPr="00475379" w:rsidRDefault="00460371" w:rsidP="00AD4FFC">
      <w:pPr>
        <w:pStyle w:val="ListParagraph"/>
        <w:numPr>
          <w:ilvl w:val="0"/>
          <w:numId w:val="18"/>
        </w:numPr>
        <w:tabs>
          <w:tab w:val="left" w:pos="1162"/>
        </w:tabs>
        <w:spacing w:before="120"/>
        <w:rPr>
          <w:rFonts w:cs="Arial"/>
          <w:szCs w:val="20"/>
        </w:rPr>
      </w:pPr>
      <w:r>
        <w:rPr>
          <w:rFonts w:cs="Arial"/>
          <w:i/>
          <w:szCs w:val="20"/>
        </w:rPr>
        <w:t>Designate</w:t>
      </w:r>
      <w:r w:rsidR="00FF4DCF">
        <w:rPr>
          <w:rFonts w:cs="Arial"/>
          <w:i/>
          <w:szCs w:val="20"/>
        </w:rPr>
        <w:t>d</w:t>
      </w:r>
      <w:r>
        <w:rPr>
          <w:rFonts w:cs="Arial"/>
          <w:i/>
          <w:szCs w:val="20"/>
        </w:rPr>
        <w:t xml:space="preserve"> same-day</w:t>
      </w:r>
      <w:r w:rsidRPr="00475379">
        <w:rPr>
          <w:rFonts w:cs="Arial"/>
          <w:i/>
          <w:szCs w:val="20"/>
        </w:rPr>
        <w:t xml:space="preserve"> AR-DRG episodes: </w:t>
      </w:r>
      <w:r w:rsidRPr="00475379">
        <w:rPr>
          <w:rFonts w:cs="Arial"/>
          <w:szCs w:val="20"/>
        </w:rPr>
        <w:t>calculate the mean cost per episode.</w:t>
      </w:r>
    </w:p>
    <w:p w:rsidR="00460371" w:rsidRPr="00475379" w:rsidRDefault="00460371" w:rsidP="00AD4FFC">
      <w:pPr>
        <w:pStyle w:val="ListParagraph"/>
        <w:numPr>
          <w:ilvl w:val="0"/>
          <w:numId w:val="18"/>
        </w:numPr>
        <w:tabs>
          <w:tab w:val="left" w:pos="1162"/>
        </w:tabs>
        <w:spacing w:before="120"/>
        <w:rPr>
          <w:rFonts w:cs="Arial"/>
          <w:szCs w:val="20"/>
        </w:rPr>
      </w:pPr>
      <w:r w:rsidRPr="00475379">
        <w:rPr>
          <w:rFonts w:cs="Arial"/>
          <w:i/>
          <w:szCs w:val="20"/>
        </w:rPr>
        <w:t>Inlier episodes:</w:t>
      </w:r>
      <w:r>
        <w:rPr>
          <w:rFonts w:cs="Arial"/>
          <w:szCs w:val="20"/>
        </w:rPr>
        <w:t xml:space="preserve"> </w:t>
      </w:r>
      <w:r w:rsidRPr="00475379">
        <w:rPr>
          <w:rFonts w:cs="Arial"/>
          <w:szCs w:val="20"/>
        </w:rPr>
        <w:t>calculate the mean cost per episode.</w:t>
      </w:r>
    </w:p>
    <w:p w:rsidR="00460371" w:rsidRPr="00475379" w:rsidRDefault="00460371" w:rsidP="00AD4FFC">
      <w:pPr>
        <w:pStyle w:val="ListParagraph"/>
        <w:numPr>
          <w:ilvl w:val="0"/>
          <w:numId w:val="18"/>
        </w:numPr>
        <w:tabs>
          <w:tab w:val="left" w:pos="1162"/>
        </w:tabs>
        <w:spacing w:before="120"/>
        <w:rPr>
          <w:rFonts w:cs="Arial"/>
          <w:szCs w:val="20"/>
        </w:rPr>
      </w:pPr>
      <w:r w:rsidRPr="00475379">
        <w:rPr>
          <w:rFonts w:cs="Arial"/>
          <w:i/>
          <w:szCs w:val="20"/>
        </w:rPr>
        <w:t>Short</w:t>
      </w:r>
      <w:r>
        <w:rPr>
          <w:rFonts w:cs="Arial"/>
          <w:i/>
          <w:szCs w:val="20"/>
        </w:rPr>
        <w:t>-</w:t>
      </w:r>
      <w:r w:rsidRPr="00475379">
        <w:rPr>
          <w:rFonts w:cs="Arial"/>
          <w:i/>
          <w:szCs w:val="20"/>
        </w:rPr>
        <w:t>stay outlier episodes:</w:t>
      </w:r>
      <w:r>
        <w:rPr>
          <w:rFonts w:cs="Arial"/>
          <w:szCs w:val="20"/>
        </w:rPr>
        <w:t xml:space="preserve"> calculate the base cost as the average of total Operating Room, SPS and Prosthesis costs, </w:t>
      </w:r>
      <w:r w:rsidR="00D12D4B">
        <w:rPr>
          <w:rFonts w:cs="Arial"/>
          <w:szCs w:val="20"/>
        </w:rPr>
        <w:t>and then</w:t>
      </w:r>
      <w:r>
        <w:rPr>
          <w:rFonts w:cs="Arial"/>
          <w:szCs w:val="20"/>
        </w:rPr>
        <w:t xml:space="preserve"> calculate the cost per diem to ensure an even growth in cost to that of the inlier episode.</w:t>
      </w:r>
    </w:p>
    <w:p w:rsidR="00460371" w:rsidRPr="00063E42" w:rsidRDefault="00460371" w:rsidP="00AD4FFC">
      <w:pPr>
        <w:pStyle w:val="ListParagraph"/>
        <w:numPr>
          <w:ilvl w:val="0"/>
          <w:numId w:val="18"/>
        </w:numPr>
        <w:tabs>
          <w:tab w:val="left" w:pos="1162"/>
        </w:tabs>
        <w:spacing w:before="120"/>
        <w:rPr>
          <w:rFonts w:cs="Arial"/>
          <w:i/>
          <w:szCs w:val="20"/>
        </w:rPr>
      </w:pPr>
      <w:r w:rsidRPr="00475379">
        <w:rPr>
          <w:rFonts w:cs="Arial"/>
          <w:i/>
          <w:szCs w:val="20"/>
        </w:rPr>
        <w:t>Long</w:t>
      </w:r>
      <w:r>
        <w:rPr>
          <w:rFonts w:cs="Arial"/>
          <w:i/>
          <w:szCs w:val="20"/>
        </w:rPr>
        <w:t>-</w:t>
      </w:r>
      <w:r w:rsidRPr="00475379">
        <w:rPr>
          <w:rFonts w:cs="Arial"/>
          <w:i/>
          <w:szCs w:val="20"/>
        </w:rPr>
        <w:t>stay outlier episodes</w:t>
      </w:r>
      <w:r>
        <w:rPr>
          <w:rFonts w:cs="Arial"/>
          <w:i/>
          <w:szCs w:val="20"/>
        </w:rPr>
        <w:t xml:space="preserve">. </w:t>
      </w:r>
      <w:r w:rsidRPr="00475379">
        <w:rPr>
          <w:rFonts w:cs="Arial"/>
          <w:szCs w:val="20"/>
        </w:rPr>
        <w:t xml:space="preserve">The mean inlier cost </w:t>
      </w:r>
      <w:r>
        <w:rPr>
          <w:rFonts w:cs="Arial"/>
          <w:szCs w:val="20"/>
        </w:rPr>
        <w:t>is</w:t>
      </w:r>
      <w:r w:rsidRPr="00475379">
        <w:rPr>
          <w:rFonts w:cs="Arial"/>
          <w:szCs w:val="20"/>
        </w:rPr>
        <w:t xml:space="preserve"> assigned to each episode as a base amount</w:t>
      </w:r>
      <w:r>
        <w:rPr>
          <w:rFonts w:cs="Arial"/>
          <w:szCs w:val="20"/>
        </w:rPr>
        <w:t xml:space="preserve">. </w:t>
      </w:r>
      <w:r w:rsidRPr="00475379">
        <w:rPr>
          <w:rFonts w:cs="Arial"/>
          <w:szCs w:val="20"/>
        </w:rPr>
        <w:t xml:space="preserve">A per diem for each outlier day </w:t>
      </w:r>
      <w:r>
        <w:rPr>
          <w:rFonts w:cs="Arial"/>
          <w:szCs w:val="20"/>
        </w:rPr>
        <w:t>is</w:t>
      </w:r>
      <w:r w:rsidRPr="00475379">
        <w:rPr>
          <w:rFonts w:cs="Arial"/>
          <w:szCs w:val="20"/>
        </w:rPr>
        <w:t xml:space="preserve"> </w:t>
      </w:r>
      <w:r>
        <w:rPr>
          <w:rFonts w:cs="Arial"/>
          <w:szCs w:val="20"/>
        </w:rPr>
        <w:t>calculated using one of two methods:</w:t>
      </w:r>
    </w:p>
    <w:p w:rsidR="00460371" w:rsidRPr="00063E42" w:rsidRDefault="00460371" w:rsidP="00AD4FFC">
      <w:pPr>
        <w:pStyle w:val="ListParagraph"/>
        <w:numPr>
          <w:ilvl w:val="1"/>
          <w:numId w:val="18"/>
        </w:numPr>
        <w:tabs>
          <w:tab w:val="left" w:pos="1162"/>
        </w:tabs>
        <w:spacing w:before="120"/>
        <w:rPr>
          <w:rFonts w:cs="Arial"/>
          <w:i/>
          <w:szCs w:val="20"/>
        </w:rPr>
      </w:pPr>
      <w:r>
        <w:rPr>
          <w:rFonts w:cs="Arial"/>
          <w:szCs w:val="20"/>
        </w:rPr>
        <w:t xml:space="preserve">In AR-DRGs where the length of stay profile was adequately wide and regular to allow robust regression analysis to be undertaken, the per diem cost was taken as the </w:t>
      </w:r>
      <w:r w:rsidRPr="00475379">
        <w:rPr>
          <w:rFonts w:cs="Arial"/>
          <w:szCs w:val="20"/>
        </w:rPr>
        <w:t xml:space="preserve">length of stay </w:t>
      </w:r>
      <w:r>
        <w:rPr>
          <w:rFonts w:cs="Arial"/>
          <w:szCs w:val="20"/>
        </w:rPr>
        <w:t>regression coefficient; this process excluded designated same-day episodes and overly influential observations (as determined by the DFFITS statistical measure).</w:t>
      </w:r>
    </w:p>
    <w:p w:rsidR="00460371" w:rsidRPr="00475379" w:rsidRDefault="00460371" w:rsidP="00AD4FFC">
      <w:pPr>
        <w:pStyle w:val="ListParagraph"/>
        <w:numPr>
          <w:ilvl w:val="1"/>
          <w:numId w:val="18"/>
        </w:numPr>
        <w:tabs>
          <w:tab w:val="left" w:pos="1162"/>
        </w:tabs>
        <w:spacing w:before="120"/>
        <w:rPr>
          <w:rFonts w:cs="Arial"/>
          <w:i/>
          <w:szCs w:val="20"/>
        </w:rPr>
      </w:pPr>
      <w:r>
        <w:rPr>
          <w:rFonts w:cs="Arial"/>
          <w:szCs w:val="20"/>
        </w:rPr>
        <w:t>In the remaining AR-DRGs, cost buckets were partitioned into ‘fixed’ and ‘variable’ (similar to the short-stay outlier process for surgical AR-DRGs), and the per diem cost was taken as the mean variable cost per patient day</w:t>
      </w:r>
      <w:r w:rsidRPr="00475379">
        <w:rPr>
          <w:rFonts w:cs="Arial"/>
          <w:szCs w:val="20"/>
        </w:rPr>
        <w:t>.</w:t>
      </w:r>
    </w:p>
    <w:p w:rsidR="00460371" w:rsidRDefault="00460371" w:rsidP="00AD4FFC">
      <w:pPr>
        <w:tabs>
          <w:tab w:val="left" w:pos="1162"/>
        </w:tabs>
      </w:pPr>
      <w:r w:rsidRPr="00C36F8A">
        <w:t xml:space="preserve">Where there </w:t>
      </w:r>
      <w:r>
        <w:t>are</w:t>
      </w:r>
      <w:r w:rsidRPr="00C36F8A">
        <w:t xml:space="preserve"> fewer than 100 separations in an AR-DRG the separations </w:t>
      </w:r>
      <w:r>
        <w:t>are</w:t>
      </w:r>
      <w:r w:rsidRPr="00C36F8A">
        <w:t xml:space="preserve"> combined with those from 201</w:t>
      </w:r>
      <w:r w:rsidR="00FF6DF6">
        <w:t>1</w:t>
      </w:r>
      <w:r w:rsidR="000C4AD0">
        <w:t>-</w:t>
      </w:r>
      <w:r w:rsidRPr="00C36F8A">
        <w:t>1</w:t>
      </w:r>
      <w:r w:rsidR="00FF6DF6">
        <w:t>2</w:t>
      </w:r>
      <w:r w:rsidRPr="00C36F8A">
        <w:t>, indexed appropriately, to calculate the cost parameter.</w:t>
      </w:r>
      <w:r>
        <w:t xml:space="preserve"> </w:t>
      </w:r>
    </w:p>
    <w:p w:rsidR="00460371" w:rsidRDefault="00460371" w:rsidP="00AD4FFC">
      <w:pPr>
        <w:tabs>
          <w:tab w:val="left" w:pos="1162"/>
        </w:tabs>
      </w:pPr>
      <w:r>
        <w:t>All AR-DRG parameters are then uniformly calibrated to ensure the modelled costs are equalised against actual costs.</w:t>
      </w:r>
    </w:p>
    <w:tbl>
      <w:tblPr>
        <w:tblW w:w="0" w:type="auto"/>
        <w:tblLook w:val="00A0" w:firstRow="1" w:lastRow="0" w:firstColumn="1" w:lastColumn="0" w:noHBand="0" w:noVBand="0"/>
      </w:tblPr>
      <w:tblGrid>
        <w:gridCol w:w="9243"/>
      </w:tblGrid>
      <w:tr w:rsidR="00460371" w:rsidRPr="006D0E7D" w:rsidTr="005109F1">
        <w:tc>
          <w:tcPr>
            <w:tcW w:w="9243" w:type="dxa"/>
          </w:tcPr>
          <w:p w:rsidR="00AD4FFC" w:rsidRPr="00AD4FFC" w:rsidRDefault="00AD4FFC" w:rsidP="00AD4FFC">
            <w:pPr>
              <w:tabs>
                <w:tab w:val="left" w:pos="1162"/>
              </w:tabs>
            </w:pPr>
            <w:r w:rsidRPr="00AD4FFC">
              <w:t xml:space="preserve">Figure 3 </w:t>
            </w:r>
            <w:r w:rsidR="00460371" w:rsidRPr="00AD4FFC">
              <w:t>illustrates the general form of the cost model within each AR-DRG. However, an AR-DRG’s form may differ depending on whether it has a designated same-day separation category, a short-stay outlier category, or a long-stay outlier category</w:t>
            </w:r>
            <w:bookmarkStart w:id="58" w:name="_Ref342308883"/>
          </w:p>
          <w:p w:rsidR="00460371" w:rsidRDefault="00460371">
            <w:pPr>
              <w:pStyle w:val="table"/>
            </w:pPr>
            <w:r>
              <w:t>Figure</w:t>
            </w:r>
            <w:bookmarkEnd w:id="58"/>
            <w:r w:rsidR="00AD4FFC">
              <w:t xml:space="preserve"> 3</w:t>
            </w:r>
            <w:r>
              <w:t xml:space="preserve">: </w:t>
            </w:r>
            <w:r w:rsidRPr="00D87D2D">
              <w:t>Initial parameters for the assignment of cost weights</w:t>
            </w:r>
          </w:p>
          <w:p w:rsidR="00460371" w:rsidRPr="00475379" w:rsidRDefault="00460371" w:rsidP="00AD4FFC">
            <w:pPr>
              <w:tabs>
                <w:tab w:val="left" w:pos="1162"/>
              </w:tabs>
              <w:spacing w:after="0"/>
              <w:jc w:val="center"/>
              <w:rPr>
                <w:rFonts w:cs="Arial"/>
                <w:szCs w:val="20"/>
              </w:rPr>
            </w:pPr>
            <w:r w:rsidRPr="00475379">
              <w:rPr>
                <w:rFonts w:cs="Arial"/>
                <w:noProof/>
                <w:szCs w:val="20"/>
                <w:lang w:eastAsia="en-AU"/>
              </w:rPr>
              <w:drawing>
                <wp:inline distT="0" distB="0" distL="0" distR="0" wp14:anchorId="0E269EA4" wp14:editId="7AA0A45C">
                  <wp:extent cx="4096512" cy="2925091"/>
                  <wp:effectExtent l="19050" t="19050" r="18415" b="27940"/>
                  <wp:docPr id="6" name="Picture 3" descr="Figure 3 is a line graph illustrating the average cost per episode against the number of days spent in hospital and the price per episode against the number of days spent in hospital. &#10;&#10;Cost/Price is represented on the vertical axis and the number of days spent in hospital is represented on the horizontal axis. The ‘Days in hospital’ axis is partitioned left to right into four groups: same day, short stay outliers, inliers, and long stay outliers. &#10;&#10;The graph’s cost line is horizontal within the same day partition, and increases steadily as the number of days in hospital increases through all remaining partitions.&#10;&#10;The price line is horizontal within the same day partition. Within the short stay outliers partition it increases linearly with a steep gradient. Within the inliers partition the price line is horizontal representing a single price for this group irrespective of the length of stay. Within the long stay outliers partition, the price line again increases linearly but with a shallower gradient than that in the short stay outliers parti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grayscl/>
                            <a:extLst>
                              <a:ext uri="{28A0092B-C50C-407E-A947-70E740481C1C}">
                                <a14:useLocalDpi xmlns:a14="http://schemas.microsoft.com/office/drawing/2010/main" val="0"/>
                              </a:ext>
                            </a:extLst>
                          </a:blip>
                          <a:stretch>
                            <a:fillRect/>
                          </a:stretch>
                        </pic:blipFill>
                        <pic:spPr bwMode="auto">
                          <a:xfrm>
                            <a:off x="0" y="0"/>
                            <a:ext cx="4108783" cy="2933853"/>
                          </a:xfrm>
                          <a:prstGeom prst="rect">
                            <a:avLst/>
                          </a:prstGeom>
                          <a:noFill/>
                          <a:ln>
                            <a:solidFill>
                              <a:schemeClr val="tx1"/>
                            </a:solidFill>
                          </a:ln>
                        </pic:spPr>
                      </pic:pic>
                    </a:graphicData>
                  </a:graphic>
                </wp:inline>
              </w:drawing>
            </w:r>
          </w:p>
          <w:p w:rsidR="00460371" w:rsidRPr="00475379" w:rsidRDefault="00460371" w:rsidP="00AD4FFC">
            <w:pPr>
              <w:tabs>
                <w:tab w:val="left" w:pos="1162"/>
              </w:tabs>
              <w:spacing w:after="0"/>
              <w:rPr>
                <w:rFonts w:cs="Arial"/>
                <w:szCs w:val="20"/>
              </w:rPr>
            </w:pPr>
          </w:p>
        </w:tc>
      </w:tr>
    </w:tbl>
    <w:p w:rsidR="00460371" w:rsidRDefault="00C0624E" w:rsidP="00AD4FFC">
      <w:pPr>
        <w:tabs>
          <w:tab w:val="left" w:pos="1162"/>
        </w:tabs>
        <w:rPr>
          <w:rFonts w:cs="Arial"/>
          <w:szCs w:val="20"/>
        </w:rPr>
      </w:pPr>
      <w:r>
        <w:rPr>
          <w:rFonts w:cs="Arial"/>
          <w:szCs w:val="20"/>
        </w:rPr>
        <w:lastRenderedPageBreak/>
        <w:t xml:space="preserve">Figure 4 </w:t>
      </w:r>
      <w:r w:rsidR="00460371" w:rsidRPr="00475379">
        <w:rPr>
          <w:rFonts w:cs="Arial"/>
          <w:szCs w:val="20"/>
        </w:rPr>
        <w:t>provides an example of the m</w:t>
      </w:r>
      <w:r w:rsidR="00460371">
        <w:rPr>
          <w:rFonts w:cs="Arial"/>
          <w:szCs w:val="20"/>
        </w:rPr>
        <w:t xml:space="preserve">odel with a particular AR-DRG, showing </w:t>
      </w:r>
      <w:r w:rsidR="00460371" w:rsidRPr="00475379">
        <w:rPr>
          <w:rFonts w:cs="Arial"/>
          <w:szCs w:val="20"/>
        </w:rPr>
        <w:t xml:space="preserve">the reported </w:t>
      </w:r>
      <w:r w:rsidR="00460371">
        <w:rPr>
          <w:rFonts w:cs="Arial"/>
          <w:szCs w:val="20"/>
        </w:rPr>
        <w:t xml:space="preserve">mean </w:t>
      </w:r>
      <w:r w:rsidR="00460371" w:rsidRPr="00475379">
        <w:rPr>
          <w:rFonts w:cs="Arial"/>
          <w:szCs w:val="20"/>
        </w:rPr>
        <w:t>cost per episode by length of stay</w:t>
      </w:r>
      <w:r w:rsidR="00460371">
        <w:rPr>
          <w:rFonts w:cs="Arial"/>
          <w:szCs w:val="20"/>
        </w:rPr>
        <w:t>,</w:t>
      </w:r>
      <w:r w:rsidR="00460371" w:rsidRPr="00475379">
        <w:rPr>
          <w:rFonts w:cs="Arial"/>
          <w:szCs w:val="20"/>
        </w:rPr>
        <w:t xml:space="preserve"> and plots the </w:t>
      </w:r>
      <w:r w:rsidR="00460371">
        <w:rPr>
          <w:rFonts w:cs="Arial"/>
          <w:szCs w:val="20"/>
        </w:rPr>
        <w:t xml:space="preserve">cost model </w:t>
      </w:r>
      <w:r w:rsidR="00460371" w:rsidRPr="00475379">
        <w:rPr>
          <w:rFonts w:cs="Arial"/>
          <w:szCs w:val="20"/>
        </w:rPr>
        <w:t>levels arising from applying the initial parameters</w:t>
      </w:r>
      <w:r w:rsidR="00460371">
        <w:rPr>
          <w:rFonts w:cs="Arial"/>
          <w:szCs w:val="20"/>
        </w:rPr>
        <w:t>.</w:t>
      </w:r>
    </w:p>
    <w:p w:rsidR="008F7FF1" w:rsidRDefault="008F7FF1">
      <w:pPr>
        <w:pStyle w:val="table"/>
      </w:pPr>
      <w:bookmarkStart w:id="59" w:name="_Ref342308906"/>
      <w:r>
        <w:t xml:space="preserve">Figure </w:t>
      </w:r>
      <w:bookmarkEnd w:id="59"/>
      <w:r w:rsidR="00933C77">
        <w:t>4</w:t>
      </w:r>
      <w:r>
        <w:t xml:space="preserve">: </w:t>
      </w:r>
      <w:r w:rsidRPr="00732C2C">
        <w:t xml:space="preserve">Example of an AR-DRG - </w:t>
      </w:r>
      <w:r>
        <w:t>I</w:t>
      </w:r>
      <w:r w:rsidRPr="00732C2C">
        <w:t>nitial parameters for model and average cost by length of stay</w:t>
      </w:r>
    </w:p>
    <w:tbl>
      <w:tblPr>
        <w:tblW w:w="0" w:type="auto"/>
        <w:jc w:val="center"/>
        <w:tblInd w:w="675" w:type="dxa"/>
        <w:tblLook w:val="00A0" w:firstRow="1" w:lastRow="0" w:firstColumn="1" w:lastColumn="0" w:noHBand="0" w:noVBand="0"/>
      </w:tblPr>
      <w:tblGrid>
        <w:gridCol w:w="8568"/>
      </w:tblGrid>
      <w:tr w:rsidR="00460371" w:rsidTr="008F7FF1">
        <w:trPr>
          <w:trHeight w:val="4842"/>
          <w:jc w:val="center"/>
        </w:trPr>
        <w:tc>
          <w:tcPr>
            <w:tcW w:w="8568" w:type="dxa"/>
          </w:tcPr>
          <w:p w:rsidR="00460371" w:rsidRDefault="00460371" w:rsidP="00AD4FFC">
            <w:pPr>
              <w:tabs>
                <w:tab w:val="left" w:pos="1162"/>
              </w:tabs>
              <w:spacing w:after="0"/>
              <w:jc w:val="center"/>
            </w:pPr>
            <w:r>
              <w:rPr>
                <w:noProof/>
                <w:lang w:eastAsia="en-AU"/>
              </w:rPr>
              <w:drawing>
                <wp:inline distT="0" distB="0" distL="0" distR="0" wp14:anchorId="7FCE52C2" wp14:editId="2949C78D">
                  <wp:extent cx="5295900" cy="3152775"/>
                  <wp:effectExtent l="19050" t="19050" r="19050" b="28575"/>
                  <wp:docPr id="7" name="Picture 4" descr="Figure 4 is a graph showing the reported average cost per episode by length of stay in days (as columns) and the equivalent price paid under activity based funding (ABF) by length of stay (as a line), for one AR DRG.&#10;&#10;Cost/Price is represented on the vertical axis and the number of days spent in hospital is represented on the horizontal axis. The ‘Days’ axis is partitioned left to right into three groups: same day and short stay outliers (1-4 days), inliers (5-31 day), and long stay outliers (32 or more days). &#10;&#10;Within the same day and the short-stay outliers partition it increases linearly with a steep gradient. Within the inliers partition the price line is horizontal representing a single price (approximately $17,000) for this group irrespective of the length of stay. Within the long-stay outliers partition, the price line again increases linearly but with a shallower gradient than that in the short stay outliers partition. &#10;&#10;Cost columns represent the cost of an episode with a specific duration in days. For one day, the average cost is approximately $2000. The cost columns generally increase in height steadily within the same day and short stay outlier partition, and the inlier partition. Within the inlier partition, at around day 12, the average cost surpasses the fixed price paid. In the long stay outlier region, the cost columns are varied in height. Day 44 has the highest average cost at just over $100,000 followed by day 60 (~$95,000) and day 69 (~$88,000). Days 42 and 48 have the lowest average cost in this partition at just less than $40,000. There are cost columns for up to 69 days per episode except for 35, 51, 52, 55, 58, 62, and 64-68 day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295900" cy="3152775"/>
                          </a:xfrm>
                          <a:prstGeom prst="rect">
                            <a:avLst/>
                          </a:prstGeom>
                          <a:noFill/>
                          <a:ln>
                            <a:solidFill>
                              <a:schemeClr val="tx1"/>
                            </a:solidFill>
                          </a:ln>
                        </pic:spPr>
                      </pic:pic>
                    </a:graphicData>
                  </a:graphic>
                </wp:inline>
              </w:drawing>
            </w:r>
          </w:p>
        </w:tc>
      </w:tr>
    </w:tbl>
    <w:p w:rsidR="00460371" w:rsidRPr="00B85B5A" w:rsidRDefault="00460371" w:rsidP="00AD4FFC">
      <w:pPr>
        <w:pStyle w:val="Heading3"/>
        <w:keepLines w:val="0"/>
        <w:numPr>
          <w:ilvl w:val="2"/>
          <w:numId w:val="35"/>
        </w:numPr>
        <w:tabs>
          <w:tab w:val="left" w:pos="1162"/>
        </w:tabs>
        <w:spacing w:before="240" w:after="120"/>
      </w:pPr>
      <w:bookmarkStart w:id="60" w:name="_Ref319939984"/>
      <w:bookmarkStart w:id="61" w:name="_Ref349749489"/>
      <w:bookmarkStart w:id="62" w:name="_Toc380754703"/>
      <w:bookmarkStart w:id="63" w:name="_Toc412550720"/>
      <w:r>
        <w:t>Calculation of additional adjustments</w:t>
      </w:r>
      <w:bookmarkEnd w:id="60"/>
      <w:bookmarkEnd w:id="61"/>
      <w:bookmarkEnd w:id="62"/>
      <w:bookmarkEnd w:id="63"/>
    </w:p>
    <w:p w:rsidR="00460371" w:rsidRDefault="00460371" w:rsidP="00AD4FFC">
      <w:pPr>
        <w:tabs>
          <w:tab w:val="left" w:pos="1162"/>
        </w:tabs>
        <w:spacing w:after="0"/>
        <w:rPr>
          <w:rFonts w:cs="Arial"/>
          <w:szCs w:val="20"/>
        </w:rPr>
      </w:pPr>
      <w:r w:rsidRPr="00901D61">
        <w:rPr>
          <w:rFonts w:cs="Arial"/>
          <w:szCs w:val="20"/>
        </w:rPr>
        <w:t>After the</w:t>
      </w:r>
      <w:r>
        <w:rPr>
          <w:rFonts w:cs="Arial"/>
          <w:szCs w:val="20"/>
        </w:rPr>
        <w:t xml:space="preserve"> AR-DRG inlier/outlier</w:t>
      </w:r>
      <w:r w:rsidRPr="00901D61">
        <w:rPr>
          <w:rFonts w:cs="Arial"/>
          <w:szCs w:val="20"/>
        </w:rPr>
        <w:t xml:space="preserve"> model was derived, the following </w:t>
      </w:r>
      <w:r w:rsidR="00701984">
        <w:rPr>
          <w:rFonts w:cs="Arial"/>
          <w:szCs w:val="20"/>
        </w:rPr>
        <w:t xml:space="preserve">four sets of </w:t>
      </w:r>
      <w:r w:rsidRPr="00901D61">
        <w:rPr>
          <w:rFonts w:cs="Arial"/>
          <w:szCs w:val="20"/>
        </w:rPr>
        <w:t>adjustments were calculated based on factors considered to have a material impact on the cost of acute services</w:t>
      </w:r>
      <w:r>
        <w:rPr>
          <w:rFonts w:cs="Arial"/>
          <w:szCs w:val="20"/>
        </w:rPr>
        <w:t xml:space="preserve">. </w:t>
      </w:r>
    </w:p>
    <w:p w:rsidR="00460371" w:rsidRPr="00901D61" w:rsidRDefault="00460371" w:rsidP="00AD4FFC">
      <w:pPr>
        <w:pStyle w:val="Headingnonumber"/>
      </w:pPr>
      <w:r w:rsidRPr="00901D61">
        <w:t xml:space="preserve">Paediatric </w:t>
      </w:r>
      <w:r>
        <w:t>a</w:t>
      </w:r>
      <w:r w:rsidRPr="00901D61">
        <w:t>djustment</w:t>
      </w:r>
    </w:p>
    <w:p w:rsidR="00460371" w:rsidRDefault="00460371" w:rsidP="00AD4FFC">
      <w:pPr>
        <w:tabs>
          <w:tab w:val="left" w:pos="1162"/>
        </w:tabs>
        <w:rPr>
          <w:rFonts w:cs="Arial"/>
          <w:szCs w:val="20"/>
        </w:rPr>
      </w:pPr>
      <w:r>
        <w:rPr>
          <w:rFonts w:cs="Arial"/>
          <w:szCs w:val="20"/>
        </w:rPr>
        <w:t>A p</w:t>
      </w:r>
      <w:r w:rsidRPr="00901D61">
        <w:rPr>
          <w:rFonts w:cs="Arial"/>
          <w:szCs w:val="20"/>
        </w:rPr>
        <w:t xml:space="preserve">aediatric adjustment </w:t>
      </w:r>
      <w:r>
        <w:rPr>
          <w:rFonts w:cs="Arial"/>
          <w:szCs w:val="20"/>
        </w:rPr>
        <w:t xml:space="preserve">is </w:t>
      </w:r>
      <w:r w:rsidRPr="00901D61">
        <w:rPr>
          <w:rFonts w:cs="Arial"/>
          <w:szCs w:val="20"/>
        </w:rPr>
        <w:t>derived by</w:t>
      </w:r>
      <w:r>
        <w:rPr>
          <w:rFonts w:cs="Arial"/>
          <w:szCs w:val="20"/>
        </w:rPr>
        <w:t xml:space="preserve"> AR-DRG</w:t>
      </w:r>
      <w:r w:rsidRPr="00901D61">
        <w:rPr>
          <w:rFonts w:cs="Arial"/>
          <w:szCs w:val="20"/>
        </w:rPr>
        <w:t xml:space="preserve"> using a process similar to the </w:t>
      </w:r>
      <w:r>
        <w:rPr>
          <w:rFonts w:cs="Arial"/>
          <w:szCs w:val="20"/>
        </w:rPr>
        <w:t>201</w:t>
      </w:r>
      <w:r w:rsidR="001E61C3">
        <w:rPr>
          <w:rFonts w:cs="Arial"/>
          <w:szCs w:val="20"/>
        </w:rPr>
        <w:t>1</w:t>
      </w:r>
      <w:r>
        <w:rPr>
          <w:rFonts w:cs="Arial"/>
          <w:szCs w:val="20"/>
        </w:rPr>
        <w:t>-1</w:t>
      </w:r>
      <w:r w:rsidR="001E61C3">
        <w:rPr>
          <w:rFonts w:cs="Arial"/>
          <w:szCs w:val="20"/>
        </w:rPr>
        <w:t>2</w:t>
      </w:r>
      <w:r w:rsidRPr="00901D61">
        <w:rPr>
          <w:rFonts w:cs="Arial"/>
          <w:szCs w:val="20"/>
        </w:rPr>
        <w:t xml:space="preserve"> acute admitted cost </w:t>
      </w:r>
      <w:proofErr w:type="gramStart"/>
      <w:r w:rsidRPr="00901D61">
        <w:rPr>
          <w:rFonts w:cs="Arial"/>
          <w:szCs w:val="20"/>
        </w:rPr>
        <w:t>model</w:t>
      </w:r>
      <w:proofErr w:type="gramEnd"/>
      <w:r w:rsidRPr="00901D61">
        <w:rPr>
          <w:rFonts w:cs="Arial"/>
          <w:szCs w:val="20"/>
        </w:rPr>
        <w:t xml:space="preserve">. Specialised </w:t>
      </w:r>
      <w:r>
        <w:rPr>
          <w:rFonts w:cs="Arial"/>
          <w:szCs w:val="20"/>
        </w:rPr>
        <w:t>p</w:t>
      </w:r>
      <w:r w:rsidRPr="00901D61">
        <w:rPr>
          <w:rFonts w:cs="Arial"/>
          <w:szCs w:val="20"/>
        </w:rPr>
        <w:t xml:space="preserve">aediatric </w:t>
      </w:r>
      <w:r>
        <w:rPr>
          <w:rFonts w:cs="Arial"/>
          <w:szCs w:val="20"/>
        </w:rPr>
        <w:t>p</w:t>
      </w:r>
      <w:r w:rsidRPr="00901D61">
        <w:rPr>
          <w:rFonts w:cs="Arial"/>
          <w:szCs w:val="20"/>
        </w:rPr>
        <w:t xml:space="preserve">atients </w:t>
      </w:r>
      <w:r>
        <w:rPr>
          <w:rFonts w:cs="Arial"/>
          <w:szCs w:val="20"/>
        </w:rPr>
        <w:t>are</w:t>
      </w:r>
      <w:r w:rsidRPr="00901D61">
        <w:rPr>
          <w:rFonts w:cs="Arial"/>
          <w:szCs w:val="20"/>
        </w:rPr>
        <w:t xml:space="preserve"> identified as being less than or equal to 1</w:t>
      </w:r>
      <w:r w:rsidR="00E74059">
        <w:rPr>
          <w:rFonts w:cs="Arial"/>
          <w:szCs w:val="20"/>
        </w:rPr>
        <w:t>7</w:t>
      </w:r>
      <w:r>
        <w:rPr>
          <w:rFonts w:cs="Arial"/>
          <w:szCs w:val="20"/>
        </w:rPr>
        <w:t> </w:t>
      </w:r>
      <w:r w:rsidRPr="00901D61">
        <w:rPr>
          <w:rFonts w:cs="Arial"/>
          <w:szCs w:val="20"/>
        </w:rPr>
        <w:t xml:space="preserve">years of age, from </w:t>
      </w:r>
      <w:r>
        <w:rPr>
          <w:rFonts w:cs="Arial"/>
          <w:szCs w:val="20"/>
        </w:rPr>
        <w:t>an</w:t>
      </w:r>
      <w:r w:rsidRPr="00901D61">
        <w:rPr>
          <w:rFonts w:cs="Arial"/>
          <w:szCs w:val="20"/>
        </w:rPr>
        <w:t xml:space="preserve"> </w:t>
      </w:r>
      <w:r>
        <w:rPr>
          <w:rFonts w:cs="Arial"/>
          <w:szCs w:val="20"/>
        </w:rPr>
        <w:t xml:space="preserve">establishment identified as delivering specialised paediatric services (listed in </w:t>
      </w:r>
      <w:r w:rsidR="001E61C3">
        <w:rPr>
          <w:rFonts w:cs="Arial"/>
          <w:szCs w:val="20"/>
        </w:rPr>
        <w:t xml:space="preserve">Appendix </w:t>
      </w:r>
      <w:r w:rsidR="00770EA2">
        <w:rPr>
          <w:rFonts w:cs="Arial"/>
          <w:szCs w:val="20"/>
        </w:rPr>
        <w:t xml:space="preserve">E </w:t>
      </w:r>
      <w:r w:rsidR="001E61C3">
        <w:rPr>
          <w:rFonts w:cs="Arial"/>
          <w:szCs w:val="20"/>
        </w:rPr>
        <w:t xml:space="preserve">of the </w:t>
      </w:r>
      <w:r w:rsidR="001E61C3" w:rsidRPr="00B3571F">
        <w:rPr>
          <w:rFonts w:cs="Arial"/>
          <w:szCs w:val="20"/>
        </w:rPr>
        <w:t>NEP15 Determination</w:t>
      </w:r>
      <w:r w:rsidR="001E61C3">
        <w:rPr>
          <w:rFonts w:cs="Arial"/>
          <w:szCs w:val="20"/>
        </w:rPr>
        <w:t xml:space="preserve"> </w:t>
      </w:r>
      <w:r>
        <w:rPr>
          <w:rFonts w:cs="Arial"/>
          <w:szCs w:val="20"/>
        </w:rPr>
        <w:t>as Specialised Children’s Hospital</w:t>
      </w:r>
      <w:r w:rsidR="00157362">
        <w:rPr>
          <w:rFonts w:cs="Arial"/>
          <w:szCs w:val="20"/>
        </w:rPr>
        <w:t>s</w:t>
      </w:r>
      <w:r>
        <w:rPr>
          <w:rFonts w:cs="Arial"/>
          <w:szCs w:val="20"/>
        </w:rPr>
        <w:t>)</w:t>
      </w:r>
      <w:r w:rsidRPr="00901D61">
        <w:rPr>
          <w:rFonts w:cs="Arial"/>
          <w:szCs w:val="20"/>
        </w:rPr>
        <w:t>, and excluding</w:t>
      </w:r>
      <w:r>
        <w:rPr>
          <w:rFonts w:cs="Arial"/>
          <w:szCs w:val="20"/>
        </w:rPr>
        <w:t xml:space="preserve"> AR-DRG</w:t>
      </w:r>
      <w:r w:rsidRPr="00901D61">
        <w:rPr>
          <w:rFonts w:cs="Arial"/>
          <w:szCs w:val="20"/>
        </w:rPr>
        <w:t>s from MDC 15 (newborns and other neonates).</w:t>
      </w:r>
    </w:p>
    <w:p w:rsidR="00460371" w:rsidRPr="00901D61" w:rsidRDefault="00460371" w:rsidP="00AD4FFC">
      <w:pPr>
        <w:tabs>
          <w:tab w:val="left" w:pos="1162"/>
        </w:tabs>
        <w:rPr>
          <w:rFonts w:cs="Arial"/>
          <w:szCs w:val="20"/>
        </w:rPr>
      </w:pPr>
      <w:r w:rsidRPr="00901D61">
        <w:rPr>
          <w:rFonts w:cs="Arial"/>
          <w:szCs w:val="20"/>
        </w:rPr>
        <w:t xml:space="preserve">The </w:t>
      </w:r>
      <w:r>
        <w:rPr>
          <w:rFonts w:cs="Arial"/>
          <w:szCs w:val="20"/>
        </w:rPr>
        <w:t>p</w:t>
      </w:r>
      <w:r w:rsidRPr="00901D61">
        <w:rPr>
          <w:rFonts w:cs="Arial"/>
          <w:szCs w:val="20"/>
        </w:rPr>
        <w:t xml:space="preserve">aediatric </w:t>
      </w:r>
      <w:r>
        <w:rPr>
          <w:rFonts w:cs="Arial"/>
          <w:szCs w:val="20"/>
        </w:rPr>
        <w:t>adjustment</w:t>
      </w:r>
      <w:r w:rsidRPr="00901D61">
        <w:rPr>
          <w:rFonts w:cs="Arial"/>
          <w:szCs w:val="20"/>
        </w:rPr>
        <w:t xml:space="preserve"> </w:t>
      </w:r>
      <w:r>
        <w:rPr>
          <w:rFonts w:cs="Arial"/>
          <w:szCs w:val="20"/>
        </w:rPr>
        <w:t>for each AR-DRG is</w:t>
      </w:r>
      <w:r w:rsidRPr="00901D61">
        <w:rPr>
          <w:rFonts w:cs="Arial"/>
          <w:szCs w:val="20"/>
        </w:rPr>
        <w:t>:</w:t>
      </w:r>
    </w:p>
    <w:p w:rsidR="00460371" w:rsidRPr="00901D61" w:rsidRDefault="00460371" w:rsidP="00AD4FFC">
      <w:pPr>
        <w:pStyle w:val="ListParagraph"/>
        <w:numPr>
          <w:ilvl w:val="0"/>
          <w:numId w:val="19"/>
        </w:numPr>
        <w:tabs>
          <w:tab w:val="left" w:pos="1162"/>
        </w:tabs>
        <w:spacing w:before="80" w:after="0"/>
        <w:ind w:left="714" w:hanging="357"/>
        <w:rPr>
          <w:rFonts w:cs="Arial"/>
          <w:szCs w:val="20"/>
        </w:rPr>
      </w:pPr>
      <w:r w:rsidRPr="00901D61">
        <w:rPr>
          <w:rFonts w:cs="Arial"/>
          <w:szCs w:val="20"/>
        </w:rPr>
        <w:t>Rounded to the nearest whole per cent;</w:t>
      </w:r>
    </w:p>
    <w:p w:rsidR="00460371" w:rsidRPr="008C7046" w:rsidRDefault="00460371" w:rsidP="00AD4FFC">
      <w:pPr>
        <w:pStyle w:val="ListParagraph"/>
        <w:numPr>
          <w:ilvl w:val="0"/>
          <w:numId w:val="19"/>
        </w:numPr>
        <w:tabs>
          <w:tab w:val="left" w:pos="1162"/>
        </w:tabs>
        <w:spacing w:before="80" w:after="0"/>
        <w:ind w:left="714" w:hanging="357"/>
        <w:rPr>
          <w:rFonts w:cs="Arial"/>
          <w:szCs w:val="20"/>
        </w:rPr>
      </w:pPr>
      <w:r w:rsidRPr="00025791">
        <w:rPr>
          <w:rFonts w:cs="Arial"/>
          <w:szCs w:val="20"/>
        </w:rPr>
        <w:t>C</w:t>
      </w:r>
      <w:r w:rsidRPr="008C7046">
        <w:rPr>
          <w:rFonts w:cs="Arial"/>
          <w:szCs w:val="20"/>
        </w:rPr>
        <w:t>apped and floored at 2.0 and 0.8</w:t>
      </w:r>
      <w:r>
        <w:rPr>
          <w:rFonts w:cs="Arial"/>
          <w:szCs w:val="20"/>
        </w:rPr>
        <w:t xml:space="preserve"> respectively</w:t>
      </w:r>
      <w:r w:rsidRPr="008C7046">
        <w:rPr>
          <w:rFonts w:cs="Arial"/>
          <w:szCs w:val="20"/>
        </w:rPr>
        <w:t>; and</w:t>
      </w:r>
    </w:p>
    <w:p w:rsidR="00460371" w:rsidRPr="00063E42" w:rsidRDefault="00460371" w:rsidP="00AD4FFC">
      <w:pPr>
        <w:pStyle w:val="ListParagraph"/>
        <w:numPr>
          <w:ilvl w:val="0"/>
          <w:numId w:val="19"/>
        </w:numPr>
        <w:tabs>
          <w:tab w:val="left" w:pos="1162"/>
        </w:tabs>
        <w:spacing w:before="80" w:after="0"/>
        <w:ind w:left="714" w:hanging="357"/>
        <w:rPr>
          <w:rFonts w:cs="Arial"/>
          <w:szCs w:val="20"/>
        </w:rPr>
      </w:pPr>
      <w:r w:rsidRPr="00E57951">
        <w:rPr>
          <w:rFonts w:cs="Arial"/>
          <w:szCs w:val="20"/>
        </w:rPr>
        <w:t>Set to 1 (</w:t>
      </w:r>
      <w:r w:rsidRPr="00063E42">
        <w:rPr>
          <w:rFonts w:cs="Arial"/>
          <w:szCs w:val="20"/>
        </w:rPr>
        <w:t>i.e. no adjustment) if the adjustment was less than 0.05 either side of 1.</w:t>
      </w:r>
    </w:p>
    <w:p w:rsidR="00460371" w:rsidRDefault="00460371" w:rsidP="00AD4FFC">
      <w:pPr>
        <w:tabs>
          <w:tab w:val="left" w:pos="1162"/>
        </w:tabs>
        <w:spacing w:before="240" w:after="0"/>
        <w:rPr>
          <w:rFonts w:cs="Arial"/>
          <w:szCs w:val="20"/>
        </w:rPr>
      </w:pPr>
      <w:r w:rsidRPr="00025791">
        <w:rPr>
          <w:rFonts w:cs="Arial"/>
          <w:szCs w:val="20"/>
        </w:rPr>
        <w:t>F</w:t>
      </w:r>
      <w:r>
        <w:rPr>
          <w:rFonts w:cs="Arial"/>
          <w:szCs w:val="20"/>
        </w:rPr>
        <w:t>urther to this, the paediatric adjustment is compared against that of the 201</w:t>
      </w:r>
      <w:r w:rsidR="001E61C3">
        <w:rPr>
          <w:rFonts w:cs="Arial"/>
          <w:szCs w:val="20"/>
        </w:rPr>
        <w:t>1</w:t>
      </w:r>
      <w:r>
        <w:rPr>
          <w:rFonts w:cs="Arial"/>
          <w:szCs w:val="20"/>
        </w:rPr>
        <w:t>-1</w:t>
      </w:r>
      <w:r w:rsidR="001E61C3">
        <w:rPr>
          <w:rFonts w:cs="Arial"/>
          <w:szCs w:val="20"/>
        </w:rPr>
        <w:t>2</w:t>
      </w:r>
      <w:r>
        <w:rPr>
          <w:rFonts w:cs="Arial"/>
          <w:szCs w:val="20"/>
        </w:rPr>
        <w:t xml:space="preserve"> cost </w:t>
      </w:r>
      <w:proofErr w:type="gramStart"/>
      <w:r>
        <w:rPr>
          <w:rFonts w:cs="Arial"/>
          <w:szCs w:val="20"/>
        </w:rPr>
        <w:t>model</w:t>
      </w:r>
      <w:proofErr w:type="gramEnd"/>
      <w:r>
        <w:rPr>
          <w:rFonts w:cs="Arial"/>
          <w:szCs w:val="20"/>
        </w:rPr>
        <w:t xml:space="preserve"> for AR</w:t>
      </w:r>
      <w:r>
        <w:rPr>
          <w:rFonts w:cs="Arial"/>
          <w:szCs w:val="20"/>
        </w:rPr>
        <w:noBreakHyphen/>
        <w:t>DRGs and changes are stabilised for AR</w:t>
      </w:r>
      <w:r>
        <w:rPr>
          <w:rFonts w:cs="Arial"/>
          <w:szCs w:val="20"/>
        </w:rPr>
        <w:noBreakHyphen/>
        <w:t>DRGs where either of the cost data samples (paediatric or non-paediatric) contain fewer than 500 observations. This stabilisation involves taking the average adjustment across the two years.</w:t>
      </w:r>
    </w:p>
    <w:p w:rsidR="00460371" w:rsidRDefault="00460371" w:rsidP="00AD4FFC">
      <w:pPr>
        <w:tabs>
          <w:tab w:val="left" w:pos="1162"/>
        </w:tabs>
        <w:spacing w:before="180" w:after="0"/>
        <w:rPr>
          <w:rFonts w:cs="Arial"/>
          <w:szCs w:val="20"/>
        </w:rPr>
      </w:pPr>
      <w:r>
        <w:rPr>
          <w:rFonts w:cs="Arial"/>
          <w:szCs w:val="20"/>
        </w:rPr>
        <w:t xml:space="preserve">The cost parameters of each AR-DRG are then calibrated to ensure that the modelled costs, with paediatric adjustment applied, are equal to the actual costs of the AR-DRG. </w:t>
      </w:r>
    </w:p>
    <w:p w:rsidR="00460371" w:rsidRPr="00901D61" w:rsidRDefault="00460371" w:rsidP="00AD4FFC">
      <w:pPr>
        <w:pStyle w:val="Headingnonumber"/>
      </w:pPr>
      <w:r>
        <w:lastRenderedPageBreak/>
        <w:t>Specialist psychiatric age adjustment</w:t>
      </w:r>
    </w:p>
    <w:p w:rsidR="00460371" w:rsidRDefault="00460371" w:rsidP="00AD4FFC">
      <w:pPr>
        <w:tabs>
          <w:tab w:val="left" w:pos="1162"/>
        </w:tabs>
        <w:spacing w:after="0"/>
        <w:rPr>
          <w:rFonts w:cs="Arial"/>
          <w:szCs w:val="20"/>
        </w:rPr>
      </w:pPr>
      <w:r>
        <w:rPr>
          <w:rFonts w:cs="Arial"/>
          <w:szCs w:val="20"/>
        </w:rPr>
        <w:t xml:space="preserve">See Section </w:t>
      </w:r>
      <w:r>
        <w:rPr>
          <w:rFonts w:cs="Arial"/>
          <w:szCs w:val="20"/>
        </w:rPr>
        <w:fldChar w:fldCharType="begin"/>
      </w:r>
      <w:r>
        <w:rPr>
          <w:rFonts w:cs="Arial"/>
          <w:szCs w:val="20"/>
        </w:rPr>
        <w:instrText xml:space="preserve"> REF _Ref342306421 \r \h </w:instrText>
      </w:r>
      <w:r w:rsidR="00AD4FFC">
        <w:rPr>
          <w:rFonts w:cs="Arial"/>
          <w:szCs w:val="20"/>
        </w:rPr>
        <w:instrText xml:space="preserve"> \* MERGEFORMAT </w:instrText>
      </w:r>
      <w:r>
        <w:rPr>
          <w:rFonts w:cs="Arial"/>
          <w:szCs w:val="20"/>
        </w:rPr>
      </w:r>
      <w:r>
        <w:rPr>
          <w:rFonts w:cs="Arial"/>
          <w:szCs w:val="20"/>
        </w:rPr>
        <w:fldChar w:fldCharType="separate"/>
      </w:r>
      <w:r w:rsidR="00915776">
        <w:rPr>
          <w:rFonts w:cs="Arial"/>
          <w:szCs w:val="20"/>
        </w:rPr>
        <w:t>3</w:t>
      </w:r>
      <w:r>
        <w:rPr>
          <w:rFonts w:cs="Arial"/>
          <w:szCs w:val="20"/>
        </w:rPr>
        <w:fldChar w:fldCharType="end"/>
      </w:r>
      <w:r>
        <w:rPr>
          <w:rFonts w:cs="Arial"/>
          <w:szCs w:val="20"/>
        </w:rPr>
        <w:t>.</w:t>
      </w:r>
    </w:p>
    <w:p w:rsidR="00460371" w:rsidRPr="00901D61" w:rsidRDefault="00460371" w:rsidP="00AD4FFC">
      <w:pPr>
        <w:pStyle w:val="Headingnonumber"/>
      </w:pPr>
      <w:r w:rsidRPr="00901D61">
        <w:t xml:space="preserve">Indigenous </w:t>
      </w:r>
      <w:r>
        <w:t>a</w:t>
      </w:r>
      <w:r w:rsidRPr="00901D61">
        <w:t xml:space="preserve">djustment and </w:t>
      </w:r>
      <w:r>
        <w:t>remoteness</w:t>
      </w:r>
      <w:r w:rsidRPr="00901D61">
        <w:t xml:space="preserve"> </w:t>
      </w:r>
      <w:r>
        <w:t>a</w:t>
      </w:r>
      <w:r w:rsidRPr="00901D61">
        <w:t>djustment</w:t>
      </w:r>
    </w:p>
    <w:p w:rsidR="00FF4DCF" w:rsidRPr="00FF4DCF" w:rsidRDefault="00FF4DCF" w:rsidP="00AD4FFC">
      <w:pPr>
        <w:tabs>
          <w:tab w:val="left" w:pos="1162"/>
        </w:tabs>
        <w:rPr>
          <w:rFonts w:cs="Arial"/>
          <w:szCs w:val="20"/>
        </w:rPr>
      </w:pPr>
      <w:r w:rsidRPr="00FF4DCF">
        <w:rPr>
          <w:rFonts w:cs="Arial"/>
          <w:szCs w:val="20"/>
        </w:rPr>
        <w:t>These adjustments are derived in the same way as in the 2009-10, 2010-11 and 2011-12 cost models:</w:t>
      </w:r>
    </w:p>
    <w:p w:rsidR="00460371" w:rsidRPr="00901D61" w:rsidRDefault="00460371" w:rsidP="00C245E0">
      <w:pPr>
        <w:pStyle w:val="ListParagraph"/>
        <w:numPr>
          <w:ilvl w:val="0"/>
          <w:numId w:val="50"/>
        </w:numPr>
        <w:tabs>
          <w:tab w:val="left" w:pos="1162"/>
        </w:tabs>
        <w:spacing w:before="80" w:after="0"/>
        <w:ind w:left="714" w:hanging="357"/>
        <w:rPr>
          <w:rFonts w:cs="Arial"/>
          <w:szCs w:val="20"/>
        </w:rPr>
      </w:pPr>
      <w:r w:rsidRPr="00901D61">
        <w:rPr>
          <w:rFonts w:cs="Arial"/>
          <w:szCs w:val="20"/>
        </w:rPr>
        <w:t>A multivariate least squares weighted regression mo</w:t>
      </w:r>
      <w:r>
        <w:rPr>
          <w:rFonts w:cs="Arial"/>
          <w:szCs w:val="20"/>
        </w:rPr>
        <w:t>del is used to estimate the extent to which i</w:t>
      </w:r>
      <w:r w:rsidRPr="00901D61">
        <w:rPr>
          <w:rFonts w:cs="Arial"/>
          <w:szCs w:val="20"/>
        </w:rPr>
        <w:t xml:space="preserve">ndigenous status </w:t>
      </w:r>
      <w:r>
        <w:rPr>
          <w:rFonts w:cs="Arial"/>
          <w:szCs w:val="20"/>
        </w:rPr>
        <w:t xml:space="preserve">and remoteness of a patient’s usual residence </w:t>
      </w:r>
      <w:r w:rsidRPr="00901D61">
        <w:rPr>
          <w:rFonts w:cs="Arial"/>
          <w:szCs w:val="20"/>
        </w:rPr>
        <w:t>explain</w:t>
      </w:r>
      <w:r>
        <w:rPr>
          <w:rFonts w:cs="Arial"/>
          <w:szCs w:val="20"/>
        </w:rPr>
        <w:t>s the</w:t>
      </w:r>
      <w:r w:rsidRPr="00901D61">
        <w:rPr>
          <w:rFonts w:cs="Arial"/>
          <w:szCs w:val="20"/>
        </w:rPr>
        <w:t xml:space="preserve"> variation in the </w:t>
      </w:r>
      <w:r>
        <w:rPr>
          <w:rFonts w:cs="Arial"/>
          <w:szCs w:val="20"/>
        </w:rPr>
        <w:t xml:space="preserve">mean </w:t>
      </w:r>
      <w:r w:rsidRPr="00901D61">
        <w:rPr>
          <w:rFonts w:cs="Arial"/>
          <w:szCs w:val="20"/>
        </w:rPr>
        <w:t>cost per weighted episode</w:t>
      </w:r>
      <w:r>
        <w:rPr>
          <w:rFonts w:cs="Arial"/>
          <w:szCs w:val="20"/>
        </w:rPr>
        <w:t>. Episodes are weighted to control the level to which the model already explains costs (i.e. through the AR</w:t>
      </w:r>
      <w:r w:rsidR="00253913">
        <w:rPr>
          <w:rFonts w:cs="Arial"/>
          <w:szCs w:val="20"/>
        </w:rPr>
        <w:noBreakHyphen/>
      </w:r>
      <w:r>
        <w:rPr>
          <w:rFonts w:cs="Arial"/>
          <w:szCs w:val="20"/>
        </w:rPr>
        <w:t xml:space="preserve">DRG inlier/outlier model together with the paediatric and specialist psychiatric age adjustments). </w:t>
      </w:r>
      <w:r w:rsidRPr="00901D61">
        <w:rPr>
          <w:rFonts w:cs="Arial"/>
          <w:szCs w:val="20"/>
        </w:rPr>
        <w:t xml:space="preserve">The </w:t>
      </w:r>
      <w:r>
        <w:rPr>
          <w:rFonts w:cs="Arial"/>
          <w:szCs w:val="20"/>
        </w:rPr>
        <w:t xml:space="preserve">coefficients </w:t>
      </w:r>
      <w:r w:rsidRPr="00901D61">
        <w:rPr>
          <w:rFonts w:cs="Arial"/>
          <w:szCs w:val="20"/>
        </w:rPr>
        <w:t xml:space="preserve">estimated from this model indicate the extent to which </w:t>
      </w:r>
      <w:r>
        <w:rPr>
          <w:rFonts w:cs="Arial"/>
          <w:szCs w:val="20"/>
        </w:rPr>
        <w:t>indigenous status and remoteness of a patient’s usual residence</w:t>
      </w:r>
      <w:r w:rsidRPr="00901D61">
        <w:rPr>
          <w:rFonts w:cs="Arial"/>
          <w:szCs w:val="20"/>
        </w:rPr>
        <w:t xml:space="preserve"> explain</w:t>
      </w:r>
      <w:r>
        <w:rPr>
          <w:rFonts w:cs="Arial"/>
          <w:szCs w:val="20"/>
        </w:rPr>
        <w:t>s</w:t>
      </w:r>
      <w:r w:rsidRPr="00901D61">
        <w:rPr>
          <w:rFonts w:cs="Arial"/>
          <w:szCs w:val="20"/>
        </w:rPr>
        <w:t xml:space="preserve"> </w:t>
      </w:r>
      <w:r>
        <w:rPr>
          <w:rFonts w:cs="Arial"/>
          <w:szCs w:val="20"/>
        </w:rPr>
        <w:t xml:space="preserve">residual </w:t>
      </w:r>
      <w:r w:rsidRPr="00901D61">
        <w:rPr>
          <w:rFonts w:cs="Arial"/>
          <w:szCs w:val="20"/>
        </w:rPr>
        <w:t>variation in cost</w:t>
      </w:r>
      <w:r>
        <w:rPr>
          <w:rFonts w:cs="Arial"/>
          <w:szCs w:val="20"/>
        </w:rPr>
        <w:t xml:space="preserve">s. </w:t>
      </w:r>
    </w:p>
    <w:p w:rsidR="00460371" w:rsidRPr="00901D61" w:rsidRDefault="00460371" w:rsidP="00C245E0">
      <w:pPr>
        <w:pStyle w:val="ListParagraph"/>
        <w:numPr>
          <w:ilvl w:val="0"/>
          <w:numId w:val="50"/>
        </w:numPr>
        <w:tabs>
          <w:tab w:val="left" w:pos="1162"/>
        </w:tabs>
        <w:spacing w:before="80" w:after="0"/>
        <w:ind w:left="714" w:hanging="357"/>
        <w:rPr>
          <w:rFonts w:cs="Arial"/>
          <w:szCs w:val="20"/>
        </w:rPr>
      </w:pPr>
      <w:r w:rsidRPr="00901D61">
        <w:rPr>
          <w:rFonts w:cs="Arial"/>
          <w:szCs w:val="20"/>
        </w:rPr>
        <w:t>The anal</w:t>
      </w:r>
      <w:r>
        <w:rPr>
          <w:rFonts w:cs="Arial"/>
          <w:szCs w:val="20"/>
        </w:rPr>
        <w:t>ysis yields an adjustment for i</w:t>
      </w:r>
      <w:r w:rsidRPr="00901D61">
        <w:rPr>
          <w:rFonts w:cs="Arial"/>
          <w:szCs w:val="20"/>
        </w:rPr>
        <w:t>ndigenous patients and three adjustments for patients resid</w:t>
      </w:r>
      <w:r>
        <w:rPr>
          <w:rFonts w:cs="Arial"/>
          <w:szCs w:val="20"/>
        </w:rPr>
        <w:t>ing</w:t>
      </w:r>
      <w:r w:rsidRPr="00901D61">
        <w:rPr>
          <w:rFonts w:cs="Arial"/>
          <w:szCs w:val="20"/>
        </w:rPr>
        <w:t xml:space="preserve"> in outer regional, remote and very remote areas</w:t>
      </w:r>
      <w:r>
        <w:rPr>
          <w:rFonts w:cs="Arial"/>
          <w:szCs w:val="20"/>
        </w:rPr>
        <w:t>.</w:t>
      </w:r>
    </w:p>
    <w:p w:rsidR="00460371" w:rsidRPr="00063E42" w:rsidRDefault="00460371" w:rsidP="00C245E0">
      <w:pPr>
        <w:pStyle w:val="ListParagraph"/>
        <w:numPr>
          <w:ilvl w:val="0"/>
          <w:numId w:val="50"/>
        </w:numPr>
        <w:tabs>
          <w:tab w:val="left" w:pos="1162"/>
        </w:tabs>
        <w:spacing w:before="80" w:after="0"/>
        <w:ind w:left="714" w:hanging="357"/>
        <w:rPr>
          <w:rFonts w:cs="Arial"/>
          <w:szCs w:val="20"/>
        </w:rPr>
      </w:pPr>
      <w:r w:rsidRPr="00901D61">
        <w:rPr>
          <w:rFonts w:cs="Arial"/>
          <w:szCs w:val="20"/>
        </w:rPr>
        <w:t>The adjustments are additive where more than one adjustment applies</w:t>
      </w:r>
      <w:r w:rsidR="00FF4DCF">
        <w:rPr>
          <w:rFonts w:cs="Arial"/>
          <w:szCs w:val="20"/>
        </w:rPr>
        <w:t xml:space="preserve">, </w:t>
      </w:r>
      <w:r>
        <w:rPr>
          <w:rFonts w:cs="Arial"/>
          <w:szCs w:val="20"/>
        </w:rPr>
        <w:t xml:space="preserve">for example, where </w:t>
      </w:r>
      <w:r w:rsidRPr="00901D61">
        <w:rPr>
          <w:rFonts w:cs="Arial"/>
          <w:szCs w:val="20"/>
        </w:rPr>
        <w:t xml:space="preserve">an </w:t>
      </w:r>
      <w:r>
        <w:rPr>
          <w:rFonts w:cs="Arial"/>
          <w:szCs w:val="20"/>
        </w:rPr>
        <w:t>i</w:t>
      </w:r>
      <w:r w:rsidRPr="00901D61">
        <w:rPr>
          <w:rFonts w:cs="Arial"/>
          <w:szCs w:val="20"/>
        </w:rPr>
        <w:t>ndigenous patient resid</w:t>
      </w:r>
      <w:r>
        <w:rPr>
          <w:rFonts w:cs="Arial"/>
          <w:szCs w:val="20"/>
        </w:rPr>
        <w:t>es</w:t>
      </w:r>
      <w:r w:rsidRPr="00901D61">
        <w:rPr>
          <w:rFonts w:cs="Arial"/>
          <w:szCs w:val="20"/>
        </w:rPr>
        <w:t xml:space="preserve"> in </w:t>
      </w:r>
      <w:r>
        <w:rPr>
          <w:rFonts w:cs="Arial"/>
          <w:szCs w:val="20"/>
        </w:rPr>
        <w:t xml:space="preserve">a </w:t>
      </w:r>
      <w:r w:rsidRPr="00901D61">
        <w:rPr>
          <w:rFonts w:cs="Arial"/>
          <w:szCs w:val="20"/>
        </w:rPr>
        <w:t>remote area</w:t>
      </w:r>
      <w:r>
        <w:rPr>
          <w:rFonts w:cs="Arial"/>
          <w:szCs w:val="20"/>
        </w:rPr>
        <w:t xml:space="preserve">, an adjustment equal to the addition of the indigenous and </w:t>
      </w:r>
      <w:r w:rsidRPr="00901D61">
        <w:rPr>
          <w:rFonts w:cs="Arial"/>
          <w:szCs w:val="20"/>
        </w:rPr>
        <w:t>remote</w:t>
      </w:r>
      <w:r>
        <w:rPr>
          <w:rFonts w:cs="Arial"/>
          <w:szCs w:val="20"/>
        </w:rPr>
        <w:t>ness</w:t>
      </w:r>
      <w:r w:rsidRPr="00901D61">
        <w:rPr>
          <w:rFonts w:cs="Arial"/>
          <w:szCs w:val="20"/>
        </w:rPr>
        <w:t xml:space="preserve"> adjustment</w:t>
      </w:r>
      <w:r>
        <w:rPr>
          <w:rFonts w:cs="Arial"/>
          <w:szCs w:val="20"/>
        </w:rPr>
        <w:t>s is applicable</w:t>
      </w:r>
      <w:r w:rsidRPr="00901D61">
        <w:rPr>
          <w:rFonts w:cs="Arial"/>
          <w:szCs w:val="20"/>
        </w:rPr>
        <w:t>.</w:t>
      </w:r>
    </w:p>
    <w:p w:rsidR="00460371" w:rsidRPr="00901D61" w:rsidRDefault="00460371" w:rsidP="00AD4FFC">
      <w:pPr>
        <w:pStyle w:val="Headingnonumber"/>
      </w:pPr>
      <w:r>
        <w:t>Radiotherapy</w:t>
      </w:r>
      <w:r w:rsidRPr="00901D61">
        <w:t xml:space="preserve"> </w:t>
      </w:r>
      <w:r w:rsidR="001E61C3">
        <w:t xml:space="preserve">and dialysis </w:t>
      </w:r>
      <w:r>
        <w:t>a</w:t>
      </w:r>
      <w:r w:rsidRPr="00901D61">
        <w:t>djustment</w:t>
      </w:r>
    </w:p>
    <w:p w:rsidR="00460371" w:rsidRPr="00B3571F" w:rsidRDefault="00460371" w:rsidP="00AD4FFC">
      <w:pPr>
        <w:tabs>
          <w:tab w:val="left" w:pos="1162"/>
        </w:tabs>
        <w:rPr>
          <w:rFonts w:cs="Arial"/>
          <w:szCs w:val="20"/>
        </w:rPr>
      </w:pPr>
      <w:r w:rsidRPr="00901D61">
        <w:rPr>
          <w:rFonts w:cs="Arial"/>
          <w:szCs w:val="20"/>
        </w:rPr>
        <w:t>Th</w:t>
      </w:r>
      <w:r w:rsidR="001E61C3">
        <w:rPr>
          <w:rFonts w:cs="Arial"/>
          <w:szCs w:val="20"/>
        </w:rPr>
        <w:t>e</w:t>
      </w:r>
      <w:r w:rsidRPr="00901D61">
        <w:rPr>
          <w:rFonts w:cs="Arial"/>
          <w:szCs w:val="20"/>
        </w:rPr>
        <w:t xml:space="preserve"> </w:t>
      </w:r>
      <w:r w:rsidR="001E61C3">
        <w:rPr>
          <w:rFonts w:cs="Arial"/>
          <w:szCs w:val="20"/>
        </w:rPr>
        <w:t xml:space="preserve">dialysis </w:t>
      </w:r>
      <w:r>
        <w:rPr>
          <w:rFonts w:cs="Arial"/>
          <w:szCs w:val="20"/>
        </w:rPr>
        <w:t xml:space="preserve">adjustment is new for </w:t>
      </w:r>
      <w:r w:rsidR="00B94FB5">
        <w:rPr>
          <w:rFonts w:cs="Arial"/>
          <w:szCs w:val="20"/>
        </w:rPr>
        <w:t>NEP15</w:t>
      </w:r>
      <w:r w:rsidR="00FF4DCF">
        <w:rPr>
          <w:rFonts w:cs="Arial"/>
          <w:szCs w:val="20"/>
        </w:rPr>
        <w:t xml:space="preserve"> and is derived in a</w:t>
      </w:r>
      <w:r>
        <w:rPr>
          <w:rFonts w:cs="Arial"/>
          <w:szCs w:val="20"/>
        </w:rPr>
        <w:t xml:space="preserve"> similar way and at the same time as the indigenous and remoteness adjustments. T</w:t>
      </w:r>
      <w:r w:rsidR="001E61C3">
        <w:rPr>
          <w:rFonts w:cs="Arial"/>
          <w:szCs w:val="20"/>
        </w:rPr>
        <w:t>ogether with the radiotherapy adjustment, t</w:t>
      </w:r>
      <w:r>
        <w:rPr>
          <w:rFonts w:cs="Arial"/>
          <w:szCs w:val="20"/>
        </w:rPr>
        <w:t>he adjustment</w:t>
      </w:r>
      <w:r w:rsidR="001E61C3">
        <w:rPr>
          <w:rFonts w:cs="Arial"/>
          <w:szCs w:val="20"/>
        </w:rPr>
        <w:t>s</w:t>
      </w:r>
      <w:r>
        <w:rPr>
          <w:rFonts w:cs="Arial"/>
          <w:szCs w:val="20"/>
        </w:rPr>
        <w:t xml:space="preserve"> compensate for the extra costs of </w:t>
      </w:r>
      <w:r w:rsidR="00701984">
        <w:rPr>
          <w:rFonts w:cs="Arial"/>
          <w:szCs w:val="20"/>
        </w:rPr>
        <w:t xml:space="preserve">dialysis-related </w:t>
      </w:r>
      <w:r w:rsidR="001E61C3">
        <w:rPr>
          <w:rFonts w:cs="Arial"/>
          <w:szCs w:val="20"/>
        </w:rPr>
        <w:t xml:space="preserve">and </w:t>
      </w:r>
      <w:r w:rsidR="00701984">
        <w:rPr>
          <w:rFonts w:cs="Arial"/>
          <w:szCs w:val="20"/>
        </w:rPr>
        <w:t xml:space="preserve">radiotherapy-related </w:t>
      </w:r>
      <w:r w:rsidR="001E61C3">
        <w:rPr>
          <w:rFonts w:cs="Arial"/>
          <w:szCs w:val="20"/>
        </w:rPr>
        <w:t>procedures</w:t>
      </w:r>
      <w:r w:rsidR="00701984">
        <w:rPr>
          <w:rFonts w:cs="Arial"/>
          <w:szCs w:val="20"/>
        </w:rPr>
        <w:t>,</w:t>
      </w:r>
      <w:r w:rsidR="001E61C3">
        <w:rPr>
          <w:rFonts w:cs="Arial"/>
          <w:szCs w:val="20"/>
        </w:rPr>
        <w:t xml:space="preserve"> </w:t>
      </w:r>
      <w:r>
        <w:rPr>
          <w:rFonts w:cs="Arial"/>
          <w:szCs w:val="20"/>
        </w:rPr>
        <w:t xml:space="preserve">as specified in Appendix </w:t>
      </w:r>
      <w:r w:rsidRPr="00701984">
        <w:rPr>
          <w:rFonts w:cs="Arial"/>
          <w:szCs w:val="20"/>
        </w:rPr>
        <w:t>B</w:t>
      </w:r>
      <w:r>
        <w:rPr>
          <w:rFonts w:cs="Arial"/>
          <w:szCs w:val="20"/>
        </w:rPr>
        <w:t xml:space="preserve"> </w:t>
      </w:r>
      <w:r w:rsidR="00770EA2">
        <w:rPr>
          <w:rFonts w:cs="Arial"/>
          <w:szCs w:val="20"/>
        </w:rPr>
        <w:t xml:space="preserve">and C </w:t>
      </w:r>
      <w:r>
        <w:rPr>
          <w:rFonts w:cs="Arial"/>
          <w:szCs w:val="20"/>
        </w:rPr>
        <w:t xml:space="preserve">of the </w:t>
      </w:r>
      <w:r w:rsidR="00B94FB5" w:rsidRPr="00B3571F">
        <w:rPr>
          <w:rFonts w:cs="Arial"/>
          <w:szCs w:val="20"/>
        </w:rPr>
        <w:t>NEP15</w:t>
      </w:r>
      <w:r w:rsidRPr="00B3571F">
        <w:rPr>
          <w:rFonts w:cs="Arial"/>
          <w:szCs w:val="20"/>
        </w:rPr>
        <w:t xml:space="preserve"> Determination</w:t>
      </w:r>
      <w:r w:rsidR="008E0156" w:rsidRPr="00B3571F">
        <w:rPr>
          <w:rFonts w:cs="Arial"/>
          <w:szCs w:val="20"/>
        </w:rPr>
        <w:t>.</w:t>
      </w:r>
    </w:p>
    <w:p w:rsidR="008B4D5E" w:rsidRPr="00901D61" w:rsidRDefault="008B4D5E" w:rsidP="00AD4FFC">
      <w:pPr>
        <w:tabs>
          <w:tab w:val="left" w:pos="1162"/>
        </w:tabs>
        <w:rPr>
          <w:rFonts w:cs="Arial"/>
          <w:szCs w:val="20"/>
        </w:rPr>
      </w:pPr>
      <w:r>
        <w:rPr>
          <w:rFonts w:cs="Arial"/>
          <w:szCs w:val="20"/>
        </w:rPr>
        <w:t>These two adj</w:t>
      </w:r>
      <w:r w:rsidR="00B608FC">
        <w:rPr>
          <w:rFonts w:cs="Arial"/>
          <w:szCs w:val="20"/>
        </w:rPr>
        <w:t>ustments are additive with the i</w:t>
      </w:r>
      <w:r>
        <w:rPr>
          <w:rFonts w:cs="Arial"/>
          <w:szCs w:val="20"/>
        </w:rPr>
        <w:t>ndigenous and remoteness adjustments.</w:t>
      </w:r>
    </w:p>
    <w:p w:rsidR="00B32A11" w:rsidRDefault="00B32A11" w:rsidP="00AD4FFC">
      <w:pPr>
        <w:tabs>
          <w:tab w:val="left" w:pos="1162"/>
        </w:tabs>
        <w:rPr>
          <w:rFonts w:cs="Arial"/>
          <w:szCs w:val="20"/>
        </w:rPr>
      </w:pPr>
      <w:r>
        <w:rPr>
          <w:rFonts w:cs="Arial"/>
          <w:szCs w:val="20"/>
        </w:rPr>
        <w:t>AR-DRG cost parameters are then uniformly calibrated to ensure cost neutrality of the model (including indigenous, remoteness, radiotherapy and dialysis adjustments) against actual costs.</w:t>
      </w:r>
    </w:p>
    <w:p w:rsidR="00B32A11" w:rsidRPr="00B85B5A" w:rsidRDefault="00B32A11" w:rsidP="00AD4FFC">
      <w:pPr>
        <w:pStyle w:val="Heading3"/>
        <w:keepLines w:val="0"/>
        <w:numPr>
          <w:ilvl w:val="2"/>
          <w:numId w:val="35"/>
        </w:numPr>
        <w:tabs>
          <w:tab w:val="left" w:pos="1162"/>
        </w:tabs>
        <w:spacing w:before="240" w:after="120"/>
      </w:pPr>
      <w:bookmarkStart w:id="64" w:name="_Ref349765580"/>
      <w:bookmarkStart w:id="65" w:name="_Toc380754704"/>
      <w:bookmarkStart w:id="66" w:name="_Toc412550721"/>
      <w:r>
        <w:t>Private patient adjustments</w:t>
      </w:r>
      <w:bookmarkEnd w:id="64"/>
      <w:bookmarkEnd w:id="65"/>
      <w:bookmarkEnd w:id="66"/>
    </w:p>
    <w:p w:rsidR="00B32A11" w:rsidRPr="00901D61" w:rsidRDefault="00B32A11" w:rsidP="00AD4FFC">
      <w:pPr>
        <w:tabs>
          <w:tab w:val="left" w:pos="1162"/>
        </w:tabs>
        <w:rPr>
          <w:rFonts w:cs="Arial"/>
          <w:szCs w:val="20"/>
        </w:rPr>
      </w:pPr>
      <w:r w:rsidRPr="00901D61">
        <w:rPr>
          <w:rFonts w:cs="Arial"/>
          <w:szCs w:val="20"/>
        </w:rPr>
        <w:t>Private patient episodes in scope for ABF include those episodes occurring in a public hospital with a funding source of either ‘0</w:t>
      </w:r>
      <w:r>
        <w:rPr>
          <w:rFonts w:cs="Arial"/>
          <w:szCs w:val="20"/>
        </w:rPr>
        <w:t>9</w:t>
      </w:r>
      <w:r w:rsidRPr="00901D61">
        <w:rPr>
          <w:rFonts w:cs="Arial"/>
          <w:szCs w:val="20"/>
        </w:rPr>
        <w:t xml:space="preserve"> Private health i</w:t>
      </w:r>
      <w:r>
        <w:rPr>
          <w:rFonts w:cs="Arial"/>
          <w:szCs w:val="20"/>
        </w:rPr>
        <w:t>nsurance’ or ‘13 Self-funded’ in the 2012-13 data sets.</w:t>
      </w:r>
    </w:p>
    <w:p w:rsidR="00B32A11" w:rsidRPr="00901D61" w:rsidRDefault="00B32A11" w:rsidP="00AD4FFC">
      <w:pPr>
        <w:tabs>
          <w:tab w:val="left" w:pos="1162"/>
        </w:tabs>
        <w:rPr>
          <w:rFonts w:cs="Arial"/>
          <w:szCs w:val="20"/>
        </w:rPr>
      </w:pPr>
      <w:r w:rsidRPr="00901D61">
        <w:rPr>
          <w:rFonts w:cs="Arial"/>
          <w:szCs w:val="20"/>
        </w:rPr>
        <w:t>The NHRA requires that in setting NEP</w:t>
      </w:r>
      <w:r>
        <w:rPr>
          <w:rFonts w:cs="Arial"/>
          <w:szCs w:val="20"/>
        </w:rPr>
        <w:t>15</w:t>
      </w:r>
      <w:r w:rsidRPr="00901D61">
        <w:rPr>
          <w:rFonts w:cs="Arial"/>
          <w:szCs w:val="20"/>
        </w:rPr>
        <w:t>, IHPA</w:t>
      </w:r>
      <w:r>
        <w:rPr>
          <w:rFonts w:cs="Arial"/>
          <w:szCs w:val="20"/>
        </w:rPr>
        <w:t xml:space="preserve"> must</w:t>
      </w:r>
      <w:r w:rsidRPr="00901D61">
        <w:rPr>
          <w:rFonts w:cs="Arial"/>
          <w:szCs w:val="20"/>
        </w:rPr>
        <w:t xml:space="preserve"> take into account costs of private patients that are met through alternative funding sources</w:t>
      </w:r>
      <w:r>
        <w:rPr>
          <w:rFonts w:cs="Arial"/>
          <w:szCs w:val="20"/>
        </w:rPr>
        <w:t xml:space="preserve">. </w:t>
      </w:r>
      <w:r w:rsidRPr="00901D61">
        <w:rPr>
          <w:rFonts w:cs="Arial"/>
          <w:szCs w:val="20"/>
        </w:rPr>
        <w:t>These alternative sources include medical benefits payments by the Australian Government, private health insurance benefits payments and payments made by patients</w:t>
      </w:r>
      <w:r>
        <w:rPr>
          <w:rFonts w:cs="Arial"/>
          <w:szCs w:val="20"/>
        </w:rPr>
        <w:t xml:space="preserve">. </w:t>
      </w:r>
    </w:p>
    <w:p w:rsidR="00B32A11" w:rsidRDefault="00B32A11" w:rsidP="00AD4FFC">
      <w:pPr>
        <w:tabs>
          <w:tab w:val="left" w:pos="1162"/>
        </w:tabs>
        <w:rPr>
          <w:rFonts w:cs="Arial"/>
          <w:szCs w:val="20"/>
        </w:rPr>
      </w:pPr>
      <w:r>
        <w:rPr>
          <w:rFonts w:cs="Arial"/>
          <w:szCs w:val="20"/>
        </w:rPr>
        <w:t xml:space="preserve">A revised methodology was introduced in NEP14 to make use of the Hospital </w:t>
      </w:r>
      <w:r w:rsidR="00450455">
        <w:rPr>
          <w:rFonts w:cs="Arial"/>
          <w:szCs w:val="20"/>
        </w:rPr>
        <w:t>Case</w:t>
      </w:r>
      <w:r w:rsidR="00D12D4B">
        <w:rPr>
          <w:rFonts w:cs="Arial"/>
          <w:szCs w:val="20"/>
        </w:rPr>
        <w:t>mix</w:t>
      </w:r>
      <w:r>
        <w:rPr>
          <w:rFonts w:cs="Arial"/>
          <w:szCs w:val="20"/>
        </w:rPr>
        <w:t xml:space="preserve"> Protocol (HCP) data set which is reported by private insurance companies. HCP data identifies both the charges and benefits paid for private patients receiving public hospital services. </w:t>
      </w:r>
    </w:p>
    <w:p w:rsidR="00B32A11" w:rsidRDefault="00B32A11" w:rsidP="00AD4FFC">
      <w:pPr>
        <w:tabs>
          <w:tab w:val="left" w:pos="1162"/>
        </w:tabs>
        <w:rPr>
          <w:rFonts w:cs="Arial"/>
          <w:szCs w:val="20"/>
        </w:rPr>
      </w:pPr>
      <w:r>
        <w:rPr>
          <w:rFonts w:cs="Arial"/>
          <w:szCs w:val="20"/>
        </w:rPr>
        <w:t xml:space="preserve">This method has been used again in the calculation of NEP15. The private patient records in the HCP data were matched with the records in the APC and NHCDC data sets. This process resulted in a sample of about 65 per cent matched records, which is slightly lower than that achieved in NEP14. The lower matching rate is due to the poor quality of data from </w:t>
      </w:r>
      <w:r>
        <w:rPr>
          <w:rFonts w:cs="Arial"/>
          <w:szCs w:val="20"/>
        </w:rPr>
        <w:lastRenderedPageBreak/>
        <w:t>some private insurers. Those private patient records in the NHCDC that were not matched to the HCP data were assumed to have similar characteristics to the matched data set.</w:t>
      </w:r>
    </w:p>
    <w:p w:rsidR="00B32A11" w:rsidRPr="00B20CF2" w:rsidRDefault="00B32A11" w:rsidP="00AD4FFC">
      <w:pPr>
        <w:tabs>
          <w:tab w:val="left" w:pos="1162"/>
        </w:tabs>
        <w:rPr>
          <w:rFonts w:cs="Arial"/>
          <w:szCs w:val="20"/>
        </w:rPr>
      </w:pPr>
      <w:r>
        <w:rPr>
          <w:rFonts w:cs="Arial"/>
          <w:szCs w:val="20"/>
        </w:rPr>
        <w:t xml:space="preserve">Using the HCP data, a more accurate estimate could be made of the amount of </w:t>
      </w:r>
      <w:r w:rsidRPr="00A24619">
        <w:rPr>
          <w:rFonts w:cs="Arial"/>
          <w:szCs w:val="20"/>
        </w:rPr>
        <w:t>private patient costs that we</w:t>
      </w:r>
      <w:r w:rsidRPr="004F047B">
        <w:rPr>
          <w:rFonts w:cs="Arial"/>
          <w:szCs w:val="20"/>
        </w:rPr>
        <w:t xml:space="preserve">re not included in the NHCDC costing data and needed a correction factor applied. </w:t>
      </w:r>
      <w:r>
        <w:rPr>
          <w:rFonts w:cs="Arial"/>
          <w:szCs w:val="20"/>
        </w:rPr>
        <w:t>A</w:t>
      </w:r>
      <w:r w:rsidRPr="004F047B">
        <w:rPr>
          <w:rFonts w:cs="Arial"/>
          <w:szCs w:val="20"/>
        </w:rPr>
        <w:t xml:space="preserve"> correction factor </w:t>
      </w:r>
      <w:r w:rsidRPr="00B20CF2">
        <w:rPr>
          <w:rFonts w:cs="Arial"/>
          <w:szCs w:val="20"/>
        </w:rPr>
        <w:t xml:space="preserve">of </w:t>
      </w:r>
      <w:r>
        <w:rPr>
          <w:rFonts w:cs="Arial"/>
          <w:szCs w:val="20"/>
        </w:rPr>
        <w:t>1.9 per cent</w:t>
      </w:r>
      <w:r w:rsidRPr="00B20CF2">
        <w:rPr>
          <w:rFonts w:cs="Arial"/>
          <w:szCs w:val="20"/>
        </w:rPr>
        <w:t xml:space="preserve"> </w:t>
      </w:r>
      <w:r>
        <w:rPr>
          <w:rFonts w:cs="Arial"/>
          <w:szCs w:val="20"/>
        </w:rPr>
        <w:t xml:space="preserve">is </w:t>
      </w:r>
      <w:r w:rsidRPr="004F047B">
        <w:rPr>
          <w:rFonts w:cs="Arial"/>
          <w:szCs w:val="20"/>
        </w:rPr>
        <w:t xml:space="preserve">estimated </w:t>
      </w:r>
      <w:r>
        <w:rPr>
          <w:rFonts w:cs="Arial"/>
          <w:szCs w:val="20"/>
        </w:rPr>
        <w:t>for</w:t>
      </w:r>
      <w:r w:rsidRPr="004F047B">
        <w:rPr>
          <w:rFonts w:cs="Arial"/>
          <w:szCs w:val="20"/>
        </w:rPr>
        <w:t xml:space="preserve"> NEP1</w:t>
      </w:r>
      <w:r>
        <w:rPr>
          <w:rFonts w:cs="Arial"/>
          <w:szCs w:val="20"/>
        </w:rPr>
        <w:t>5</w:t>
      </w:r>
      <w:r w:rsidRPr="004F047B">
        <w:rPr>
          <w:rFonts w:cs="Arial"/>
          <w:szCs w:val="20"/>
        </w:rPr>
        <w:t xml:space="preserve"> </w:t>
      </w:r>
      <w:r>
        <w:rPr>
          <w:rFonts w:cs="Arial"/>
          <w:szCs w:val="20"/>
        </w:rPr>
        <w:t xml:space="preserve">which is slightly higher than the </w:t>
      </w:r>
      <w:r w:rsidRPr="004F047B">
        <w:rPr>
          <w:rFonts w:cs="Arial"/>
          <w:szCs w:val="20"/>
        </w:rPr>
        <w:t>1.7</w:t>
      </w:r>
      <w:r>
        <w:rPr>
          <w:rFonts w:cs="Arial"/>
          <w:szCs w:val="20"/>
        </w:rPr>
        <w:t xml:space="preserve"> per cent</w:t>
      </w:r>
      <w:r w:rsidRPr="00A24619">
        <w:rPr>
          <w:rFonts w:cs="Arial"/>
          <w:szCs w:val="20"/>
        </w:rPr>
        <w:t xml:space="preserve"> </w:t>
      </w:r>
      <w:r>
        <w:rPr>
          <w:rFonts w:cs="Arial"/>
          <w:szCs w:val="20"/>
        </w:rPr>
        <w:t>in</w:t>
      </w:r>
      <w:r w:rsidRPr="00A24619">
        <w:rPr>
          <w:rFonts w:cs="Arial"/>
          <w:szCs w:val="20"/>
        </w:rPr>
        <w:t xml:space="preserve"> </w:t>
      </w:r>
      <w:r>
        <w:rPr>
          <w:rFonts w:cs="Arial"/>
          <w:szCs w:val="20"/>
        </w:rPr>
        <w:t>NEP14 (mainly the result of a higher proportion of private patients in 2012-13)</w:t>
      </w:r>
      <w:r w:rsidRPr="004F047B">
        <w:rPr>
          <w:rFonts w:cs="Arial"/>
          <w:szCs w:val="20"/>
        </w:rPr>
        <w:t>.</w:t>
      </w:r>
      <w:r w:rsidRPr="00B20CF2">
        <w:rPr>
          <w:rFonts w:cs="Arial"/>
          <w:szCs w:val="20"/>
        </w:rPr>
        <w:t xml:space="preserve"> </w:t>
      </w:r>
    </w:p>
    <w:p w:rsidR="00B32A11" w:rsidRDefault="00B32A11" w:rsidP="00AD4FFC">
      <w:pPr>
        <w:tabs>
          <w:tab w:val="left" w:pos="1162"/>
        </w:tabs>
        <w:rPr>
          <w:rFonts w:cs="Arial"/>
          <w:szCs w:val="20"/>
        </w:rPr>
      </w:pPr>
      <w:r w:rsidRPr="004F047B">
        <w:rPr>
          <w:rFonts w:cs="Arial"/>
          <w:szCs w:val="20"/>
        </w:rPr>
        <w:t>The HCP data provide</w:t>
      </w:r>
      <w:r>
        <w:rPr>
          <w:rFonts w:cs="Arial"/>
          <w:szCs w:val="20"/>
        </w:rPr>
        <w:t>s</w:t>
      </w:r>
      <w:r w:rsidRPr="004F047B">
        <w:rPr>
          <w:rFonts w:cs="Arial"/>
          <w:szCs w:val="20"/>
        </w:rPr>
        <w:t xml:space="preserve"> a more accurate amount of benefits received from MBS and private insurers for medical hospital services and prostheses</w:t>
      </w:r>
      <w:r>
        <w:rPr>
          <w:rFonts w:cs="Arial"/>
          <w:szCs w:val="20"/>
        </w:rPr>
        <w:t xml:space="preserve"> than provided by the NHCDC.</w:t>
      </w:r>
      <w:r w:rsidRPr="004F047B">
        <w:rPr>
          <w:rFonts w:cs="Arial"/>
          <w:szCs w:val="20"/>
        </w:rPr>
        <w:t xml:space="preserve"> </w:t>
      </w:r>
      <w:r>
        <w:rPr>
          <w:rFonts w:cs="Arial"/>
          <w:szCs w:val="20"/>
        </w:rPr>
        <w:t xml:space="preserve">These benefits are </w:t>
      </w:r>
      <w:r w:rsidRPr="004F047B">
        <w:rPr>
          <w:rFonts w:cs="Arial"/>
          <w:szCs w:val="20"/>
        </w:rPr>
        <w:t>used</w:t>
      </w:r>
      <w:r>
        <w:rPr>
          <w:rFonts w:cs="Arial"/>
          <w:szCs w:val="20"/>
        </w:rPr>
        <w:t xml:space="preserve"> to calculate the private patient service adjustment.</w:t>
      </w:r>
    </w:p>
    <w:p w:rsidR="00B32A11" w:rsidRDefault="00B32A11" w:rsidP="00AD4FFC">
      <w:pPr>
        <w:tabs>
          <w:tab w:val="left" w:pos="1162"/>
        </w:tabs>
        <w:rPr>
          <w:rFonts w:cs="Arial"/>
          <w:szCs w:val="20"/>
        </w:rPr>
      </w:pPr>
      <w:r w:rsidRPr="00922B83">
        <w:rPr>
          <w:rFonts w:cs="Arial"/>
          <w:szCs w:val="20"/>
        </w:rPr>
        <w:t xml:space="preserve">A private patient service adjustment was </w:t>
      </w:r>
      <w:r>
        <w:rPr>
          <w:rFonts w:cs="Arial"/>
          <w:szCs w:val="20"/>
        </w:rPr>
        <w:t xml:space="preserve">then </w:t>
      </w:r>
      <w:r w:rsidRPr="00922B83">
        <w:rPr>
          <w:rFonts w:cs="Arial"/>
          <w:szCs w:val="20"/>
        </w:rPr>
        <w:t>calculated at the AR-DRG level, although for some AR</w:t>
      </w:r>
      <w:r>
        <w:rPr>
          <w:rFonts w:cs="Arial"/>
          <w:szCs w:val="20"/>
        </w:rPr>
        <w:noBreakHyphen/>
      </w:r>
      <w:r w:rsidRPr="00922B83">
        <w:rPr>
          <w:rFonts w:cs="Arial"/>
          <w:szCs w:val="20"/>
        </w:rPr>
        <w:t>DRG</w:t>
      </w:r>
      <w:r>
        <w:rPr>
          <w:rFonts w:cs="Arial"/>
          <w:szCs w:val="20"/>
        </w:rPr>
        <w:t>s</w:t>
      </w:r>
      <w:r w:rsidRPr="00922B83">
        <w:rPr>
          <w:rFonts w:cs="Arial"/>
          <w:szCs w:val="20"/>
        </w:rPr>
        <w:t xml:space="preserve"> with small samples,</w:t>
      </w:r>
      <w:r>
        <w:rPr>
          <w:rFonts w:cs="Arial"/>
          <w:szCs w:val="20"/>
        </w:rPr>
        <w:t xml:space="preserve"> the adjustment was derived at a more aggregate level</w:t>
      </w:r>
      <w:r w:rsidRPr="00922B83">
        <w:rPr>
          <w:rFonts w:cs="Arial"/>
          <w:szCs w:val="20"/>
        </w:rPr>
        <w:t xml:space="preserve">. </w:t>
      </w:r>
      <w:r>
        <w:rPr>
          <w:rFonts w:cs="Arial"/>
          <w:szCs w:val="20"/>
        </w:rPr>
        <w:t>The adjustment was calculated using the following ratio taken at the AR-DRG level:</w:t>
      </w:r>
    </w:p>
    <w:p w:rsidR="00B32A11" w:rsidRPr="008D5E09" w:rsidRDefault="00B32A11" w:rsidP="00AD4FFC">
      <w:pPr>
        <w:tabs>
          <w:tab w:val="left" w:pos="1162"/>
        </w:tabs>
        <w:ind w:left="360"/>
        <w:jc w:val="center"/>
        <w:rPr>
          <w:rFonts w:cs="Arial"/>
          <w:i/>
          <w:szCs w:val="20"/>
        </w:rPr>
      </w:pPr>
      <w:r>
        <w:rPr>
          <w:rFonts w:cs="Arial"/>
          <w:i/>
          <w:szCs w:val="20"/>
        </w:rPr>
        <w:t>R</w:t>
      </w:r>
      <w:r w:rsidRPr="00E93E7F">
        <w:rPr>
          <w:rFonts w:cs="Arial"/>
          <w:i/>
          <w:szCs w:val="20"/>
        </w:rPr>
        <w:t xml:space="preserve">emoved </w:t>
      </w:r>
      <w:r>
        <w:rPr>
          <w:rFonts w:cs="Arial"/>
          <w:i/>
          <w:szCs w:val="20"/>
        </w:rPr>
        <w:t xml:space="preserve">costs </w:t>
      </w:r>
      <w:r w:rsidRPr="00E93E7F">
        <w:rPr>
          <w:rFonts w:cs="Arial"/>
          <w:i/>
          <w:szCs w:val="20"/>
        </w:rPr>
        <w:t xml:space="preserve">/ Total </w:t>
      </w:r>
      <w:r>
        <w:rPr>
          <w:rFonts w:cs="Arial"/>
          <w:i/>
          <w:szCs w:val="20"/>
        </w:rPr>
        <w:t>AR-DRG model costs</w:t>
      </w:r>
    </w:p>
    <w:p w:rsidR="00B32A11" w:rsidRDefault="00B32A11" w:rsidP="00AD4FFC">
      <w:pPr>
        <w:tabs>
          <w:tab w:val="left" w:pos="1162"/>
        </w:tabs>
        <w:rPr>
          <w:rFonts w:cs="Arial"/>
          <w:szCs w:val="20"/>
        </w:rPr>
      </w:pPr>
      <w:r>
        <w:rPr>
          <w:rFonts w:cs="Arial"/>
          <w:szCs w:val="20"/>
        </w:rPr>
        <w:t xml:space="preserve">It should be noted that the AR-DRG model costs referred to here exclude the application of any other adjustments. That is, the private patient service adjustment is calculated in such a way that </w:t>
      </w:r>
      <w:r w:rsidRPr="00E57951">
        <w:rPr>
          <w:rFonts w:cs="Arial"/>
          <w:szCs w:val="20"/>
        </w:rPr>
        <w:t>excludes any effect o</w:t>
      </w:r>
      <w:r w:rsidR="00253913">
        <w:rPr>
          <w:rFonts w:cs="Arial"/>
          <w:szCs w:val="20"/>
        </w:rPr>
        <w:t>n</w:t>
      </w:r>
      <w:r w:rsidRPr="00E57951">
        <w:rPr>
          <w:rFonts w:cs="Arial"/>
          <w:szCs w:val="20"/>
        </w:rPr>
        <w:t xml:space="preserve"> the paediatric, specialist psychiatric, indigenous</w:t>
      </w:r>
      <w:r>
        <w:rPr>
          <w:rFonts w:cs="Arial"/>
          <w:szCs w:val="20"/>
        </w:rPr>
        <w:t>,</w:t>
      </w:r>
      <w:r w:rsidRPr="00E57951">
        <w:rPr>
          <w:rFonts w:cs="Arial"/>
          <w:szCs w:val="20"/>
        </w:rPr>
        <w:t xml:space="preserve"> remoteness</w:t>
      </w:r>
      <w:r>
        <w:rPr>
          <w:rFonts w:cs="Arial"/>
          <w:szCs w:val="20"/>
        </w:rPr>
        <w:t xml:space="preserve">, </w:t>
      </w:r>
      <w:r w:rsidR="00C82274">
        <w:rPr>
          <w:rFonts w:cs="Arial"/>
          <w:szCs w:val="20"/>
        </w:rPr>
        <w:t>and radiotherapy</w:t>
      </w:r>
      <w:r>
        <w:rPr>
          <w:rFonts w:cs="Arial"/>
          <w:szCs w:val="20"/>
        </w:rPr>
        <w:t xml:space="preserve"> or dialysis</w:t>
      </w:r>
      <w:r w:rsidRPr="00E57951">
        <w:rPr>
          <w:rFonts w:cs="Arial"/>
          <w:szCs w:val="20"/>
        </w:rPr>
        <w:t xml:space="preserve"> adjustments</w:t>
      </w:r>
      <w:r w:rsidRPr="00063E42">
        <w:rPr>
          <w:rFonts w:cs="Arial"/>
          <w:szCs w:val="20"/>
        </w:rPr>
        <w:t>.</w:t>
      </w:r>
    </w:p>
    <w:p w:rsidR="00460371" w:rsidRPr="00E93E7F" w:rsidRDefault="00460371" w:rsidP="00AD4FFC">
      <w:pPr>
        <w:tabs>
          <w:tab w:val="left" w:pos="1162"/>
        </w:tabs>
        <w:rPr>
          <w:rFonts w:cs="Arial"/>
          <w:szCs w:val="20"/>
        </w:rPr>
      </w:pPr>
      <w:r>
        <w:rPr>
          <w:rFonts w:cs="Arial"/>
          <w:szCs w:val="20"/>
        </w:rPr>
        <w:t>The AR-DRG cost parameters were then uniformly calibrated to ensure cost neutrality of the cost model (including private patient service adjustment and previously derived adjustments) against actual costs.</w:t>
      </w:r>
    </w:p>
    <w:p w:rsidR="00460371" w:rsidRPr="00922B83" w:rsidRDefault="00460371" w:rsidP="00AD4FFC">
      <w:pPr>
        <w:tabs>
          <w:tab w:val="left" w:pos="1162"/>
        </w:tabs>
        <w:rPr>
          <w:rFonts w:cs="Arial"/>
          <w:szCs w:val="20"/>
        </w:rPr>
      </w:pPr>
      <w:r w:rsidRPr="00922B83">
        <w:rPr>
          <w:rFonts w:cs="Arial"/>
          <w:szCs w:val="20"/>
        </w:rPr>
        <w:t>In addition to medical and prostheses cost</w:t>
      </w:r>
      <w:r>
        <w:rPr>
          <w:rFonts w:cs="Arial"/>
          <w:szCs w:val="20"/>
        </w:rPr>
        <w:t>s</w:t>
      </w:r>
      <w:r w:rsidRPr="00922B83">
        <w:rPr>
          <w:rFonts w:cs="Arial"/>
          <w:szCs w:val="20"/>
        </w:rPr>
        <w:t xml:space="preserve">, insurers are also charged for </w:t>
      </w:r>
      <w:r w:rsidRPr="00A24619">
        <w:rPr>
          <w:rFonts w:cs="Arial"/>
          <w:szCs w:val="20"/>
        </w:rPr>
        <w:t>accommodation</w:t>
      </w:r>
      <w:r w:rsidRPr="004F047B">
        <w:rPr>
          <w:rFonts w:cs="Arial"/>
          <w:szCs w:val="20"/>
        </w:rPr>
        <w:t xml:space="preserve">. A </w:t>
      </w:r>
      <w:r w:rsidRPr="00B20CF2">
        <w:rPr>
          <w:rFonts w:cs="Arial"/>
          <w:szCs w:val="20"/>
        </w:rPr>
        <w:t>p</w:t>
      </w:r>
      <w:r w:rsidRPr="004F047B">
        <w:rPr>
          <w:rFonts w:cs="Arial"/>
          <w:szCs w:val="20"/>
        </w:rPr>
        <w:t xml:space="preserve">rivate patient accommodation adjustment is applied to account for revenue received in relation to these charges. For the purpose of deriving the adjustment associated with the </w:t>
      </w:r>
      <w:r w:rsidR="00B94FB5">
        <w:rPr>
          <w:rFonts w:cs="Arial"/>
          <w:szCs w:val="20"/>
        </w:rPr>
        <w:t>2015-16</w:t>
      </w:r>
      <w:r w:rsidRPr="004F047B">
        <w:rPr>
          <w:rFonts w:cs="Arial"/>
          <w:szCs w:val="20"/>
        </w:rPr>
        <w:t xml:space="preserve"> NEP, 201</w:t>
      </w:r>
      <w:r w:rsidR="00DF61EF">
        <w:rPr>
          <w:rFonts w:cs="Arial"/>
          <w:szCs w:val="20"/>
        </w:rPr>
        <w:t>4</w:t>
      </w:r>
      <w:r w:rsidRPr="0057715E">
        <w:rPr>
          <w:rFonts w:cs="Arial"/>
          <w:szCs w:val="20"/>
        </w:rPr>
        <w:t>-1</w:t>
      </w:r>
      <w:r w:rsidR="00DF61EF">
        <w:rPr>
          <w:rFonts w:cs="Arial"/>
          <w:szCs w:val="20"/>
        </w:rPr>
        <w:t>5</w:t>
      </w:r>
      <w:r w:rsidRPr="00A24619">
        <w:rPr>
          <w:rFonts w:cs="Arial"/>
          <w:szCs w:val="20"/>
        </w:rPr>
        <w:t xml:space="preserve"> </w:t>
      </w:r>
      <w:r w:rsidRPr="004F047B">
        <w:rPr>
          <w:rFonts w:cs="Arial"/>
          <w:szCs w:val="20"/>
        </w:rPr>
        <w:t xml:space="preserve">average </w:t>
      </w:r>
      <w:r w:rsidRPr="00B20CF2">
        <w:rPr>
          <w:rFonts w:cs="Arial"/>
          <w:szCs w:val="20"/>
        </w:rPr>
        <w:t xml:space="preserve">default </w:t>
      </w:r>
      <w:r w:rsidRPr="004F047B">
        <w:rPr>
          <w:rFonts w:cs="Arial"/>
          <w:szCs w:val="20"/>
        </w:rPr>
        <w:t>benefits for private health insurers by state/territory were indexed forward one</w:t>
      </w:r>
      <w:r>
        <w:rPr>
          <w:rFonts w:cs="Arial"/>
          <w:szCs w:val="20"/>
        </w:rPr>
        <w:t xml:space="preserve"> year by </w:t>
      </w:r>
      <w:r w:rsidR="00701984">
        <w:rPr>
          <w:rFonts w:cs="Arial"/>
          <w:szCs w:val="20"/>
        </w:rPr>
        <w:t>2.0</w:t>
      </w:r>
      <w:r>
        <w:rPr>
          <w:rFonts w:cs="Arial"/>
          <w:szCs w:val="20"/>
        </w:rPr>
        <w:t xml:space="preserve"> per cent </w:t>
      </w:r>
      <w:r w:rsidR="00490245">
        <w:rPr>
          <w:rFonts w:cs="Arial"/>
          <w:szCs w:val="20"/>
        </w:rPr>
        <w:t>(i</w:t>
      </w:r>
      <w:r w:rsidR="000D75CE">
        <w:rPr>
          <w:rFonts w:cs="Arial"/>
          <w:szCs w:val="20"/>
        </w:rPr>
        <w:t>.</w:t>
      </w:r>
      <w:r w:rsidR="00490245">
        <w:rPr>
          <w:rFonts w:cs="Arial"/>
          <w:szCs w:val="20"/>
        </w:rPr>
        <w:t>e</w:t>
      </w:r>
      <w:r w:rsidR="000D75CE">
        <w:rPr>
          <w:rFonts w:cs="Arial"/>
          <w:szCs w:val="20"/>
        </w:rPr>
        <w:t>.</w:t>
      </w:r>
      <w:r w:rsidR="00DF61EF">
        <w:rPr>
          <w:rFonts w:cs="Arial"/>
          <w:szCs w:val="20"/>
        </w:rPr>
        <w:t xml:space="preserve"> by CPI as required </w:t>
      </w:r>
      <w:r w:rsidR="00B32A11">
        <w:rPr>
          <w:rFonts w:cs="Arial"/>
          <w:szCs w:val="20"/>
        </w:rPr>
        <w:t xml:space="preserve">by </w:t>
      </w:r>
      <w:r w:rsidR="00DF61EF">
        <w:rPr>
          <w:rFonts w:cs="Arial"/>
          <w:szCs w:val="20"/>
        </w:rPr>
        <w:t xml:space="preserve">legislation) </w:t>
      </w:r>
      <w:r>
        <w:rPr>
          <w:rFonts w:cs="Arial"/>
          <w:szCs w:val="20"/>
        </w:rPr>
        <w:t xml:space="preserve">to </w:t>
      </w:r>
      <w:r w:rsidR="00B94FB5">
        <w:rPr>
          <w:rFonts w:cs="Arial"/>
          <w:szCs w:val="20"/>
        </w:rPr>
        <w:t>2015</w:t>
      </w:r>
      <w:r w:rsidR="000406E0">
        <w:rPr>
          <w:rFonts w:cs="Arial"/>
          <w:szCs w:val="20"/>
        </w:rPr>
        <w:t>-</w:t>
      </w:r>
      <w:r w:rsidR="00B94FB5">
        <w:rPr>
          <w:rFonts w:cs="Arial"/>
          <w:szCs w:val="20"/>
        </w:rPr>
        <w:t>16</w:t>
      </w:r>
      <w:r>
        <w:rPr>
          <w:rFonts w:cs="Arial"/>
          <w:szCs w:val="20"/>
        </w:rPr>
        <w:t>.</w:t>
      </w:r>
    </w:p>
    <w:p w:rsidR="00B32A11" w:rsidRDefault="00B32A11" w:rsidP="00AD4FFC">
      <w:pPr>
        <w:pStyle w:val="Heading3"/>
        <w:keepLines w:val="0"/>
        <w:numPr>
          <w:ilvl w:val="2"/>
          <w:numId w:val="35"/>
        </w:numPr>
        <w:tabs>
          <w:tab w:val="left" w:pos="1162"/>
        </w:tabs>
        <w:spacing w:before="240" w:after="120"/>
      </w:pPr>
      <w:bookmarkStart w:id="67" w:name="_Ref349667532"/>
      <w:bookmarkStart w:id="68" w:name="_Toc380754705"/>
      <w:bookmarkStart w:id="69" w:name="_Toc412550722"/>
      <w:r>
        <w:t xml:space="preserve">Incorporation of outlier samples of cost </w:t>
      </w:r>
      <w:bookmarkEnd w:id="67"/>
      <w:r>
        <w:t>data</w:t>
      </w:r>
      <w:bookmarkEnd w:id="68"/>
      <w:bookmarkEnd w:id="69"/>
    </w:p>
    <w:p w:rsidR="00B32A11" w:rsidRDefault="00B32A11" w:rsidP="00AD4FFC">
      <w:pPr>
        <w:tabs>
          <w:tab w:val="left" w:pos="1162"/>
        </w:tabs>
        <w:rPr>
          <w:rFonts w:cs="Arial"/>
          <w:szCs w:val="20"/>
        </w:rPr>
      </w:pPr>
      <w:r>
        <w:rPr>
          <w:rFonts w:cs="Arial"/>
          <w:szCs w:val="20"/>
        </w:rPr>
        <w:t>The development of the cost model to this point is based on the sample of patient-level cost data evaluated as fit for use to develop AR-DRG cost profiles. Thus, the sample of patient-level cost data identified as not fit for use at the AR-DRG level have not been used within the cost model.</w:t>
      </w:r>
    </w:p>
    <w:p w:rsidR="00B32A11" w:rsidRPr="00901D61" w:rsidRDefault="00B32A11" w:rsidP="00AD4FFC">
      <w:pPr>
        <w:tabs>
          <w:tab w:val="left" w:pos="1162"/>
        </w:tabs>
        <w:rPr>
          <w:rFonts w:cs="Arial"/>
          <w:szCs w:val="20"/>
        </w:rPr>
      </w:pPr>
      <w:r>
        <w:rPr>
          <w:rFonts w:cs="Arial"/>
          <w:szCs w:val="20"/>
        </w:rPr>
        <w:t>T</w:t>
      </w:r>
      <w:r w:rsidRPr="00901D61">
        <w:rPr>
          <w:rFonts w:cs="Arial"/>
          <w:szCs w:val="20"/>
        </w:rPr>
        <w:t xml:space="preserve">he </w:t>
      </w:r>
      <w:r>
        <w:rPr>
          <w:rFonts w:cs="Arial"/>
          <w:szCs w:val="20"/>
        </w:rPr>
        <w:t>following process is used to calibrate the cost model against the entire sample of cost data</w:t>
      </w:r>
      <w:r w:rsidRPr="00901D61">
        <w:rPr>
          <w:rFonts w:cs="Arial"/>
          <w:szCs w:val="20"/>
        </w:rPr>
        <w:t>:</w:t>
      </w:r>
    </w:p>
    <w:p w:rsidR="00B32A11" w:rsidRDefault="00B32A11" w:rsidP="00C245E0">
      <w:pPr>
        <w:pStyle w:val="ListParagraph"/>
        <w:numPr>
          <w:ilvl w:val="0"/>
          <w:numId w:val="51"/>
        </w:numPr>
        <w:tabs>
          <w:tab w:val="left" w:pos="1162"/>
        </w:tabs>
        <w:spacing w:before="80" w:after="0"/>
        <w:ind w:left="714" w:hanging="357"/>
        <w:rPr>
          <w:rFonts w:cs="Arial"/>
          <w:szCs w:val="20"/>
        </w:rPr>
      </w:pPr>
      <w:r w:rsidRPr="00901D61">
        <w:rPr>
          <w:rFonts w:cs="Arial"/>
          <w:szCs w:val="20"/>
        </w:rPr>
        <w:t xml:space="preserve">The </w:t>
      </w:r>
      <w:r>
        <w:rPr>
          <w:rFonts w:cs="Arial"/>
          <w:szCs w:val="20"/>
        </w:rPr>
        <w:t xml:space="preserve">cost model developed to this point, including all adjustments (except the private patient adjustments) is applied to the entire cost data sample. This process results in model costs across the entire sample of cost data. </w:t>
      </w:r>
    </w:p>
    <w:p w:rsidR="00B32A11" w:rsidRDefault="00B32A11" w:rsidP="00C245E0">
      <w:pPr>
        <w:pStyle w:val="ListParagraph"/>
        <w:numPr>
          <w:ilvl w:val="0"/>
          <w:numId w:val="51"/>
        </w:numPr>
        <w:tabs>
          <w:tab w:val="left" w:pos="1162"/>
        </w:tabs>
        <w:spacing w:before="80" w:after="0"/>
        <w:ind w:left="714" w:hanging="357"/>
        <w:rPr>
          <w:rFonts w:cs="Arial"/>
          <w:szCs w:val="20"/>
        </w:rPr>
      </w:pPr>
      <w:r>
        <w:rPr>
          <w:rFonts w:cs="Arial"/>
          <w:szCs w:val="20"/>
        </w:rPr>
        <w:t>The AR-DRG cost parameters are then uniformly adjusted to ensure the resulting total modelled cost across the entire sample is equalised against the total actual costs of the entire sample.</w:t>
      </w:r>
    </w:p>
    <w:p w:rsidR="00460371" w:rsidRDefault="00460371" w:rsidP="00AD4FFC">
      <w:pPr>
        <w:tabs>
          <w:tab w:val="left" w:pos="1162"/>
        </w:tabs>
        <w:spacing w:before="240"/>
        <w:rPr>
          <w:rFonts w:cs="Arial"/>
          <w:szCs w:val="20"/>
        </w:rPr>
      </w:pPr>
      <w:r w:rsidRPr="00147DC1">
        <w:rPr>
          <w:rFonts w:cs="Arial"/>
          <w:szCs w:val="20"/>
        </w:rPr>
        <w:t xml:space="preserve">It should be noted </w:t>
      </w:r>
      <w:r>
        <w:rPr>
          <w:rFonts w:cs="Arial"/>
          <w:szCs w:val="20"/>
        </w:rPr>
        <w:t xml:space="preserve">again </w:t>
      </w:r>
      <w:r w:rsidRPr="00147DC1">
        <w:rPr>
          <w:rFonts w:cs="Arial"/>
          <w:szCs w:val="20"/>
        </w:rPr>
        <w:t>that sample</w:t>
      </w:r>
      <w:r>
        <w:rPr>
          <w:rFonts w:cs="Arial"/>
          <w:szCs w:val="20"/>
        </w:rPr>
        <w:t>-</w:t>
      </w:r>
      <w:r w:rsidRPr="00147DC1">
        <w:rPr>
          <w:rFonts w:cs="Arial"/>
          <w:szCs w:val="20"/>
        </w:rPr>
        <w:t>to</w:t>
      </w:r>
      <w:r>
        <w:rPr>
          <w:rFonts w:cs="Arial"/>
          <w:szCs w:val="20"/>
        </w:rPr>
        <w:t>-</w:t>
      </w:r>
      <w:r w:rsidRPr="00147DC1">
        <w:rPr>
          <w:rFonts w:cs="Arial"/>
          <w:szCs w:val="20"/>
        </w:rPr>
        <w:t xml:space="preserve">population weights </w:t>
      </w:r>
      <w:r>
        <w:rPr>
          <w:rFonts w:cs="Arial"/>
          <w:szCs w:val="20"/>
        </w:rPr>
        <w:t>are</w:t>
      </w:r>
      <w:r w:rsidRPr="00147DC1">
        <w:rPr>
          <w:rFonts w:cs="Arial"/>
          <w:szCs w:val="20"/>
        </w:rPr>
        <w:t xml:space="preserve"> </w:t>
      </w:r>
      <w:r>
        <w:rPr>
          <w:rFonts w:cs="Arial"/>
          <w:szCs w:val="20"/>
        </w:rPr>
        <w:t>used</w:t>
      </w:r>
      <w:r w:rsidRPr="00147DC1">
        <w:rPr>
          <w:rFonts w:cs="Arial"/>
          <w:szCs w:val="20"/>
        </w:rPr>
        <w:t xml:space="preserve"> throughout all stages </w:t>
      </w:r>
      <w:r>
        <w:rPr>
          <w:rFonts w:cs="Arial"/>
          <w:szCs w:val="20"/>
        </w:rPr>
        <w:t>in the development of the cost model.</w:t>
      </w:r>
    </w:p>
    <w:p w:rsidR="00460371" w:rsidRPr="00B85B5A" w:rsidRDefault="00460371" w:rsidP="0040091A">
      <w:pPr>
        <w:pStyle w:val="Heading3"/>
        <w:keepLines w:val="0"/>
        <w:numPr>
          <w:ilvl w:val="2"/>
          <w:numId w:val="35"/>
        </w:numPr>
        <w:tabs>
          <w:tab w:val="left" w:pos="1162"/>
        </w:tabs>
        <w:spacing w:before="240" w:after="120"/>
      </w:pPr>
      <w:bookmarkStart w:id="70" w:name="_Toc349759203"/>
      <w:bookmarkStart w:id="71" w:name="_Toc349761940"/>
      <w:bookmarkStart w:id="72" w:name="_Toc349765479"/>
      <w:bookmarkStart w:id="73" w:name="_Toc349769934"/>
      <w:bookmarkStart w:id="74" w:name="_Toc349770619"/>
      <w:bookmarkStart w:id="75" w:name="_Toc349771595"/>
      <w:bookmarkStart w:id="76" w:name="_Toc349771714"/>
      <w:bookmarkStart w:id="77" w:name="_Toc349771833"/>
      <w:bookmarkStart w:id="78" w:name="_Toc349772051"/>
      <w:bookmarkStart w:id="79" w:name="_Toc349759204"/>
      <w:bookmarkStart w:id="80" w:name="_Toc349761941"/>
      <w:bookmarkStart w:id="81" w:name="_Toc349765480"/>
      <w:bookmarkStart w:id="82" w:name="_Toc349769935"/>
      <w:bookmarkStart w:id="83" w:name="_Toc349770620"/>
      <w:bookmarkStart w:id="84" w:name="_Toc349771596"/>
      <w:bookmarkStart w:id="85" w:name="_Toc349771715"/>
      <w:bookmarkStart w:id="86" w:name="_Toc349771834"/>
      <w:bookmarkStart w:id="87" w:name="_Toc349772052"/>
      <w:bookmarkStart w:id="88" w:name="_Toc349759206"/>
      <w:bookmarkStart w:id="89" w:name="_Toc349761943"/>
      <w:bookmarkStart w:id="90" w:name="_Toc349765482"/>
      <w:bookmarkStart w:id="91" w:name="_Toc349769937"/>
      <w:bookmarkStart w:id="92" w:name="_Toc349770622"/>
      <w:bookmarkStart w:id="93" w:name="_Toc349771598"/>
      <w:bookmarkStart w:id="94" w:name="_Toc349771717"/>
      <w:bookmarkStart w:id="95" w:name="_Toc349771836"/>
      <w:bookmarkStart w:id="96" w:name="_Toc349772054"/>
      <w:bookmarkStart w:id="97" w:name="_Toc349759207"/>
      <w:bookmarkStart w:id="98" w:name="_Toc349761944"/>
      <w:bookmarkStart w:id="99" w:name="_Toc349765483"/>
      <w:bookmarkStart w:id="100" w:name="_Toc349769938"/>
      <w:bookmarkStart w:id="101" w:name="_Toc349770623"/>
      <w:bookmarkStart w:id="102" w:name="_Toc349771599"/>
      <w:bookmarkStart w:id="103" w:name="_Toc349771718"/>
      <w:bookmarkStart w:id="104" w:name="_Toc349771837"/>
      <w:bookmarkStart w:id="105" w:name="_Toc349772055"/>
      <w:bookmarkStart w:id="106" w:name="_Toc349759208"/>
      <w:bookmarkStart w:id="107" w:name="_Toc349761945"/>
      <w:bookmarkStart w:id="108" w:name="_Toc349765484"/>
      <w:bookmarkStart w:id="109" w:name="_Toc349769939"/>
      <w:bookmarkStart w:id="110" w:name="_Toc349770624"/>
      <w:bookmarkStart w:id="111" w:name="_Toc349771600"/>
      <w:bookmarkStart w:id="112" w:name="_Toc349771719"/>
      <w:bookmarkStart w:id="113" w:name="_Toc349771838"/>
      <w:bookmarkStart w:id="114" w:name="_Toc349772056"/>
      <w:bookmarkStart w:id="115" w:name="_Toc349759229"/>
      <w:bookmarkStart w:id="116" w:name="_Toc349761966"/>
      <w:bookmarkStart w:id="117" w:name="_Toc349765505"/>
      <w:bookmarkStart w:id="118" w:name="_Toc349769960"/>
      <w:bookmarkStart w:id="119" w:name="_Toc349770645"/>
      <w:bookmarkStart w:id="120" w:name="_Toc349771621"/>
      <w:bookmarkStart w:id="121" w:name="_Toc349771740"/>
      <w:bookmarkStart w:id="122" w:name="_Toc349771859"/>
      <w:bookmarkStart w:id="123" w:name="_Toc349772077"/>
      <w:bookmarkStart w:id="124" w:name="_Toc349759230"/>
      <w:bookmarkStart w:id="125" w:name="_Toc349761967"/>
      <w:bookmarkStart w:id="126" w:name="_Toc349765506"/>
      <w:bookmarkStart w:id="127" w:name="_Toc349769961"/>
      <w:bookmarkStart w:id="128" w:name="_Toc349770646"/>
      <w:bookmarkStart w:id="129" w:name="_Toc349771622"/>
      <w:bookmarkStart w:id="130" w:name="_Toc349771741"/>
      <w:bookmarkStart w:id="131" w:name="_Toc349771860"/>
      <w:bookmarkStart w:id="132" w:name="_Toc349772078"/>
      <w:bookmarkStart w:id="133" w:name="_Ref342385160"/>
      <w:bookmarkStart w:id="134" w:name="_Toc380754706"/>
      <w:bookmarkStart w:id="135" w:name="_Toc41255072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t>Price weights and NWAU</w:t>
      </w:r>
      <w:bookmarkEnd w:id="133"/>
      <w:bookmarkEnd w:id="134"/>
      <w:bookmarkEnd w:id="135"/>
    </w:p>
    <w:p w:rsidR="00460371" w:rsidRDefault="00460371" w:rsidP="00AD4FFC">
      <w:pPr>
        <w:tabs>
          <w:tab w:val="left" w:pos="1162"/>
        </w:tabs>
        <w:rPr>
          <w:rFonts w:cs="Arial"/>
          <w:szCs w:val="20"/>
        </w:rPr>
      </w:pPr>
      <w:r w:rsidRPr="00922B83">
        <w:rPr>
          <w:rFonts w:cs="Arial"/>
          <w:szCs w:val="20"/>
        </w:rPr>
        <w:t>The fi</w:t>
      </w:r>
      <w:r>
        <w:rPr>
          <w:rFonts w:cs="Arial"/>
          <w:szCs w:val="20"/>
        </w:rPr>
        <w:t>nal step in the process involves</w:t>
      </w:r>
      <w:r w:rsidRPr="00922B83">
        <w:rPr>
          <w:rFonts w:cs="Arial"/>
          <w:szCs w:val="20"/>
        </w:rPr>
        <w:t xml:space="preserve"> </w:t>
      </w:r>
      <w:r>
        <w:rPr>
          <w:rFonts w:cs="Arial"/>
          <w:szCs w:val="20"/>
        </w:rPr>
        <w:t xml:space="preserve">the </w:t>
      </w:r>
      <w:r w:rsidRPr="00922B83">
        <w:rPr>
          <w:rFonts w:cs="Arial"/>
          <w:szCs w:val="20"/>
        </w:rPr>
        <w:t xml:space="preserve">conversion of </w:t>
      </w:r>
      <w:r>
        <w:rPr>
          <w:rFonts w:cs="Arial"/>
          <w:szCs w:val="20"/>
        </w:rPr>
        <w:t xml:space="preserve">the </w:t>
      </w:r>
      <w:r w:rsidR="00B94FB5">
        <w:rPr>
          <w:rFonts w:cs="Arial"/>
          <w:szCs w:val="20"/>
        </w:rPr>
        <w:t>2012-13</w:t>
      </w:r>
      <w:r>
        <w:rPr>
          <w:rFonts w:cs="Arial"/>
          <w:szCs w:val="20"/>
        </w:rPr>
        <w:t xml:space="preserve"> cost model parameters </w:t>
      </w:r>
      <w:r w:rsidRPr="00922B83">
        <w:rPr>
          <w:rFonts w:cs="Arial"/>
          <w:szCs w:val="20"/>
        </w:rPr>
        <w:t xml:space="preserve">to cost weight values by dividing the cost </w:t>
      </w:r>
      <w:r>
        <w:rPr>
          <w:rFonts w:cs="Arial"/>
          <w:szCs w:val="20"/>
        </w:rPr>
        <w:t xml:space="preserve">parameters </w:t>
      </w:r>
      <w:r w:rsidRPr="00922B83">
        <w:rPr>
          <w:rFonts w:cs="Arial"/>
          <w:szCs w:val="20"/>
        </w:rPr>
        <w:t xml:space="preserve">by </w:t>
      </w:r>
      <w:r>
        <w:rPr>
          <w:rFonts w:cs="Arial"/>
          <w:szCs w:val="20"/>
        </w:rPr>
        <w:t>a reference cost.</w:t>
      </w:r>
    </w:p>
    <w:p w:rsidR="000406E0" w:rsidRDefault="00460371" w:rsidP="00AD4FFC">
      <w:pPr>
        <w:tabs>
          <w:tab w:val="left" w:pos="1162"/>
        </w:tabs>
        <w:rPr>
          <w:rFonts w:cs="Arial"/>
          <w:szCs w:val="20"/>
        </w:rPr>
      </w:pPr>
      <w:r>
        <w:rPr>
          <w:rFonts w:cs="Arial"/>
          <w:szCs w:val="20"/>
        </w:rPr>
        <w:lastRenderedPageBreak/>
        <w:t>The reference cost used was the 201</w:t>
      </w:r>
      <w:r w:rsidR="00DF61EF">
        <w:rPr>
          <w:rFonts w:cs="Arial"/>
          <w:szCs w:val="20"/>
        </w:rPr>
        <w:t>1</w:t>
      </w:r>
      <w:r>
        <w:rPr>
          <w:rFonts w:cs="Arial"/>
          <w:szCs w:val="20"/>
        </w:rPr>
        <w:t>-1</w:t>
      </w:r>
      <w:r w:rsidR="00DF61EF">
        <w:rPr>
          <w:rFonts w:cs="Arial"/>
          <w:szCs w:val="20"/>
        </w:rPr>
        <w:t>2</w:t>
      </w:r>
      <w:r>
        <w:rPr>
          <w:rFonts w:cs="Arial"/>
          <w:szCs w:val="20"/>
        </w:rPr>
        <w:t xml:space="preserve"> reference cost indexed one year by the growth rate in the consecutive years’ cost models, where this growth rate is standardised against the </w:t>
      </w:r>
      <w:r w:rsidR="00B94FB5">
        <w:rPr>
          <w:rFonts w:cs="Arial"/>
          <w:szCs w:val="20"/>
        </w:rPr>
        <w:t>2012-13</w:t>
      </w:r>
      <w:r>
        <w:rPr>
          <w:rFonts w:cs="Arial"/>
          <w:szCs w:val="20"/>
        </w:rPr>
        <w:t xml:space="preserve"> activity data. Specifically, the standardised growth rate was derived by applying the 201</w:t>
      </w:r>
      <w:r w:rsidR="00DF61EF">
        <w:rPr>
          <w:rFonts w:cs="Arial"/>
          <w:szCs w:val="20"/>
        </w:rPr>
        <w:t>1</w:t>
      </w:r>
      <w:r>
        <w:rPr>
          <w:rFonts w:cs="Arial"/>
          <w:szCs w:val="20"/>
        </w:rPr>
        <w:t>-1</w:t>
      </w:r>
      <w:r w:rsidR="00DF61EF">
        <w:rPr>
          <w:rFonts w:cs="Arial"/>
          <w:szCs w:val="20"/>
        </w:rPr>
        <w:t>2</w:t>
      </w:r>
      <w:r>
        <w:rPr>
          <w:rFonts w:cs="Arial"/>
          <w:szCs w:val="20"/>
        </w:rPr>
        <w:t xml:space="preserve"> and </w:t>
      </w:r>
      <w:r w:rsidR="00B94FB5">
        <w:rPr>
          <w:rFonts w:cs="Arial"/>
          <w:szCs w:val="20"/>
        </w:rPr>
        <w:t>2012-13</w:t>
      </w:r>
      <w:r>
        <w:rPr>
          <w:rFonts w:cs="Arial"/>
          <w:szCs w:val="20"/>
        </w:rPr>
        <w:t xml:space="preserve"> cost models (excluding private patient adjustments) to the </w:t>
      </w:r>
      <w:r w:rsidR="00B94FB5">
        <w:rPr>
          <w:rFonts w:cs="Arial"/>
          <w:szCs w:val="20"/>
        </w:rPr>
        <w:t>2012</w:t>
      </w:r>
      <w:r w:rsidR="00B32A11">
        <w:rPr>
          <w:rFonts w:cs="Arial"/>
          <w:szCs w:val="20"/>
        </w:rPr>
        <w:t>-</w:t>
      </w:r>
      <w:r w:rsidR="00B94FB5">
        <w:rPr>
          <w:rFonts w:cs="Arial"/>
          <w:szCs w:val="20"/>
        </w:rPr>
        <w:t>13</w:t>
      </w:r>
      <w:r>
        <w:rPr>
          <w:rFonts w:cs="Arial"/>
          <w:szCs w:val="20"/>
        </w:rPr>
        <w:t xml:space="preserve"> activity data, and calculating the change in total modelled costs between the two models. </w:t>
      </w:r>
    </w:p>
    <w:p w:rsidR="00460371" w:rsidRDefault="00460371" w:rsidP="00AD4FFC">
      <w:pPr>
        <w:tabs>
          <w:tab w:val="left" w:pos="1162"/>
        </w:tabs>
        <w:rPr>
          <w:rFonts w:cs="Arial"/>
          <w:szCs w:val="20"/>
        </w:rPr>
      </w:pPr>
      <w:r>
        <w:rPr>
          <w:rFonts w:cs="Arial"/>
          <w:szCs w:val="20"/>
        </w:rPr>
        <w:t>Th</w:t>
      </w:r>
      <w:r w:rsidR="000406E0">
        <w:rPr>
          <w:rFonts w:cs="Arial"/>
          <w:szCs w:val="20"/>
        </w:rPr>
        <w:t>is i</w:t>
      </w:r>
      <w:r>
        <w:rPr>
          <w:rFonts w:cs="Arial"/>
          <w:szCs w:val="20"/>
        </w:rPr>
        <w:t>s the same methodology used to calculate the 201</w:t>
      </w:r>
      <w:r w:rsidR="00DF61EF">
        <w:rPr>
          <w:rFonts w:cs="Arial"/>
          <w:szCs w:val="20"/>
        </w:rPr>
        <w:t>1</w:t>
      </w:r>
      <w:r>
        <w:rPr>
          <w:rFonts w:cs="Arial"/>
          <w:szCs w:val="20"/>
        </w:rPr>
        <w:t>-1</w:t>
      </w:r>
      <w:r w:rsidR="00DF61EF">
        <w:rPr>
          <w:rFonts w:cs="Arial"/>
          <w:szCs w:val="20"/>
        </w:rPr>
        <w:t>2</w:t>
      </w:r>
      <w:r>
        <w:rPr>
          <w:rFonts w:cs="Arial"/>
          <w:szCs w:val="20"/>
        </w:rPr>
        <w:t xml:space="preserve"> reference cost from the 20</w:t>
      </w:r>
      <w:r w:rsidR="00DF61EF">
        <w:rPr>
          <w:rFonts w:cs="Arial"/>
          <w:szCs w:val="20"/>
        </w:rPr>
        <w:t>10</w:t>
      </w:r>
      <w:r w:rsidR="003822FB">
        <w:rPr>
          <w:rFonts w:cs="Arial"/>
          <w:szCs w:val="20"/>
        </w:rPr>
        <w:noBreakHyphen/>
      </w:r>
      <w:r>
        <w:rPr>
          <w:rFonts w:cs="Arial"/>
          <w:szCs w:val="20"/>
        </w:rPr>
        <w:t>1</w:t>
      </w:r>
      <w:r w:rsidR="00DF61EF">
        <w:rPr>
          <w:rFonts w:cs="Arial"/>
          <w:szCs w:val="20"/>
        </w:rPr>
        <w:t>1</w:t>
      </w:r>
      <w:r>
        <w:rPr>
          <w:rFonts w:cs="Arial"/>
          <w:szCs w:val="20"/>
        </w:rPr>
        <w:t xml:space="preserve"> reference cost</w:t>
      </w:r>
      <w:r w:rsidR="000406E0">
        <w:rPr>
          <w:rFonts w:cs="Arial"/>
          <w:szCs w:val="20"/>
        </w:rPr>
        <w:t>. The</w:t>
      </w:r>
      <w:r>
        <w:rPr>
          <w:rFonts w:cs="Arial"/>
          <w:szCs w:val="20"/>
        </w:rPr>
        <w:t xml:space="preserve"> resulting cost weights are then converted to the price weights that are used to assign NWAU, as explained </w:t>
      </w:r>
      <w:r w:rsidR="000406E0">
        <w:rPr>
          <w:rFonts w:cs="Arial"/>
          <w:szCs w:val="20"/>
        </w:rPr>
        <w:t xml:space="preserve">further </w:t>
      </w:r>
      <w:r>
        <w:rPr>
          <w:rFonts w:cs="Arial"/>
          <w:szCs w:val="20"/>
        </w:rPr>
        <w:t xml:space="preserve">at </w:t>
      </w:r>
      <w:hyperlink w:anchor="AttB" w:history="1">
        <w:r w:rsidRPr="00F804F5">
          <w:rPr>
            <w:rStyle w:val="Hyperlink"/>
            <w:rFonts w:cs="Arial"/>
            <w:b/>
            <w:szCs w:val="20"/>
          </w:rPr>
          <w:t>Attachment B</w:t>
        </w:r>
      </w:hyperlink>
      <w:r>
        <w:rPr>
          <w:rFonts w:cs="Arial"/>
          <w:szCs w:val="20"/>
        </w:rPr>
        <w:t>.</w:t>
      </w:r>
    </w:p>
    <w:p w:rsidR="00B903EF" w:rsidRPr="00B903EF" w:rsidRDefault="00460371" w:rsidP="00AD4FFC">
      <w:pPr>
        <w:pStyle w:val="Heading2"/>
        <w:keepLines w:val="0"/>
        <w:numPr>
          <w:ilvl w:val="1"/>
          <w:numId w:val="35"/>
        </w:numPr>
        <w:tabs>
          <w:tab w:val="left" w:pos="1162"/>
        </w:tabs>
        <w:spacing w:after="60"/>
      </w:pPr>
      <w:bookmarkStart w:id="136" w:name="_Toc349759232"/>
      <w:bookmarkStart w:id="137" w:name="_Toc349761969"/>
      <w:bookmarkStart w:id="138" w:name="_Toc349765508"/>
      <w:bookmarkStart w:id="139" w:name="_Toc349769963"/>
      <w:bookmarkStart w:id="140" w:name="_Toc349770648"/>
      <w:bookmarkStart w:id="141" w:name="_Toc349771624"/>
      <w:bookmarkStart w:id="142" w:name="_Toc349771743"/>
      <w:bookmarkStart w:id="143" w:name="_Toc349771862"/>
      <w:bookmarkStart w:id="144" w:name="_Toc349772080"/>
      <w:bookmarkStart w:id="145" w:name="_Toc380754707"/>
      <w:bookmarkStart w:id="146" w:name="_Toc412550724"/>
      <w:bookmarkEnd w:id="136"/>
      <w:bookmarkEnd w:id="137"/>
      <w:bookmarkEnd w:id="138"/>
      <w:bookmarkEnd w:id="139"/>
      <w:bookmarkEnd w:id="140"/>
      <w:bookmarkEnd w:id="141"/>
      <w:bookmarkEnd w:id="142"/>
      <w:bookmarkEnd w:id="143"/>
      <w:bookmarkEnd w:id="144"/>
      <w:r>
        <w:t>Applying the NEP</w:t>
      </w:r>
      <w:bookmarkEnd w:id="145"/>
      <w:bookmarkEnd w:id="146"/>
    </w:p>
    <w:p w:rsidR="00460371" w:rsidRDefault="00460371" w:rsidP="00AD4FFC">
      <w:pPr>
        <w:tabs>
          <w:tab w:val="left" w:pos="1162"/>
        </w:tabs>
        <w:spacing w:before="120"/>
        <w:rPr>
          <w:rFonts w:cs="Arial"/>
          <w:szCs w:val="20"/>
        </w:rPr>
      </w:pPr>
      <w:bookmarkStart w:id="147" w:name="_Toc326738640"/>
      <w:r w:rsidRPr="00922B83">
        <w:rPr>
          <w:rFonts w:cs="Arial"/>
          <w:szCs w:val="20"/>
        </w:rPr>
        <w:t xml:space="preserve">As set out in </w:t>
      </w:r>
      <w:r w:rsidR="00B94FB5">
        <w:rPr>
          <w:rFonts w:cs="Arial"/>
          <w:i/>
          <w:szCs w:val="20"/>
        </w:rPr>
        <w:t>2015-16</w:t>
      </w:r>
      <w:r w:rsidRPr="009E50B5">
        <w:rPr>
          <w:rFonts w:cs="Arial"/>
          <w:i/>
          <w:szCs w:val="20"/>
        </w:rPr>
        <w:t xml:space="preserve"> </w:t>
      </w:r>
      <w:r w:rsidRPr="00B3571F">
        <w:rPr>
          <w:rFonts w:cs="Arial"/>
          <w:szCs w:val="20"/>
        </w:rPr>
        <w:t>NEP Determination</w:t>
      </w:r>
      <w:r w:rsidRPr="00183A38">
        <w:rPr>
          <w:rFonts w:cs="Arial"/>
          <w:szCs w:val="20"/>
        </w:rPr>
        <w:t>, the price of an ABF Activity is calculated using the following formula, with adjustments applied as applicable:</w:t>
      </w:r>
    </w:p>
    <w:p w:rsidR="00614E8A" w:rsidRPr="00614E8A" w:rsidRDefault="00614E8A" w:rsidP="00AD4FFC">
      <w:pPr>
        <w:tabs>
          <w:tab w:val="left" w:pos="1162"/>
        </w:tabs>
        <w:rPr>
          <w:rFonts w:cs="Arial"/>
          <w:szCs w:val="20"/>
        </w:rPr>
      </w:pPr>
      <m:oMathPara>
        <m:oMath>
          <m:r>
            <m:rPr>
              <m:sty m:val="p"/>
            </m:rPr>
            <w:rPr>
              <w:rFonts w:ascii="Cambria Math" w:hAnsi="Cambria Math" w:cs="Arial"/>
              <w:szCs w:val="20"/>
            </w:rPr>
            <m:t>Price of an admitted acute ABF activity={</m:t>
          </m:r>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SPA</m:t>
                      </m:r>
                    </m:sub>
                  </m:sSub>
                </m:e>
              </m:d>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m:t>
              </m:r>
              <m:d>
                <m:dPr>
                  <m:ctrlPr>
                    <w:rPr>
                      <w:rFonts w:ascii="Cambria Math" w:hAnsi="Cambria Math" w:cs="Arial"/>
                      <w:szCs w:val="20"/>
                    </w:rPr>
                  </m:ctrlPr>
                </m:dPr>
                <m:e>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e>
          </m:d>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r>
            <m:rPr>
              <m:sty m:val="p"/>
            </m:rPr>
            <w:rPr>
              <w:rFonts w:ascii="Cambria Math" w:hAnsi="Cambria Math" w:cs="Arial"/>
              <w:szCs w:val="20"/>
            </w:rPr>
            <m:t xml:space="preserve">]}×NEP </m:t>
          </m:r>
        </m:oMath>
      </m:oMathPara>
    </w:p>
    <w:p w:rsidR="00614E8A" w:rsidRPr="00614E8A" w:rsidRDefault="00614E8A" w:rsidP="00AD4FFC">
      <w:pPr>
        <w:tabs>
          <w:tab w:val="left" w:pos="1162"/>
        </w:tabs>
        <w:autoSpaceDE w:val="0"/>
        <w:autoSpaceDN w:val="0"/>
        <w:adjustRightInd w:val="0"/>
        <w:spacing w:after="0"/>
        <w:rPr>
          <w:rFonts w:cs="Arial"/>
          <w:szCs w:val="20"/>
          <w:lang w:eastAsia="en-AU"/>
        </w:rPr>
      </w:pPr>
      <w:r w:rsidRPr="00614E8A">
        <w:rPr>
          <w:rFonts w:cs="Arial"/>
          <w:szCs w:val="20"/>
          <w:lang w:eastAsia="en-AU"/>
        </w:rPr>
        <w:t>Where:</w:t>
      </w:r>
    </w:p>
    <w:p w:rsidR="00614E8A" w:rsidRPr="00614E8A" w:rsidRDefault="00614E8A" w:rsidP="00AD4FFC">
      <w:pPr>
        <w:numPr>
          <w:ilvl w:val="1"/>
          <w:numId w:val="18"/>
        </w:numPr>
        <w:tabs>
          <w:tab w:val="left" w:pos="1162"/>
        </w:tabs>
        <w:autoSpaceDE w:val="0"/>
        <w:autoSpaceDN w:val="0"/>
        <w:adjustRightInd w:val="0"/>
        <w:spacing w:after="0"/>
        <w:ind w:left="1434" w:hanging="357"/>
        <w:rPr>
          <w:rFonts w:cs="Arial"/>
          <w:szCs w:val="20"/>
          <w:lang w:eastAsia="en-AU"/>
        </w:rPr>
      </w:pPr>
      <m:oMath>
        <m:r>
          <m:rPr>
            <m:sty m:val="p"/>
          </m:rPr>
          <w:rPr>
            <w:rFonts w:ascii="Cambria Math" w:hAnsi="Cambria Math" w:cs="Arial"/>
            <w:szCs w:val="20"/>
          </w:rPr>
          <m:t>PW</m:t>
        </m:r>
      </m:oMath>
      <w:r w:rsidRPr="00614E8A">
        <w:rPr>
          <w:rFonts w:cs="Arial"/>
          <w:szCs w:val="20"/>
        </w:rPr>
        <w:t xml:space="preserve"> means the Price Weight for an ABF activity as set </w:t>
      </w:r>
      <w:r w:rsidRPr="00614E8A">
        <w:rPr>
          <w:rFonts w:cs="Arial"/>
          <w:szCs w:val="20"/>
          <w:lang w:eastAsia="en-AU"/>
        </w:rPr>
        <w:t xml:space="preserve">out at Appendix B of the </w:t>
      </w:r>
      <w:r w:rsidRPr="00B3571F">
        <w:rPr>
          <w:rFonts w:cs="Arial"/>
          <w:szCs w:val="20"/>
          <w:lang w:eastAsia="en-AU"/>
        </w:rPr>
        <w:t>NEP Determination</w:t>
      </w:r>
    </w:p>
    <w:p w:rsidR="00614E8A" w:rsidRPr="00614E8A" w:rsidRDefault="00822CBA" w:rsidP="00AD4FFC">
      <w:pPr>
        <w:numPr>
          <w:ilvl w:val="1"/>
          <w:numId w:val="18"/>
        </w:numPr>
        <w:tabs>
          <w:tab w:val="left" w:pos="1162"/>
        </w:tabs>
        <w:spacing w:after="0"/>
        <w:ind w:left="1434" w:hanging="357"/>
        <w:rPr>
          <w:rFonts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oMath>
      <w:r w:rsidR="00614E8A" w:rsidRPr="00614E8A">
        <w:rPr>
          <w:rFonts w:cs="Arial"/>
          <w:szCs w:val="20"/>
        </w:rPr>
        <w:t xml:space="preserve"> means the paediatric adjustment</w:t>
      </w:r>
    </w:p>
    <w:p w:rsidR="00614E8A" w:rsidRPr="00614E8A" w:rsidRDefault="00822CBA" w:rsidP="00AD4FFC">
      <w:pPr>
        <w:numPr>
          <w:ilvl w:val="1"/>
          <w:numId w:val="18"/>
        </w:numPr>
        <w:tabs>
          <w:tab w:val="left" w:pos="1162"/>
        </w:tabs>
        <w:spacing w:after="0"/>
        <w:ind w:left="1434" w:hanging="357"/>
        <w:rPr>
          <w:rFonts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SPA</m:t>
            </m:r>
          </m:sub>
        </m:sSub>
      </m:oMath>
      <w:r w:rsidR="00614E8A" w:rsidRPr="00614E8A">
        <w:rPr>
          <w:rFonts w:cs="Arial"/>
          <w:szCs w:val="20"/>
        </w:rPr>
        <w:t xml:space="preserve"> means the specialist psychiatric age adjustment</w:t>
      </w:r>
    </w:p>
    <w:p w:rsidR="00614E8A" w:rsidRPr="00614E8A" w:rsidRDefault="00822CBA" w:rsidP="00AD4FFC">
      <w:pPr>
        <w:numPr>
          <w:ilvl w:val="1"/>
          <w:numId w:val="18"/>
        </w:numPr>
        <w:tabs>
          <w:tab w:val="left" w:pos="1162"/>
        </w:tabs>
        <w:spacing w:after="0"/>
        <w:ind w:left="1434" w:hanging="357"/>
        <w:rPr>
          <w:rFonts w:eastAsiaTheme="minorEastAsia" w:cs="Arial"/>
          <w:szCs w:val="20"/>
          <w:lang w:eastAsia="en-AU"/>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oMath>
      <w:r w:rsidR="00614E8A" w:rsidRPr="00614E8A">
        <w:rPr>
          <w:rFonts w:cs="Arial"/>
          <w:b/>
          <w:szCs w:val="20"/>
        </w:rPr>
        <w:t xml:space="preserve"> </w:t>
      </w:r>
      <w:r w:rsidR="00614E8A" w:rsidRPr="00614E8A">
        <w:rPr>
          <w:rFonts w:cs="Arial"/>
          <w:szCs w:val="20"/>
        </w:rPr>
        <w:t>means the indigenous adjustment</w:t>
      </w:r>
    </w:p>
    <w:p w:rsidR="00614E8A" w:rsidRPr="00614E8A" w:rsidRDefault="00822CBA" w:rsidP="00AD4FFC">
      <w:pPr>
        <w:numPr>
          <w:ilvl w:val="1"/>
          <w:numId w:val="18"/>
        </w:numPr>
        <w:tabs>
          <w:tab w:val="left" w:pos="1162"/>
        </w:tabs>
        <w:spacing w:after="0"/>
        <w:ind w:left="1434" w:hanging="357"/>
        <w:rPr>
          <w:rFonts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m:t>
            </m:r>
          </m:sub>
        </m:sSub>
      </m:oMath>
      <w:r w:rsidR="00614E8A" w:rsidRPr="00614E8A">
        <w:rPr>
          <w:rFonts w:cs="Arial"/>
          <w:szCs w:val="20"/>
        </w:rPr>
        <w:t xml:space="preserve"> means the remoteness area adjustment</w:t>
      </w:r>
      <w:r w:rsidR="00614E8A" w:rsidRPr="00614E8A">
        <w:rPr>
          <w:rFonts w:cs="Arial"/>
          <w:b/>
          <w:szCs w:val="20"/>
        </w:rPr>
        <w:t xml:space="preserve"> </w:t>
      </w:r>
    </w:p>
    <w:p w:rsidR="00614E8A" w:rsidRPr="002B0802" w:rsidRDefault="00822CBA" w:rsidP="00AD4FFC">
      <w:pPr>
        <w:numPr>
          <w:ilvl w:val="1"/>
          <w:numId w:val="18"/>
        </w:numPr>
        <w:tabs>
          <w:tab w:val="left" w:pos="1162"/>
        </w:tabs>
        <w:spacing w:after="0"/>
        <w:ind w:left="1434" w:hanging="357"/>
        <w:rPr>
          <w:rFonts w:eastAsiaTheme="minorEastAsia"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oMath>
      <w:r w:rsidR="00614E8A" w:rsidRPr="00614E8A">
        <w:rPr>
          <w:rFonts w:cs="Arial"/>
          <w:b/>
          <w:szCs w:val="20"/>
        </w:rPr>
        <w:t xml:space="preserve"> </w:t>
      </w:r>
      <w:r w:rsidR="00614E8A" w:rsidRPr="00614E8A">
        <w:rPr>
          <w:rFonts w:cs="Arial"/>
          <w:szCs w:val="20"/>
        </w:rPr>
        <w:t>means the radiotherapy adjustment</w:t>
      </w:r>
    </w:p>
    <w:p w:rsidR="00AF74E4" w:rsidRPr="00614E8A" w:rsidRDefault="00822CBA" w:rsidP="00AD4FFC">
      <w:pPr>
        <w:numPr>
          <w:ilvl w:val="1"/>
          <w:numId w:val="18"/>
        </w:numPr>
        <w:tabs>
          <w:tab w:val="left" w:pos="1162"/>
        </w:tabs>
        <w:spacing w:after="0"/>
        <w:ind w:left="1434" w:hanging="357"/>
        <w:rPr>
          <w:rFonts w:eastAsiaTheme="minorEastAsia"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oMath>
      <w:r w:rsidR="00AF74E4">
        <w:rPr>
          <w:rFonts w:eastAsiaTheme="minorEastAsia" w:cs="Arial"/>
          <w:szCs w:val="20"/>
        </w:rPr>
        <w:t xml:space="preserve"> means the dialysis adjustment</w:t>
      </w:r>
    </w:p>
    <w:p w:rsidR="00614E8A" w:rsidRPr="00614E8A" w:rsidRDefault="00822CBA" w:rsidP="00AD4FFC">
      <w:pPr>
        <w:numPr>
          <w:ilvl w:val="1"/>
          <w:numId w:val="18"/>
        </w:numPr>
        <w:tabs>
          <w:tab w:val="left" w:pos="1162"/>
        </w:tabs>
        <w:spacing w:after="0"/>
        <w:ind w:left="1434" w:hanging="357"/>
        <w:rPr>
          <w:rFonts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oMath>
      <w:r w:rsidR="00614E8A" w:rsidRPr="00614E8A">
        <w:rPr>
          <w:rFonts w:cs="Arial"/>
          <w:szCs w:val="20"/>
        </w:rPr>
        <w:t xml:space="preserve"> means the ICU adjustment</w:t>
      </w:r>
    </w:p>
    <w:p w:rsidR="00614E8A" w:rsidRPr="00614E8A" w:rsidRDefault="00614E8A" w:rsidP="00AD4FFC">
      <w:pPr>
        <w:numPr>
          <w:ilvl w:val="1"/>
          <w:numId w:val="18"/>
        </w:numPr>
        <w:tabs>
          <w:tab w:val="left" w:pos="1162"/>
        </w:tabs>
        <w:spacing w:after="0"/>
        <w:ind w:left="1434" w:hanging="357"/>
        <w:rPr>
          <w:rFonts w:cs="Arial"/>
          <w:szCs w:val="20"/>
        </w:rPr>
      </w:pPr>
      <m:oMath>
        <m:r>
          <m:rPr>
            <m:sty m:val="p"/>
          </m:rPr>
          <w:rPr>
            <w:rFonts w:ascii="Cambria Math" w:hAnsi="Cambria Math" w:cs="Arial"/>
            <w:szCs w:val="20"/>
          </w:rPr>
          <m:t>ICU hours</m:t>
        </m:r>
      </m:oMath>
      <w:r w:rsidRPr="00614E8A">
        <w:rPr>
          <w:rFonts w:cs="Arial"/>
          <w:szCs w:val="20"/>
        </w:rPr>
        <w:t xml:space="preserve"> means the number of hours spent by a person within a Level 3 ICU/PICU</w:t>
      </w:r>
    </w:p>
    <w:p w:rsidR="00614E8A" w:rsidRPr="00614E8A" w:rsidRDefault="00822CBA" w:rsidP="00AD4FFC">
      <w:pPr>
        <w:numPr>
          <w:ilvl w:val="1"/>
          <w:numId w:val="18"/>
        </w:numPr>
        <w:tabs>
          <w:tab w:val="left" w:pos="1162"/>
        </w:tabs>
        <w:spacing w:after="0"/>
        <w:ind w:left="1434" w:hanging="357"/>
        <w:rPr>
          <w:rFonts w:eastAsiaTheme="minorEastAsia"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oMath>
      <w:r w:rsidR="00614E8A" w:rsidRPr="00614E8A">
        <w:rPr>
          <w:rFonts w:cs="Arial"/>
          <w:szCs w:val="20"/>
        </w:rPr>
        <w:t xml:space="preserve"> means the private patient service adjustment</w:t>
      </w:r>
    </w:p>
    <w:p w:rsidR="00614E8A" w:rsidRPr="00614E8A" w:rsidRDefault="00822CBA" w:rsidP="00AD4FFC">
      <w:pPr>
        <w:numPr>
          <w:ilvl w:val="1"/>
          <w:numId w:val="18"/>
        </w:numPr>
        <w:tabs>
          <w:tab w:val="left" w:pos="1162"/>
        </w:tabs>
        <w:spacing w:after="0"/>
        <w:ind w:left="1434" w:hanging="357"/>
        <w:rPr>
          <w:rFonts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oMath>
      <w:r w:rsidR="00614E8A" w:rsidRPr="00614E8A">
        <w:rPr>
          <w:rFonts w:cs="Arial"/>
          <w:b/>
          <w:szCs w:val="20"/>
        </w:rPr>
        <w:t xml:space="preserve"> </w:t>
      </w:r>
      <w:r w:rsidR="00614E8A" w:rsidRPr="00614E8A">
        <w:rPr>
          <w:rFonts w:cs="Arial"/>
          <w:szCs w:val="20"/>
        </w:rPr>
        <w:t>means the private patient accommodation adjustment applicable to the state/territory of hospitalisation and length of stay</w:t>
      </w:r>
    </w:p>
    <w:p w:rsidR="00614E8A" w:rsidRPr="00614E8A" w:rsidRDefault="00614E8A" w:rsidP="00AD4FFC">
      <w:pPr>
        <w:numPr>
          <w:ilvl w:val="1"/>
          <w:numId w:val="18"/>
        </w:numPr>
        <w:tabs>
          <w:tab w:val="left" w:pos="1162"/>
        </w:tabs>
        <w:autoSpaceDE w:val="0"/>
        <w:autoSpaceDN w:val="0"/>
        <w:adjustRightInd w:val="0"/>
        <w:spacing w:after="0"/>
        <w:ind w:left="1434" w:hanging="357"/>
        <w:rPr>
          <w:rFonts w:cs="Arial"/>
          <w:szCs w:val="20"/>
          <w:lang w:eastAsia="en-AU"/>
        </w:rPr>
      </w:pPr>
      <m:oMath>
        <m:r>
          <m:rPr>
            <m:sty m:val="p"/>
          </m:rPr>
          <w:rPr>
            <w:rFonts w:ascii="Cambria Math" w:hAnsi="Cambria Math" w:cs="Arial"/>
            <w:szCs w:val="20"/>
          </w:rPr>
          <m:t>LOS</m:t>
        </m:r>
      </m:oMath>
      <w:r w:rsidRPr="00614E8A">
        <w:rPr>
          <w:rFonts w:cs="Arial"/>
          <w:szCs w:val="20"/>
        </w:rPr>
        <w:t xml:space="preserve"> means length of stay in hospital (in days)</w:t>
      </w:r>
    </w:p>
    <w:p w:rsidR="00614E8A" w:rsidRPr="00614E8A" w:rsidRDefault="00614E8A" w:rsidP="00AD4FFC">
      <w:pPr>
        <w:numPr>
          <w:ilvl w:val="1"/>
          <w:numId w:val="18"/>
        </w:numPr>
        <w:tabs>
          <w:tab w:val="left" w:pos="1162"/>
        </w:tabs>
        <w:autoSpaceDE w:val="0"/>
        <w:autoSpaceDN w:val="0"/>
        <w:adjustRightInd w:val="0"/>
        <w:spacing w:after="0"/>
        <w:ind w:left="1434" w:hanging="357"/>
        <w:rPr>
          <w:rFonts w:cs="Arial"/>
          <w:szCs w:val="20"/>
          <w:lang w:eastAsia="en-AU"/>
        </w:rPr>
      </w:pPr>
      <m:oMath>
        <m:r>
          <m:rPr>
            <m:sty m:val="p"/>
          </m:rPr>
          <w:rPr>
            <w:rFonts w:ascii="Cambria Math" w:hAnsi="Cambria Math" w:cs="Arial"/>
            <w:szCs w:val="20"/>
          </w:rPr>
          <m:t>NEP</m:t>
        </m:r>
      </m:oMath>
      <w:r w:rsidRPr="00614E8A">
        <w:rPr>
          <w:rFonts w:cs="Arial"/>
          <w:szCs w:val="20"/>
        </w:rPr>
        <w:t xml:space="preserve"> is the National Efficient Price </w:t>
      </w:r>
      <w:r w:rsidR="00B94FB5">
        <w:rPr>
          <w:rFonts w:cs="Arial"/>
          <w:szCs w:val="20"/>
        </w:rPr>
        <w:t>2015-16</w:t>
      </w:r>
    </w:p>
    <w:p w:rsidR="00992B3C" w:rsidRPr="00922B83" w:rsidRDefault="00460371" w:rsidP="00992B3C">
      <w:pPr>
        <w:tabs>
          <w:tab w:val="left" w:pos="1162"/>
        </w:tabs>
        <w:autoSpaceDE w:val="0"/>
        <w:autoSpaceDN w:val="0"/>
        <w:adjustRightInd w:val="0"/>
        <w:spacing w:before="240" w:after="0"/>
        <w:rPr>
          <w:rFonts w:cs="Arial"/>
          <w:szCs w:val="20"/>
          <w:lang w:eastAsia="en-AU"/>
        </w:rPr>
      </w:pPr>
      <w:r w:rsidRPr="00183A38">
        <w:rPr>
          <w:rFonts w:cs="Arial"/>
          <w:szCs w:val="20"/>
          <w:lang w:eastAsia="en-AU"/>
        </w:rPr>
        <w:t xml:space="preserve">In the event that the application of the private patient </w:t>
      </w:r>
      <w:r w:rsidRPr="00922B83">
        <w:rPr>
          <w:rFonts w:cs="Arial"/>
          <w:szCs w:val="20"/>
          <w:lang w:eastAsia="en-AU"/>
        </w:rPr>
        <w:t>adjustment</w:t>
      </w:r>
      <w:r>
        <w:rPr>
          <w:rFonts w:cs="Arial"/>
          <w:szCs w:val="20"/>
          <w:lang w:eastAsia="en-AU"/>
        </w:rPr>
        <w:t>s</w:t>
      </w:r>
      <w:r w:rsidRPr="00922B83">
        <w:rPr>
          <w:rFonts w:cs="Arial"/>
          <w:szCs w:val="20"/>
          <w:lang w:eastAsia="en-AU"/>
        </w:rPr>
        <w:t xml:space="preserve"> return a negative </w:t>
      </w:r>
      <w:proofErr w:type="gramStart"/>
      <w:r w:rsidRPr="00922B83">
        <w:rPr>
          <w:rFonts w:cs="Arial"/>
          <w:szCs w:val="20"/>
          <w:lang w:eastAsia="en-AU"/>
        </w:rPr>
        <w:t>NWAU(</w:t>
      </w:r>
      <w:proofErr w:type="gramEnd"/>
      <w:r w:rsidRPr="00922B83">
        <w:rPr>
          <w:rFonts w:cs="Arial"/>
          <w:szCs w:val="20"/>
          <w:lang w:eastAsia="en-AU"/>
        </w:rPr>
        <w:t>1</w:t>
      </w:r>
      <w:r w:rsidR="00AF74E4">
        <w:rPr>
          <w:rFonts w:cs="Arial"/>
          <w:szCs w:val="20"/>
          <w:lang w:eastAsia="en-AU"/>
        </w:rPr>
        <w:t>5</w:t>
      </w:r>
      <w:r w:rsidRPr="00922B83">
        <w:rPr>
          <w:rFonts w:cs="Arial"/>
          <w:szCs w:val="20"/>
          <w:lang w:eastAsia="en-AU"/>
        </w:rPr>
        <w:t>) value for a</w:t>
      </w:r>
      <w:r>
        <w:rPr>
          <w:rFonts w:cs="Arial"/>
          <w:szCs w:val="20"/>
          <w:lang w:eastAsia="en-AU"/>
        </w:rPr>
        <w:t xml:space="preserve"> </w:t>
      </w:r>
      <w:r w:rsidRPr="00922B83">
        <w:rPr>
          <w:rFonts w:cs="Arial"/>
          <w:szCs w:val="20"/>
          <w:lang w:eastAsia="en-AU"/>
        </w:rPr>
        <w:t>particular patient, the NWAU</w:t>
      </w:r>
      <w:r>
        <w:rPr>
          <w:rFonts w:cs="Arial"/>
          <w:szCs w:val="20"/>
          <w:lang w:eastAsia="en-AU"/>
        </w:rPr>
        <w:t>(1</w:t>
      </w:r>
      <w:r w:rsidR="008B4D5E">
        <w:rPr>
          <w:rFonts w:cs="Arial"/>
          <w:szCs w:val="20"/>
          <w:lang w:eastAsia="en-AU"/>
        </w:rPr>
        <w:t>5</w:t>
      </w:r>
      <w:r>
        <w:rPr>
          <w:rFonts w:cs="Arial"/>
          <w:szCs w:val="20"/>
          <w:lang w:eastAsia="en-AU"/>
        </w:rPr>
        <w:t xml:space="preserve">) value is held to be zero; </w:t>
      </w:r>
      <w:r w:rsidRPr="00922B83">
        <w:rPr>
          <w:rFonts w:cs="Arial"/>
          <w:szCs w:val="20"/>
          <w:lang w:eastAsia="en-AU"/>
        </w:rPr>
        <w:t>that is, negative</w:t>
      </w:r>
      <w:r>
        <w:rPr>
          <w:rFonts w:cs="Arial"/>
          <w:szCs w:val="20"/>
          <w:lang w:eastAsia="en-AU"/>
        </w:rPr>
        <w:t xml:space="preserve"> </w:t>
      </w:r>
      <w:r w:rsidRPr="00922B83">
        <w:rPr>
          <w:rFonts w:cs="Arial"/>
          <w:szCs w:val="20"/>
          <w:lang w:eastAsia="en-AU"/>
        </w:rPr>
        <w:t>NWAU(1</w:t>
      </w:r>
      <w:r w:rsidR="00AF74E4">
        <w:rPr>
          <w:rFonts w:cs="Arial"/>
          <w:szCs w:val="20"/>
          <w:lang w:eastAsia="en-AU"/>
        </w:rPr>
        <w:t>5</w:t>
      </w:r>
      <w:r w:rsidRPr="00922B83">
        <w:rPr>
          <w:rFonts w:cs="Arial"/>
          <w:szCs w:val="20"/>
          <w:lang w:eastAsia="en-AU"/>
        </w:rPr>
        <w:t>) values are not permitted for any patients under the National Pricing</w:t>
      </w:r>
      <w:r>
        <w:rPr>
          <w:rFonts w:cs="Arial"/>
          <w:szCs w:val="20"/>
          <w:lang w:eastAsia="en-AU"/>
        </w:rPr>
        <w:t xml:space="preserve"> </w:t>
      </w:r>
      <w:r w:rsidRPr="00922B83">
        <w:rPr>
          <w:rFonts w:cs="Arial"/>
          <w:szCs w:val="20"/>
          <w:lang w:eastAsia="en-AU"/>
        </w:rPr>
        <w:t>Model.</w:t>
      </w:r>
    </w:p>
    <w:p w:rsidR="00B32A11" w:rsidRPr="00225003" w:rsidRDefault="00B32A11" w:rsidP="0080117D">
      <w:pPr>
        <w:autoSpaceDE w:val="0"/>
        <w:autoSpaceDN w:val="0"/>
        <w:adjustRightInd w:val="0"/>
        <w:spacing w:before="360" w:after="240"/>
        <w:rPr>
          <w:rFonts w:cs="Arial"/>
          <w:szCs w:val="20"/>
          <w:lang w:eastAsia="en-AU"/>
        </w:rPr>
      </w:pPr>
      <w:bookmarkStart w:id="148" w:name="_Ref342385185"/>
      <w:bookmarkStart w:id="149" w:name="_Toc380754708"/>
      <w:r w:rsidRPr="00225003">
        <w:rPr>
          <w:rFonts w:cs="Arial"/>
          <w:szCs w:val="20"/>
          <w:lang w:eastAsia="en-AU"/>
        </w:rPr>
        <w:t>Note: the definition of</w:t>
      </w:r>
      <w:r w:rsidRPr="00225003">
        <w:rPr>
          <w:rFonts w:ascii="Arial+FPEF" w:hAnsi="Arial+FPEF" w:cs="Arial+FPEF"/>
          <w:szCs w:val="20"/>
          <w:lang w:eastAsia="en-AU"/>
        </w:rPr>
        <w:t xml:space="preserve"> </w:t>
      </w: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oMath>
      <w:r w:rsidRPr="00225003">
        <w:rPr>
          <w:rFonts w:ascii="Arial+FPEF" w:hAnsi="Arial+FPEF" w:cs="Arial+FPEF"/>
          <w:szCs w:val="20"/>
          <w:lang w:eastAsia="en-AU"/>
        </w:rPr>
        <w:t xml:space="preserve"> </w:t>
      </w:r>
      <w:r w:rsidRPr="00225003">
        <w:rPr>
          <w:rFonts w:cs="Arial"/>
          <w:szCs w:val="20"/>
          <w:lang w:eastAsia="en-AU"/>
        </w:rPr>
        <w:t>as the Private Patient Service Adjustment is expressed as a discount as done in NEP14</w:t>
      </w:r>
      <w:r w:rsidR="008B4D5E">
        <w:rPr>
          <w:rFonts w:cs="Arial"/>
          <w:szCs w:val="20"/>
          <w:lang w:eastAsia="en-AU"/>
        </w:rPr>
        <w:t>, which</w:t>
      </w:r>
      <w:r w:rsidRPr="00225003">
        <w:rPr>
          <w:rFonts w:cs="Arial"/>
          <w:szCs w:val="20"/>
          <w:lang w:eastAsia="en-AU"/>
        </w:rPr>
        <w:t xml:space="preserve"> equates to</w:t>
      </w:r>
      <w:r w:rsidRPr="00225003">
        <w:rPr>
          <w:rFonts w:ascii="Arial+FPEF" w:hAnsi="Arial+FPEF" w:cs="Arial+FPEF"/>
          <w:szCs w:val="20"/>
          <w:lang w:eastAsia="en-AU"/>
        </w:rPr>
        <w:t xml:space="preserve"> (1 - </w:t>
      </w: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oMath>
      <w:r w:rsidRPr="00225003">
        <w:rPr>
          <w:rFonts w:ascii="Arial+FPEF" w:hAnsi="Arial+FPEF" w:cs="Arial+FPEF"/>
          <w:szCs w:val="20"/>
          <w:lang w:eastAsia="en-AU"/>
        </w:rPr>
        <w:t xml:space="preserve">) </w:t>
      </w:r>
      <w:r w:rsidRPr="00225003">
        <w:rPr>
          <w:rFonts w:cs="Arial"/>
          <w:szCs w:val="20"/>
          <w:lang w:eastAsia="en-AU"/>
        </w:rPr>
        <w:t>in NEP1</w:t>
      </w:r>
      <w:r w:rsidR="008B4D5E">
        <w:rPr>
          <w:rFonts w:cs="Arial"/>
          <w:szCs w:val="20"/>
          <w:lang w:eastAsia="en-AU"/>
        </w:rPr>
        <w:t>3</w:t>
      </w:r>
      <w:r w:rsidRPr="00225003">
        <w:rPr>
          <w:rFonts w:cs="Arial"/>
          <w:szCs w:val="20"/>
          <w:lang w:eastAsia="en-AU"/>
        </w:rPr>
        <w:t>.</w:t>
      </w:r>
    </w:p>
    <w:p w:rsidR="00460371" w:rsidRDefault="00460371" w:rsidP="00AD4FFC">
      <w:pPr>
        <w:pStyle w:val="Heading2"/>
        <w:keepLines w:val="0"/>
        <w:numPr>
          <w:ilvl w:val="1"/>
          <w:numId w:val="35"/>
        </w:numPr>
        <w:tabs>
          <w:tab w:val="left" w:pos="1162"/>
        </w:tabs>
        <w:spacing w:after="60"/>
      </w:pPr>
      <w:bookmarkStart w:id="150" w:name="_Toc412550725"/>
      <w:r>
        <w:t>Assigning NWAU to acute admitted patient data</w:t>
      </w:r>
      <w:bookmarkEnd w:id="148"/>
      <w:bookmarkEnd w:id="149"/>
      <w:bookmarkEnd w:id="150"/>
    </w:p>
    <w:bookmarkEnd w:id="147"/>
    <w:p w:rsidR="00CD4FCF" w:rsidRDefault="00460371" w:rsidP="00CD4FCF">
      <w:pPr>
        <w:tabs>
          <w:tab w:val="left" w:pos="1162"/>
        </w:tabs>
        <w:spacing w:before="120"/>
        <w:rPr>
          <w:rFonts w:cs="Arial"/>
          <w:szCs w:val="20"/>
        </w:rPr>
      </w:pPr>
      <w:r w:rsidRPr="00922B83">
        <w:rPr>
          <w:rFonts w:cs="Arial"/>
          <w:szCs w:val="20"/>
        </w:rPr>
        <w:t xml:space="preserve">This section describes how the NWAU resulting from the analysis of costs described in the previous sections can be applied to </w:t>
      </w:r>
      <w:r>
        <w:rPr>
          <w:rFonts w:cs="Arial"/>
          <w:szCs w:val="20"/>
        </w:rPr>
        <w:t xml:space="preserve">acute </w:t>
      </w:r>
      <w:r w:rsidRPr="00922B83">
        <w:rPr>
          <w:rFonts w:cs="Arial"/>
          <w:szCs w:val="20"/>
        </w:rPr>
        <w:t>admitted patient activity data to assign NWAU to acute admitted episodes</w:t>
      </w:r>
      <w:r>
        <w:rPr>
          <w:rFonts w:cs="Arial"/>
          <w:szCs w:val="20"/>
        </w:rPr>
        <w:t xml:space="preserve">. To </w:t>
      </w:r>
      <w:r w:rsidRPr="00922B83">
        <w:rPr>
          <w:rFonts w:cs="Arial"/>
          <w:szCs w:val="20"/>
        </w:rPr>
        <w:t xml:space="preserve">enable users to implement the </w:t>
      </w:r>
      <w:r>
        <w:rPr>
          <w:rFonts w:cs="Arial"/>
          <w:szCs w:val="20"/>
        </w:rPr>
        <w:t>NWAU to activity data, this</w:t>
      </w:r>
      <w:r w:rsidRPr="00922B83">
        <w:rPr>
          <w:rFonts w:cs="Arial"/>
          <w:szCs w:val="20"/>
        </w:rPr>
        <w:t xml:space="preserve"> section </w:t>
      </w:r>
      <w:r>
        <w:rPr>
          <w:rFonts w:cs="Arial"/>
          <w:szCs w:val="20"/>
        </w:rPr>
        <w:t>gives detailed definitions of the variables required throughout the process of assigning NWAU.</w:t>
      </w:r>
    </w:p>
    <w:p w:rsidR="00DC7ED9" w:rsidRDefault="00DC7ED9">
      <w:pPr>
        <w:spacing w:after="200" w:line="276" w:lineRule="auto"/>
        <w:rPr>
          <w:rFonts w:cs="Arial"/>
          <w:szCs w:val="20"/>
        </w:rPr>
      </w:pPr>
      <w:r>
        <w:rPr>
          <w:rFonts w:cs="Arial"/>
          <w:szCs w:val="20"/>
        </w:rPr>
        <w:br w:type="page"/>
      </w:r>
    </w:p>
    <w:p w:rsidR="000B27D2" w:rsidRDefault="00460371" w:rsidP="00CD4FCF">
      <w:pPr>
        <w:tabs>
          <w:tab w:val="left" w:pos="1162"/>
        </w:tabs>
        <w:spacing w:before="120"/>
        <w:rPr>
          <w:rFonts w:cs="Arial"/>
          <w:szCs w:val="20"/>
        </w:rPr>
      </w:pPr>
      <w:r w:rsidRPr="00922B83">
        <w:rPr>
          <w:rFonts w:cs="Arial"/>
          <w:szCs w:val="20"/>
        </w:rPr>
        <w:lastRenderedPageBreak/>
        <w:t>The key steps in determining NWAU for acute admitted activity are:</w:t>
      </w:r>
    </w:p>
    <w:p w:rsidR="00460371" w:rsidRPr="00F45E94" w:rsidRDefault="00C82274" w:rsidP="00AD4FFC">
      <w:pPr>
        <w:tabs>
          <w:tab w:val="left" w:pos="1162"/>
        </w:tabs>
        <w:spacing w:before="120"/>
        <w:rPr>
          <w:rFonts w:cs="Arial"/>
          <w:szCs w:val="20"/>
        </w:rPr>
      </w:pPr>
      <w:r w:rsidRPr="00F45E94">
        <w:rPr>
          <w:rFonts w:cs="Arial"/>
          <w:szCs w:val="20"/>
          <w:u w:val="single"/>
        </w:rPr>
        <w:t>Stage 1</w:t>
      </w:r>
      <w:r>
        <w:rPr>
          <w:rFonts w:cs="Arial"/>
          <w:szCs w:val="20"/>
        </w:rPr>
        <w:t>:</w:t>
      </w:r>
      <w:r w:rsidRPr="00F45E94">
        <w:rPr>
          <w:rFonts w:cs="Arial"/>
          <w:szCs w:val="20"/>
        </w:rPr>
        <w:t xml:space="preserve"> </w:t>
      </w:r>
      <w:r w:rsidR="00460371" w:rsidRPr="00F45E94">
        <w:rPr>
          <w:rFonts w:cs="Arial"/>
          <w:szCs w:val="20"/>
        </w:rPr>
        <w:t>Preparation of acute admitted patient data and creation of variables required for NWAU calculation.</w:t>
      </w:r>
    </w:p>
    <w:p w:rsidR="00460371" w:rsidRPr="00F45E94" w:rsidRDefault="00C82274" w:rsidP="00AD4FFC">
      <w:pPr>
        <w:tabs>
          <w:tab w:val="left" w:pos="1162"/>
        </w:tabs>
        <w:rPr>
          <w:rFonts w:cs="Arial"/>
          <w:szCs w:val="20"/>
        </w:rPr>
      </w:pPr>
      <w:r w:rsidRPr="00F45E94">
        <w:rPr>
          <w:rFonts w:cs="Arial"/>
          <w:szCs w:val="20"/>
          <w:u w:val="single"/>
        </w:rPr>
        <w:t>Stage 2</w:t>
      </w:r>
      <w:r>
        <w:rPr>
          <w:rFonts w:cs="Arial"/>
          <w:szCs w:val="20"/>
        </w:rPr>
        <w:t>:</w:t>
      </w:r>
      <w:r w:rsidRPr="00F45E94">
        <w:rPr>
          <w:rFonts w:cs="Arial"/>
          <w:szCs w:val="20"/>
        </w:rPr>
        <w:t xml:space="preserve"> </w:t>
      </w:r>
      <w:r w:rsidR="00460371" w:rsidRPr="00F45E94">
        <w:rPr>
          <w:rFonts w:cs="Arial"/>
          <w:szCs w:val="20"/>
        </w:rPr>
        <w:t>Calculation of NWAU using acute admitted patient data prepared in Stage 1.</w:t>
      </w:r>
    </w:p>
    <w:p w:rsidR="00460371" w:rsidRPr="00F45E94" w:rsidRDefault="00460371" w:rsidP="00AD4FFC">
      <w:pPr>
        <w:pStyle w:val="Heading3"/>
        <w:keepLines w:val="0"/>
        <w:numPr>
          <w:ilvl w:val="2"/>
          <w:numId w:val="35"/>
        </w:numPr>
        <w:tabs>
          <w:tab w:val="left" w:pos="1162"/>
        </w:tabs>
        <w:spacing w:before="240" w:after="120"/>
      </w:pPr>
      <w:bookmarkStart w:id="151" w:name="_Toc380754709"/>
      <w:bookmarkStart w:id="152" w:name="_Toc412550726"/>
      <w:r w:rsidRPr="00F45E94">
        <w:t>Data Preparation</w:t>
      </w:r>
      <w:bookmarkEnd w:id="151"/>
      <w:r w:rsidR="000F590C">
        <w:t xml:space="preserve"> and Calculation NWAU</w:t>
      </w:r>
      <w:bookmarkEnd w:id="152"/>
    </w:p>
    <w:p w:rsidR="00BC68AC" w:rsidRDefault="00460371" w:rsidP="00AD4FFC">
      <w:pPr>
        <w:tabs>
          <w:tab w:val="left" w:pos="1162"/>
        </w:tabs>
        <w:rPr>
          <w:rFonts w:cs="Arial"/>
          <w:szCs w:val="20"/>
        </w:rPr>
      </w:pPr>
      <w:r w:rsidRPr="00F45E94">
        <w:rPr>
          <w:rFonts w:cs="Arial"/>
          <w:szCs w:val="20"/>
        </w:rPr>
        <w:t xml:space="preserve">The data preparation </w:t>
      </w:r>
      <w:r w:rsidR="0029628B">
        <w:rPr>
          <w:rFonts w:cs="Arial"/>
          <w:szCs w:val="20"/>
        </w:rPr>
        <w:t>stage</w:t>
      </w:r>
      <w:r w:rsidRPr="00F45E94">
        <w:rPr>
          <w:rFonts w:cs="Arial"/>
          <w:szCs w:val="20"/>
        </w:rPr>
        <w:t xml:space="preserve"> is illustrated in</w:t>
      </w:r>
      <w:r w:rsidR="00AE054F">
        <w:rPr>
          <w:rFonts w:cs="Arial"/>
          <w:szCs w:val="20"/>
        </w:rPr>
        <w:t xml:space="preserve"> Figure 5</w:t>
      </w:r>
      <w:r w:rsidRPr="00F45E94">
        <w:rPr>
          <w:rFonts w:cs="Arial"/>
          <w:szCs w:val="20"/>
        </w:rPr>
        <w:t xml:space="preserve">. The process is broken into </w:t>
      </w:r>
      <w:r w:rsidR="0029628B">
        <w:rPr>
          <w:rFonts w:cs="Arial"/>
          <w:szCs w:val="20"/>
        </w:rPr>
        <w:t>7</w:t>
      </w:r>
      <w:r w:rsidRPr="00F45E94">
        <w:rPr>
          <w:rFonts w:cs="Arial"/>
          <w:szCs w:val="20"/>
        </w:rPr>
        <w:t xml:space="preserve"> steps each requiring variables created in previous steps. The resulting dataset is </w:t>
      </w:r>
      <w:bookmarkStart w:id="153" w:name="_Ref342308999"/>
      <w:r w:rsidR="0029628B">
        <w:rPr>
          <w:rFonts w:cs="Arial"/>
          <w:szCs w:val="20"/>
        </w:rPr>
        <w:t>called the ‘prepared acute dataset’</w:t>
      </w:r>
      <w:r w:rsidR="000F590C">
        <w:rPr>
          <w:rFonts w:cs="Arial"/>
          <w:szCs w:val="20"/>
        </w:rPr>
        <w:t xml:space="preserve">. </w:t>
      </w:r>
    </w:p>
    <w:p w:rsidR="00460371" w:rsidRDefault="00460371">
      <w:pPr>
        <w:pStyle w:val="table"/>
      </w:pPr>
      <w:r>
        <w:t xml:space="preserve">Figure </w:t>
      </w:r>
      <w:bookmarkEnd w:id="153"/>
      <w:r w:rsidR="00933C77">
        <w:t>5</w:t>
      </w:r>
      <w:r>
        <w:t xml:space="preserve">: </w:t>
      </w:r>
      <w:r w:rsidR="000F590C">
        <w:t xml:space="preserve">Acute Data Set Preparation Process </w:t>
      </w:r>
      <w:r w:rsidR="009A5828">
        <w:t>– Stage 1</w:t>
      </w:r>
    </w:p>
    <w:p w:rsidR="00992B3C" w:rsidRDefault="00742565">
      <w:pPr>
        <w:jc w:val="center"/>
      </w:pPr>
      <w:r>
        <w:rPr>
          <w:noProof/>
          <w:lang w:eastAsia="en-AU"/>
        </w:rPr>
        <w:drawing>
          <wp:inline distT="0" distB="0" distL="0" distR="0" wp14:anchorId="0E79356E" wp14:editId="5B038231">
            <wp:extent cx="5723890" cy="3396615"/>
            <wp:effectExtent l="0" t="0" r="0" b="0"/>
            <wp:docPr id="137" name="Picture 137" descr="Step one: Create variables A00 to A01.&#10;Step two: Left join with paediatric and intensive care unit (ICU) tables and create variables A02 to A03.&#10;Step three: Left join with postcode, Australian Statistical Geography Standard (ASGS) and Statistical Local Area (SLA) tables and create variable A04. &#10;Step four: Create variables A05 to A13. &#10;Step five: Left join with 2015-16 National Weighted Activity Unit (NWAU) price weight table and adjustments to create variables A14 to A32. &#10;Step six: Create variable A33.&#10;Step seven: Create variables A34 to A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890" cy="3396615"/>
                    </a:xfrm>
                    <a:prstGeom prst="rect">
                      <a:avLst/>
                    </a:prstGeom>
                    <a:noFill/>
                    <a:ln>
                      <a:noFill/>
                    </a:ln>
                  </pic:spPr>
                </pic:pic>
              </a:graphicData>
            </a:graphic>
          </wp:inline>
        </w:drawing>
      </w:r>
    </w:p>
    <w:p w:rsidR="000D6010" w:rsidRPr="000D6010" w:rsidRDefault="00B32A11" w:rsidP="00992B3C">
      <w:r w:rsidRPr="002909DA">
        <w:t xml:space="preserve">The process requires the </w:t>
      </w:r>
      <w:r>
        <w:t>seven</w:t>
      </w:r>
      <w:r w:rsidRPr="002909DA">
        <w:t xml:space="preserve"> input datasets or tables referred to in</w:t>
      </w:r>
      <w:r>
        <w:t xml:space="preserve"> </w:t>
      </w:r>
      <w:r w:rsidR="00933C77">
        <w:t>Table 4.</w:t>
      </w:r>
      <w:bookmarkStart w:id="154" w:name="_Ref342307829"/>
      <w:r w:rsidR="000D6010" w:rsidRPr="000D6010">
        <w:t xml:space="preserve"> </w:t>
      </w:r>
    </w:p>
    <w:p w:rsidR="000D6010" w:rsidRDefault="000D6010" w:rsidP="000D6010">
      <w:r>
        <w:t xml:space="preserve">The input APC dataset has </w:t>
      </w:r>
      <w:r w:rsidRPr="002074EB">
        <w:t>19</w:t>
      </w:r>
      <w:r>
        <w:t xml:space="preserve"> variables. </w:t>
      </w:r>
    </w:p>
    <w:p w:rsidR="000D6010" w:rsidRDefault="000D6010" w:rsidP="000D6010">
      <w:r>
        <w:t xml:space="preserve">Table 5 lists these variables, which form part of the </w:t>
      </w:r>
      <w:r w:rsidR="00EF5610" w:rsidRPr="00EF5610">
        <w:t>Admitted Patient Care National Minimum Data Set (APC NMDS)</w:t>
      </w:r>
      <w:r>
        <w:t>, located on the IHPA website.</w:t>
      </w:r>
    </w:p>
    <w:p w:rsidR="007C57DE" w:rsidRPr="000D6010" w:rsidRDefault="000D6010" w:rsidP="000D6010">
      <w:r>
        <w:t>The variable definitions required in the process are given in Table 6.</w:t>
      </w:r>
    </w:p>
    <w:p w:rsidR="000D6010" w:rsidRDefault="000D6010">
      <w:pPr>
        <w:spacing w:after="200" w:line="276" w:lineRule="auto"/>
        <w:rPr>
          <w:rFonts w:ascii="Arial" w:eastAsia="Times New Roman" w:hAnsi="Arial" w:cstheme="minorHAnsi"/>
          <w:b/>
          <w:color w:val="000000"/>
          <w:sz w:val="20"/>
          <w:szCs w:val="20"/>
          <w:lang w:eastAsia="en-AU"/>
        </w:rPr>
      </w:pPr>
      <w:r>
        <w:br w:type="page"/>
      </w:r>
    </w:p>
    <w:p w:rsidR="00460371" w:rsidRDefault="00460371">
      <w:pPr>
        <w:pStyle w:val="table"/>
      </w:pPr>
      <w:r>
        <w:lastRenderedPageBreak/>
        <w:t>Table</w:t>
      </w:r>
      <w:bookmarkEnd w:id="154"/>
      <w:r w:rsidR="000406E0">
        <w:t xml:space="preserve"> 4</w:t>
      </w:r>
      <w:r>
        <w:t xml:space="preserve">: </w:t>
      </w:r>
      <w:r w:rsidRPr="00E301C0">
        <w:t>Dataset and tables required for assignment of NWAU to acute admitted patient data</w:t>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Description w:val="A summary of table 4 is outlined in the text prior to this table."/>
      </w:tblPr>
      <w:tblGrid>
        <w:gridCol w:w="2660"/>
        <w:gridCol w:w="6583"/>
      </w:tblGrid>
      <w:tr w:rsidR="00B32A11" w:rsidRPr="00C525F3" w:rsidTr="00225003">
        <w:trPr>
          <w:cantSplit/>
          <w:tblHeader/>
        </w:trPr>
        <w:tc>
          <w:tcPr>
            <w:tcW w:w="2660" w:type="dxa"/>
            <w:shd w:val="clear" w:color="auto" w:fill="BFBFBF" w:themeFill="background1" w:themeFillShade="BF"/>
          </w:tcPr>
          <w:p w:rsidR="00B32A11" w:rsidRPr="00B70359" w:rsidRDefault="00B32A11" w:rsidP="00AD4FFC">
            <w:pPr>
              <w:tabs>
                <w:tab w:val="left" w:pos="1162"/>
              </w:tabs>
              <w:spacing w:before="80" w:after="80"/>
              <w:rPr>
                <w:rFonts w:cs="Arial"/>
                <w:b/>
                <w:sz w:val="20"/>
                <w:szCs w:val="20"/>
              </w:rPr>
            </w:pPr>
            <w:bookmarkStart w:id="155" w:name="_Ref342307855"/>
            <w:r w:rsidRPr="00B70359">
              <w:rPr>
                <w:rFonts w:cs="Arial"/>
                <w:b/>
                <w:sz w:val="20"/>
                <w:szCs w:val="20"/>
              </w:rPr>
              <w:t>Input dataset or table</w:t>
            </w:r>
          </w:p>
        </w:tc>
        <w:tc>
          <w:tcPr>
            <w:tcW w:w="6583" w:type="dxa"/>
            <w:shd w:val="clear" w:color="auto" w:fill="BFBFBF" w:themeFill="background1" w:themeFillShade="BF"/>
          </w:tcPr>
          <w:p w:rsidR="00B32A11" w:rsidRPr="00B70359" w:rsidRDefault="00B32A11" w:rsidP="00AD4FFC">
            <w:pPr>
              <w:tabs>
                <w:tab w:val="left" w:pos="1162"/>
              </w:tabs>
              <w:spacing w:before="80" w:after="80"/>
              <w:rPr>
                <w:rFonts w:cs="Arial"/>
                <w:b/>
                <w:sz w:val="20"/>
                <w:szCs w:val="20"/>
              </w:rPr>
            </w:pPr>
            <w:r w:rsidRPr="00B70359">
              <w:rPr>
                <w:rFonts w:cs="Arial"/>
                <w:b/>
                <w:sz w:val="20"/>
                <w:szCs w:val="20"/>
              </w:rPr>
              <w:t>Description</w:t>
            </w:r>
          </w:p>
        </w:tc>
      </w:tr>
      <w:tr w:rsidR="00B32A11" w:rsidRPr="00C525F3" w:rsidTr="00225003">
        <w:trPr>
          <w:cantSplit/>
        </w:trPr>
        <w:tc>
          <w:tcPr>
            <w:tcW w:w="2660" w:type="dxa"/>
          </w:tcPr>
          <w:p w:rsidR="00B32A11" w:rsidRPr="00BA4C38" w:rsidRDefault="00B32A11" w:rsidP="00B71156">
            <w:pPr>
              <w:tabs>
                <w:tab w:val="left" w:pos="1162"/>
              </w:tabs>
              <w:spacing w:before="80" w:after="80"/>
              <w:rPr>
                <w:rFonts w:cs="Arial"/>
                <w:sz w:val="20"/>
                <w:szCs w:val="20"/>
              </w:rPr>
            </w:pPr>
            <w:r w:rsidRPr="00BA4C38">
              <w:rPr>
                <w:rFonts w:cs="Arial"/>
                <w:sz w:val="20"/>
                <w:szCs w:val="20"/>
              </w:rPr>
              <w:t xml:space="preserve">APC </w:t>
            </w:r>
            <w:r w:rsidR="00B71156">
              <w:rPr>
                <w:rFonts w:cs="Arial"/>
                <w:sz w:val="20"/>
                <w:szCs w:val="20"/>
              </w:rPr>
              <w:t xml:space="preserve">NMDS </w:t>
            </w:r>
          </w:p>
        </w:tc>
        <w:tc>
          <w:tcPr>
            <w:tcW w:w="6583" w:type="dxa"/>
          </w:tcPr>
          <w:p w:rsidR="00B32A11" w:rsidRPr="00BA4C38" w:rsidRDefault="00B32A11" w:rsidP="00B71156">
            <w:pPr>
              <w:tabs>
                <w:tab w:val="left" w:pos="1162"/>
              </w:tabs>
              <w:spacing w:before="80" w:after="80"/>
              <w:rPr>
                <w:rFonts w:cs="Arial"/>
                <w:sz w:val="20"/>
                <w:szCs w:val="20"/>
              </w:rPr>
            </w:pPr>
            <w:r w:rsidRPr="00BA4C38">
              <w:rPr>
                <w:rFonts w:cs="Arial"/>
                <w:sz w:val="20"/>
                <w:szCs w:val="20"/>
              </w:rPr>
              <w:t xml:space="preserve">Dataset based </w:t>
            </w:r>
            <w:proofErr w:type="gramStart"/>
            <w:r w:rsidRPr="00BA4C38">
              <w:rPr>
                <w:rFonts w:cs="Arial"/>
                <w:sz w:val="20"/>
                <w:szCs w:val="20"/>
              </w:rPr>
              <w:t xml:space="preserve">on the </w:t>
            </w:r>
            <w:r>
              <w:rPr>
                <w:rFonts w:cs="Arial"/>
                <w:sz w:val="20"/>
                <w:szCs w:val="20"/>
              </w:rPr>
              <w:t>2015-16</w:t>
            </w:r>
            <w:r w:rsidRPr="00BA4C38">
              <w:rPr>
                <w:rFonts w:cs="Arial"/>
                <w:sz w:val="20"/>
                <w:szCs w:val="20"/>
              </w:rPr>
              <w:t xml:space="preserve"> Admitted Patient Care</w:t>
            </w:r>
            <w:r w:rsidR="00B71156">
              <w:rPr>
                <w:rFonts w:cs="Arial"/>
                <w:sz w:val="20"/>
                <w:szCs w:val="20"/>
              </w:rPr>
              <w:t xml:space="preserve"> National Minimum Data Set</w:t>
            </w:r>
            <w:r w:rsidRPr="00BA4C38">
              <w:rPr>
                <w:rFonts w:cs="Arial"/>
                <w:sz w:val="20"/>
                <w:szCs w:val="20"/>
              </w:rPr>
              <w:t xml:space="preserve"> </w:t>
            </w:r>
            <w:r w:rsidR="00B71156">
              <w:rPr>
                <w:rFonts w:cs="Arial"/>
                <w:sz w:val="20"/>
                <w:szCs w:val="20"/>
              </w:rPr>
              <w:t>(APC NMDS)</w:t>
            </w:r>
            <w:proofErr w:type="gramEnd"/>
            <w:r w:rsidRPr="00BA4C38">
              <w:rPr>
                <w:rFonts w:cs="Arial"/>
                <w:sz w:val="20"/>
                <w:szCs w:val="20"/>
              </w:rPr>
              <w:t xml:space="preserve"> located on the IHPA website.</w:t>
            </w:r>
          </w:p>
        </w:tc>
      </w:tr>
      <w:tr w:rsidR="00B32A11" w:rsidRPr="00C525F3" w:rsidTr="00225003">
        <w:trPr>
          <w:cantSplit/>
        </w:trPr>
        <w:tc>
          <w:tcPr>
            <w:tcW w:w="2660" w:type="dxa"/>
          </w:tcPr>
          <w:p w:rsidR="00B32A11" w:rsidRPr="00BA4C38" w:rsidRDefault="00B32A11" w:rsidP="00AD4FFC">
            <w:pPr>
              <w:tabs>
                <w:tab w:val="left" w:pos="1162"/>
              </w:tabs>
              <w:spacing w:before="80" w:after="80"/>
              <w:rPr>
                <w:rFonts w:cs="Arial"/>
                <w:sz w:val="20"/>
                <w:szCs w:val="20"/>
              </w:rPr>
            </w:pPr>
            <w:r w:rsidRPr="00BA4C38">
              <w:rPr>
                <w:rFonts w:cs="Arial"/>
                <w:sz w:val="20"/>
                <w:szCs w:val="20"/>
              </w:rPr>
              <w:t>Postcode table</w:t>
            </w:r>
          </w:p>
        </w:tc>
        <w:tc>
          <w:tcPr>
            <w:tcW w:w="6583" w:type="dxa"/>
          </w:tcPr>
          <w:p w:rsidR="00B32A11" w:rsidRPr="00BA4C38" w:rsidRDefault="00B32A11" w:rsidP="00AD4FFC">
            <w:pPr>
              <w:tabs>
                <w:tab w:val="left" w:pos="1162"/>
              </w:tabs>
              <w:spacing w:before="80" w:after="80"/>
              <w:rPr>
                <w:rFonts w:cs="Arial"/>
                <w:sz w:val="20"/>
                <w:szCs w:val="20"/>
              </w:rPr>
            </w:pPr>
            <w:r w:rsidRPr="00BA4C38">
              <w:rPr>
                <w:rFonts w:cs="Arial"/>
                <w:sz w:val="20"/>
                <w:szCs w:val="20"/>
              </w:rPr>
              <w:t>Table of postcodes mapped to the 2011 ASGS Remoteness Area classification. Each postcode is mapped to the Remoteness Area category within which the majority of the postcode’s population resides. PO Box postcodes are mapped to the Remoteness Area category within which the Post Office is located.</w:t>
            </w:r>
          </w:p>
        </w:tc>
      </w:tr>
      <w:tr w:rsidR="00B32A11" w:rsidRPr="00C525F3" w:rsidTr="00225003">
        <w:trPr>
          <w:cantSplit/>
        </w:trPr>
        <w:tc>
          <w:tcPr>
            <w:tcW w:w="2660" w:type="dxa"/>
          </w:tcPr>
          <w:p w:rsidR="00B32A11" w:rsidRPr="00BA4C38" w:rsidRDefault="00B32A11" w:rsidP="00AD4FFC">
            <w:pPr>
              <w:tabs>
                <w:tab w:val="left" w:pos="1162"/>
              </w:tabs>
              <w:spacing w:before="80" w:after="80"/>
              <w:rPr>
                <w:rFonts w:cs="Arial"/>
                <w:sz w:val="20"/>
                <w:szCs w:val="20"/>
              </w:rPr>
            </w:pPr>
            <w:r>
              <w:rPr>
                <w:rFonts w:cs="Arial"/>
                <w:sz w:val="20"/>
                <w:szCs w:val="20"/>
              </w:rPr>
              <w:t>ASGS table</w:t>
            </w:r>
          </w:p>
        </w:tc>
        <w:tc>
          <w:tcPr>
            <w:tcW w:w="6583" w:type="dxa"/>
          </w:tcPr>
          <w:p w:rsidR="00B32A11" w:rsidRPr="00BA4C38" w:rsidRDefault="00B32A11" w:rsidP="00AD4FFC">
            <w:pPr>
              <w:tabs>
                <w:tab w:val="left" w:pos="1162"/>
              </w:tabs>
              <w:spacing w:before="80" w:after="80"/>
              <w:rPr>
                <w:rFonts w:cs="Arial"/>
                <w:sz w:val="20"/>
                <w:szCs w:val="20"/>
              </w:rPr>
            </w:pPr>
            <w:r w:rsidRPr="00BA4C38">
              <w:rPr>
                <w:rFonts w:cs="Arial"/>
                <w:sz w:val="20"/>
                <w:szCs w:val="20"/>
              </w:rPr>
              <w:t xml:space="preserve">Table of </w:t>
            </w:r>
            <w:r>
              <w:rPr>
                <w:rFonts w:ascii="Arial" w:hAnsi="Arial" w:cs="Arial"/>
                <w:sz w:val="20"/>
                <w:szCs w:val="20"/>
              </w:rPr>
              <w:t>Australian Statistical Geography Standard</w:t>
            </w:r>
            <w:r>
              <w:rPr>
                <w:rFonts w:cs="Arial"/>
                <w:sz w:val="20"/>
                <w:szCs w:val="20"/>
              </w:rPr>
              <w:t xml:space="preserve"> (ASGS)</w:t>
            </w:r>
            <w:r w:rsidRPr="00BA4C38">
              <w:rPr>
                <w:rFonts w:cs="Arial"/>
                <w:sz w:val="20"/>
                <w:szCs w:val="20"/>
              </w:rPr>
              <w:t xml:space="preserve"> mapped to the Remoteness Area category with</w:t>
            </w:r>
            <w:r>
              <w:rPr>
                <w:rFonts w:cs="Arial"/>
                <w:sz w:val="20"/>
                <w:szCs w:val="20"/>
              </w:rPr>
              <w:t>in which the majority of the ASGS</w:t>
            </w:r>
            <w:r w:rsidRPr="00BA4C38">
              <w:rPr>
                <w:rFonts w:cs="Arial"/>
                <w:sz w:val="20"/>
                <w:szCs w:val="20"/>
              </w:rPr>
              <w:t>’s population resides.</w:t>
            </w:r>
          </w:p>
        </w:tc>
      </w:tr>
      <w:tr w:rsidR="00B32A11" w:rsidRPr="00C525F3" w:rsidTr="00225003">
        <w:trPr>
          <w:cantSplit/>
        </w:trPr>
        <w:tc>
          <w:tcPr>
            <w:tcW w:w="2660" w:type="dxa"/>
          </w:tcPr>
          <w:p w:rsidR="00B32A11" w:rsidRPr="00BA4C38" w:rsidRDefault="00B32A11" w:rsidP="00AD4FFC">
            <w:pPr>
              <w:tabs>
                <w:tab w:val="left" w:pos="1162"/>
              </w:tabs>
              <w:spacing w:before="80" w:after="80"/>
              <w:rPr>
                <w:rFonts w:cs="Arial"/>
                <w:sz w:val="20"/>
                <w:szCs w:val="20"/>
              </w:rPr>
            </w:pPr>
            <w:r w:rsidRPr="00BA4C38">
              <w:rPr>
                <w:rFonts w:cs="Arial"/>
                <w:sz w:val="20"/>
                <w:szCs w:val="20"/>
              </w:rPr>
              <w:t>SLA table</w:t>
            </w:r>
          </w:p>
        </w:tc>
        <w:tc>
          <w:tcPr>
            <w:tcW w:w="6583" w:type="dxa"/>
          </w:tcPr>
          <w:p w:rsidR="00B32A11" w:rsidRPr="00BA4C38" w:rsidRDefault="00B32A11" w:rsidP="00AD4FFC">
            <w:pPr>
              <w:tabs>
                <w:tab w:val="left" w:pos="1162"/>
              </w:tabs>
              <w:spacing w:before="80" w:after="80"/>
              <w:rPr>
                <w:rFonts w:cs="Arial"/>
                <w:sz w:val="20"/>
                <w:szCs w:val="20"/>
              </w:rPr>
            </w:pPr>
            <w:r w:rsidRPr="00BA4C38">
              <w:rPr>
                <w:rFonts w:cs="Arial"/>
                <w:sz w:val="20"/>
                <w:szCs w:val="20"/>
              </w:rPr>
              <w:t>Table of Statistical Local Areas (SLAs) mapped to the 2011 ASGS Remoteness Area classification. Each SLA is mapped to the Remoteness Area category within which the majority of the SLA’s population resides.</w:t>
            </w:r>
          </w:p>
        </w:tc>
      </w:tr>
      <w:tr w:rsidR="00B32A11" w:rsidRPr="00C525F3" w:rsidTr="00225003">
        <w:trPr>
          <w:cantSplit/>
        </w:trPr>
        <w:tc>
          <w:tcPr>
            <w:tcW w:w="2660" w:type="dxa"/>
          </w:tcPr>
          <w:p w:rsidR="00B32A11" w:rsidRPr="00BA4C38" w:rsidRDefault="00B32A11" w:rsidP="00AD4FFC">
            <w:pPr>
              <w:tabs>
                <w:tab w:val="left" w:pos="1162"/>
              </w:tabs>
              <w:spacing w:before="80" w:after="80"/>
              <w:rPr>
                <w:rFonts w:cs="Arial"/>
                <w:sz w:val="20"/>
                <w:szCs w:val="20"/>
              </w:rPr>
            </w:pPr>
            <w:r w:rsidRPr="00BA4C38">
              <w:rPr>
                <w:rFonts w:cs="Arial"/>
                <w:sz w:val="20"/>
                <w:szCs w:val="20"/>
              </w:rPr>
              <w:t>ICU Rate and Paediatric Adjustment eligibility table</w:t>
            </w:r>
          </w:p>
        </w:tc>
        <w:tc>
          <w:tcPr>
            <w:tcW w:w="6583" w:type="dxa"/>
          </w:tcPr>
          <w:p w:rsidR="00B32A11" w:rsidRPr="000B33D2" w:rsidRDefault="00B32A11" w:rsidP="00AD4FFC">
            <w:pPr>
              <w:tabs>
                <w:tab w:val="left" w:pos="1162"/>
              </w:tabs>
              <w:spacing w:before="80" w:after="80"/>
              <w:rPr>
                <w:rFonts w:cs="Arial"/>
                <w:sz w:val="20"/>
                <w:szCs w:val="20"/>
              </w:rPr>
            </w:pPr>
            <w:r w:rsidRPr="000B33D2">
              <w:rPr>
                <w:rFonts w:cs="Arial"/>
                <w:sz w:val="20"/>
                <w:szCs w:val="20"/>
              </w:rPr>
              <w:t xml:space="preserve">Table listing establishments with an eligible ICU or PICU, found in the NEP15 Determination and Glossary.  </w:t>
            </w:r>
          </w:p>
        </w:tc>
      </w:tr>
      <w:tr w:rsidR="00B32A11" w:rsidRPr="00C525F3" w:rsidTr="00225003">
        <w:trPr>
          <w:cantSplit/>
        </w:trPr>
        <w:tc>
          <w:tcPr>
            <w:tcW w:w="2660" w:type="dxa"/>
          </w:tcPr>
          <w:p w:rsidR="00B32A11" w:rsidRPr="00BA4C38" w:rsidRDefault="00B32A11" w:rsidP="00AD4FFC">
            <w:pPr>
              <w:tabs>
                <w:tab w:val="left" w:pos="1162"/>
              </w:tabs>
              <w:spacing w:before="80" w:after="80"/>
              <w:rPr>
                <w:rFonts w:cs="Arial"/>
                <w:sz w:val="20"/>
                <w:szCs w:val="20"/>
              </w:rPr>
            </w:pPr>
            <w:r>
              <w:rPr>
                <w:rFonts w:cs="Arial"/>
                <w:sz w:val="20"/>
                <w:szCs w:val="20"/>
              </w:rPr>
              <w:t>2015-16</w:t>
            </w:r>
            <w:r w:rsidRPr="00BA4C38">
              <w:rPr>
                <w:rFonts w:cs="Arial"/>
                <w:sz w:val="20"/>
                <w:szCs w:val="20"/>
              </w:rPr>
              <w:t xml:space="preserve"> NWAU Price Weight table</w:t>
            </w:r>
          </w:p>
        </w:tc>
        <w:tc>
          <w:tcPr>
            <w:tcW w:w="6583" w:type="dxa"/>
          </w:tcPr>
          <w:p w:rsidR="00B32A11" w:rsidRPr="000B33D2" w:rsidRDefault="00B32A11" w:rsidP="00AD4FFC">
            <w:pPr>
              <w:tabs>
                <w:tab w:val="left" w:pos="1162"/>
              </w:tabs>
              <w:spacing w:before="80" w:after="80"/>
              <w:rPr>
                <w:rFonts w:cs="Arial"/>
                <w:sz w:val="20"/>
                <w:szCs w:val="20"/>
              </w:rPr>
            </w:pPr>
            <w:r w:rsidRPr="000B33D2">
              <w:rPr>
                <w:rFonts w:cs="Arial"/>
                <w:sz w:val="20"/>
                <w:szCs w:val="20"/>
              </w:rPr>
              <w:t>2015-16 Acute Admitted NWAU Price Weight table, found in the NEP15</w:t>
            </w:r>
            <w:r w:rsidRPr="000B33D2">
              <w:t> </w:t>
            </w:r>
            <w:r w:rsidRPr="000B33D2">
              <w:rPr>
                <w:rFonts w:cs="Arial"/>
                <w:sz w:val="20"/>
                <w:szCs w:val="20"/>
              </w:rPr>
              <w:t>Determination.</w:t>
            </w:r>
          </w:p>
        </w:tc>
      </w:tr>
      <w:tr w:rsidR="00B32A11" w:rsidRPr="00C525F3" w:rsidTr="00225003">
        <w:trPr>
          <w:cantSplit/>
          <w:trHeight w:val="87"/>
        </w:trPr>
        <w:tc>
          <w:tcPr>
            <w:tcW w:w="2660" w:type="dxa"/>
          </w:tcPr>
          <w:p w:rsidR="00B32A11" w:rsidRPr="00BA4C38" w:rsidRDefault="00B32A11" w:rsidP="00AD4FFC">
            <w:pPr>
              <w:tabs>
                <w:tab w:val="left" w:pos="1162"/>
              </w:tabs>
              <w:spacing w:before="80" w:after="80"/>
              <w:rPr>
                <w:rFonts w:cs="Arial"/>
                <w:sz w:val="20"/>
                <w:szCs w:val="20"/>
              </w:rPr>
            </w:pPr>
            <w:r>
              <w:rPr>
                <w:rFonts w:cs="Arial"/>
                <w:sz w:val="20"/>
                <w:szCs w:val="20"/>
              </w:rPr>
              <w:t>2015-16</w:t>
            </w:r>
            <w:r w:rsidRPr="00BA4C38">
              <w:rPr>
                <w:rFonts w:cs="Arial"/>
                <w:sz w:val="20"/>
                <w:szCs w:val="20"/>
              </w:rPr>
              <w:t xml:space="preserve"> NWAU Adjustments</w:t>
            </w:r>
          </w:p>
        </w:tc>
        <w:tc>
          <w:tcPr>
            <w:tcW w:w="6583" w:type="dxa"/>
          </w:tcPr>
          <w:p w:rsidR="00B32A11" w:rsidRPr="000B33D2" w:rsidRDefault="00B32A11" w:rsidP="00AD4FFC">
            <w:pPr>
              <w:tabs>
                <w:tab w:val="left" w:pos="1162"/>
              </w:tabs>
              <w:spacing w:before="80" w:after="80"/>
              <w:rPr>
                <w:rFonts w:cs="Arial"/>
                <w:sz w:val="20"/>
                <w:szCs w:val="20"/>
              </w:rPr>
            </w:pPr>
            <w:r w:rsidRPr="000B33D2">
              <w:rPr>
                <w:rFonts w:cs="Arial"/>
                <w:sz w:val="20"/>
                <w:szCs w:val="20"/>
              </w:rPr>
              <w:t>2015-16 Acute Admitted NWAU Adjustments, found in the NEP15 Determination.</w:t>
            </w:r>
          </w:p>
        </w:tc>
      </w:tr>
    </w:tbl>
    <w:p w:rsidR="008D4B5F" w:rsidRDefault="00460371">
      <w:pPr>
        <w:pStyle w:val="table"/>
      </w:pPr>
      <w:r>
        <w:t xml:space="preserve">Table </w:t>
      </w:r>
      <w:bookmarkEnd w:id="155"/>
      <w:r w:rsidR="00933C77">
        <w:t>5</w:t>
      </w:r>
      <w:r>
        <w:t xml:space="preserve">: </w:t>
      </w:r>
      <w:r w:rsidR="00742565">
        <w:t>APC NMDS</w:t>
      </w:r>
      <w:r w:rsidRPr="00D26D05">
        <w:t xml:space="preserve"> variables used to calculate </w:t>
      </w:r>
      <w:r w:rsidR="00B94FB5">
        <w:t>2015-16</w:t>
      </w:r>
      <w:r w:rsidRPr="00D26D05">
        <w:t xml:space="preserve"> acute admitted NWAU</w:t>
      </w:r>
    </w:p>
    <w:tbl>
      <w:tblPr>
        <w:tblW w:w="5828"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Description w:val="The table consists of one column that lists the Australian Patient Care National Minimum Data Set (APC NMDS) variables used to calculate 2015-16 acute admitted National Weighted Activity Units (NWAUs).  "/>
      </w:tblPr>
      <w:tblGrid>
        <w:gridCol w:w="5828"/>
      </w:tblGrid>
      <w:tr w:rsidR="00B32A11" w:rsidRPr="00C525F3" w:rsidTr="00B32A11">
        <w:trPr>
          <w:cantSplit/>
          <w:trHeight w:val="255"/>
          <w:tblHeader/>
          <w:jc w:val="center"/>
        </w:trPr>
        <w:tc>
          <w:tcPr>
            <w:tcW w:w="5828" w:type="dxa"/>
            <w:shd w:val="clear" w:color="auto" w:fill="BFBFBF" w:themeFill="background1" w:themeFillShade="BF"/>
            <w:noWrap/>
            <w:vAlign w:val="center"/>
          </w:tcPr>
          <w:p w:rsidR="00B32A11" w:rsidRPr="00B70359" w:rsidRDefault="00B32A11" w:rsidP="008E0156">
            <w:pPr>
              <w:tabs>
                <w:tab w:val="left" w:pos="1162"/>
              </w:tabs>
              <w:spacing w:before="40" w:after="40"/>
              <w:jc w:val="center"/>
              <w:rPr>
                <w:rFonts w:cs="Arial"/>
                <w:b/>
                <w:color w:val="000000"/>
                <w:sz w:val="20"/>
                <w:szCs w:val="20"/>
                <w:lang w:eastAsia="en-AU"/>
              </w:rPr>
            </w:pPr>
            <w:r w:rsidRPr="00B70359">
              <w:rPr>
                <w:rFonts w:cs="Arial"/>
                <w:b/>
                <w:color w:val="000000"/>
                <w:sz w:val="20"/>
                <w:szCs w:val="20"/>
                <w:lang w:eastAsia="en-AU"/>
              </w:rPr>
              <w:t xml:space="preserve">APC </w:t>
            </w:r>
            <w:r w:rsidR="008E0156">
              <w:rPr>
                <w:rFonts w:cs="Arial"/>
                <w:b/>
                <w:color w:val="000000"/>
                <w:sz w:val="20"/>
                <w:szCs w:val="20"/>
                <w:lang w:eastAsia="en-AU"/>
              </w:rPr>
              <w:t>NMDS</w:t>
            </w:r>
            <w:r w:rsidRPr="00B70359">
              <w:rPr>
                <w:rFonts w:cs="Arial"/>
                <w:b/>
                <w:color w:val="000000"/>
                <w:sz w:val="20"/>
                <w:szCs w:val="20"/>
                <w:lang w:eastAsia="en-AU"/>
              </w:rPr>
              <w:t xml:space="preserve"> Variable</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State Identifier</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Establishment Identifier</w:t>
            </w:r>
          </w:p>
        </w:tc>
      </w:tr>
      <w:tr w:rsidR="00B32A11" w:rsidRPr="00C525F3" w:rsidTr="00B32A11">
        <w:trPr>
          <w:cantSplit/>
          <w:trHeight w:val="255"/>
          <w:jc w:val="center"/>
        </w:trPr>
        <w:tc>
          <w:tcPr>
            <w:tcW w:w="5828" w:type="dxa"/>
            <w:shd w:val="clear" w:color="auto" w:fill="auto"/>
            <w:noWrap/>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Hospital geographical Indicator</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Date of Birth</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Date of Admission</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Date of Separation</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Care Type</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Number of Qualified Days for Newborns</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Total Psychiatric Care Days</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Indigenous Status</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Funding Source</w:t>
            </w:r>
            <w:r w:rsidRPr="00BA4C38">
              <w:rPr>
                <w:rStyle w:val="FootnoteReference"/>
                <w:rFonts w:cs="Arial"/>
                <w:color w:val="000000"/>
                <w:sz w:val="20"/>
                <w:szCs w:val="20"/>
                <w:lang w:eastAsia="en-AU"/>
              </w:rPr>
              <w:footnoteReference w:id="11"/>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Diagnosis Related Group v7.0</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Total Leave Days</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Total Hours spent in Intensive Care Unit</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Postcode of Patient's Usual Residence</w:t>
            </w:r>
          </w:p>
        </w:tc>
      </w:tr>
      <w:tr w:rsidR="00B32A11" w:rsidRPr="00C525F3" w:rsidTr="00B32A11">
        <w:trPr>
          <w:cantSplit/>
          <w:trHeight w:val="255"/>
          <w:jc w:val="center"/>
        </w:trPr>
        <w:tc>
          <w:tcPr>
            <w:tcW w:w="5828" w:type="dxa"/>
            <w:shd w:val="clear" w:color="auto" w:fill="auto"/>
            <w:noWrap/>
          </w:tcPr>
          <w:p w:rsidR="00B32A11" w:rsidRPr="00BA4C38" w:rsidRDefault="00B32A11" w:rsidP="00AD4FFC">
            <w:pPr>
              <w:tabs>
                <w:tab w:val="left" w:pos="1162"/>
              </w:tabs>
              <w:spacing w:after="0"/>
              <w:rPr>
                <w:rFonts w:cs="Arial"/>
                <w:color w:val="000000"/>
                <w:sz w:val="20"/>
                <w:szCs w:val="20"/>
                <w:lang w:eastAsia="en-AU"/>
              </w:rPr>
            </w:pPr>
            <w:r>
              <w:rPr>
                <w:rFonts w:ascii="Arial" w:hAnsi="Arial" w:cs="Arial"/>
                <w:sz w:val="20"/>
                <w:szCs w:val="20"/>
              </w:rPr>
              <w:t>Australian Statistical Geography Standard</w:t>
            </w:r>
            <w:r>
              <w:rPr>
                <w:rFonts w:cs="Arial"/>
                <w:sz w:val="20"/>
                <w:szCs w:val="20"/>
              </w:rPr>
              <w:t xml:space="preserve"> (ASGS) of </w:t>
            </w:r>
            <w:r w:rsidRPr="00BA4C38">
              <w:rPr>
                <w:rFonts w:cs="Arial"/>
                <w:color w:val="000000"/>
                <w:sz w:val="20"/>
                <w:szCs w:val="20"/>
                <w:lang w:eastAsia="en-AU"/>
              </w:rPr>
              <w:t>Patient's Usual Residence</w:t>
            </w:r>
          </w:p>
        </w:tc>
      </w:tr>
      <w:tr w:rsidR="00B32A11" w:rsidRPr="00C525F3" w:rsidTr="00B32A11">
        <w:trPr>
          <w:cantSplit/>
          <w:trHeight w:val="255"/>
          <w:jc w:val="center"/>
        </w:trPr>
        <w:tc>
          <w:tcPr>
            <w:tcW w:w="5828" w:type="dxa"/>
            <w:shd w:val="clear" w:color="auto" w:fill="auto"/>
            <w:noWrap/>
            <w:hideMark/>
          </w:tcPr>
          <w:p w:rsidR="00B32A11" w:rsidRPr="00BA4C38" w:rsidRDefault="00B32A11" w:rsidP="00AD4FFC">
            <w:pPr>
              <w:tabs>
                <w:tab w:val="left" w:pos="1162"/>
              </w:tabs>
              <w:spacing w:after="0"/>
              <w:rPr>
                <w:rFonts w:cs="Arial"/>
                <w:color w:val="000000"/>
                <w:sz w:val="20"/>
                <w:szCs w:val="20"/>
                <w:lang w:eastAsia="en-AU"/>
              </w:rPr>
            </w:pPr>
            <w:r w:rsidRPr="00BA4C38">
              <w:rPr>
                <w:rFonts w:cs="Arial"/>
                <w:color w:val="000000"/>
                <w:sz w:val="20"/>
                <w:szCs w:val="20"/>
                <w:lang w:eastAsia="en-AU"/>
              </w:rPr>
              <w:t>Statistical Local Area of Patient's Usual Residence</w:t>
            </w:r>
          </w:p>
        </w:tc>
      </w:tr>
      <w:tr w:rsidR="00B32A11" w:rsidRPr="00C525F3" w:rsidTr="00B32A11">
        <w:trPr>
          <w:cantSplit/>
          <w:trHeight w:val="255"/>
          <w:jc w:val="center"/>
        </w:trPr>
        <w:tc>
          <w:tcPr>
            <w:tcW w:w="5828" w:type="dxa"/>
            <w:shd w:val="clear" w:color="auto" w:fill="auto"/>
            <w:noWrap/>
          </w:tcPr>
          <w:p w:rsidR="00B32A11" w:rsidRPr="00BA4C38" w:rsidRDefault="00B32A11" w:rsidP="008B4D5E">
            <w:pPr>
              <w:tabs>
                <w:tab w:val="left" w:pos="1162"/>
              </w:tabs>
              <w:spacing w:after="0"/>
              <w:rPr>
                <w:rFonts w:cs="Arial"/>
                <w:color w:val="000000"/>
                <w:sz w:val="20"/>
                <w:szCs w:val="20"/>
                <w:lang w:eastAsia="en-AU"/>
              </w:rPr>
            </w:pPr>
            <w:r w:rsidRPr="00BA4C38">
              <w:rPr>
                <w:rFonts w:cs="Arial"/>
                <w:color w:val="000000"/>
                <w:sz w:val="20"/>
                <w:szCs w:val="20"/>
                <w:lang w:eastAsia="en-AU"/>
              </w:rPr>
              <w:t>Either the identifier signifying radiotherapy treatment/planning or the list of patient’s ICD-10</w:t>
            </w:r>
            <w:r w:rsidR="00B71156">
              <w:rPr>
                <w:rFonts w:cs="Arial"/>
                <w:color w:val="000000"/>
                <w:sz w:val="20"/>
                <w:szCs w:val="20"/>
                <w:lang w:eastAsia="en-AU"/>
              </w:rPr>
              <w:t>-AM</w:t>
            </w:r>
            <w:r w:rsidRPr="00BA4C38">
              <w:rPr>
                <w:rFonts w:cs="Arial"/>
                <w:color w:val="000000"/>
                <w:sz w:val="20"/>
                <w:szCs w:val="20"/>
                <w:lang w:eastAsia="en-AU"/>
              </w:rPr>
              <w:t xml:space="preserve"> </w:t>
            </w:r>
            <w:r w:rsidR="008B4D5E">
              <w:rPr>
                <w:rFonts w:cs="Arial"/>
                <w:color w:val="000000"/>
                <w:sz w:val="20"/>
                <w:szCs w:val="20"/>
                <w:lang w:eastAsia="en-AU"/>
              </w:rPr>
              <w:t>9</w:t>
            </w:r>
            <w:r w:rsidRPr="00BA4C38">
              <w:rPr>
                <w:rFonts w:cs="Arial"/>
                <w:color w:val="000000"/>
                <w:sz w:val="20"/>
                <w:szCs w:val="20"/>
                <w:vertAlign w:val="superscript"/>
                <w:lang w:eastAsia="en-AU"/>
              </w:rPr>
              <w:t>th</w:t>
            </w:r>
            <w:r w:rsidRPr="00BA4C38">
              <w:rPr>
                <w:rFonts w:cs="Arial"/>
                <w:color w:val="000000"/>
                <w:sz w:val="20"/>
                <w:szCs w:val="20"/>
                <w:lang w:eastAsia="en-AU"/>
              </w:rPr>
              <w:t xml:space="preserve"> Edition procedure codes.</w:t>
            </w:r>
          </w:p>
        </w:tc>
      </w:tr>
      <w:tr w:rsidR="00B32A11" w:rsidRPr="00C525F3" w:rsidTr="00B32A11">
        <w:trPr>
          <w:cantSplit/>
          <w:trHeight w:val="255"/>
          <w:jc w:val="center"/>
        </w:trPr>
        <w:tc>
          <w:tcPr>
            <w:tcW w:w="5828" w:type="dxa"/>
            <w:shd w:val="clear" w:color="auto" w:fill="auto"/>
            <w:noWrap/>
          </w:tcPr>
          <w:p w:rsidR="00B32A11" w:rsidRPr="00BA4C38" w:rsidRDefault="00B32A11" w:rsidP="008B4D5E">
            <w:pPr>
              <w:tabs>
                <w:tab w:val="left" w:pos="1162"/>
              </w:tabs>
              <w:spacing w:after="0"/>
              <w:rPr>
                <w:rFonts w:cs="Arial"/>
                <w:color w:val="000000"/>
                <w:sz w:val="20"/>
                <w:szCs w:val="20"/>
                <w:lang w:eastAsia="en-AU"/>
              </w:rPr>
            </w:pPr>
            <w:r w:rsidRPr="00BA4C38">
              <w:rPr>
                <w:rFonts w:cs="Arial"/>
                <w:color w:val="000000"/>
                <w:sz w:val="20"/>
                <w:szCs w:val="20"/>
                <w:lang w:eastAsia="en-AU"/>
              </w:rPr>
              <w:t xml:space="preserve">Either the identifier signifying </w:t>
            </w:r>
            <w:r>
              <w:rPr>
                <w:rFonts w:cs="Arial"/>
                <w:color w:val="000000"/>
                <w:sz w:val="20"/>
                <w:szCs w:val="20"/>
                <w:lang w:eastAsia="en-AU"/>
              </w:rPr>
              <w:t>dialysis</w:t>
            </w:r>
            <w:r w:rsidRPr="00BA4C38">
              <w:rPr>
                <w:rFonts w:cs="Arial"/>
                <w:color w:val="000000"/>
                <w:sz w:val="20"/>
                <w:szCs w:val="20"/>
                <w:lang w:eastAsia="en-AU"/>
              </w:rPr>
              <w:t xml:space="preserve"> or the list of patient’s ICD-10</w:t>
            </w:r>
            <w:r w:rsidR="00B71156">
              <w:rPr>
                <w:rFonts w:cs="Arial"/>
                <w:color w:val="000000"/>
                <w:sz w:val="20"/>
                <w:szCs w:val="20"/>
                <w:lang w:eastAsia="en-AU"/>
              </w:rPr>
              <w:t>-AM</w:t>
            </w:r>
            <w:r w:rsidRPr="00BA4C38">
              <w:rPr>
                <w:rFonts w:cs="Arial"/>
                <w:color w:val="000000"/>
                <w:sz w:val="20"/>
                <w:szCs w:val="20"/>
                <w:lang w:eastAsia="en-AU"/>
              </w:rPr>
              <w:t xml:space="preserve"> </w:t>
            </w:r>
            <w:r w:rsidR="008B4D5E">
              <w:rPr>
                <w:rFonts w:cs="Arial"/>
                <w:color w:val="000000"/>
                <w:sz w:val="20"/>
                <w:szCs w:val="20"/>
                <w:lang w:eastAsia="en-AU"/>
              </w:rPr>
              <w:t>9</w:t>
            </w:r>
            <w:r w:rsidRPr="00BA4C38">
              <w:rPr>
                <w:rFonts w:cs="Arial"/>
                <w:color w:val="000000"/>
                <w:sz w:val="20"/>
                <w:szCs w:val="20"/>
                <w:vertAlign w:val="superscript"/>
                <w:lang w:eastAsia="en-AU"/>
              </w:rPr>
              <w:t>th</w:t>
            </w:r>
            <w:r w:rsidRPr="00BA4C38">
              <w:rPr>
                <w:rFonts w:cs="Arial"/>
                <w:color w:val="000000"/>
                <w:sz w:val="20"/>
                <w:szCs w:val="20"/>
                <w:lang w:eastAsia="en-AU"/>
              </w:rPr>
              <w:t xml:space="preserve"> Edition procedure codes.</w:t>
            </w:r>
          </w:p>
        </w:tc>
      </w:tr>
    </w:tbl>
    <w:p w:rsidR="00460371" w:rsidRDefault="00460371" w:rsidP="00AD4FFC">
      <w:pPr>
        <w:tabs>
          <w:tab w:val="left" w:pos="1162"/>
        </w:tabs>
        <w:rPr>
          <w:rFonts w:cs="Arial"/>
          <w:b/>
          <w:szCs w:val="20"/>
        </w:rPr>
        <w:sectPr w:rsidR="00460371" w:rsidSect="00CF3B74">
          <w:headerReference w:type="default" r:id="rId20"/>
          <w:headerReference w:type="first" r:id="rId21"/>
          <w:footerReference w:type="first" r:id="rId22"/>
          <w:pgSz w:w="11907" w:h="16839" w:code="9"/>
          <w:pgMar w:top="1440" w:right="1440" w:bottom="1440" w:left="1440" w:header="709" w:footer="709" w:gutter="0"/>
          <w:pgNumType w:start="1"/>
          <w:cols w:space="708"/>
          <w:titlePg/>
          <w:docGrid w:linePitch="360"/>
        </w:sectPr>
      </w:pPr>
    </w:p>
    <w:p w:rsidR="00460371" w:rsidRDefault="00460371">
      <w:pPr>
        <w:pStyle w:val="table"/>
      </w:pPr>
      <w:bookmarkStart w:id="156" w:name="_Ref342307877"/>
      <w:r>
        <w:lastRenderedPageBreak/>
        <w:t xml:space="preserve">Table </w:t>
      </w:r>
      <w:bookmarkEnd w:id="156"/>
      <w:r w:rsidR="00933C77">
        <w:t>6</w:t>
      </w:r>
      <w:r>
        <w:t xml:space="preserve">: </w:t>
      </w:r>
      <w:r w:rsidRPr="00C71BB8">
        <w:t>Assigning NWAU to acute admitted patient data – Stage 1 – Data Preparation – variable definitions</w:t>
      </w: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817"/>
        <w:gridCol w:w="992"/>
        <w:gridCol w:w="3119"/>
        <w:gridCol w:w="4536"/>
        <w:gridCol w:w="4711"/>
      </w:tblGrid>
      <w:tr w:rsidR="0036490E" w:rsidRPr="00C525F3" w:rsidTr="00865674">
        <w:trPr>
          <w:cantSplit/>
          <w:trHeight w:val="225"/>
          <w:tblHeader/>
        </w:trPr>
        <w:tc>
          <w:tcPr>
            <w:tcW w:w="817" w:type="dxa"/>
            <w:shd w:val="clear" w:color="auto" w:fill="BFBFBF" w:themeFill="background1" w:themeFillShade="BF"/>
            <w:noWrap/>
            <w:hideMark/>
          </w:tcPr>
          <w:p w:rsidR="0036490E" w:rsidRPr="00822178" w:rsidRDefault="0036490E" w:rsidP="00865674">
            <w:pPr>
              <w:tabs>
                <w:tab w:val="left" w:pos="1162"/>
              </w:tabs>
              <w:spacing w:before="80" w:after="80"/>
              <w:rPr>
                <w:rFonts w:cs="Arial"/>
                <w:b/>
                <w:bCs/>
                <w:color w:val="000000"/>
                <w:sz w:val="18"/>
                <w:szCs w:val="18"/>
                <w:lang w:eastAsia="en-AU"/>
              </w:rPr>
            </w:pPr>
            <w:r w:rsidRPr="00822178">
              <w:rPr>
                <w:rFonts w:cs="Arial"/>
                <w:b/>
                <w:bCs/>
                <w:color w:val="000000"/>
                <w:sz w:val="18"/>
                <w:szCs w:val="18"/>
                <w:lang w:eastAsia="en-AU"/>
              </w:rPr>
              <w:t>Step</w:t>
            </w:r>
          </w:p>
        </w:tc>
        <w:tc>
          <w:tcPr>
            <w:tcW w:w="992" w:type="dxa"/>
            <w:shd w:val="clear" w:color="auto" w:fill="BFBFBF" w:themeFill="background1" w:themeFillShade="BF"/>
            <w:noWrap/>
            <w:hideMark/>
          </w:tcPr>
          <w:p w:rsidR="0036490E" w:rsidRPr="00822178" w:rsidRDefault="0036490E" w:rsidP="00865674">
            <w:pPr>
              <w:tabs>
                <w:tab w:val="left" w:pos="1162"/>
              </w:tabs>
              <w:spacing w:before="80" w:after="80"/>
              <w:jc w:val="center"/>
              <w:rPr>
                <w:rFonts w:cs="Arial"/>
                <w:b/>
                <w:color w:val="000000"/>
                <w:sz w:val="18"/>
                <w:szCs w:val="18"/>
                <w:lang w:eastAsia="en-AU"/>
              </w:rPr>
            </w:pPr>
            <w:r w:rsidRPr="00822178">
              <w:rPr>
                <w:rFonts w:cs="Arial"/>
                <w:b/>
                <w:color w:val="000000"/>
                <w:sz w:val="18"/>
                <w:szCs w:val="18"/>
                <w:lang w:eastAsia="en-AU"/>
              </w:rPr>
              <w:t>Variable</w:t>
            </w:r>
          </w:p>
        </w:tc>
        <w:tc>
          <w:tcPr>
            <w:tcW w:w="3119" w:type="dxa"/>
            <w:shd w:val="clear" w:color="auto" w:fill="BFBFBF" w:themeFill="background1" w:themeFillShade="BF"/>
            <w:noWrap/>
            <w:hideMark/>
          </w:tcPr>
          <w:p w:rsidR="0036490E" w:rsidRPr="00822178" w:rsidRDefault="0036490E" w:rsidP="00865674">
            <w:pPr>
              <w:tabs>
                <w:tab w:val="left" w:pos="1162"/>
              </w:tabs>
              <w:spacing w:before="80" w:after="80"/>
              <w:rPr>
                <w:rFonts w:cs="Arial"/>
                <w:b/>
                <w:bCs/>
                <w:color w:val="000000"/>
                <w:sz w:val="18"/>
                <w:szCs w:val="18"/>
                <w:lang w:eastAsia="en-AU"/>
              </w:rPr>
            </w:pPr>
            <w:r w:rsidRPr="00822178">
              <w:rPr>
                <w:rFonts w:cs="Arial"/>
                <w:b/>
                <w:bCs/>
                <w:color w:val="000000"/>
                <w:sz w:val="18"/>
                <w:szCs w:val="18"/>
                <w:lang w:eastAsia="en-AU"/>
              </w:rPr>
              <w:t>Name</w:t>
            </w:r>
          </w:p>
        </w:tc>
        <w:tc>
          <w:tcPr>
            <w:tcW w:w="4536" w:type="dxa"/>
            <w:shd w:val="clear" w:color="auto" w:fill="BFBFBF" w:themeFill="background1" w:themeFillShade="BF"/>
            <w:hideMark/>
          </w:tcPr>
          <w:p w:rsidR="0036490E" w:rsidRPr="00822178" w:rsidRDefault="0036490E" w:rsidP="00865674">
            <w:pPr>
              <w:tabs>
                <w:tab w:val="left" w:pos="1162"/>
              </w:tabs>
              <w:spacing w:before="80" w:after="80"/>
              <w:rPr>
                <w:rFonts w:cs="Arial"/>
                <w:b/>
                <w:bCs/>
                <w:color w:val="000000"/>
                <w:sz w:val="18"/>
                <w:szCs w:val="18"/>
                <w:lang w:eastAsia="en-AU"/>
              </w:rPr>
            </w:pPr>
            <w:r w:rsidRPr="00822178">
              <w:rPr>
                <w:rFonts w:cs="Arial"/>
                <w:b/>
                <w:bCs/>
                <w:color w:val="000000"/>
                <w:sz w:val="18"/>
                <w:szCs w:val="18"/>
                <w:lang w:eastAsia="en-AU"/>
              </w:rPr>
              <w:t>Description</w:t>
            </w:r>
          </w:p>
        </w:tc>
        <w:tc>
          <w:tcPr>
            <w:tcW w:w="4711" w:type="dxa"/>
            <w:shd w:val="clear" w:color="auto" w:fill="BFBFBF" w:themeFill="background1" w:themeFillShade="BF"/>
            <w:hideMark/>
          </w:tcPr>
          <w:p w:rsidR="0036490E" w:rsidRPr="00822178" w:rsidRDefault="0036490E" w:rsidP="00865674">
            <w:pPr>
              <w:tabs>
                <w:tab w:val="left" w:pos="1162"/>
              </w:tabs>
              <w:spacing w:before="80" w:after="80"/>
              <w:rPr>
                <w:rFonts w:cs="Arial"/>
                <w:b/>
                <w:bCs/>
                <w:color w:val="000000"/>
                <w:sz w:val="18"/>
                <w:szCs w:val="18"/>
                <w:lang w:eastAsia="en-AU"/>
              </w:rPr>
            </w:pPr>
            <w:r w:rsidRPr="00822178">
              <w:rPr>
                <w:rFonts w:cs="Arial"/>
                <w:b/>
                <w:bCs/>
                <w:color w:val="000000"/>
                <w:sz w:val="18"/>
                <w:szCs w:val="18"/>
                <w:lang w:eastAsia="en-AU"/>
              </w:rPr>
              <w:t>Definition</w:t>
            </w:r>
          </w:p>
        </w:tc>
      </w:tr>
      <w:tr w:rsidR="0036490E" w:rsidRPr="00C525F3" w:rsidTr="00865674">
        <w:trPr>
          <w:cantSplit/>
          <w:trHeight w:val="450"/>
        </w:trPr>
        <w:tc>
          <w:tcPr>
            <w:tcW w:w="817" w:type="dxa"/>
            <w:vMerge w:val="restart"/>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 xml:space="preserve">Step </w:t>
            </w:r>
            <w:r>
              <w:rPr>
                <w:rFonts w:cs="Arial"/>
                <w:color w:val="000000"/>
                <w:sz w:val="18"/>
                <w:szCs w:val="18"/>
                <w:lang w:eastAsia="en-AU"/>
              </w:rPr>
              <w:t>1</w:t>
            </w:r>
          </w:p>
        </w:tc>
        <w:tc>
          <w:tcPr>
            <w:tcW w:w="992" w:type="dxa"/>
            <w:shd w:val="clear" w:color="auto" w:fill="auto"/>
            <w:noWrap/>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A0</w:t>
            </w:r>
            <w:r>
              <w:rPr>
                <w:rFonts w:cs="Arial"/>
                <w:color w:val="000000"/>
                <w:sz w:val="18"/>
                <w:szCs w:val="18"/>
                <w:lang w:eastAsia="en-AU"/>
              </w:rPr>
              <w:t>0</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pat_radiotherapy_flag</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Radiotherapy eligible separation. Either supplied in the input dataset or derived from the list of supplied procedure codes.</w:t>
            </w:r>
          </w:p>
        </w:tc>
        <w:tc>
          <w:tcPr>
            <w:tcW w:w="4711"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1 if patient had radiotherapy related treatment or planning procedure.</w:t>
            </w:r>
          </w:p>
        </w:tc>
      </w:tr>
      <w:tr w:rsidR="0036490E" w:rsidRPr="00C525F3" w:rsidTr="00865674">
        <w:trPr>
          <w:cantSplit/>
          <w:trHeight w:val="450"/>
        </w:trPr>
        <w:tc>
          <w:tcPr>
            <w:tcW w:w="817" w:type="dxa"/>
            <w:vMerge/>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Pr="00822178"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A01</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Pr>
                <w:rFonts w:cs="Arial"/>
                <w:color w:val="000000"/>
                <w:sz w:val="18"/>
                <w:szCs w:val="18"/>
                <w:lang w:eastAsia="en-AU"/>
              </w:rPr>
              <w:t>pat_dialysis</w:t>
            </w:r>
            <w:r w:rsidRPr="00822178">
              <w:rPr>
                <w:rFonts w:cs="Arial"/>
                <w:color w:val="000000"/>
                <w:sz w:val="18"/>
                <w:szCs w:val="18"/>
                <w:lang w:eastAsia="en-AU"/>
              </w:rPr>
              <w:t>_flag</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Dialysis</w:t>
            </w:r>
            <w:r w:rsidRPr="00822178">
              <w:rPr>
                <w:rFonts w:cs="Arial"/>
                <w:color w:val="000000"/>
                <w:sz w:val="18"/>
                <w:szCs w:val="18"/>
                <w:lang w:eastAsia="en-AU"/>
              </w:rPr>
              <w:t xml:space="preserve"> eligible separation. Either supplied in the input dataset or derived from the list of supplied procedure codes.</w:t>
            </w:r>
          </w:p>
        </w:tc>
        <w:tc>
          <w:tcPr>
            <w:tcW w:w="4711"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 xml:space="preserve">1 if patient had </w:t>
            </w:r>
            <w:r>
              <w:rPr>
                <w:rFonts w:cs="Arial"/>
                <w:color w:val="000000"/>
                <w:sz w:val="18"/>
                <w:szCs w:val="18"/>
                <w:lang w:eastAsia="en-AU"/>
              </w:rPr>
              <w:t>a dial</w:t>
            </w:r>
            <w:r w:rsidR="00234D43">
              <w:rPr>
                <w:rFonts w:cs="Arial"/>
                <w:color w:val="000000"/>
                <w:sz w:val="18"/>
                <w:szCs w:val="18"/>
                <w:lang w:eastAsia="en-AU"/>
              </w:rPr>
              <w:t>ysis procedure and is not in AR</w:t>
            </w:r>
            <w:r w:rsidR="00234D43">
              <w:rPr>
                <w:rFonts w:cs="Arial"/>
                <w:color w:val="000000"/>
                <w:sz w:val="18"/>
                <w:szCs w:val="18"/>
                <w:lang w:eastAsia="en-AU"/>
              </w:rPr>
              <w:noBreakHyphen/>
            </w:r>
            <w:r>
              <w:rPr>
                <w:rFonts w:cs="Arial"/>
                <w:color w:val="000000"/>
                <w:sz w:val="18"/>
                <w:szCs w:val="18"/>
                <w:lang w:eastAsia="en-AU"/>
              </w:rPr>
              <w:t>DRG L61Z</w:t>
            </w:r>
            <w:r w:rsidR="0050729C">
              <w:rPr>
                <w:rFonts w:cs="Arial"/>
                <w:color w:val="000000"/>
                <w:sz w:val="18"/>
                <w:szCs w:val="18"/>
                <w:lang w:eastAsia="en-AU"/>
              </w:rPr>
              <w:t xml:space="preserve"> or L68Z</w:t>
            </w:r>
            <w:r>
              <w:rPr>
                <w:rFonts w:cs="Arial"/>
                <w:color w:val="000000"/>
                <w:sz w:val="18"/>
                <w:szCs w:val="18"/>
                <w:lang w:eastAsia="en-AU"/>
              </w:rPr>
              <w:t>.</w:t>
            </w:r>
          </w:p>
        </w:tc>
      </w:tr>
      <w:tr w:rsidR="0036490E" w:rsidRPr="00C525F3" w:rsidTr="00865674">
        <w:trPr>
          <w:cantSplit/>
          <w:trHeight w:val="450"/>
        </w:trPr>
        <w:tc>
          <w:tcPr>
            <w:tcW w:w="817" w:type="dxa"/>
            <w:vMerge w:val="restart"/>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 xml:space="preserve">Step </w:t>
            </w:r>
            <w:r>
              <w:rPr>
                <w:rFonts w:cs="Arial"/>
                <w:color w:val="000000"/>
                <w:sz w:val="18"/>
                <w:szCs w:val="18"/>
                <w:lang w:eastAsia="en-AU"/>
              </w:rPr>
              <w:t>2</w:t>
            </w: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A02</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est_eligible_icu_flag</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ICU rate adjustment eligible establishment, derived from ICU and paediatric eligibility table</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1 if establishment is designated as eligible for ICU rate adjustment; else</w:t>
            </w:r>
            <w:r w:rsidRPr="00822178">
              <w:rPr>
                <w:rFonts w:cs="Arial"/>
                <w:color w:val="000000"/>
                <w:sz w:val="18"/>
                <w:szCs w:val="18"/>
                <w:lang w:eastAsia="en-AU"/>
              </w:rPr>
              <w:br/>
              <w:t>0.</w:t>
            </w:r>
          </w:p>
        </w:tc>
      </w:tr>
      <w:tr w:rsidR="0036490E" w:rsidRPr="00C525F3" w:rsidTr="00865674">
        <w:trPr>
          <w:cantSplit/>
          <w:trHeight w:val="450"/>
        </w:trPr>
        <w:tc>
          <w:tcPr>
            <w:tcW w:w="817" w:type="dxa"/>
            <w:vMerge/>
            <w:tcBorders>
              <w:bottom w:val="single" w:sz="4" w:space="0" w:color="auto"/>
            </w:tcBorders>
            <w:vAlign w:val="center"/>
            <w:hideMark/>
          </w:tcPr>
          <w:p w:rsidR="0036490E" w:rsidRPr="00822178" w:rsidRDefault="0036490E" w:rsidP="00865674">
            <w:pPr>
              <w:tabs>
                <w:tab w:val="left" w:pos="1162"/>
              </w:tabs>
              <w:spacing w:after="0"/>
              <w:rPr>
                <w:rFonts w:cs="Arial"/>
                <w:color w:val="000000"/>
                <w:sz w:val="18"/>
                <w:szCs w:val="18"/>
                <w:lang w:eastAsia="en-AU"/>
              </w:rPr>
            </w:pPr>
          </w:p>
        </w:tc>
        <w:tc>
          <w:tcPr>
            <w:tcW w:w="992" w:type="dxa"/>
            <w:tcBorders>
              <w:bottom w:val="single" w:sz="4" w:space="0" w:color="auto"/>
            </w:tcBorders>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A03</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est_eligible_paed_flag</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Paediatric adjustment eligible establishment, derived from ICU paediatric eligibility table</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1 if establishment is designated as eligible for paediatric adjustment; else</w:t>
            </w:r>
            <w:r w:rsidRPr="00822178">
              <w:rPr>
                <w:rFonts w:cs="Arial"/>
                <w:color w:val="000000"/>
                <w:sz w:val="18"/>
                <w:szCs w:val="18"/>
                <w:lang w:eastAsia="en-AU"/>
              </w:rPr>
              <w:br/>
              <w:t>0.</w:t>
            </w:r>
          </w:p>
        </w:tc>
      </w:tr>
      <w:tr w:rsidR="0036490E" w:rsidRPr="00C525F3" w:rsidTr="00865674">
        <w:trPr>
          <w:cantSplit/>
          <w:trHeight w:val="450"/>
        </w:trPr>
        <w:tc>
          <w:tcPr>
            <w:tcW w:w="817" w:type="dxa"/>
            <w:tcBorders>
              <w:top w:val="single" w:sz="4" w:space="0" w:color="auto"/>
              <w:bottom w:val="single" w:sz="4" w:space="0" w:color="auto"/>
            </w:tcBorders>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Step 3</w:t>
            </w:r>
          </w:p>
        </w:tc>
        <w:tc>
          <w:tcPr>
            <w:tcW w:w="992" w:type="dxa"/>
            <w:tcBorders>
              <w:top w:val="single" w:sz="4" w:space="0" w:color="auto"/>
            </w:tcBorders>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A04</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Pr>
                <w:rFonts w:cs="Arial"/>
                <w:color w:val="000000"/>
                <w:sz w:val="18"/>
                <w:szCs w:val="18"/>
                <w:lang w:eastAsia="en-AU"/>
              </w:rPr>
              <w:t>pat</w:t>
            </w:r>
            <w:r w:rsidRPr="00822178">
              <w:rPr>
                <w:rFonts w:cs="Arial"/>
                <w:color w:val="000000"/>
                <w:sz w:val="18"/>
                <w:szCs w:val="18"/>
                <w:lang w:eastAsia="en-AU"/>
              </w:rPr>
              <w:t>_remoteness</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Patient</w:t>
            </w:r>
            <w:r w:rsidRPr="00822178">
              <w:rPr>
                <w:rFonts w:cs="Arial"/>
                <w:color w:val="000000"/>
                <w:sz w:val="18"/>
                <w:szCs w:val="18"/>
                <w:lang w:eastAsia="en-AU"/>
              </w:rPr>
              <w:t xml:space="preserve"> Remoteness Area</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2011 ASGS Remoteness Area category of the establishment location taken from the hospital geographical indicator variable, where</w:t>
            </w:r>
            <w:proofErr w:type="gramStart"/>
            <w:r w:rsidRPr="00822178">
              <w:rPr>
                <w:rFonts w:cs="Arial"/>
                <w:color w:val="000000"/>
                <w:sz w:val="18"/>
                <w:szCs w:val="18"/>
                <w:lang w:eastAsia="en-AU"/>
              </w:rPr>
              <w:t>:</w:t>
            </w:r>
            <w:proofErr w:type="gramEnd"/>
            <w:r w:rsidRPr="00822178">
              <w:rPr>
                <w:rFonts w:cs="Arial"/>
                <w:color w:val="000000"/>
                <w:sz w:val="18"/>
                <w:szCs w:val="18"/>
                <w:lang w:eastAsia="en-AU"/>
              </w:rPr>
              <w:br/>
              <w:t>0 = Major City; 1 = Inner Regional; 2 = Outer Regional; 3 = Remote; and 4 = Very Remote.</w:t>
            </w:r>
          </w:p>
        </w:tc>
      </w:tr>
      <w:tr w:rsidR="0036490E" w:rsidRPr="00C525F3" w:rsidTr="00865674">
        <w:trPr>
          <w:cantSplit/>
          <w:trHeight w:val="450"/>
        </w:trPr>
        <w:tc>
          <w:tcPr>
            <w:tcW w:w="817" w:type="dxa"/>
            <w:vMerge w:val="restart"/>
            <w:tcBorders>
              <w:top w:val="single" w:sz="4" w:space="0" w:color="auto"/>
            </w:tcBorders>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Step 4</w:t>
            </w: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A05</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pat_acute_flag</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Acute patient flag</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 xml:space="preserve">1 if </w:t>
            </w:r>
            <w:proofErr w:type="gramStart"/>
            <w:r w:rsidRPr="00822178">
              <w:rPr>
                <w:rFonts w:cs="Arial"/>
                <w:color w:val="000000"/>
                <w:sz w:val="18"/>
                <w:szCs w:val="18"/>
                <w:lang w:eastAsia="en-AU"/>
              </w:rPr>
              <w:t>( Care</w:t>
            </w:r>
            <w:proofErr w:type="gramEnd"/>
            <w:r w:rsidRPr="00822178">
              <w:rPr>
                <w:rFonts w:cs="Arial"/>
                <w:color w:val="000000"/>
                <w:sz w:val="18"/>
                <w:szCs w:val="18"/>
                <w:lang w:eastAsia="en-AU"/>
              </w:rPr>
              <w:t xml:space="preserve"> Type = 1 ) or ( Care Type = 7 and Number of Qualified Days for Newborns &gt; 0 ); else</w:t>
            </w:r>
            <w:r w:rsidRPr="00822178">
              <w:rPr>
                <w:rFonts w:cs="Arial"/>
                <w:color w:val="000000"/>
                <w:sz w:val="18"/>
                <w:szCs w:val="18"/>
                <w:lang w:eastAsia="en-AU"/>
              </w:rPr>
              <w:br/>
              <w:t>0.</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A06</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pat_los</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Length of stay</w:t>
            </w:r>
          </w:p>
        </w:tc>
        <w:tc>
          <w:tcPr>
            <w:tcW w:w="4711" w:type="dxa"/>
            <w:shd w:val="clear" w:color="auto" w:fill="auto"/>
          </w:tcPr>
          <w:p w:rsidR="0036490E" w:rsidRPr="00822178" w:rsidRDefault="0036490E" w:rsidP="00D12D4B">
            <w:pPr>
              <w:tabs>
                <w:tab w:val="left" w:pos="1162"/>
              </w:tabs>
              <w:spacing w:after="0"/>
              <w:rPr>
                <w:rFonts w:cs="Arial"/>
                <w:color w:val="000000"/>
                <w:sz w:val="18"/>
                <w:szCs w:val="18"/>
                <w:lang w:eastAsia="en-AU"/>
              </w:rPr>
            </w:pPr>
            <w:r w:rsidRPr="00822178">
              <w:rPr>
                <w:rFonts w:cs="Arial"/>
                <w:color w:val="000000"/>
                <w:sz w:val="18"/>
                <w:szCs w:val="18"/>
                <w:lang w:eastAsia="en-AU"/>
              </w:rPr>
              <w:t>max( 1, ( Date of Separation ) - ( Date of Admission ) - (</w:t>
            </w:r>
            <w:r w:rsidR="00D12D4B">
              <w:t> </w:t>
            </w:r>
            <w:r w:rsidRPr="00822178">
              <w:rPr>
                <w:rFonts w:cs="Arial"/>
                <w:color w:val="000000"/>
                <w:sz w:val="18"/>
                <w:szCs w:val="18"/>
                <w:lang w:eastAsia="en-AU"/>
              </w:rPr>
              <w:t>Total Leave Days ) ) if Care Type = 1; else</w:t>
            </w:r>
            <w:r w:rsidRPr="00822178">
              <w:rPr>
                <w:rFonts w:cs="Arial"/>
                <w:color w:val="000000"/>
                <w:sz w:val="18"/>
                <w:szCs w:val="18"/>
                <w:lang w:eastAsia="en-AU"/>
              </w:rPr>
              <w:br/>
              <w:t>Total Qualified Days if Care Type = 7.</w:t>
            </w:r>
          </w:p>
        </w:tc>
      </w:tr>
      <w:tr w:rsidR="0036490E" w:rsidRPr="00C525F3" w:rsidTr="00865674">
        <w:trPr>
          <w:cantSplit/>
          <w:trHeight w:val="450"/>
        </w:trPr>
        <w:tc>
          <w:tcPr>
            <w:tcW w:w="817" w:type="dxa"/>
            <w:vMerge/>
            <w:vAlign w:val="center"/>
            <w:hideMark/>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A0</w:t>
            </w:r>
            <w:r>
              <w:rPr>
                <w:rFonts w:cs="Arial"/>
                <w:color w:val="000000"/>
                <w:sz w:val="18"/>
                <w:szCs w:val="18"/>
                <w:lang w:eastAsia="en-AU"/>
              </w:rPr>
              <w:t>7</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pat_sameday_flag</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Same-day flag</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1 if Date of Admission = Date of Separation; else</w:t>
            </w:r>
            <w:r w:rsidRPr="00822178">
              <w:rPr>
                <w:rFonts w:cs="Arial"/>
                <w:color w:val="000000"/>
                <w:sz w:val="18"/>
                <w:szCs w:val="18"/>
                <w:lang w:eastAsia="en-AU"/>
              </w:rPr>
              <w:br/>
              <w:t>0.</w:t>
            </w:r>
          </w:p>
        </w:tc>
      </w:tr>
      <w:tr w:rsidR="0036490E" w:rsidRPr="00C525F3" w:rsidTr="00865674">
        <w:trPr>
          <w:cantSplit/>
          <w:trHeight w:val="450"/>
        </w:trPr>
        <w:tc>
          <w:tcPr>
            <w:tcW w:w="817" w:type="dxa"/>
            <w:vMerge/>
            <w:vAlign w:val="center"/>
            <w:hideMark/>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A08</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pat_age_years</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Age at admission (in years)</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total</w:t>
            </w:r>
            <w:proofErr w:type="gramEnd"/>
            <w:r w:rsidRPr="00822178">
              <w:rPr>
                <w:rFonts w:cs="Arial"/>
                <w:color w:val="000000"/>
                <w:sz w:val="18"/>
                <w:szCs w:val="18"/>
                <w:lang w:eastAsia="en-AU"/>
              </w:rPr>
              <w:t xml:space="preserve"> whole years from Date of Birth to Date of Admission.</w:t>
            </w:r>
          </w:p>
        </w:tc>
      </w:tr>
      <w:tr w:rsidR="0036490E" w:rsidRPr="00C525F3" w:rsidTr="00865674">
        <w:trPr>
          <w:cantSplit/>
          <w:trHeight w:val="225"/>
        </w:trPr>
        <w:tc>
          <w:tcPr>
            <w:tcW w:w="817" w:type="dxa"/>
            <w:vMerge/>
            <w:vAlign w:val="center"/>
            <w:hideMark/>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A09</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pat_eligible_paed_flag</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Paediatric Adjustment eligible patient</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est_eligible_paed_flag</w:t>
            </w:r>
            <w:proofErr w:type="spellEnd"/>
            <w:r w:rsidRPr="00822178">
              <w:rPr>
                <w:rFonts w:cs="Arial"/>
                <w:color w:val="000000"/>
                <w:sz w:val="18"/>
                <w:szCs w:val="18"/>
                <w:lang w:eastAsia="en-AU"/>
              </w:rPr>
              <w:t xml:space="preserve"> * pat_0to1</w:t>
            </w:r>
            <w:r w:rsidR="0050729C">
              <w:rPr>
                <w:rFonts w:cs="Arial"/>
                <w:color w:val="000000"/>
                <w:sz w:val="18"/>
                <w:szCs w:val="18"/>
                <w:lang w:eastAsia="en-AU"/>
              </w:rPr>
              <w:t>7</w:t>
            </w:r>
            <w:r w:rsidRPr="00822178">
              <w:rPr>
                <w:rFonts w:cs="Arial"/>
                <w:color w:val="000000"/>
                <w:sz w:val="18"/>
                <w:szCs w:val="18"/>
                <w:lang w:eastAsia="en-AU"/>
              </w:rPr>
              <w:t>years_flag.</w:t>
            </w:r>
          </w:p>
        </w:tc>
      </w:tr>
      <w:tr w:rsidR="0036490E" w:rsidRPr="00C525F3" w:rsidTr="00865674">
        <w:trPr>
          <w:cantSplit/>
          <w:trHeight w:val="450"/>
        </w:trPr>
        <w:tc>
          <w:tcPr>
            <w:tcW w:w="817" w:type="dxa"/>
            <w:vMerge/>
            <w:vAlign w:val="center"/>
            <w:hideMark/>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A10</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pat_ind_flag</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Indigenous patient flag</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1 if Patient Indigenous Status = 1, 2 or 3; else</w:t>
            </w:r>
            <w:r w:rsidRPr="00822178">
              <w:rPr>
                <w:rFonts w:cs="Arial"/>
                <w:color w:val="000000"/>
                <w:sz w:val="18"/>
                <w:szCs w:val="18"/>
                <w:lang w:eastAsia="en-AU"/>
              </w:rPr>
              <w:br/>
              <w:t>0.</w:t>
            </w:r>
          </w:p>
        </w:tc>
      </w:tr>
      <w:tr w:rsidR="0036490E" w:rsidRPr="00C525F3" w:rsidTr="00865674">
        <w:trPr>
          <w:cantSplit/>
          <w:trHeight w:val="450"/>
        </w:trPr>
        <w:tc>
          <w:tcPr>
            <w:tcW w:w="817" w:type="dxa"/>
            <w:vMerge/>
            <w:vAlign w:val="center"/>
            <w:hideMark/>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A11</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pat_private_flag</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Private patient flag</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6E13C4">
              <w:rPr>
                <w:rFonts w:cs="Arial"/>
                <w:color w:val="000000"/>
                <w:sz w:val="18"/>
                <w:szCs w:val="18"/>
                <w:lang w:eastAsia="en-AU"/>
              </w:rPr>
              <w:t>1 if Funding Source = 9 or 13 for 2012-13 data and later.</w:t>
            </w:r>
            <w:r w:rsidRPr="006E13C4">
              <w:rPr>
                <w:rStyle w:val="FootnoteReference"/>
                <w:rFonts w:cs="Arial"/>
                <w:color w:val="000000"/>
                <w:sz w:val="18"/>
                <w:szCs w:val="18"/>
                <w:lang w:eastAsia="en-AU"/>
              </w:rPr>
              <w:footnoteReference w:id="12"/>
            </w:r>
          </w:p>
        </w:tc>
      </w:tr>
      <w:tr w:rsidR="0036490E" w:rsidRPr="00C525F3" w:rsidTr="00865674">
        <w:trPr>
          <w:cantSplit/>
          <w:trHeight w:val="450"/>
        </w:trPr>
        <w:tc>
          <w:tcPr>
            <w:tcW w:w="817" w:type="dxa"/>
            <w:vMerge/>
            <w:vAlign w:val="center"/>
            <w:hideMark/>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A12</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pat_public_flag</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Public patient flag</w:t>
            </w:r>
          </w:p>
        </w:tc>
        <w:tc>
          <w:tcPr>
            <w:tcW w:w="4711" w:type="dxa"/>
            <w:shd w:val="clear" w:color="auto" w:fill="auto"/>
            <w:hideMark/>
          </w:tcPr>
          <w:p w:rsidR="0036490E" w:rsidRPr="00822178" w:rsidRDefault="00BE0C35" w:rsidP="00C92D56">
            <w:pPr>
              <w:tabs>
                <w:tab w:val="left" w:pos="1162"/>
              </w:tabs>
              <w:spacing w:after="0"/>
              <w:rPr>
                <w:rFonts w:cs="Arial"/>
                <w:color w:val="000000"/>
                <w:sz w:val="18"/>
                <w:szCs w:val="18"/>
                <w:lang w:eastAsia="en-AU"/>
              </w:rPr>
            </w:pPr>
            <w:r>
              <w:rPr>
                <w:rFonts w:cs="Arial"/>
                <w:color w:val="000000"/>
                <w:sz w:val="18"/>
                <w:szCs w:val="18"/>
                <w:lang w:eastAsia="en-AU"/>
              </w:rPr>
              <w:t xml:space="preserve">1 if Funding Source = 1, 2 </w:t>
            </w:r>
            <w:r w:rsidR="0036490E" w:rsidRPr="006E13C4">
              <w:rPr>
                <w:rFonts w:cs="Arial"/>
                <w:color w:val="000000"/>
                <w:sz w:val="18"/>
                <w:szCs w:val="18"/>
                <w:lang w:eastAsia="en-AU"/>
              </w:rPr>
              <w:t>or 8 for 2012-13 data and later.</w:t>
            </w:r>
            <w:r w:rsidR="0036490E" w:rsidRPr="006E13C4">
              <w:rPr>
                <w:rStyle w:val="FootnoteReference"/>
                <w:rFonts w:cs="Arial"/>
                <w:color w:val="000000"/>
                <w:sz w:val="18"/>
                <w:szCs w:val="18"/>
                <w:lang w:eastAsia="en-AU"/>
              </w:rPr>
              <w:footnoteReference w:id="13"/>
            </w:r>
          </w:p>
        </w:tc>
      </w:tr>
      <w:tr w:rsidR="0036490E" w:rsidRPr="00C525F3" w:rsidTr="00865674">
        <w:trPr>
          <w:cantSplit/>
          <w:trHeight w:val="2307"/>
        </w:trPr>
        <w:tc>
          <w:tcPr>
            <w:tcW w:w="817" w:type="dxa"/>
            <w:vMerge/>
            <w:vAlign w:val="center"/>
            <w:hideMark/>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A13</w:t>
            </w:r>
          </w:p>
          <w:p w:rsidR="0036490E" w:rsidRPr="00822178" w:rsidRDefault="0036490E" w:rsidP="00865674">
            <w:pPr>
              <w:tabs>
                <w:tab w:val="left" w:pos="1162"/>
              </w:tabs>
              <w:spacing w:after="0"/>
              <w:jc w:val="center"/>
              <w:rPr>
                <w:rFonts w:cs="Arial"/>
                <w:color w:val="000000"/>
                <w:sz w:val="18"/>
                <w:szCs w:val="18"/>
                <w:lang w:eastAsia="en-AU"/>
              </w:rPr>
            </w:pP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Pr>
                <w:rFonts w:cs="Arial"/>
                <w:color w:val="000000"/>
                <w:sz w:val="18"/>
                <w:szCs w:val="18"/>
                <w:lang w:eastAsia="en-AU"/>
              </w:rPr>
              <w:t>pat_spa_category</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 xml:space="preserve">Patient specialist psychiatric category. All patients classified have positive psychiatric care days. </w:t>
            </w:r>
          </w:p>
          <w:p w:rsidR="0036490E" w:rsidRPr="00822178" w:rsidRDefault="0036490E" w:rsidP="00865674">
            <w:pPr>
              <w:tabs>
                <w:tab w:val="left" w:pos="1162"/>
              </w:tabs>
              <w:spacing w:after="0"/>
              <w:rPr>
                <w:rFonts w:cs="Arial"/>
                <w:color w:val="000000"/>
                <w:sz w:val="18"/>
                <w:szCs w:val="18"/>
                <w:lang w:eastAsia="en-AU"/>
              </w:rPr>
            </w:pPr>
          </w:p>
        </w:tc>
        <w:tc>
          <w:tcPr>
            <w:tcW w:w="4711" w:type="dxa"/>
            <w:shd w:val="clear" w:color="auto" w:fill="auto"/>
          </w:tcPr>
          <w:p w:rsidR="0036490E" w:rsidRDefault="0036490E" w:rsidP="00C245E0">
            <w:pPr>
              <w:pStyle w:val="ListParagraph"/>
              <w:numPr>
                <w:ilvl w:val="0"/>
                <w:numId w:val="65"/>
              </w:numPr>
              <w:tabs>
                <w:tab w:val="left" w:pos="1162"/>
              </w:tabs>
              <w:spacing w:after="0"/>
              <w:contextualSpacing/>
              <w:rPr>
                <w:rFonts w:cs="Arial"/>
                <w:color w:val="000000"/>
                <w:sz w:val="18"/>
                <w:szCs w:val="18"/>
                <w:lang w:eastAsia="en-AU"/>
              </w:rPr>
            </w:pPr>
            <w:r>
              <w:rPr>
                <w:rFonts w:cs="Arial"/>
                <w:color w:val="000000"/>
                <w:sz w:val="18"/>
                <w:szCs w:val="18"/>
                <w:lang w:eastAsia="en-AU"/>
              </w:rPr>
              <w:t xml:space="preserve">0: if not a specialist psychiatric patient </w:t>
            </w:r>
          </w:p>
          <w:p w:rsidR="0036490E" w:rsidRDefault="0036490E" w:rsidP="00C245E0">
            <w:pPr>
              <w:pStyle w:val="ListParagraph"/>
              <w:numPr>
                <w:ilvl w:val="0"/>
                <w:numId w:val="65"/>
              </w:numPr>
              <w:tabs>
                <w:tab w:val="left" w:pos="1162"/>
              </w:tabs>
              <w:spacing w:after="0"/>
              <w:contextualSpacing/>
              <w:rPr>
                <w:rFonts w:cs="Arial"/>
                <w:color w:val="000000"/>
                <w:sz w:val="18"/>
                <w:szCs w:val="18"/>
                <w:lang w:eastAsia="en-AU"/>
              </w:rPr>
            </w:pPr>
            <w:r w:rsidRPr="00295902">
              <w:rPr>
                <w:rFonts w:cs="Arial"/>
                <w:color w:val="000000"/>
                <w:sz w:val="18"/>
                <w:szCs w:val="18"/>
                <w:lang w:eastAsia="en-AU"/>
              </w:rPr>
              <w:t>1.1</w:t>
            </w:r>
            <w:r w:rsidRPr="00FA3851">
              <w:rPr>
                <w:rFonts w:cs="Arial"/>
                <w:color w:val="000000"/>
                <w:sz w:val="18"/>
                <w:szCs w:val="18"/>
                <w:lang w:eastAsia="en-AU"/>
              </w:rPr>
              <w:t>: if 0 to 17 years from establishment not eligible for Paediatric Adjustment</w:t>
            </w:r>
            <w:r w:rsidRPr="00FA3851" w:rsidDel="00B62E07">
              <w:rPr>
                <w:rFonts w:cs="Arial"/>
                <w:color w:val="000000"/>
                <w:sz w:val="18"/>
                <w:szCs w:val="18"/>
                <w:lang w:eastAsia="en-AU"/>
              </w:rPr>
              <w:t xml:space="preserve"> </w:t>
            </w:r>
            <w:r w:rsidRPr="00FA3851">
              <w:rPr>
                <w:rFonts w:cs="Arial"/>
                <w:color w:val="000000"/>
                <w:sz w:val="18"/>
                <w:szCs w:val="18"/>
                <w:lang w:eastAsia="en-AU"/>
              </w:rPr>
              <w:t xml:space="preserve">and in MDC 19 or 20 </w:t>
            </w:r>
          </w:p>
          <w:p w:rsidR="0036490E" w:rsidRDefault="0036490E" w:rsidP="00C245E0">
            <w:pPr>
              <w:pStyle w:val="ListParagraph"/>
              <w:numPr>
                <w:ilvl w:val="0"/>
                <w:numId w:val="65"/>
              </w:numPr>
              <w:tabs>
                <w:tab w:val="left" w:pos="1162"/>
              </w:tabs>
              <w:spacing w:after="0"/>
              <w:contextualSpacing/>
              <w:rPr>
                <w:rFonts w:cs="Arial"/>
                <w:color w:val="000000"/>
                <w:sz w:val="18"/>
                <w:szCs w:val="18"/>
                <w:lang w:eastAsia="en-AU"/>
              </w:rPr>
            </w:pPr>
            <w:r>
              <w:rPr>
                <w:rFonts w:cs="Arial"/>
                <w:color w:val="000000"/>
                <w:sz w:val="18"/>
                <w:szCs w:val="18"/>
                <w:lang w:eastAsia="en-AU"/>
              </w:rPr>
              <w:t xml:space="preserve">1.2: </w:t>
            </w:r>
            <w:r w:rsidRPr="00822178">
              <w:rPr>
                <w:rFonts w:cs="Arial"/>
                <w:color w:val="000000"/>
                <w:sz w:val="18"/>
                <w:szCs w:val="18"/>
                <w:lang w:eastAsia="en-AU"/>
              </w:rPr>
              <w:t>: 0 to 17 years from establishment eligible for Paediatric Adjustment</w:t>
            </w:r>
            <w:r>
              <w:rPr>
                <w:rFonts w:cs="Arial"/>
                <w:color w:val="000000"/>
                <w:sz w:val="18"/>
                <w:szCs w:val="18"/>
                <w:lang w:eastAsia="en-AU"/>
              </w:rPr>
              <w:t xml:space="preserve"> and in MDC 19 or 20 </w:t>
            </w:r>
          </w:p>
          <w:p w:rsidR="0036490E" w:rsidRDefault="0036490E" w:rsidP="00C245E0">
            <w:pPr>
              <w:pStyle w:val="ListParagraph"/>
              <w:numPr>
                <w:ilvl w:val="0"/>
                <w:numId w:val="65"/>
              </w:numPr>
              <w:tabs>
                <w:tab w:val="left" w:pos="1162"/>
              </w:tabs>
              <w:spacing w:after="0"/>
              <w:contextualSpacing/>
              <w:rPr>
                <w:rFonts w:cs="Arial"/>
                <w:color w:val="000000"/>
                <w:sz w:val="18"/>
                <w:szCs w:val="18"/>
                <w:lang w:eastAsia="en-AU"/>
              </w:rPr>
            </w:pPr>
            <w:r>
              <w:rPr>
                <w:rFonts w:cs="Arial"/>
                <w:color w:val="000000"/>
                <w:sz w:val="18"/>
                <w:szCs w:val="18"/>
                <w:lang w:eastAsia="en-AU"/>
              </w:rPr>
              <w:t>2</w:t>
            </w:r>
            <w:r w:rsidRPr="00F60424">
              <w:rPr>
                <w:rFonts w:cs="Arial"/>
                <w:color w:val="000000"/>
                <w:sz w:val="18"/>
                <w:szCs w:val="18"/>
                <w:lang w:eastAsia="en-AU"/>
              </w:rPr>
              <w:t>.1: if 0 to 17 years from establishment not eligible for Paediatric Adjustment</w:t>
            </w:r>
            <w:r w:rsidRPr="00F60424" w:rsidDel="00B62E07">
              <w:rPr>
                <w:rFonts w:cs="Arial"/>
                <w:color w:val="000000"/>
                <w:sz w:val="18"/>
                <w:szCs w:val="18"/>
                <w:lang w:eastAsia="en-AU"/>
              </w:rPr>
              <w:t xml:space="preserve"> </w:t>
            </w:r>
            <w:r w:rsidRPr="00F60424">
              <w:rPr>
                <w:rFonts w:cs="Arial"/>
                <w:color w:val="000000"/>
                <w:sz w:val="18"/>
                <w:szCs w:val="18"/>
                <w:lang w:eastAsia="en-AU"/>
              </w:rPr>
              <w:t>and</w:t>
            </w:r>
            <w:r>
              <w:rPr>
                <w:rFonts w:cs="Arial"/>
                <w:color w:val="000000"/>
                <w:sz w:val="18"/>
                <w:szCs w:val="18"/>
                <w:lang w:eastAsia="en-AU"/>
              </w:rPr>
              <w:t xml:space="preserve"> not</w:t>
            </w:r>
            <w:r w:rsidRPr="00F60424">
              <w:rPr>
                <w:rFonts w:cs="Arial"/>
                <w:color w:val="000000"/>
                <w:sz w:val="18"/>
                <w:szCs w:val="18"/>
                <w:lang w:eastAsia="en-AU"/>
              </w:rPr>
              <w:t xml:space="preserve"> in MDC 19 or 20 </w:t>
            </w:r>
          </w:p>
          <w:p w:rsidR="0036490E" w:rsidRDefault="0036490E" w:rsidP="00C245E0">
            <w:pPr>
              <w:pStyle w:val="ListParagraph"/>
              <w:numPr>
                <w:ilvl w:val="0"/>
                <w:numId w:val="65"/>
              </w:numPr>
              <w:tabs>
                <w:tab w:val="left" w:pos="1162"/>
              </w:tabs>
              <w:spacing w:after="0"/>
              <w:contextualSpacing/>
              <w:rPr>
                <w:rFonts w:cs="Arial"/>
                <w:color w:val="000000"/>
                <w:sz w:val="18"/>
                <w:szCs w:val="18"/>
                <w:lang w:eastAsia="en-AU"/>
              </w:rPr>
            </w:pPr>
            <w:r>
              <w:rPr>
                <w:rFonts w:cs="Arial"/>
                <w:color w:val="000000"/>
                <w:sz w:val="18"/>
                <w:szCs w:val="18"/>
                <w:lang w:eastAsia="en-AU"/>
              </w:rPr>
              <w:t xml:space="preserve">2.2: </w:t>
            </w:r>
            <w:r w:rsidRPr="00822178">
              <w:rPr>
                <w:rFonts w:cs="Arial"/>
                <w:color w:val="000000"/>
                <w:sz w:val="18"/>
                <w:szCs w:val="18"/>
                <w:lang w:eastAsia="en-AU"/>
              </w:rPr>
              <w:t>: 0 to 17 years from establishment eligible for Paediatric Adjustment</w:t>
            </w:r>
            <w:r>
              <w:rPr>
                <w:rFonts w:cs="Arial"/>
                <w:color w:val="000000"/>
                <w:sz w:val="18"/>
                <w:szCs w:val="18"/>
                <w:lang w:eastAsia="en-AU"/>
              </w:rPr>
              <w:t xml:space="preserve"> and not in MDC 19 or 20 </w:t>
            </w:r>
          </w:p>
          <w:p w:rsidR="0036490E" w:rsidRPr="00FA3851" w:rsidRDefault="0036490E" w:rsidP="00C245E0">
            <w:pPr>
              <w:pStyle w:val="ListParagraph"/>
              <w:numPr>
                <w:ilvl w:val="0"/>
                <w:numId w:val="65"/>
              </w:numPr>
              <w:tabs>
                <w:tab w:val="left" w:pos="1162"/>
              </w:tabs>
              <w:spacing w:after="0"/>
              <w:contextualSpacing/>
              <w:rPr>
                <w:rFonts w:cs="Arial"/>
                <w:color w:val="000000"/>
                <w:sz w:val="18"/>
                <w:szCs w:val="18"/>
                <w:lang w:eastAsia="en-AU"/>
              </w:rPr>
            </w:pPr>
            <w:r>
              <w:rPr>
                <w:rFonts w:cs="Arial"/>
                <w:color w:val="000000"/>
                <w:sz w:val="18"/>
                <w:szCs w:val="18"/>
                <w:lang w:eastAsia="en-AU"/>
              </w:rPr>
              <w:t xml:space="preserve">3: </w:t>
            </w:r>
            <w:r w:rsidRPr="00822178">
              <w:rPr>
                <w:rFonts w:cs="Arial"/>
                <w:color w:val="000000"/>
                <w:sz w:val="18"/>
                <w:szCs w:val="18"/>
                <w:lang w:eastAsia="en-AU"/>
              </w:rPr>
              <w:t xml:space="preserve">: </w:t>
            </w:r>
            <w:r>
              <w:rPr>
                <w:rFonts w:cs="Arial"/>
                <w:color w:val="000000"/>
                <w:sz w:val="18"/>
                <w:szCs w:val="18"/>
                <w:lang w:eastAsia="en-AU"/>
              </w:rPr>
              <w:t xml:space="preserve">Greater than 17 years not in MDC 19 or 20 </w:t>
            </w:r>
          </w:p>
        </w:tc>
      </w:tr>
      <w:tr w:rsidR="0036490E" w:rsidRPr="00C525F3" w:rsidTr="00865674">
        <w:trPr>
          <w:cantSplit/>
          <w:trHeight w:val="225"/>
        </w:trPr>
        <w:tc>
          <w:tcPr>
            <w:tcW w:w="817" w:type="dxa"/>
            <w:vMerge w:val="restart"/>
            <w:hideMark/>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Step 5</w:t>
            </w: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A14</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drg_samedaylist_flag</w:t>
            </w:r>
            <w:proofErr w:type="spellEnd"/>
            <w:r w:rsidRPr="00822178" w:rsidDel="00B62E07">
              <w:rPr>
                <w:rFonts w:cs="Arial"/>
                <w:color w:val="000000"/>
                <w:sz w:val="18"/>
                <w:szCs w:val="18"/>
                <w:lang w:eastAsia="en-AU"/>
              </w:rPr>
              <w:t xml:space="preserve"> </w:t>
            </w:r>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Same-day price list flag</w:t>
            </w:r>
            <w:r w:rsidRPr="00822178" w:rsidDel="00B62E07">
              <w:rPr>
                <w:rFonts w:cs="Arial"/>
                <w:color w:val="000000"/>
                <w:sz w:val="18"/>
                <w:szCs w:val="18"/>
                <w:lang w:eastAsia="en-AU"/>
              </w:rPr>
              <w:t xml:space="preserve"> </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1 if Same-Day Price List variable from joined NWAU AR-DRG Price Weight table equals 'Yes'; else</w:t>
            </w:r>
            <w:r w:rsidRPr="00822178">
              <w:rPr>
                <w:rFonts w:cs="Arial"/>
                <w:color w:val="000000"/>
                <w:sz w:val="18"/>
                <w:szCs w:val="18"/>
                <w:lang w:eastAsia="en-AU"/>
              </w:rPr>
              <w:br/>
              <w:t>0.</w:t>
            </w:r>
          </w:p>
        </w:tc>
      </w:tr>
      <w:tr w:rsidR="0036490E" w:rsidRPr="00C525F3" w:rsidTr="00865674">
        <w:trPr>
          <w:cantSplit/>
          <w:trHeight w:val="450"/>
        </w:trPr>
        <w:tc>
          <w:tcPr>
            <w:tcW w:w="817" w:type="dxa"/>
            <w:vMerge/>
            <w:hideMark/>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sidRPr="00822178">
              <w:rPr>
                <w:rFonts w:cs="Arial"/>
                <w:color w:val="000000"/>
                <w:sz w:val="18"/>
                <w:szCs w:val="18"/>
                <w:lang w:eastAsia="en-AU"/>
              </w:rPr>
              <w:t>A1</w:t>
            </w:r>
            <w:r>
              <w:rPr>
                <w:rFonts w:cs="Arial"/>
                <w:color w:val="000000"/>
                <w:sz w:val="18"/>
                <w:szCs w:val="18"/>
                <w:lang w:eastAsia="en-AU"/>
              </w:rPr>
              <w:t>5</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drg_bundled_icu_flag</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Bundled ICU flag</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1 if Bundled ICU variable from joined NWAU AR-DRG Price Weight table equals 'Yes'; else</w:t>
            </w:r>
            <w:r w:rsidRPr="00822178">
              <w:rPr>
                <w:rFonts w:cs="Arial"/>
                <w:color w:val="000000"/>
                <w:sz w:val="18"/>
                <w:szCs w:val="18"/>
                <w:lang w:eastAsia="en-AU"/>
              </w:rPr>
              <w:br/>
              <w:t>0.</w:t>
            </w:r>
          </w:p>
        </w:tc>
      </w:tr>
      <w:tr w:rsidR="0036490E" w:rsidRPr="00C525F3" w:rsidTr="00865674">
        <w:trPr>
          <w:cantSplit/>
          <w:trHeight w:val="450"/>
        </w:trPr>
        <w:tc>
          <w:tcPr>
            <w:tcW w:w="817" w:type="dxa"/>
            <w:vMerge/>
            <w:vAlign w:val="center"/>
            <w:hideMark/>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A16</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drg_inlier_lb</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Inlier lower bound</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inlier</w:t>
            </w:r>
            <w:proofErr w:type="gramEnd"/>
            <w:r w:rsidRPr="00822178">
              <w:rPr>
                <w:rFonts w:cs="Arial"/>
                <w:color w:val="000000"/>
                <w:sz w:val="18"/>
                <w:szCs w:val="18"/>
                <w:lang w:eastAsia="en-AU"/>
              </w:rPr>
              <w:t xml:space="preserve"> lower bound from NWAU AR-DRG Price Weight table.</w:t>
            </w:r>
          </w:p>
        </w:tc>
      </w:tr>
      <w:tr w:rsidR="0036490E" w:rsidRPr="00C525F3" w:rsidTr="00865674">
        <w:trPr>
          <w:cantSplit/>
          <w:trHeight w:val="450"/>
        </w:trPr>
        <w:tc>
          <w:tcPr>
            <w:tcW w:w="817" w:type="dxa"/>
            <w:vMerge/>
            <w:vAlign w:val="center"/>
            <w:hideMark/>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hideMark/>
          </w:tcPr>
          <w:p w:rsidR="0036490E" w:rsidRPr="00822178"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A17</w:t>
            </w:r>
          </w:p>
        </w:tc>
        <w:tc>
          <w:tcPr>
            <w:tcW w:w="3119" w:type="dxa"/>
            <w:shd w:val="clear" w:color="auto" w:fill="auto"/>
            <w:noWrap/>
            <w:hideMark/>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drg_inlier_ub</w:t>
            </w:r>
            <w:proofErr w:type="spellEnd"/>
          </w:p>
        </w:tc>
        <w:tc>
          <w:tcPr>
            <w:tcW w:w="4536"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Inlier upper bound</w:t>
            </w:r>
          </w:p>
        </w:tc>
        <w:tc>
          <w:tcPr>
            <w:tcW w:w="4711" w:type="dxa"/>
            <w:shd w:val="clear" w:color="auto" w:fill="auto"/>
            <w:hideMark/>
          </w:tcPr>
          <w:p w:rsidR="0036490E" w:rsidRPr="00822178" w:rsidRDefault="0036490E" w:rsidP="00865674">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inlier</w:t>
            </w:r>
            <w:proofErr w:type="gramEnd"/>
            <w:r w:rsidRPr="00822178">
              <w:rPr>
                <w:rFonts w:cs="Arial"/>
                <w:color w:val="000000"/>
                <w:sz w:val="18"/>
                <w:szCs w:val="18"/>
                <w:lang w:eastAsia="en-AU"/>
              </w:rPr>
              <w:t xml:space="preserve"> upper bound from NWAU AR-DRG Price Weight table.</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A18</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drg_pw_sd</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Same-Day Price Weight</w:t>
            </w:r>
          </w:p>
        </w:tc>
        <w:tc>
          <w:tcPr>
            <w:tcW w:w="4711"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same-day price weight from joined NWAU AR-DRG Price Weight table if not missing; else</w:t>
            </w:r>
          </w:p>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0.</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A19</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drg_pw_sso_base</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Short-Stay Outlier Base Price Weight</w:t>
            </w:r>
          </w:p>
        </w:tc>
        <w:tc>
          <w:tcPr>
            <w:tcW w:w="4711"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short-stay outlier base price weight from joined NWAU AR-DRG Price Weight table if not missing; else</w:t>
            </w:r>
          </w:p>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0.</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A20</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drg_pw_sso_perdiem</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Short-Stay Outlier Per Diem Price Weight</w:t>
            </w:r>
          </w:p>
        </w:tc>
        <w:tc>
          <w:tcPr>
            <w:tcW w:w="4711"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short-stay outlier per diem price weight from joined NWAU AR-DRG Price Weight table if not missing; else</w:t>
            </w:r>
          </w:p>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0.</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A21</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drg_pw_inlier</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Inlier Price Weight</w:t>
            </w:r>
          </w:p>
        </w:tc>
        <w:tc>
          <w:tcPr>
            <w:tcW w:w="4711" w:type="dxa"/>
            <w:shd w:val="clear" w:color="auto" w:fill="auto"/>
          </w:tcPr>
          <w:p w:rsidR="0036490E" w:rsidRPr="00822178" w:rsidRDefault="0036490E" w:rsidP="00865674">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inlier</w:t>
            </w:r>
            <w:proofErr w:type="gramEnd"/>
            <w:r w:rsidRPr="00822178">
              <w:rPr>
                <w:rFonts w:cs="Arial"/>
                <w:color w:val="000000"/>
                <w:sz w:val="18"/>
                <w:szCs w:val="18"/>
                <w:lang w:eastAsia="en-AU"/>
              </w:rPr>
              <w:t xml:space="preserve"> price weight from joined NWAU AR-DRG Price Weight table.</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A22</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drg_pw_lso_perdiem</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Long-Stay Outlier Per Diem Price Weight</w:t>
            </w:r>
          </w:p>
        </w:tc>
        <w:tc>
          <w:tcPr>
            <w:tcW w:w="4711"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long-stay outlier per diem price weight from joined NWAU AR-DRG Price Weight table if not missing; else</w:t>
            </w:r>
          </w:p>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0.</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A23</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drg_adj_paed</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Paediatric adjustment</w:t>
            </w:r>
          </w:p>
        </w:tc>
        <w:tc>
          <w:tcPr>
            <w:tcW w:w="4711" w:type="dxa"/>
            <w:shd w:val="clear" w:color="auto" w:fill="auto"/>
          </w:tcPr>
          <w:p w:rsidR="0036490E" w:rsidRPr="00822178" w:rsidRDefault="0036490E" w:rsidP="00865674">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paediatric</w:t>
            </w:r>
            <w:proofErr w:type="gramEnd"/>
            <w:r w:rsidRPr="00822178">
              <w:rPr>
                <w:rFonts w:cs="Arial"/>
                <w:color w:val="000000"/>
                <w:sz w:val="18"/>
                <w:szCs w:val="18"/>
                <w:lang w:eastAsia="en-AU"/>
              </w:rPr>
              <w:t xml:space="preserve"> adjustment from joined NWAU AR-DRG Price Weight table.</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A24</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drg_adj_privpat_serv</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Private patient service adjustment</w:t>
            </w:r>
          </w:p>
        </w:tc>
        <w:tc>
          <w:tcPr>
            <w:tcW w:w="4711" w:type="dxa"/>
            <w:shd w:val="clear" w:color="auto" w:fill="auto"/>
          </w:tcPr>
          <w:p w:rsidR="0036490E" w:rsidRPr="00822178" w:rsidRDefault="0036490E" w:rsidP="00865674">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private</w:t>
            </w:r>
            <w:proofErr w:type="gramEnd"/>
            <w:r w:rsidRPr="00822178">
              <w:rPr>
                <w:rFonts w:cs="Arial"/>
                <w:color w:val="000000"/>
                <w:sz w:val="18"/>
                <w:szCs w:val="18"/>
                <w:lang w:eastAsia="en-AU"/>
              </w:rPr>
              <w:t xml:space="preserve"> patient service adjustment from joined NWAU AR-DRG Price Weight table.</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A25</w:t>
            </w:r>
          </w:p>
        </w:tc>
        <w:tc>
          <w:tcPr>
            <w:tcW w:w="3119" w:type="dxa"/>
            <w:shd w:val="clear" w:color="auto" w:fill="auto"/>
            <w:noWrap/>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Pr>
                <w:rFonts w:cs="Arial"/>
                <w:color w:val="000000"/>
                <w:sz w:val="18"/>
                <w:szCs w:val="18"/>
                <w:lang w:eastAsia="en-AU"/>
              </w:rPr>
              <w:t>drg_inscope_flag</w:t>
            </w:r>
            <w:proofErr w:type="spellEnd"/>
          </w:p>
        </w:tc>
        <w:tc>
          <w:tcPr>
            <w:tcW w:w="4536" w:type="dxa"/>
            <w:shd w:val="clear" w:color="auto" w:fill="auto"/>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 xml:space="preserve">DRG inscope flag </w:t>
            </w:r>
          </w:p>
        </w:tc>
        <w:tc>
          <w:tcPr>
            <w:tcW w:w="4711" w:type="dxa"/>
            <w:shd w:val="clear" w:color="auto" w:fill="auto"/>
          </w:tcPr>
          <w:p w:rsidR="00234D43"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1 if DRG is in scope; else</w:t>
            </w:r>
          </w:p>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 xml:space="preserve"> 0</w:t>
            </w:r>
          </w:p>
        </w:tc>
      </w:tr>
      <w:tr w:rsidR="0036490E" w:rsidRPr="00C525F3" w:rsidTr="00865674">
        <w:trPr>
          <w:cantSplit/>
          <w:trHeight w:val="450"/>
        </w:trPr>
        <w:tc>
          <w:tcPr>
            <w:tcW w:w="817" w:type="dxa"/>
            <w:vMerge w:val="restart"/>
            <w:tcBorders>
              <w:top w:val="nil"/>
            </w:tcBorders>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A26</w:t>
            </w:r>
          </w:p>
        </w:tc>
        <w:tc>
          <w:tcPr>
            <w:tcW w:w="3119" w:type="dxa"/>
            <w:shd w:val="clear" w:color="auto" w:fill="auto"/>
            <w:noWrap/>
          </w:tcPr>
          <w:p w:rsidR="0036490E" w:rsidRDefault="0036490E" w:rsidP="00865674">
            <w:pPr>
              <w:tabs>
                <w:tab w:val="left" w:pos="1162"/>
              </w:tabs>
              <w:spacing w:after="0"/>
              <w:rPr>
                <w:rFonts w:cs="Arial"/>
                <w:color w:val="000000"/>
                <w:sz w:val="18"/>
                <w:szCs w:val="18"/>
                <w:lang w:eastAsia="en-AU"/>
              </w:rPr>
            </w:pPr>
            <w:proofErr w:type="spellStart"/>
            <w:r>
              <w:rPr>
                <w:rFonts w:cs="Arial"/>
                <w:color w:val="000000"/>
                <w:sz w:val="18"/>
                <w:szCs w:val="18"/>
                <w:lang w:eastAsia="en-AU"/>
              </w:rPr>
              <w:t>adj_spa</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See definition</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S</w:t>
            </w:r>
            <w:r w:rsidRPr="00822178">
              <w:rPr>
                <w:rFonts w:cs="Arial"/>
                <w:color w:val="000000"/>
                <w:sz w:val="18"/>
                <w:szCs w:val="18"/>
                <w:lang w:eastAsia="en-AU"/>
              </w:rPr>
              <w:t xml:space="preserve">pecialist </w:t>
            </w:r>
            <w:r>
              <w:rPr>
                <w:rFonts w:cs="Arial"/>
                <w:color w:val="000000"/>
                <w:sz w:val="18"/>
                <w:szCs w:val="18"/>
                <w:lang w:eastAsia="en-AU"/>
              </w:rPr>
              <w:t>P</w:t>
            </w:r>
            <w:r w:rsidRPr="00822178">
              <w:rPr>
                <w:rFonts w:cs="Arial"/>
                <w:color w:val="000000"/>
                <w:sz w:val="18"/>
                <w:szCs w:val="18"/>
                <w:lang w:eastAsia="en-AU"/>
              </w:rPr>
              <w:t xml:space="preserve">sychiatric </w:t>
            </w:r>
            <w:r>
              <w:rPr>
                <w:rFonts w:cs="Arial"/>
                <w:color w:val="000000"/>
                <w:sz w:val="18"/>
                <w:szCs w:val="18"/>
                <w:lang w:eastAsia="en-AU"/>
              </w:rPr>
              <w:t>A</w:t>
            </w:r>
            <w:r w:rsidRPr="00822178">
              <w:rPr>
                <w:rFonts w:cs="Arial"/>
                <w:color w:val="000000"/>
                <w:sz w:val="18"/>
                <w:szCs w:val="18"/>
                <w:lang w:eastAsia="en-AU"/>
              </w:rPr>
              <w:t>ge adjustment</w:t>
            </w:r>
          </w:p>
        </w:tc>
      </w:tr>
      <w:tr w:rsidR="0036490E" w:rsidRPr="00C525F3" w:rsidTr="00865674">
        <w:trPr>
          <w:cantSplit/>
          <w:trHeight w:val="450"/>
        </w:trPr>
        <w:tc>
          <w:tcPr>
            <w:tcW w:w="817" w:type="dxa"/>
            <w:vMerge/>
            <w:tcBorders>
              <w:top w:val="nil"/>
            </w:tcBorders>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A27</w:t>
            </w:r>
          </w:p>
        </w:tc>
        <w:tc>
          <w:tcPr>
            <w:tcW w:w="3119" w:type="dxa"/>
            <w:shd w:val="clear" w:color="auto" w:fill="auto"/>
            <w:noWrap/>
          </w:tcPr>
          <w:p w:rsidR="0036490E" w:rsidRDefault="0036490E" w:rsidP="00865674">
            <w:pPr>
              <w:tabs>
                <w:tab w:val="left" w:pos="1162"/>
              </w:tabs>
              <w:spacing w:after="0"/>
              <w:rPr>
                <w:rFonts w:cs="Arial"/>
                <w:color w:val="000000"/>
                <w:sz w:val="18"/>
                <w:szCs w:val="18"/>
                <w:lang w:eastAsia="en-AU"/>
              </w:rPr>
            </w:pPr>
            <w:proofErr w:type="spellStart"/>
            <w:r>
              <w:rPr>
                <w:rFonts w:cs="Arial"/>
                <w:color w:val="000000"/>
                <w:sz w:val="18"/>
                <w:szCs w:val="18"/>
                <w:lang w:eastAsia="en-AU"/>
              </w:rPr>
              <w:t>adj_indigenous</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See definition</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indigenous</w:t>
            </w:r>
            <w:proofErr w:type="gramEnd"/>
            <w:r w:rsidRPr="00822178">
              <w:rPr>
                <w:rFonts w:cs="Arial"/>
                <w:color w:val="000000"/>
                <w:sz w:val="18"/>
                <w:szCs w:val="18"/>
                <w:lang w:eastAsia="en-AU"/>
              </w:rPr>
              <w:t xml:space="preserve"> adjustment.</w:t>
            </w:r>
          </w:p>
        </w:tc>
      </w:tr>
      <w:tr w:rsidR="0036490E" w:rsidRPr="00C525F3" w:rsidTr="00865674">
        <w:trPr>
          <w:cantSplit/>
          <w:trHeight w:val="450"/>
        </w:trPr>
        <w:tc>
          <w:tcPr>
            <w:tcW w:w="817" w:type="dxa"/>
            <w:vMerge/>
            <w:tcBorders>
              <w:top w:val="nil"/>
            </w:tcBorders>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A28</w:t>
            </w:r>
          </w:p>
        </w:tc>
        <w:tc>
          <w:tcPr>
            <w:tcW w:w="3119" w:type="dxa"/>
            <w:shd w:val="clear" w:color="auto" w:fill="auto"/>
            <w:noWrap/>
          </w:tcPr>
          <w:p w:rsidR="0036490E" w:rsidRDefault="0036490E" w:rsidP="00865674">
            <w:pPr>
              <w:tabs>
                <w:tab w:val="left" w:pos="1162"/>
              </w:tabs>
              <w:spacing w:after="0"/>
              <w:rPr>
                <w:rFonts w:cs="Arial"/>
                <w:color w:val="000000"/>
                <w:sz w:val="18"/>
                <w:szCs w:val="18"/>
                <w:lang w:eastAsia="en-AU"/>
              </w:rPr>
            </w:pPr>
            <w:proofErr w:type="spellStart"/>
            <w:r>
              <w:rPr>
                <w:rFonts w:cs="Arial"/>
                <w:color w:val="000000"/>
                <w:sz w:val="18"/>
                <w:szCs w:val="18"/>
                <w:lang w:eastAsia="en-AU"/>
              </w:rPr>
              <w:t>adj_remoteness</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See definition</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proofErr w:type="gramStart"/>
            <w:r>
              <w:rPr>
                <w:rFonts w:cs="Arial"/>
                <w:color w:val="000000"/>
                <w:sz w:val="18"/>
                <w:szCs w:val="18"/>
                <w:lang w:eastAsia="en-AU"/>
              </w:rPr>
              <w:t>remoteness</w:t>
            </w:r>
            <w:proofErr w:type="gramEnd"/>
            <w:r w:rsidRPr="00822178">
              <w:rPr>
                <w:rFonts w:cs="Arial"/>
                <w:color w:val="000000"/>
                <w:sz w:val="18"/>
                <w:szCs w:val="18"/>
                <w:lang w:eastAsia="en-AU"/>
              </w:rPr>
              <w:t xml:space="preserve"> adjustment.</w:t>
            </w:r>
          </w:p>
        </w:tc>
      </w:tr>
      <w:tr w:rsidR="0036490E" w:rsidRPr="00C525F3" w:rsidTr="00865674">
        <w:trPr>
          <w:cantSplit/>
          <w:trHeight w:val="450"/>
        </w:trPr>
        <w:tc>
          <w:tcPr>
            <w:tcW w:w="817" w:type="dxa"/>
            <w:vMerge/>
            <w:tcBorders>
              <w:top w:val="nil"/>
            </w:tcBorders>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A29</w:t>
            </w:r>
          </w:p>
        </w:tc>
        <w:tc>
          <w:tcPr>
            <w:tcW w:w="3119" w:type="dxa"/>
            <w:shd w:val="clear" w:color="auto" w:fill="auto"/>
            <w:noWrap/>
          </w:tcPr>
          <w:p w:rsidR="0036490E" w:rsidRPr="00C94607" w:rsidRDefault="0073435B" w:rsidP="00865674">
            <w:pPr>
              <w:tabs>
                <w:tab w:val="left" w:pos="1162"/>
              </w:tabs>
              <w:spacing w:after="0"/>
              <w:rPr>
                <w:rFonts w:cs="Arial"/>
                <w:color w:val="000000"/>
                <w:sz w:val="18"/>
                <w:szCs w:val="18"/>
                <w:lang w:eastAsia="en-AU"/>
              </w:rPr>
            </w:pPr>
            <w:proofErr w:type="spellStart"/>
            <w:r>
              <w:rPr>
                <w:rFonts w:cs="Arial"/>
                <w:color w:val="000000"/>
                <w:sz w:val="18"/>
                <w:szCs w:val="18"/>
                <w:lang w:eastAsia="en-AU"/>
              </w:rPr>
              <w:t>adj_radiothe</w:t>
            </w:r>
            <w:r w:rsidR="0036490E">
              <w:rPr>
                <w:rFonts w:cs="Arial"/>
                <w:color w:val="000000"/>
                <w:sz w:val="18"/>
                <w:szCs w:val="18"/>
                <w:lang w:eastAsia="en-AU"/>
              </w:rPr>
              <w:t>r</w:t>
            </w:r>
            <w:r>
              <w:rPr>
                <w:rFonts w:cs="Arial"/>
                <w:color w:val="000000"/>
                <w:sz w:val="18"/>
                <w:szCs w:val="18"/>
                <w:lang w:eastAsia="en-AU"/>
              </w:rPr>
              <w:t>a</w:t>
            </w:r>
            <w:r w:rsidR="0036490E">
              <w:rPr>
                <w:rFonts w:cs="Arial"/>
                <w:color w:val="000000"/>
                <w:sz w:val="18"/>
                <w:szCs w:val="18"/>
                <w:lang w:eastAsia="en-AU"/>
              </w:rPr>
              <w:t>py</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See definition</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proofErr w:type="gramStart"/>
            <w:r>
              <w:rPr>
                <w:rFonts w:cs="Arial"/>
                <w:color w:val="000000"/>
                <w:sz w:val="18"/>
                <w:szCs w:val="18"/>
                <w:lang w:eastAsia="en-AU"/>
              </w:rPr>
              <w:t>radiotherapy</w:t>
            </w:r>
            <w:proofErr w:type="gramEnd"/>
            <w:r w:rsidRPr="00822178">
              <w:rPr>
                <w:rFonts w:cs="Arial"/>
                <w:color w:val="000000"/>
                <w:sz w:val="18"/>
                <w:szCs w:val="18"/>
                <w:lang w:eastAsia="en-AU"/>
              </w:rPr>
              <w:t xml:space="preserve"> adjustment.</w:t>
            </w:r>
          </w:p>
        </w:tc>
      </w:tr>
      <w:tr w:rsidR="0036490E" w:rsidRPr="00C525F3" w:rsidTr="00865674">
        <w:trPr>
          <w:cantSplit/>
          <w:trHeight w:val="450"/>
        </w:trPr>
        <w:tc>
          <w:tcPr>
            <w:tcW w:w="817" w:type="dxa"/>
            <w:vMerge/>
            <w:tcBorders>
              <w:top w:val="nil"/>
            </w:tcBorders>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A30</w:t>
            </w:r>
          </w:p>
        </w:tc>
        <w:tc>
          <w:tcPr>
            <w:tcW w:w="3119" w:type="dxa"/>
            <w:shd w:val="clear" w:color="auto" w:fill="auto"/>
            <w:noWrap/>
          </w:tcPr>
          <w:p w:rsidR="0036490E" w:rsidRDefault="0073435B" w:rsidP="00865674">
            <w:pPr>
              <w:tabs>
                <w:tab w:val="left" w:pos="1162"/>
              </w:tabs>
              <w:spacing w:after="0"/>
              <w:rPr>
                <w:rFonts w:cs="Arial"/>
                <w:color w:val="000000"/>
                <w:sz w:val="18"/>
                <w:szCs w:val="18"/>
                <w:lang w:eastAsia="en-AU"/>
              </w:rPr>
            </w:pPr>
            <w:proofErr w:type="spellStart"/>
            <w:r>
              <w:rPr>
                <w:rFonts w:cs="Arial"/>
                <w:color w:val="000000"/>
                <w:sz w:val="18"/>
                <w:szCs w:val="18"/>
                <w:lang w:eastAsia="en-AU"/>
              </w:rPr>
              <w:t>a</w:t>
            </w:r>
            <w:r w:rsidR="0036490E">
              <w:rPr>
                <w:rFonts w:cs="Arial"/>
                <w:color w:val="000000"/>
                <w:sz w:val="18"/>
                <w:szCs w:val="18"/>
                <w:lang w:eastAsia="en-AU"/>
              </w:rPr>
              <w:t>dj_dialysis</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See definition</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proofErr w:type="gramStart"/>
            <w:r>
              <w:rPr>
                <w:rFonts w:cs="Arial"/>
                <w:color w:val="000000"/>
                <w:sz w:val="18"/>
                <w:szCs w:val="18"/>
                <w:lang w:eastAsia="en-AU"/>
              </w:rPr>
              <w:t>dialysis</w:t>
            </w:r>
            <w:proofErr w:type="gramEnd"/>
            <w:r w:rsidRPr="00822178">
              <w:rPr>
                <w:rFonts w:cs="Arial"/>
                <w:color w:val="000000"/>
                <w:sz w:val="18"/>
                <w:szCs w:val="18"/>
                <w:lang w:eastAsia="en-AU"/>
              </w:rPr>
              <w:t xml:space="preserve"> adjustment.</w:t>
            </w:r>
          </w:p>
        </w:tc>
      </w:tr>
      <w:tr w:rsidR="0036490E" w:rsidRPr="00C525F3" w:rsidTr="00865674">
        <w:trPr>
          <w:cantSplit/>
          <w:trHeight w:val="450"/>
        </w:trPr>
        <w:tc>
          <w:tcPr>
            <w:tcW w:w="817" w:type="dxa"/>
            <w:vMerge/>
            <w:tcBorders>
              <w:top w:val="nil"/>
            </w:tcBorders>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A31</w:t>
            </w:r>
          </w:p>
        </w:tc>
        <w:tc>
          <w:tcPr>
            <w:tcW w:w="3119" w:type="dxa"/>
            <w:shd w:val="clear" w:color="auto" w:fill="auto"/>
            <w:noWrap/>
          </w:tcPr>
          <w:p w:rsidR="0036490E"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state_adj_privpat_accomm_sd</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See definition</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private</w:t>
            </w:r>
            <w:proofErr w:type="gramEnd"/>
            <w:r w:rsidRPr="00822178">
              <w:rPr>
                <w:rFonts w:cs="Arial"/>
                <w:color w:val="000000"/>
                <w:sz w:val="18"/>
                <w:szCs w:val="18"/>
                <w:lang w:eastAsia="en-AU"/>
              </w:rPr>
              <w:t xml:space="preserve"> patient accommodation adjustment: same-day rate (state-specific adjustment).</w:t>
            </w:r>
          </w:p>
        </w:tc>
      </w:tr>
      <w:tr w:rsidR="0036490E" w:rsidRPr="00C525F3" w:rsidTr="00865674">
        <w:trPr>
          <w:cantSplit/>
          <w:trHeight w:val="450"/>
        </w:trPr>
        <w:tc>
          <w:tcPr>
            <w:tcW w:w="817" w:type="dxa"/>
            <w:vMerge/>
            <w:tcBorders>
              <w:top w:val="nil"/>
            </w:tcBorders>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A32</w:t>
            </w:r>
          </w:p>
        </w:tc>
        <w:tc>
          <w:tcPr>
            <w:tcW w:w="3119" w:type="dxa"/>
            <w:shd w:val="clear" w:color="auto" w:fill="auto"/>
            <w:noWrap/>
          </w:tcPr>
          <w:p w:rsidR="0036490E" w:rsidRDefault="0036490E" w:rsidP="00865674">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state_adj_privpat_accomm_on</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See definition</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private</w:t>
            </w:r>
            <w:proofErr w:type="gramEnd"/>
            <w:r w:rsidRPr="00822178">
              <w:rPr>
                <w:rFonts w:cs="Arial"/>
                <w:color w:val="000000"/>
                <w:sz w:val="18"/>
                <w:szCs w:val="18"/>
                <w:lang w:eastAsia="en-AU"/>
              </w:rPr>
              <w:t xml:space="preserve"> patient accommodation adjustment: overnight per diem rate (state-specific adjustment).</w:t>
            </w:r>
          </w:p>
        </w:tc>
      </w:tr>
      <w:tr w:rsidR="0036490E" w:rsidRPr="00C525F3" w:rsidTr="0036490E">
        <w:trPr>
          <w:cantSplit/>
          <w:trHeight w:val="450"/>
        </w:trPr>
        <w:tc>
          <w:tcPr>
            <w:tcW w:w="817" w:type="dxa"/>
          </w:tcPr>
          <w:p w:rsidR="0036490E" w:rsidRPr="00822178" w:rsidRDefault="0036490E" w:rsidP="0036490E">
            <w:pPr>
              <w:tabs>
                <w:tab w:val="left" w:pos="1162"/>
              </w:tabs>
              <w:spacing w:after="0"/>
              <w:rPr>
                <w:rFonts w:cs="Arial"/>
                <w:color w:val="000000"/>
                <w:sz w:val="18"/>
                <w:szCs w:val="18"/>
                <w:lang w:eastAsia="en-AU"/>
              </w:rPr>
            </w:pPr>
            <w:r>
              <w:rPr>
                <w:rFonts w:cs="Arial"/>
                <w:color w:val="000000"/>
                <w:sz w:val="18"/>
                <w:szCs w:val="18"/>
                <w:lang w:eastAsia="en-AU"/>
              </w:rPr>
              <w:t>Step 6</w:t>
            </w: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A33</w:t>
            </w:r>
          </w:p>
        </w:tc>
        <w:tc>
          <w:tcPr>
            <w:tcW w:w="3119" w:type="dxa"/>
            <w:shd w:val="clear" w:color="auto" w:fill="auto"/>
            <w:noWrap/>
          </w:tcPr>
          <w:p w:rsidR="0036490E" w:rsidRDefault="0036490E" w:rsidP="00865674">
            <w:pPr>
              <w:tabs>
                <w:tab w:val="left" w:pos="1162"/>
              </w:tabs>
              <w:spacing w:after="0"/>
              <w:rPr>
                <w:rFonts w:cs="Arial"/>
                <w:color w:val="000000"/>
                <w:sz w:val="18"/>
                <w:szCs w:val="18"/>
                <w:lang w:eastAsia="en-AU"/>
              </w:rPr>
            </w:pPr>
            <w:proofErr w:type="spellStart"/>
            <w:r>
              <w:rPr>
                <w:rFonts w:cs="Arial"/>
                <w:color w:val="000000"/>
                <w:sz w:val="18"/>
                <w:szCs w:val="18"/>
                <w:lang w:eastAsia="en-AU"/>
              </w:rPr>
              <w:t>Error_Code</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See definition</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Outlines Errors in calculations</w:t>
            </w:r>
          </w:p>
        </w:tc>
      </w:tr>
      <w:tr w:rsidR="0036490E" w:rsidRPr="00C525F3" w:rsidTr="00865674">
        <w:trPr>
          <w:cantSplit/>
          <w:trHeight w:val="450"/>
        </w:trPr>
        <w:tc>
          <w:tcPr>
            <w:tcW w:w="817" w:type="dxa"/>
            <w:vMerge w:val="restart"/>
          </w:tcPr>
          <w:p w:rsidR="0036490E" w:rsidRPr="00822178"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Step 7</w:t>
            </w: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A34</w:t>
            </w:r>
          </w:p>
        </w:tc>
        <w:tc>
          <w:tcPr>
            <w:tcW w:w="3119" w:type="dxa"/>
            <w:shd w:val="clear" w:color="auto" w:fill="auto"/>
            <w:noWrap/>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w:t>
            </w:r>
            <w:r>
              <w:rPr>
                <w:rFonts w:cs="Arial"/>
                <w:color w:val="000000"/>
                <w:sz w:val="18"/>
                <w:szCs w:val="18"/>
                <w:lang w:eastAsia="en-AU"/>
              </w:rPr>
              <w:t>eligible_</w:t>
            </w:r>
            <w:r w:rsidRPr="00822178">
              <w:rPr>
                <w:rFonts w:cs="Arial"/>
                <w:color w:val="000000"/>
                <w:sz w:val="18"/>
                <w:szCs w:val="18"/>
                <w:lang w:eastAsia="en-AU"/>
              </w:rPr>
              <w:t>icu_hours</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 xml:space="preserve">Whole </w:t>
            </w:r>
            <w:r>
              <w:rPr>
                <w:rFonts w:cs="Arial"/>
                <w:color w:val="000000"/>
                <w:sz w:val="18"/>
                <w:szCs w:val="18"/>
                <w:lang w:eastAsia="en-AU"/>
              </w:rPr>
              <w:t xml:space="preserve">eligible </w:t>
            </w:r>
            <w:r w:rsidRPr="00822178">
              <w:rPr>
                <w:rFonts w:cs="Arial"/>
                <w:color w:val="000000"/>
                <w:sz w:val="18"/>
                <w:szCs w:val="18"/>
                <w:lang w:eastAsia="en-AU"/>
              </w:rPr>
              <w:t>hours spent in ICU</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r w:rsidRPr="00822178">
              <w:rPr>
                <w:rFonts w:cs="Arial"/>
                <w:color w:val="000000"/>
                <w:sz w:val="18"/>
                <w:szCs w:val="18"/>
                <w:lang w:eastAsia="en-AU"/>
              </w:rPr>
              <w:t>total whole Hours Spent in Intensive Care Unit if hours are gre</w:t>
            </w:r>
            <w:r>
              <w:rPr>
                <w:rFonts w:cs="Arial"/>
                <w:color w:val="000000"/>
                <w:sz w:val="18"/>
                <w:szCs w:val="18"/>
                <w:lang w:eastAsia="en-AU"/>
              </w:rPr>
              <w:t>ater than or equal to 1; else</w:t>
            </w:r>
            <w:r>
              <w:rPr>
                <w:rFonts w:cs="Arial"/>
                <w:color w:val="000000"/>
                <w:sz w:val="18"/>
                <w:szCs w:val="18"/>
                <w:lang w:eastAsia="en-AU"/>
              </w:rPr>
              <w:br/>
              <w:t>0, for unbundled DRGs and eligible establishments</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A35</w:t>
            </w:r>
          </w:p>
        </w:tc>
        <w:tc>
          <w:tcPr>
            <w:tcW w:w="3119" w:type="dxa"/>
            <w:shd w:val="clear" w:color="auto" w:fill="auto"/>
            <w:noWrap/>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Pr>
                <w:rFonts w:cs="Arial"/>
                <w:color w:val="000000"/>
                <w:sz w:val="18"/>
                <w:szCs w:val="18"/>
                <w:lang w:eastAsia="en-AU"/>
              </w:rPr>
              <w:t>pat_lost_icu_removed</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See Definition</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 xml:space="preserve">Patient length of stay with ICU hours removed </w:t>
            </w:r>
          </w:p>
        </w:tc>
      </w:tr>
      <w:tr w:rsidR="0036490E" w:rsidRPr="00C525F3" w:rsidTr="00865674">
        <w:trPr>
          <w:cantSplit/>
          <w:trHeight w:val="450"/>
        </w:trPr>
        <w:tc>
          <w:tcPr>
            <w:tcW w:w="817" w:type="dxa"/>
            <w:vMerge/>
            <w:vAlign w:val="center"/>
          </w:tcPr>
          <w:p w:rsidR="0036490E" w:rsidRPr="00822178" w:rsidRDefault="0036490E" w:rsidP="00865674">
            <w:pPr>
              <w:tabs>
                <w:tab w:val="left" w:pos="1162"/>
              </w:tabs>
              <w:spacing w:after="0"/>
              <w:rPr>
                <w:rFonts w:cs="Arial"/>
                <w:color w:val="000000"/>
                <w:sz w:val="18"/>
                <w:szCs w:val="18"/>
                <w:lang w:eastAsia="en-AU"/>
              </w:rPr>
            </w:pPr>
          </w:p>
        </w:tc>
        <w:tc>
          <w:tcPr>
            <w:tcW w:w="992" w:type="dxa"/>
            <w:shd w:val="clear" w:color="auto" w:fill="auto"/>
            <w:noWrap/>
          </w:tcPr>
          <w:p w:rsidR="0036490E" w:rsidRDefault="0036490E" w:rsidP="00865674">
            <w:pPr>
              <w:tabs>
                <w:tab w:val="left" w:pos="1162"/>
              </w:tabs>
              <w:spacing w:after="0"/>
              <w:jc w:val="center"/>
              <w:rPr>
                <w:rFonts w:cs="Arial"/>
                <w:color w:val="000000"/>
                <w:sz w:val="18"/>
                <w:szCs w:val="18"/>
                <w:lang w:eastAsia="en-AU"/>
              </w:rPr>
            </w:pPr>
            <w:r>
              <w:rPr>
                <w:rFonts w:cs="Arial"/>
                <w:color w:val="000000"/>
                <w:sz w:val="18"/>
                <w:szCs w:val="18"/>
                <w:lang w:eastAsia="en-AU"/>
              </w:rPr>
              <w:t>A36</w:t>
            </w:r>
          </w:p>
        </w:tc>
        <w:tc>
          <w:tcPr>
            <w:tcW w:w="3119" w:type="dxa"/>
            <w:shd w:val="clear" w:color="auto" w:fill="auto"/>
            <w:noWrap/>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Pr>
                <w:rFonts w:cs="Arial"/>
                <w:color w:val="000000"/>
                <w:sz w:val="18"/>
                <w:szCs w:val="18"/>
                <w:lang w:eastAsia="en-AU"/>
              </w:rPr>
              <w:t>pat_separation_category</w:t>
            </w:r>
            <w:proofErr w:type="spellEnd"/>
          </w:p>
        </w:tc>
        <w:tc>
          <w:tcPr>
            <w:tcW w:w="4536" w:type="dxa"/>
            <w:shd w:val="clear" w:color="auto" w:fill="auto"/>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See definition</w:t>
            </w:r>
          </w:p>
        </w:tc>
        <w:tc>
          <w:tcPr>
            <w:tcW w:w="4711" w:type="dxa"/>
            <w:shd w:val="clear" w:color="auto" w:fill="auto"/>
          </w:tcPr>
          <w:p w:rsidR="0036490E" w:rsidRDefault="0036490E" w:rsidP="00865674">
            <w:pPr>
              <w:tabs>
                <w:tab w:val="left" w:pos="1162"/>
              </w:tabs>
              <w:spacing w:after="0"/>
              <w:rPr>
                <w:rFonts w:cs="Arial"/>
                <w:color w:val="000000"/>
                <w:sz w:val="18"/>
                <w:szCs w:val="18"/>
                <w:lang w:eastAsia="en-AU"/>
              </w:rPr>
            </w:pPr>
            <w:r>
              <w:rPr>
                <w:rFonts w:cs="Arial"/>
                <w:color w:val="000000"/>
                <w:sz w:val="18"/>
                <w:szCs w:val="18"/>
                <w:lang w:eastAsia="en-AU"/>
              </w:rPr>
              <w:t xml:space="preserve">Patient separation category: </w:t>
            </w:r>
          </w:p>
          <w:p w:rsidR="0036490E" w:rsidRPr="00FA3851" w:rsidRDefault="0036490E" w:rsidP="00865674">
            <w:pPr>
              <w:tabs>
                <w:tab w:val="left" w:pos="1162"/>
              </w:tabs>
              <w:spacing w:after="0"/>
              <w:rPr>
                <w:rFonts w:cs="Arial"/>
                <w:color w:val="000000"/>
                <w:sz w:val="18"/>
                <w:szCs w:val="18"/>
                <w:lang w:eastAsia="en-AU"/>
              </w:rPr>
            </w:pPr>
            <w:r w:rsidRPr="006547D9">
              <w:rPr>
                <w:rFonts w:cs="Arial"/>
                <w:color w:val="000000"/>
                <w:sz w:val="18"/>
                <w:szCs w:val="18"/>
                <w:lang w:eastAsia="en-AU"/>
              </w:rPr>
              <w:t>1</w:t>
            </w:r>
            <w:r>
              <w:rPr>
                <w:rFonts w:cs="Arial"/>
                <w:color w:val="000000"/>
                <w:sz w:val="18"/>
                <w:szCs w:val="18"/>
                <w:lang w:eastAsia="en-AU"/>
              </w:rPr>
              <w:t>:</w:t>
            </w:r>
            <w:r w:rsidRPr="00FA3851">
              <w:rPr>
                <w:rFonts w:cs="Arial"/>
                <w:color w:val="000000"/>
                <w:sz w:val="18"/>
                <w:szCs w:val="18"/>
                <w:lang w:eastAsia="en-AU"/>
              </w:rPr>
              <w:t xml:space="preserve"> </w:t>
            </w:r>
            <w:proofErr w:type="spellStart"/>
            <w:r w:rsidRPr="00FA3851">
              <w:rPr>
                <w:rFonts w:cs="Arial"/>
                <w:color w:val="000000"/>
                <w:sz w:val="18"/>
                <w:szCs w:val="18"/>
                <w:lang w:eastAsia="en-AU"/>
              </w:rPr>
              <w:t>Sameday</w:t>
            </w:r>
            <w:proofErr w:type="spellEnd"/>
            <w:r>
              <w:rPr>
                <w:rFonts w:cs="Arial"/>
                <w:color w:val="000000"/>
                <w:sz w:val="18"/>
                <w:szCs w:val="18"/>
                <w:lang w:eastAsia="en-AU"/>
              </w:rPr>
              <w:t xml:space="preserve"> patients</w:t>
            </w:r>
          </w:p>
          <w:p w:rsidR="0036490E" w:rsidRDefault="0036490E" w:rsidP="00865674">
            <w:pPr>
              <w:tabs>
                <w:tab w:val="left" w:pos="1162"/>
              </w:tabs>
              <w:spacing w:after="0"/>
              <w:rPr>
                <w:rFonts w:cs="Arial"/>
                <w:color w:val="000000"/>
                <w:sz w:val="18"/>
                <w:szCs w:val="18"/>
                <w:lang w:eastAsia="en-AU"/>
              </w:rPr>
            </w:pPr>
            <w:r w:rsidRPr="00FA3851">
              <w:rPr>
                <w:rFonts w:cs="Arial"/>
                <w:color w:val="000000"/>
                <w:sz w:val="18"/>
                <w:szCs w:val="18"/>
                <w:lang w:eastAsia="en-AU"/>
              </w:rPr>
              <w:t>2</w:t>
            </w:r>
            <w:r>
              <w:rPr>
                <w:rFonts w:cs="Arial"/>
                <w:color w:val="000000"/>
                <w:sz w:val="18"/>
                <w:szCs w:val="18"/>
                <w:lang w:eastAsia="en-AU"/>
              </w:rPr>
              <w:t>:</w:t>
            </w:r>
            <w:r w:rsidRPr="00FA3851">
              <w:rPr>
                <w:rFonts w:cs="Arial"/>
                <w:color w:val="000000"/>
                <w:sz w:val="18"/>
                <w:szCs w:val="18"/>
                <w:lang w:eastAsia="en-AU"/>
              </w:rPr>
              <w:t xml:space="preserve"> </w:t>
            </w:r>
            <w:r>
              <w:rPr>
                <w:rFonts w:cs="Arial"/>
                <w:color w:val="000000"/>
                <w:sz w:val="18"/>
                <w:szCs w:val="18"/>
                <w:lang w:eastAsia="en-AU"/>
              </w:rPr>
              <w:t xml:space="preserve">Short Stay outlier patients </w:t>
            </w:r>
          </w:p>
          <w:p w:rsidR="0036490E" w:rsidRPr="00FA3851" w:rsidRDefault="0036490E" w:rsidP="00865674">
            <w:pPr>
              <w:tabs>
                <w:tab w:val="left" w:pos="1162"/>
              </w:tabs>
              <w:spacing w:after="0"/>
              <w:rPr>
                <w:rFonts w:cs="Arial"/>
                <w:color w:val="000000"/>
                <w:sz w:val="18"/>
                <w:szCs w:val="18"/>
                <w:lang w:eastAsia="en-AU"/>
              </w:rPr>
            </w:pPr>
            <w:r w:rsidRPr="006547D9">
              <w:rPr>
                <w:rFonts w:cs="Arial"/>
                <w:color w:val="000000"/>
                <w:sz w:val="18"/>
                <w:szCs w:val="18"/>
                <w:lang w:eastAsia="en-AU"/>
              </w:rPr>
              <w:t>3</w:t>
            </w:r>
            <w:r>
              <w:rPr>
                <w:rFonts w:cs="Arial"/>
                <w:color w:val="000000"/>
                <w:sz w:val="18"/>
                <w:szCs w:val="18"/>
                <w:lang w:eastAsia="en-AU"/>
              </w:rPr>
              <w:t>:</w:t>
            </w:r>
            <w:r w:rsidRPr="00FA3851">
              <w:rPr>
                <w:rFonts w:cs="Arial"/>
                <w:color w:val="000000"/>
                <w:sz w:val="18"/>
                <w:szCs w:val="18"/>
                <w:lang w:eastAsia="en-AU"/>
              </w:rPr>
              <w:t xml:space="preserve"> Inlier patients</w:t>
            </w:r>
          </w:p>
          <w:p w:rsidR="0036490E" w:rsidRPr="006547D9" w:rsidRDefault="0036490E" w:rsidP="00865674">
            <w:pPr>
              <w:tabs>
                <w:tab w:val="left" w:pos="1162"/>
              </w:tabs>
              <w:spacing w:after="0"/>
              <w:rPr>
                <w:lang w:eastAsia="en-AU"/>
              </w:rPr>
            </w:pPr>
            <w:r>
              <w:rPr>
                <w:rFonts w:cs="Arial"/>
                <w:color w:val="000000"/>
                <w:sz w:val="18"/>
                <w:szCs w:val="18"/>
                <w:lang w:eastAsia="en-AU"/>
              </w:rPr>
              <w:t>4:</w:t>
            </w:r>
            <w:r w:rsidRPr="00FA3851">
              <w:rPr>
                <w:rFonts w:cs="Arial"/>
                <w:color w:val="000000"/>
                <w:sz w:val="18"/>
                <w:szCs w:val="18"/>
                <w:lang w:eastAsia="en-AU"/>
              </w:rPr>
              <w:t xml:space="preserve"> Long stay outlier patients </w:t>
            </w:r>
          </w:p>
        </w:tc>
      </w:tr>
    </w:tbl>
    <w:p w:rsidR="00460371" w:rsidRDefault="00460371" w:rsidP="00AD4FFC">
      <w:pPr>
        <w:tabs>
          <w:tab w:val="left" w:pos="1162"/>
        </w:tabs>
        <w:rPr>
          <w:rFonts w:cstheme="minorHAnsi"/>
          <w:b/>
          <w:szCs w:val="20"/>
          <w:highlight w:val="yellow"/>
        </w:rPr>
        <w:sectPr w:rsidR="00460371" w:rsidSect="002049EC">
          <w:pgSz w:w="16839" w:h="11907" w:orient="landscape" w:code="9"/>
          <w:pgMar w:top="1440" w:right="1440" w:bottom="1440" w:left="1440" w:header="709" w:footer="709" w:gutter="0"/>
          <w:cols w:space="708"/>
          <w:docGrid w:linePitch="360"/>
        </w:sectPr>
      </w:pPr>
    </w:p>
    <w:p w:rsidR="00460371" w:rsidRPr="002909DA" w:rsidRDefault="00460371" w:rsidP="00AD4FFC">
      <w:pPr>
        <w:pStyle w:val="Heading3"/>
        <w:keepLines w:val="0"/>
        <w:numPr>
          <w:ilvl w:val="2"/>
          <w:numId w:val="35"/>
        </w:numPr>
        <w:tabs>
          <w:tab w:val="left" w:pos="1162"/>
        </w:tabs>
        <w:spacing w:before="240" w:after="120"/>
      </w:pPr>
      <w:bookmarkStart w:id="157" w:name="_Toc380754710"/>
      <w:bookmarkStart w:id="158" w:name="_Toc412550727"/>
      <w:r w:rsidRPr="002909DA">
        <w:lastRenderedPageBreak/>
        <w:t>Calculatio</w:t>
      </w:r>
      <w:r>
        <w:t xml:space="preserve">n of </w:t>
      </w:r>
      <w:r w:rsidRPr="002909DA">
        <w:t>NWAU</w:t>
      </w:r>
      <w:bookmarkEnd w:id="157"/>
      <w:bookmarkEnd w:id="158"/>
    </w:p>
    <w:p w:rsidR="0036490E" w:rsidRDefault="00460371" w:rsidP="00AD4FFC">
      <w:pPr>
        <w:tabs>
          <w:tab w:val="left" w:pos="1162"/>
        </w:tabs>
        <w:rPr>
          <w:rFonts w:cs="Arial"/>
          <w:szCs w:val="20"/>
        </w:rPr>
      </w:pPr>
      <w:r w:rsidRPr="002909DA">
        <w:rPr>
          <w:rFonts w:cs="Arial"/>
          <w:szCs w:val="20"/>
        </w:rPr>
        <w:t>The NWAU calculation stage is illustrated in</w:t>
      </w:r>
      <w:r w:rsidR="0040091A">
        <w:rPr>
          <w:rFonts w:cs="Arial"/>
          <w:szCs w:val="20"/>
        </w:rPr>
        <w:t xml:space="preserve"> Figure 6</w:t>
      </w:r>
      <w:r w:rsidR="00951F3D">
        <w:rPr>
          <w:rFonts w:cs="Arial"/>
          <w:szCs w:val="20"/>
        </w:rPr>
        <w:t>, with the last step (Step 8</w:t>
      </w:r>
      <w:r w:rsidR="00951F3D" w:rsidRPr="002909DA">
        <w:rPr>
          <w:rFonts w:cs="Arial"/>
          <w:szCs w:val="20"/>
        </w:rPr>
        <w:t xml:space="preserve">) resulting in a variable containing the </w:t>
      </w:r>
      <w:r w:rsidR="00951F3D">
        <w:rPr>
          <w:rFonts w:cs="Arial"/>
          <w:szCs w:val="20"/>
        </w:rPr>
        <w:t>2015-16</w:t>
      </w:r>
      <w:r w:rsidR="00951F3D" w:rsidRPr="002909DA">
        <w:rPr>
          <w:rFonts w:cs="Arial"/>
          <w:szCs w:val="20"/>
        </w:rPr>
        <w:t xml:space="preserve"> NWAU</w:t>
      </w:r>
      <w:r w:rsidRPr="002909DA">
        <w:rPr>
          <w:rFonts w:cs="Arial"/>
          <w:szCs w:val="20"/>
        </w:rPr>
        <w:t xml:space="preserve">. </w:t>
      </w:r>
    </w:p>
    <w:p w:rsidR="00460371" w:rsidRDefault="00460371">
      <w:pPr>
        <w:pStyle w:val="table"/>
      </w:pPr>
      <w:bookmarkStart w:id="159" w:name="_Ref342309016"/>
      <w:r>
        <w:t xml:space="preserve">Figure </w:t>
      </w:r>
      <w:bookmarkEnd w:id="159"/>
      <w:r w:rsidR="0040091A">
        <w:t>6</w:t>
      </w:r>
      <w:r>
        <w:t xml:space="preserve">: </w:t>
      </w:r>
      <w:r w:rsidRPr="00C7330B">
        <w:t>Assigning NWAU to acute admitted patient data – Stage 2 – NWAU calculation</w:t>
      </w:r>
    </w:p>
    <w:p w:rsidR="00521EF5" w:rsidRDefault="00526ABA" w:rsidP="009B622C">
      <w:pPr>
        <w:pStyle w:val="table"/>
      </w:pPr>
      <w:r>
        <w:rPr>
          <w:noProof/>
        </w:rPr>
        <w:drawing>
          <wp:inline distT="0" distB="0" distL="0" distR="0" wp14:anchorId="30A68BB6" wp14:editId="004A8CE7">
            <wp:extent cx="4870397" cy="2721935"/>
            <wp:effectExtent l="19050" t="19050" r="26035" b="21590"/>
            <wp:docPr id="142" name="Picture 142" descr="Figure six is a flow chart. It is a continuation of the process from Figure five. &#10;&#10;Step eight: Use 2015-16 NWAU adjustments to create variables A37 to A4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0717" cy="2722114"/>
                    </a:xfrm>
                    <a:prstGeom prst="rect">
                      <a:avLst/>
                    </a:prstGeom>
                    <a:noFill/>
                    <a:ln>
                      <a:solidFill>
                        <a:schemeClr val="accent1"/>
                      </a:solidFill>
                    </a:ln>
                  </pic:spPr>
                </pic:pic>
              </a:graphicData>
            </a:graphic>
          </wp:inline>
        </w:drawing>
      </w:r>
    </w:p>
    <w:p w:rsidR="001A46F4" w:rsidRDefault="001A46F4" w:rsidP="00951F3D">
      <w:pPr>
        <w:tabs>
          <w:tab w:val="left" w:pos="1162"/>
        </w:tabs>
        <w:rPr>
          <w:rFonts w:cs="Arial"/>
          <w:szCs w:val="20"/>
        </w:rPr>
      </w:pPr>
      <w:bookmarkStart w:id="160" w:name="_Ref342307933"/>
      <w:bookmarkStart w:id="161" w:name="_Ref373402398"/>
    </w:p>
    <w:p w:rsidR="00951F3D" w:rsidRPr="002909DA" w:rsidRDefault="00951F3D" w:rsidP="00951F3D">
      <w:pPr>
        <w:tabs>
          <w:tab w:val="left" w:pos="1162"/>
        </w:tabs>
        <w:rPr>
          <w:rFonts w:cs="Arial"/>
          <w:szCs w:val="20"/>
        </w:rPr>
      </w:pPr>
      <w:r>
        <w:rPr>
          <w:rFonts w:cs="Arial"/>
          <w:szCs w:val="20"/>
        </w:rPr>
        <w:t xml:space="preserve">Table 7 </w:t>
      </w:r>
      <w:r w:rsidRPr="002909DA">
        <w:rPr>
          <w:rFonts w:cs="Arial"/>
          <w:szCs w:val="20"/>
        </w:rPr>
        <w:t xml:space="preserve">details the variables created in </w:t>
      </w:r>
      <w:r>
        <w:rPr>
          <w:rFonts w:cs="Arial"/>
          <w:szCs w:val="20"/>
        </w:rPr>
        <w:t>S</w:t>
      </w:r>
      <w:r w:rsidRPr="002909DA">
        <w:rPr>
          <w:rFonts w:cs="Arial"/>
          <w:szCs w:val="20"/>
        </w:rPr>
        <w:t>t</w:t>
      </w:r>
      <w:r>
        <w:rPr>
          <w:rFonts w:cs="Arial"/>
          <w:szCs w:val="20"/>
        </w:rPr>
        <w:t>ep 8</w:t>
      </w:r>
      <w:r w:rsidRPr="002909DA">
        <w:rPr>
          <w:rFonts w:cs="Arial"/>
          <w:szCs w:val="20"/>
        </w:rPr>
        <w:t>.</w:t>
      </w:r>
    </w:p>
    <w:p w:rsidR="00951F3D" w:rsidRDefault="00951F3D">
      <w:pPr>
        <w:pStyle w:val="table"/>
        <w:sectPr w:rsidR="00951F3D" w:rsidSect="00933C77">
          <w:pgSz w:w="11907" w:h="16839" w:code="9"/>
          <w:pgMar w:top="1440" w:right="1440" w:bottom="1440" w:left="1440" w:header="709" w:footer="709" w:gutter="0"/>
          <w:cols w:space="708"/>
          <w:docGrid w:linePitch="360"/>
        </w:sectPr>
      </w:pPr>
    </w:p>
    <w:p w:rsidR="00460371" w:rsidRDefault="00460371">
      <w:pPr>
        <w:pStyle w:val="table"/>
      </w:pPr>
      <w:r>
        <w:lastRenderedPageBreak/>
        <w:t xml:space="preserve">Table </w:t>
      </w:r>
      <w:r w:rsidR="0040091A">
        <w:t>7</w:t>
      </w:r>
      <w:bookmarkEnd w:id="160"/>
      <w:bookmarkEnd w:id="161"/>
      <w:r>
        <w:t xml:space="preserve">: </w:t>
      </w:r>
      <w:r w:rsidRPr="00CA0C3C">
        <w:t>Assigning NWAU to acute admitted patient data – Stage 2 – NWAU calculation – variable definitions</w:t>
      </w:r>
    </w:p>
    <w:tbl>
      <w:tblPr>
        <w:tblW w:w="13547" w:type="dxa"/>
        <w:jc w:val="center"/>
        <w:tblInd w:w="93"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968"/>
        <w:gridCol w:w="995"/>
        <w:gridCol w:w="2629"/>
        <w:gridCol w:w="2273"/>
        <w:gridCol w:w="6682"/>
      </w:tblGrid>
      <w:tr w:rsidR="0036490E" w:rsidRPr="00C525F3" w:rsidTr="00865674">
        <w:trPr>
          <w:cantSplit/>
          <w:trHeight w:val="225"/>
          <w:tblHeader/>
          <w:jc w:val="center"/>
        </w:trPr>
        <w:tc>
          <w:tcPr>
            <w:tcW w:w="968" w:type="dxa"/>
            <w:shd w:val="clear" w:color="auto" w:fill="BFBFBF" w:themeFill="background1" w:themeFillShade="BF"/>
            <w:noWrap/>
            <w:hideMark/>
          </w:tcPr>
          <w:p w:rsidR="0036490E" w:rsidRPr="00822178" w:rsidRDefault="0036490E" w:rsidP="00865674">
            <w:pPr>
              <w:tabs>
                <w:tab w:val="left" w:pos="1162"/>
              </w:tabs>
              <w:spacing w:before="80" w:after="80"/>
              <w:rPr>
                <w:rFonts w:cs="Arial"/>
                <w:b/>
                <w:bCs/>
                <w:color w:val="000000"/>
                <w:sz w:val="20"/>
                <w:szCs w:val="20"/>
                <w:lang w:eastAsia="en-AU"/>
              </w:rPr>
            </w:pPr>
            <w:r w:rsidRPr="00822178">
              <w:rPr>
                <w:rFonts w:cs="Arial"/>
                <w:b/>
                <w:bCs/>
                <w:color w:val="000000"/>
                <w:sz w:val="20"/>
                <w:szCs w:val="20"/>
                <w:lang w:eastAsia="en-AU"/>
              </w:rPr>
              <w:t>Step</w:t>
            </w:r>
          </w:p>
        </w:tc>
        <w:tc>
          <w:tcPr>
            <w:tcW w:w="995" w:type="dxa"/>
            <w:shd w:val="clear" w:color="auto" w:fill="BFBFBF" w:themeFill="background1" w:themeFillShade="BF"/>
            <w:noWrap/>
            <w:hideMark/>
          </w:tcPr>
          <w:p w:rsidR="0036490E" w:rsidRPr="00822178" w:rsidRDefault="0036490E" w:rsidP="00865674">
            <w:pPr>
              <w:tabs>
                <w:tab w:val="left" w:pos="1162"/>
              </w:tabs>
              <w:spacing w:before="80" w:after="80"/>
              <w:jc w:val="center"/>
              <w:rPr>
                <w:rFonts w:cs="Arial"/>
                <w:b/>
                <w:color w:val="000000"/>
                <w:sz w:val="20"/>
                <w:szCs w:val="20"/>
                <w:lang w:eastAsia="en-AU"/>
              </w:rPr>
            </w:pPr>
            <w:r w:rsidRPr="00822178">
              <w:rPr>
                <w:rFonts w:cs="Arial"/>
                <w:b/>
                <w:color w:val="000000"/>
                <w:sz w:val="20"/>
                <w:szCs w:val="20"/>
                <w:lang w:eastAsia="en-AU"/>
              </w:rPr>
              <w:t>Variable</w:t>
            </w:r>
          </w:p>
        </w:tc>
        <w:tc>
          <w:tcPr>
            <w:tcW w:w="2629" w:type="dxa"/>
            <w:shd w:val="clear" w:color="auto" w:fill="BFBFBF" w:themeFill="background1" w:themeFillShade="BF"/>
            <w:noWrap/>
            <w:hideMark/>
          </w:tcPr>
          <w:p w:rsidR="0036490E" w:rsidRPr="00822178" w:rsidRDefault="0036490E" w:rsidP="00865674">
            <w:pPr>
              <w:tabs>
                <w:tab w:val="left" w:pos="1162"/>
              </w:tabs>
              <w:spacing w:before="80" w:after="80"/>
              <w:rPr>
                <w:rFonts w:cs="Arial"/>
                <w:b/>
                <w:bCs/>
                <w:color w:val="000000"/>
                <w:sz w:val="20"/>
                <w:szCs w:val="20"/>
                <w:lang w:eastAsia="en-AU"/>
              </w:rPr>
            </w:pPr>
            <w:r w:rsidRPr="00822178">
              <w:rPr>
                <w:rFonts w:cs="Arial"/>
                <w:b/>
                <w:bCs/>
                <w:color w:val="000000"/>
                <w:sz w:val="20"/>
                <w:szCs w:val="20"/>
                <w:lang w:eastAsia="en-AU"/>
              </w:rPr>
              <w:t>Name</w:t>
            </w:r>
          </w:p>
        </w:tc>
        <w:tc>
          <w:tcPr>
            <w:tcW w:w="2273" w:type="dxa"/>
            <w:shd w:val="clear" w:color="auto" w:fill="BFBFBF" w:themeFill="background1" w:themeFillShade="BF"/>
            <w:hideMark/>
          </w:tcPr>
          <w:p w:rsidR="0036490E" w:rsidRPr="00822178" w:rsidRDefault="0036490E" w:rsidP="00865674">
            <w:pPr>
              <w:tabs>
                <w:tab w:val="left" w:pos="1162"/>
              </w:tabs>
              <w:spacing w:before="80" w:after="80"/>
              <w:rPr>
                <w:rFonts w:cs="Arial"/>
                <w:b/>
                <w:bCs/>
                <w:color w:val="000000"/>
                <w:sz w:val="20"/>
                <w:szCs w:val="20"/>
                <w:lang w:eastAsia="en-AU"/>
              </w:rPr>
            </w:pPr>
            <w:r w:rsidRPr="00822178">
              <w:rPr>
                <w:rFonts w:cs="Arial"/>
                <w:b/>
                <w:bCs/>
                <w:color w:val="000000"/>
                <w:sz w:val="20"/>
                <w:szCs w:val="20"/>
                <w:lang w:eastAsia="en-AU"/>
              </w:rPr>
              <w:t>Description</w:t>
            </w:r>
          </w:p>
        </w:tc>
        <w:tc>
          <w:tcPr>
            <w:tcW w:w="6682" w:type="dxa"/>
            <w:shd w:val="clear" w:color="auto" w:fill="BFBFBF" w:themeFill="background1" w:themeFillShade="BF"/>
            <w:hideMark/>
          </w:tcPr>
          <w:p w:rsidR="0036490E" w:rsidRPr="00822178" w:rsidRDefault="0036490E" w:rsidP="00865674">
            <w:pPr>
              <w:tabs>
                <w:tab w:val="left" w:pos="1162"/>
              </w:tabs>
              <w:spacing w:before="80" w:after="80"/>
              <w:rPr>
                <w:rFonts w:cs="Arial"/>
                <w:b/>
                <w:bCs/>
                <w:color w:val="000000"/>
                <w:sz w:val="20"/>
                <w:szCs w:val="20"/>
                <w:lang w:eastAsia="en-AU"/>
              </w:rPr>
            </w:pPr>
            <w:r w:rsidRPr="00822178">
              <w:rPr>
                <w:rFonts w:cs="Arial"/>
                <w:b/>
                <w:bCs/>
                <w:color w:val="000000"/>
                <w:sz w:val="20"/>
                <w:szCs w:val="20"/>
                <w:lang w:eastAsia="en-AU"/>
              </w:rPr>
              <w:t>Definition</w:t>
            </w:r>
          </w:p>
        </w:tc>
      </w:tr>
      <w:tr w:rsidR="0036490E" w:rsidRPr="00C525F3" w:rsidTr="00865674">
        <w:trPr>
          <w:cantSplit/>
          <w:trHeight w:val="900"/>
          <w:jc w:val="center"/>
        </w:trPr>
        <w:tc>
          <w:tcPr>
            <w:tcW w:w="968" w:type="dxa"/>
            <w:vMerge w:val="restart"/>
            <w:shd w:val="clear" w:color="auto" w:fill="auto"/>
            <w:noWrap/>
            <w:hideMark/>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Step 8</w:t>
            </w:r>
          </w:p>
        </w:tc>
        <w:tc>
          <w:tcPr>
            <w:tcW w:w="995" w:type="dxa"/>
            <w:shd w:val="clear" w:color="auto" w:fill="auto"/>
            <w:noWrap/>
            <w:hideMark/>
          </w:tcPr>
          <w:p w:rsidR="0036490E" w:rsidRPr="00FA3851" w:rsidRDefault="00DF31C8"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A37</w:t>
            </w:r>
          </w:p>
        </w:tc>
        <w:tc>
          <w:tcPr>
            <w:tcW w:w="2629" w:type="dxa"/>
            <w:shd w:val="clear" w:color="auto" w:fill="auto"/>
            <w:noWrap/>
            <w:hideMark/>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_w01</w:t>
            </w:r>
          </w:p>
        </w:tc>
        <w:tc>
          <w:tcPr>
            <w:tcW w:w="2273" w:type="dxa"/>
            <w:shd w:val="clear" w:color="auto" w:fill="auto"/>
            <w:hideMark/>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DRG by inlier/outlier weight</w:t>
            </w:r>
          </w:p>
        </w:tc>
        <w:tc>
          <w:tcPr>
            <w:tcW w:w="6682" w:type="dxa"/>
            <w:shd w:val="clear" w:color="auto" w:fill="auto"/>
            <w:hideMark/>
          </w:tcPr>
          <w:p w:rsidR="0036490E" w:rsidRPr="00833D55"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 xml:space="preserve">Based off </w:t>
            </w:r>
            <w:r w:rsidRPr="00833D55">
              <w:rPr>
                <w:rFonts w:cs="Arial"/>
                <w:color w:val="000000"/>
                <w:sz w:val="18"/>
                <w:szCs w:val="18"/>
                <w:lang w:eastAsia="en-AU"/>
              </w:rPr>
              <w:t>_</w:t>
            </w:r>
            <w:proofErr w:type="spellStart"/>
            <w:r w:rsidRPr="00833D55">
              <w:rPr>
                <w:rFonts w:cs="Arial"/>
                <w:color w:val="000000"/>
                <w:sz w:val="18"/>
                <w:szCs w:val="18"/>
                <w:lang w:eastAsia="en-AU"/>
              </w:rPr>
              <w:t>pat_separation_category</w:t>
            </w:r>
            <w:proofErr w:type="spellEnd"/>
            <w:r w:rsidRPr="00833D55">
              <w:rPr>
                <w:rFonts w:cs="Arial"/>
                <w:color w:val="000000"/>
                <w:sz w:val="18"/>
                <w:szCs w:val="18"/>
                <w:lang w:eastAsia="en-AU"/>
              </w:rPr>
              <w:t>:</w:t>
            </w:r>
          </w:p>
          <w:p w:rsidR="0036490E" w:rsidRPr="00FA3851" w:rsidRDefault="0036490E" w:rsidP="00865674">
            <w:pPr>
              <w:tabs>
                <w:tab w:val="left" w:pos="1162"/>
              </w:tabs>
              <w:spacing w:before="80" w:after="80"/>
              <w:rPr>
                <w:rFonts w:cs="Arial"/>
                <w:color w:val="000000"/>
                <w:sz w:val="18"/>
                <w:szCs w:val="18"/>
                <w:lang w:eastAsia="en-AU"/>
              </w:rPr>
            </w:pPr>
            <w:r w:rsidRPr="00833D55">
              <w:rPr>
                <w:rFonts w:cs="Arial"/>
                <w:color w:val="000000"/>
                <w:sz w:val="18"/>
                <w:szCs w:val="18"/>
                <w:lang w:eastAsia="en-AU"/>
              </w:rPr>
              <w:t xml:space="preserve">1: </w:t>
            </w:r>
            <w:proofErr w:type="spellStart"/>
            <w:r w:rsidRPr="00FA3851">
              <w:rPr>
                <w:rFonts w:cs="Arial"/>
                <w:color w:val="000000"/>
                <w:sz w:val="18"/>
                <w:szCs w:val="18"/>
                <w:lang w:eastAsia="en-AU"/>
              </w:rPr>
              <w:t>drg_pw_sd</w:t>
            </w:r>
            <w:proofErr w:type="spellEnd"/>
          </w:p>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 xml:space="preserve">2: </w:t>
            </w:r>
            <w:proofErr w:type="spellStart"/>
            <w:r w:rsidRPr="00FA3851">
              <w:rPr>
                <w:rFonts w:cs="Arial"/>
                <w:color w:val="000000"/>
                <w:sz w:val="18"/>
                <w:szCs w:val="18"/>
                <w:lang w:eastAsia="en-AU"/>
              </w:rPr>
              <w:t>drg_pw_sso_base</w:t>
            </w:r>
            <w:proofErr w:type="spellEnd"/>
            <w:r w:rsidRPr="00FA3851">
              <w:rPr>
                <w:rFonts w:cs="Arial"/>
                <w:color w:val="000000"/>
                <w:sz w:val="18"/>
                <w:szCs w:val="18"/>
                <w:lang w:eastAsia="en-AU"/>
              </w:rPr>
              <w:t xml:space="preserve"> + </w:t>
            </w:r>
            <w:proofErr w:type="spellStart"/>
            <w:r w:rsidRPr="00FA3851">
              <w:rPr>
                <w:rFonts w:cs="Arial"/>
                <w:color w:val="000000"/>
                <w:sz w:val="18"/>
                <w:szCs w:val="18"/>
                <w:lang w:eastAsia="en-AU"/>
              </w:rPr>
              <w:t>drg_pw_sso_perdiem</w:t>
            </w:r>
            <w:proofErr w:type="spellEnd"/>
            <w:r w:rsidRPr="00FA3851">
              <w:rPr>
                <w:rFonts w:cs="Arial"/>
                <w:color w:val="000000"/>
                <w:sz w:val="18"/>
                <w:szCs w:val="18"/>
                <w:lang w:eastAsia="en-AU"/>
              </w:rPr>
              <w:t xml:space="preserve"> * </w:t>
            </w:r>
            <w:proofErr w:type="spellStart"/>
            <w:r w:rsidRPr="00FA3851">
              <w:rPr>
                <w:rFonts w:cs="Arial"/>
                <w:color w:val="000000"/>
                <w:sz w:val="18"/>
                <w:szCs w:val="18"/>
                <w:lang w:eastAsia="en-AU"/>
              </w:rPr>
              <w:t>pat_los_icu_removed</w:t>
            </w:r>
            <w:proofErr w:type="spellEnd"/>
            <w:r w:rsidRPr="00FA3851">
              <w:rPr>
                <w:rFonts w:cs="Arial"/>
                <w:color w:val="000000"/>
                <w:sz w:val="18"/>
                <w:szCs w:val="18"/>
                <w:lang w:eastAsia="en-AU"/>
              </w:rPr>
              <w:t xml:space="preserve"> </w:t>
            </w:r>
          </w:p>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 xml:space="preserve">3: </w:t>
            </w:r>
            <w:proofErr w:type="spellStart"/>
            <w:r w:rsidRPr="00FA3851">
              <w:rPr>
                <w:rFonts w:cs="Arial"/>
                <w:color w:val="000000"/>
                <w:sz w:val="18"/>
                <w:szCs w:val="18"/>
                <w:lang w:eastAsia="en-AU"/>
              </w:rPr>
              <w:t>drg_pw_inlier</w:t>
            </w:r>
            <w:proofErr w:type="spellEnd"/>
          </w:p>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 xml:space="preserve">4: </w:t>
            </w:r>
            <w:proofErr w:type="spellStart"/>
            <w:r w:rsidRPr="00FA3851">
              <w:rPr>
                <w:rFonts w:cs="Arial"/>
                <w:color w:val="000000"/>
                <w:sz w:val="18"/>
                <w:szCs w:val="18"/>
                <w:lang w:eastAsia="en-AU"/>
              </w:rPr>
              <w:t>drg_pw_inlier</w:t>
            </w:r>
            <w:proofErr w:type="spellEnd"/>
            <w:r w:rsidRPr="00FA3851">
              <w:rPr>
                <w:rFonts w:cs="Arial"/>
                <w:color w:val="000000"/>
                <w:sz w:val="18"/>
                <w:szCs w:val="18"/>
                <w:lang w:eastAsia="en-AU"/>
              </w:rPr>
              <w:t xml:space="preserve"> + ( </w:t>
            </w:r>
            <w:proofErr w:type="spellStart"/>
            <w:r w:rsidRPr="00FA3851">
              <w:rPr>
                <w:rFonts w:cs="Arial"/>
                <w:color w:val="000000"/>
                <w:sz w:val="18"/>
                <w:szCs w:val="18"/>
                <w:lang w:eastAsia="en-AU"/>
              </w:rPr>
              <w:t>pat_los_icu_removed</w:t>
            </w:r>
            <w:proofErr w:type="spellEnd"/>
            <w:r w:rsidRPr="00FA3851">
              <w:rPr>
                <w:rFonts w:cs="Arial"/>
                <w:color w:val="000000"/>
                <w:sz w:val="18"/>
                <w:szCs w:val="18"/>
                <w:lang w:eastAsia="en-AU"/>
              </w:rPr>
              <w:t xml:space="preserve"> - </w:t>
            </w:r>
            <w:proofErr w:type="spellStart"/>
            <w:r w:rsidRPr="00FA3851">
              <w:rPr>
                <w:rFonts w:cs="Arial"/>
                <w:color w:val="000000"/>
                <w:sz w:val="18"/>
                <w:szCs w:val="18"/>
                <w:lang w:eastAsia="en-AU"/>
              </w:rPr>
              <w:t>drg_inlier_ub</w:t>
            </w:r>
            <w:proofErr w:type="spellEnd"/>
            <w:r w:rsidRPr="00FA3851">
              <w:rPr>
                <w:rFonts w:cs="Arial"/>
                <w:color w:val="000000"/>
                <w:sz w:val="18"/>
                <w:szCs w:val="18"/>
                <w:lang w:eastAsia="en-AU"/>
              </w:rPr>
              <w:t xml:space="preserve"> ) * </w:t>
            </w:r>
            <w:proofErr w:type="spellStart"/>
            <w:r w:rsidRPr="00FA3851">
              <w:rPr>
                <w:rFonts w:cs="Arial"/>
                <w:color w:val="000000"/>
                <w:sz w:val="18"/>
                <w:szCs w:val="18"/>
                <w:lang w:eastAsia="en-AU"/>
              </w:rPr>
              <w:t>drg_pw_lso_perdiem</w:t>
            </w:r>
            <w:proofErr w:type="spellEnd"/>
            <w:r w:rsidRPr="00FA3851">
              <w:rPr>
                <w:rFonts w:cs="Arial"/>
                <w:color w:val="000000"/>
                <w:sz w:val="18"/>
                <w:szCs w:val="18"/>
                <w:lang w:eastAsia="en-AU"/>
              </w:rPr>
              <w:t xml:space="preserve"> </w:t>
            </w:r>
          </w:p>
        </w:tc>
      </w:tr>
      <w:tr w:rsidR="0036490E" w:rsidRPr="00C525F3" w:rsidTr="00865674">
        <w:trPr>
          <w:cantSplit/>
          <w:trHeight w:val="450"/>
          <w:jc w:val="center"/>
        </w:trPr>
        <w:tc>
          <w:tcPr>
            <w:tcW w:w="968" w:type="dxa"/>
            <w:vMerge/>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p>
        </w:tc>
        <w:tc>
          <w:tcPr>
            <w:tcW w:w="995" w:type="dxa"/>
            <w:shd w:val="clear" w:color="auto" w:fill="auto"/>
            <w:noWrap/>
          </w:tcPr>
          <w:p w:rsidR="0036490E" w:rsidRPr="00FA3851" w:rsidRDefault="00DF31C8"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A38</w:t>
            </w:r>
          </w:p>
        </w:tc>
        <w:tc>
          <w:tcPr>
            <w:tcW w:w="2629" w:type="dxa"/>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_w02</w:t>
            </w:r>
          </w:p>
        </w:tc>
        <w:tc>
          <w:tcPr>
            <w:tcW w:w="2273"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Application of the paediatric adjustment</w:t>
            </w:r>
          </w:p>
        </w:tc>
        <w:tc>
          <w:tcPr>
            <w:tcW w:w="6682"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Pr>
                <w:rFonts w:cs="Arial"/>
                <w:color w:val="000000"/>
                <w:sz w:val="18"/>
                <w:szCs w:val="18"/>
                <w:lang w:eastAsia="en-AU"/>
              </w:rPr>
              <w:t>_</w:t>
            </w:r>
            <w:r w:rsidRPr="00FA3851">
              <w:rPr>
                <w:rFonts w:cs="Arial"/>
                <w:color w:val="000000"/>
                <w:sz w:val="18"/>
                <w:szCs w:val="18"/>
                <w:lang w:eastAsia="en-AU"/>
              </w:rPr>
              <w:t xml:space="preserve">w01 * </w:t>
            </w:r>
            <w:proofErr w:type="gramStart"/>
            <w:r w:rsidRPr="00FA3851">
              <w:rPr>
                <w:rFonts w:cs="Arial"/>
                <w:color w:val="000000"/>
                <w:sz w:val="18"/>
                <w:szCs w:val="18"/>
                <w:lang w:eastAsia="en-AU"/>
              </w:rPr>
              <w:t>( 1</w:t>
            </w:r>
            <w:proofErr w:type="gramEnd"/>
            <w:r w:rsidRPr="00FA3851">
              <w:rPr>
                <w:rFonts w:cs="Arial"/>
                <w:color w:val="000000"/>
                <w:sz w:val="18"/>
                <w:szCs w:val="18"/>
                <w:lang w:eastAsia="en-AU"/>
              </w:rPr>
              <w:t xml:space="preserve"> + _</w:t>
            </w:r>
            <w:proofErr w:type="spellStart"/>
            <w:r w:rsidRPr="00FA3851">
              <w:rPr>
                <w:rFonts w:cs="Arial"/>
                <w:color w:val="000000"/>
                <w:sz w:val="18"/>
                <w:szCs w:val="18"/>
                <w:lang w:eastAsia="en-AU"/>
              </w:rPr>
              <w:t>pat_eligible_paed_flag</w:t>
            </w:r>
            <w:proofErr w:type="spellEnd"/>
            <w:r w:rsidRPr="00FA3851">
              <w:rPr>
                <w:rFonts w:cs="Arial"/>
                <w:color w:val="000000"/>
                <w:sz w:val="18"/>
                <w:szCs w:val="18"/>
                <w:lang w:eastAsia="en-AU"/>
              </w:rPr>
              <w:t xml:space="preserve"> * ( </w:t>
            </w:r>
            <w:proofErr w:type="spellStart"/>
            <w:r w:rsidRPr="00FA3851">
              <w:rPr>
                <w:rFonts w:cs="Arial"/>
                <w:color w:val="000000"/>
                <w:sz w:val="18"/>
                <w:szCs w:val="18"/>
                <w:lang w:eastAsia="en-AU"/>
              </w:rPr>
              <w:t>drg_adj_paed</w:t>
            </w:r>
            <w:proofErr w:type="spellEnd"/>
            <w:r w:rsidRPr="00FA3851">
              <w:rPr>
                <w:rFonts w:cs="Arial"/>
                <w:color w:val="000000"/>
                <w:sz w:val="18"/>
                <w:szCs w:val="18"/>
                <w:lang w:eastAsia="en-AU"/>
              </w:rPr>
              <w:t xml:space="preserve"> - 1 ) ).</w:t>
            </w:r>
          </w:p>
        </w:tc>
      </w:tr>
      <w:tr w:rsidR="0036490E" w:rsidRPr="00C525F3" w:rsidTr="00865674">
        <w:trPr>
          <w:cantSplit/>
          <w:trHeight w:val="1125"/>
          <w:jc w:val="center"/>
        </w:trPr>
        <w:tc>
          <w:tcPr>
            <w:tcW w:w="968" w:type="dxa"/>
            <w:vMerge/>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p>
        </w:tc>
        <w:tc>
          <w:tcPr>
            <w:tcW w:w="995" w:type="dxa"/>
            <w:shd w:val="clear" w:color="auto" w:fill="auto"/>
            <w:noWrap/>
          </w:tcPr>
          <w:p w:rsidR="0036490E" w:rsidRPr="00FA3851" w:rsidRDefault="00DF31C8"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A39</w:t>
            </w:r>
          </w:p>
        </w:tc>
        <w:tc>
          <w:tcPr>
            <w:tcW w:w="2629" w:type="dxa"/>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_w03</w:t>
            </w:r>
          </w:p>
        </w:tc>
        <w:tc>
          <w:tcPr>
            <w:tcW w:w="2273"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Application of the specialist psychiatric age adjustment</w:t>
            </w:r>
          </w:p>
        </w:tc>
        <w:tc>
          <w:tcPr>
            <w:tcW w:w="6682"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Pr>
                <w:rFonts w:cs="Arial"/>
                <w:color w:val="000000"/>
                <w:sz w:val="18"/>
                <w:szCs w:val="18"/>
                <w:lang w:eastAsia="en-AU"/>
              </w:rPr>
              <w:t>_</w:t>
            </w:r>
            <w:r w:rsidRPr="00FA3851">
              <w:rPr>
                <w:rFonts w:cs="Arial"/>
                <w:color w:val="000000"/>
                <w:sz w:val="18"/>
                <w:szCs w:val="18"/>
                <w:lang w:eastAsia="en-AU"/>
              </w:rPr>
              <w:t>w02 *</w:t>
            </w:r>
            <w:proofErr w:type="gramStart"/>
            <w:r w:rsidRPr="00FA3851">
              <w:rPr>
                <w:rFonts w:cs="Arial"/>
                <w:color w:val="000000"/>
                <w:sz w:val="18"/>
                <w:szCs w:val="18"/>
                <w:lang w:eastAsia="en-AU"/>
              </w:rPr>
              <w:t>( 1</w:t>
            </w:r>
            <w:proofErr w:type="gramEnd"/>
            <w:r w:rsidRPr="00FA3851">
              <w:rPr>
                <w:rFonts w:cs="Arial"/>
                <w:color w:val="000000"/>
                <w:sz w:val="18"/>
                <w:szCs w:val="18"/>
                <w:lang w:eastAsia="en-AU"/>
              </w:rPr>
              <w:t xml:space="preserve"> +</w:t>
            </w:r>
            <w:proofErr w:type="spellStart"/>
            <w:r w:rsidRPr="00FA3851">
              <w:rPr>
                <w:rFonts w:cs="Arial"/>
                <w:color w:val="000000"/>
                <w:sz w:val="18"/>
                <w:szCs w:val="18"/>
                <w:lang w:eastAsia="en-AU"/>
              </w:rPr>
              <w:t>adj_spa</w:t>
            </w:r>
            <w:proofErr w:type="spellEnd"/>
            <w:r w:rsidRPr="00FA3851">
              <w:rPr>
                <w:rFonts w:cs="Arial"/>
                <w:color w:val="000000"/>
                <w:sz w:val="18"/>
                <w:szCs w:val="18"/>
                <w:lang w:eastAsia="en-AU"/>
              </w:rPr>
              <w:t>).</w:t>
            </w:r>
          </w:p>
        </w:tc>
      </w:tr>
      <w:tr w:rsidR="0036490E" w:rsidRPr="00C525F3" w:rsidTr="00865674">
        <w:trPr>
          <w:cantSplit/>
          <w:trHeight w:val="1125"/>
          <w:jc w:val="center"/>
        </w:trPr>
        <w:tc>
          <w:tcPr>
            <w:tcW w:w="968" w:type="dxa"/>
            <w:vMerge/>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p>
        </w:tc>
        <w:tc>
          <w:tcPr>
            <w:tcW w:w="995" w:type="dxa"/>
            <w:shd w:val="clear" w:color="auto" w:fill="auto"/>
            <w:noWrap/>
          </w:tcPr>
          <w:p w:rsidR="0036490E" w:rsidRPr="00FA3851" w:rsidRDefault="00DF31C8"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A40</w:t>
            </w:r>
          </w:p>
        </w:tc>
        <w:tc>
          <w:tcPr>
            <w:tcW w:w="2629" w:type="dxa"/>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_w04</w:t>
            </w:r>
          </w:p>
        </w:tc>
        <w:tc>
          <w:tcPr>
            <w:tcW w:w="2273"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Application of the indigenous, remoteness and radiotherapy adjustments</w:t>
            </w:r>
          </w:p>
        </w:tc>
        <w:tc>
          <w:tcPr>
            <w:tcW w:w="6682"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Pr>
                <w:rFonts w:cs="Arial"/>
                <w:color w:val="000000"/>
                <w:sz w:val="18"/>
                <w:szCs w:val="18"/>
                <w:lang w:eastAsia="en-AU"/>
              </w:rPr>
              <w:t>_</w:t>
            </w:r>
            <w:r w:rsidRPr="00FA3851">
              <w:rPr>
                <w:rFonts w:cs="Arial"/>
                <w:color w:val="000000"/>
                <w:sz w:val="18"/>
                <w:szCs w:val="18"/>
                <w:lang w:eastAsia="en-AU"/>
              </w:rPr>
              <w:t>w03 *(1+adj_indigenous+adj_remoteness+adj+adj_radiotherapy+adj_dialysis)</w:t>
            </w:r>
            <w:r w:rsidRPr="00FA3851">
              <w:rPr>
                <w:rFonts w:cs="Arial"/>
                <w:color w:val="000000"/>
                <w:sz w:val="18"/>
                <w:szCs w:val="18"/>
                <w:lang w:eastAsia="en-AU"/>
              </w:rPr>
              <w:br/>
            </w:r>
          </w:p>
        </w:tc>
      </w:tr>
      <w:tr w:rsidR="0036490E" w:rsidRPr="00C525F3" w:rsidTr="00865674">
        <w:trPr>
          <w:cantSplit/>
          <w:trHeight w:val="225"/>
          <w:jc w:val="center"/>
        </w:trPr>
        <w:tc>
          <w:tcPr>
            <w:tcW w:w="968" w:type="dxa"/>
            <w:vMerge/>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p>
        </w:tc>
        <w:tc>
          <w:tcPr>
            <w:tcW w:w="995" w:type="dxa"/>
            <w:shd w:val="clear" w:color="auto" w:fill="auto"/>
            <w:noWrap/>
          </w:tcPr>
          <w:p w:rsidR="0036490E" w:rsidRPr="00FA3851" w:rsidRDefault="00DF31C8"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A41</w:t>
            </w:r>
          </w:p>
        </w:tc>
        <w:tc>
          <w:tcPr>
            <w:tcW w:w="2629" w:type="dxa"/>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_</w:t>
            </w:r>
            <w:proofErr w:type="spellStart"/>
            <w:r w:rsidRPr="00FA3851">
              <w:rPr>
                <w:rFonts w:cs="Arial"/>
                <w:color w:val="000000"/>
                <w:sz w:val="18"/>
                <w:szCs w:val="18"/>
                <w:lang w:eastAsia="en-AU"/>
              </w:rPr>
              <w:t>adj_icu</w:t>
            </w:r>
            <w:proofErr w:type="spellEnd"/>
          </w:p>
        </w:tc>
        <w:tc>
          <w:tcPr>
            <w:tcW w:w="2273"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Application of the ICU rate adjustment</w:t>
            </w:r>
          </w:p>
        </w:tc>
        <w:tc>
          <w:tcPr>
            <w:tcW w:w="6682"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 xml:space="preserve"> _</w:t>
            </w:r>
            <w:proofErr w:type="spellStart"/>
            <w:r w:rsidRPr="00FA3851">
              <w:rPr>
                <w:rFonts w:cs="Arial"/>
                <w:color w:val="000000"/>
                <w:sz w:val="18"/>
                <w:szCs w:val="18"/>
                <w:lang w:eastAsia="en-AU"/>
              </w:rPr>
              <w:t>pat_eligible_icu_hours</w:t>
            </w:r>
            <w:proofErr w:type="spellEnd"/>
            <w:r w:rsidRPr="00FA3851">
              <w:rPr>
                <w:rFonts w:cs="Arial"/>
                <w:color w:val="000000"/>
                <w:sz w:val="18"/>
                <w:szCs w:val="18"/>
                <w:lang w:eastAsia="en-AU"/>
              </w:rPr>
              <w:t xml:space="preserve"> * </w:t>
            </w:r>
            <w:proofErr w:type="spellStart"/>
            <w:r w:rsidRPr="00FA3851">
              <w:rPr>
                <w:rFonts w:cs="Arial"/>
                <w:color w:val="000000"/>
                <w:sz w:val="18"/>
                <w:szCs w:val="18"/>
                <w:lang w:eastAsia="en-AU"/>
              </w:rPr>
              <w:t>icu_rate</w:t>
            </w:r>
            <w:proofErr w:type="spellEnd"/>
            <w:r w:rsidRPr="00FA3851">
              <w:rPr>
                <w:rFonts w:cs="Arial"/>
                <w:color w:val="000000"/>
                <w:sz w:val="18"/>
                <w:szCs w:val="18"/>
                <w:lang w:eastAsia="en-AU"/>
              </w:rPr>
              <w:t>.</w:t>
            </w:r>
          </w:p>
        </w:tc>
      </w:tr>
      <w:tr w:rsidR="0036490E" w:rsidRPr="00C525F3" w:rsidTr="00865674">
        <w:trPr>
          <w:cantSplit/>
          <w:trHeight w:val="450"/>
          <w:jc w:val="center"/>
        </w:trPr>
        <w:tc>
          <w:tcPr>
            <w:tcW w:w="968" w:type="dxa"/>
            <w:vMerge/>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p>
        </w:tc>
        <w:tc>
          <w:tcPr>
            <w:tcW w:w="995" w:type="dxa"/>
            <w:shd w:val="clear" w:color="auto" w:fill="auto"/>
            <w:noWrap/>
          </w:tcPr>
          <w:p w:rsidR="0036490E" w:rsidRPr="00FA3851" w:rsidRDefault="00DF31C8"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A42</w:t>
            </w:r>
          </w:p>
        </w:tc>
        <w:tc>
          <w:tcPr>
            <w:tcW w:w="2629" w:type="dxa"/>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GWAU15</w:t>
            </w:r>
          </w:p>
        </w:tc>
        <w:tc>
          <w:tcPr>
            <w:tcW w:w="2273"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Gross Weighted Activity Unit 15</w:t>
            </w:r>
          </w:p>
        </w:tc>
        <w:tc>
          <w:tcPr>
            <w:tcW w:w="6682"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Pr>
                <w:rFonts w:cs="Arial"/>
                <w:color w:val="000000"/>
                <w:sz w:val="18"/>
                <w:szCs w:val="18"/>
                <w:lang w:eastAsia="en-AU"/>
              </w:rPr>
              <w:t>_</w:t>
            </w:r>
            <w:r w:rsidRPr="00FA3851">
              <w:rPr>
                <w:rFonts w:cs="Arial"/>
                <w:color w:val="000000"/>
                <w:sz w:val="18"/>
                <w:szCs w:val="18"/>
                <w:lang w:eastAsia="en-AU"/>
              </w:rPr>
              <w:t>w04 + _</w:t>
            </w:r>
            <w:proofErr w:type="spellStart"/>
            <w:r w:rsidRPr="00FA3851">
              <w:rPr>
                <w:rFonts w:cs="Arial"/>
                <w:color w:val="000000"/>
                <w:sz w:val="18"/>
                <w:szCs w:val="18"/>
                <w:lang w:eastAsia="en-AU"/>
              </w:rPr>
              <w:t>adj_icu</w:t>
            </w:r>
            <w:proofErr w:type="spellEnd"/>
            <w:r w:rsidRPr="00FA3851">
              <w:rPr>
                <w:rFonts w:cs="Arial"/>
                <w:color w:val="000000"/>
                <w:sz w:val="18"/>
                <w:szCs w:val="18"/>
                <w:lang w:eastAsia="en-AU"/>
              </w:rPr>
              <w:t xml:space="preserve"> </w:t>
            </w:r>
          </w:p>
        </w:tc>
      </w:tr>
      <w:tr w:rsidR="0036490E" w:rsidRPr="00C525F3" w:rsidTr="00865674">
        <w:trPr>
          <w:cantSplit/>
          <w:trHeight w:val="450"/>
          <w:jc w:val="center"/>
        </w:trPr>
        <w:tc>
          <w:tcPr>
            <w:tcW w:w="968" w:type="dxa"/>
            <w:vMerge/>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p>
        </w:tc>
        <w:tc>
          <w:tcPr>
            <w:tcW w:w="995" w:type="dxa"/>
            <w:shd w:val="clear" w:color="auto" w:fill="auto"/>
            <w:noWrap/>
          </w:tcPr>
          <w:p w:rsidR="0036490E" w:rsidRPr="00FA3851" w:rsidRDefault="00DF31C8"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A43</w:t>
            </w:r>
          </w:p>
        </w:tc>
        <w:tc>
          <w:tcPr>
            <w:tcW w:w="2629" w:type="dxa"/>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_</w:t>
            </w:r>
            <w:proofErr w:type="spellStart"/>
            <w:r w:rsidRPr="00FA3851">
              <w:rPr>
                <w:rFonts w:cs="Arial"/>
                <w:color w:val="000000"/>
                <w:sz w:val="18"/>
                <w:szCs w:val="18"/>
                <w:lang w:eastAsia="en-AU"/>
              </w:rPr>
              <w:t>adj_privpat_serv</w:t>
            </w:r>
            <w:proofErr w:type="spellEnd"/>
          </w:p>
        </w:tc>
        <w:tc>
          <w:tcPr>
            <w:tcW w:w="2273"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Private Patient Service adjustment</w:t>
            </w:r>
          </w:p>
        </w:tc>
        <w:tc>
          <w:tcPr>
            <w:tcW w:w="6682"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_</w:t>
            </w:r>
            <w:proofErr w:type="spellStart"/>
            <w:r w:rsidRPr="00FA3851">
              <w:rPr>
                <w:rFonts w:cs="Arial"/>
                <w:color w:val="000000"/>
                <w:sz w:val="18"/>
                <w:szCs w:val="18"/>
                <w:lang w:eastAsia="en-AU"/>
              </w:rPr>
              <w:t>pat_private_flag</w:t>
            </w:r>
            <w:proofErr w:type="spellEnd"/>
            <w:r w:rsidRPr="00FA3851">
              <w:rPr>
                <w:rFonts w:cs="Arial"/>
                <w:color w:val="000000"/>
                <w:sz w:val="18"/>
                <w:szCs w:val="18"/>
                <w:lang w:eastAsia="en-AU"/>
              </w:rPr>
              <w:t xml:space="preserve"> * </w:t>
            </w:r>
            <w:proofErr w:type="spellStart"/>
            <w:r w:rsidRPr="00FA3851">
              <w:rPr>
                <w:rFonts w:cs="Arial"/>
                <w:color w:val="000000"/>
                <w:sz w:val="18"/>
                <w:szCs w:val="18"/>
                <w:lang w:eastAsia="en-AU"/>
              </w:rPr>
              <w:t>drg_adj_privapat_serv</w:t>
            </w:r>
            <w:proofErr w:type="spellEnd"/>
            <w:r w:rsidRPr="00FA3851">
              <w:rPr>
                <w:rFonts w:cs="Arial"/>
                <w:color w:val="000000"/>
                <w:sz w:val="18"/>
                <w:szCs w:val="18"/>
                <w:lang w:eastAsia="en-AU"/>
              </w:rPr>
              <w:t>*(_w01+_adj_icu)</w:t>
            </w:r>
            <w:r w:rsidRPr="00FA3851" w:rsidDel="00712BAD">
              <w:rPr>
                <w:rFonts w:cs="Arial"/>
                <w:color w:val="000000"/>
                <w:sz w:val="18"/>
                <w:szCs w:val="18"/>
                <w:lang w:eastAsia="en-AU"/>
              </w:rPr>
              <w:t xml:space="preserve"> </w:t>
            </w:r>
          </w:p>
        </w:tc>
      </w:tr>
      <w:tr w:rsidR="0036490E" w:rsidRPr="00C525F3" w:rsidTr="00865674">
        <w:trPr>
          <w:cantSplit/>
          <w:trHeight w:val="450"/>
          <w:jc w:val="center"/>
        </w:trPr>
        <w:tc>
          <w:tcPr>
            <w:tcW w:w="968" w:type="dxa"/>
            <w:vMerge/>
            <w:shd w:val="clear" w:color="auto" w:fill="auto"/>
            <w:noWrap/>
          </w:tcPr>
          <w:p w:rsidR="0036490E" w:rsidRPr="00FA3851" w:rsidDel="00712BAD" w:rsidRDefault="0036490E" w:rsidP="00865674">
            <w:pPr>
              <w:tabs>
                <w:tab w:val="left" w:pos="1162"/>
              </w:tabs>
              <w:spacing w:before="80" w:after="80"/>
              <w:rPr>
                <w:rFonts w:cs="Arial"/>
                <w:color w:val="000000"/>
                <w:sz w:val="18"/>
                <w:szCs w:val="18"/>
                <w:lang w:eastAsia="en-AU"/>
              </w:rPr>
            </w:pPr>
          </w:p>
        </w:tc>
        <w:tc>
          <w:tcPr>
            <w:tcW w:w="995" w:type="dxa"/>
            <w:shd w:val="clear" w:color="auto" w:fill="auto"/>
            <w:noWrap/>
          </w:tcPr>
          <w:p w:rsidR="0036490E" w:rsidRPr="00FA3851" w:rsidRDefault="00DF31C8"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A44</w:t>
            </w:r>
          </w:p>
        </w:tc>
        <w:tc>
          <w:tcPr>
            <w:tcW w:w="2629" w:type="dxa"/>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_</w:t>
            </w:r>
            <w:proofErr w:type="spellStart"/>
            <w:r w:rsidRPr="00FA3851">
              <w:rPr>
                <w:rFonts w:cs="Arial"/>
                <w:color w:val="000000"/>
                <w:sz w:val="18"/>
                <w:szCs w:val="18"/>
                <w:lang w:eastAsia="en-AU"/>
              </w:rPr>
              <w:t>adj_privpat_accom</w:t>
            </w:r>
            <w:proofErr w:type="spellEnd"/>
          </w:p>
        </w:tc>
        <w:tc>
          <w:tcPr>
            <w:tcW w:w="2273"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Private Patient Accommodation adjustment</w:t>
            </w:r>
          </w:p>
        </w:tc>
        <w:tc>
          <w:tcPr>
            <w:tcW w:w="6682"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_</w:t>
            </w:r>
            <w:proofErr w:type="spellStart"/>
            <w:r w:rsidRPr="00FA3851">
              <w:rPr>
                <w:rFonts w:cs="Arial"/>
                <w:color w:val="000000"/>
                <w:sz w:val="18"/>
                <w:szCs w:val="18"/>
                <w:lang w:eastAsia="en-AU"/>
              </w:rPr>
              <w:t>pat_private_flag</w:t>
            </w:r>
            <w:proofErr w:type="spellEnd"/>
            <w:r w:rsidRPr="00FA3851">
              <w:rPr>
                <w:rFonts w:cs="Arial"/>
                <w:color w:val="000000"/>
                <w:sz w:val="18"/>
                <w:szCs w:val="18"/>
                <w:lang w:eastAsia="en-AU"/>
              </w:rPr>
              <w:t>*(_</w:t>
            </w:r>
            <w:proofErr w:type="spellStart"/>
            <w:r w:rsidRPr="00FA3851">
              <w:rPr>
                <w:rFonts w:cs="Arial"/>
                <w:color w:val="000000"/>
                <w:sz w:val="18"/>
                <w:szCs w:val="18"/>
                <w:lang w:eastAsia="en-AU"/>
              </w:rPr>
              <w:t>pat_sameday_flag</w:t>
            </w:r>
            <w:proofErr w:type="spellEnd"/>
            <w:r w:rsidRPr="00FA3851">
              <w:rPr>
                <w:rFonts w:cs="Arial"/>
                <w:color w:val="000000"/>
                <w:sz w:val="18"/>
                <w:szCs w:val="18"/>
                <w:lang w:eastAsia="en-AU"/>
              </w:rPr>
              <w:t>*</w:t>
            </w:r>
            <w:proofErr w:type="spellStart"/>
            <w:r w:rsidRPr="00FA3851">
              <w:rPr>
                <w:rFonts w:cs="Arial"/>
                <w:color w:val="000000"/>
                <w:sz w:val="18"/>
                <w:szCs w:val="18"/>
                <w:lang w:eastAsia="en-AU"/>
              </w:rPr>
              <w:t>state_adj_private_accom_sd</w:t>
            </w:r>
            <w:proofErr w:type="spellEnd"/>
            <w:r w:rsidRPr="00FA3851">
              <w:rPr>
                <w:rFonts w:cs="Arial"/>
                <w:color w:val="000000"/>
                <w:sz w:val="18"/>
                <w:szCs w:val="18"/>
                <w:lang w:eastAsia="en-AU"/>
              </w:rPr>
              <w:t>+</w:t>
            </w:r>
          </w:p>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(1-_pat_sameday_flag)*_</w:t>
            </w:r>
            <w:proofErr w:type="spellStart"/>
            <w:r w:rsidRPr="00FA3851">
              <w:rPr>
                <w:rFonts w:cs="Arial"/>
                <w:color w:val="000000"/>
                <w:sz w:val="18"/>
                <w:szCs w:val="18"/>
                <w:lang w:eastAsia="en-AU"/>
              </w:rPr>
              <w:t>pat_los</w:t>
            </w:r>
            <w:proofErr w:type="spellEnd"/>
            <w:r w:rsidRPr="00FA3851">
              <w:rPr>
                <w:rFonts w:cs="Arial"/>
                <w:color w:val="000000"/>
                <w:sz w:val="18"/>
                <w:szCs w:val="18"/>
                <w:lang w:eastAsia="en-AU"/>
              </w:rPr>
              <w:t>*</w:t>
            </w:r>
            <w:proofErr w:type="spellStart"/>
            <w:r w:rsidRPr="00FA3851">
              <w:rPr>
                <w:rFonts w:cs="Arial"/>
                <w:color w:val="000000"/>
                <w:sz w:val="18"/>
                <w:szCs w:val="18"/>
                <w:lang w:eastAsia="en-AU"/>
              </w:rPr>
              <w:t>state_adj_privpat_accomm_on</w:t>
            </w:r>
            <w:proofErr w:type="spellEnd"/>
            <w:r w:rsidRPr="00FA3851">
              <w:rPr>
                <w:rFonts w:cs="Arial"/>
                <w:color w:val="000000"/>
                <w:sz w:val="18"/>
                <w:szCs w:val="18"/>
                <w:lang w:eastAsia="en-AU"/>
              </w:rPr>
              <w:t>)</w:t>
            </w:r>
          </w:p>
        </w:tc>
      </w:tr>
      <w:tr w:rsidR="0036490E" w:rsidRPr="00C525F3" w:rsidTr="00865674">
        <w:trPr>
          <w:cantSplit/>
          <w:trHeight w:val="450"/>
          <w:jc w:val="center"/>
        </w:trPr>
        <w:tc>
          <w:tcPr>
            <w:tcW w:w="968" w:type="dxa"/>
            <w:vMerge/>
            <w:shd w:val="clear" w:color="auto" w:fill="auto"/>
            <w:noWrap/>
          </w:tcPr>
          <w:p w:rsidR="0036490E" w:rsidRPr="00FA3851" w:rsidDel="00712BAD" w:rsidRDefault="0036490E" w:rsidP="00865674">
            <w:pPr>
              <w:tabs>
                <w:tab w:val="left" w:pos="1162"/>
              </w:tabs>
              <w:spacing w:before="80" w:after="80"/>
              <w:rPr>
                <w:rFonts w:cs="Arial"/>
                <w:color w:val="000000"/>
                <w:sz w:val="18"/>
                <w:szCs w:val="18"/>
                <w:lang w:eastAsia="en-AU"/>
              </w:rPr>
            </w:pPr>
          </w:p>
        </w:tc>
        <w:tc>
          <w:tcPr>
            <w:tcW w:w="995" w:type="dxa"/>
            <w:shd w:val="clear" w:color="auto" w:fill="auto"/>
            <w:noWrap/>
          </w:tcPr>
          <w:p w:rsidR="0036490E" w:rsidRPr="00FA3851" w:rsidRDefault="00DF31C8"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A45</w:t>
            </w:r>
          </w:p>
        </w:tc>
        <w:tc>
          <w:tcPr>
            <w:tcW w:w="2629" w:type="dxa"/>
            <w:shd w:val="clear" w:color="auto" w:fill="auto"/>
            <w:noWrap/>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NWAU15</w:t>
            </w:r>
          </w:p>
        </w:tc>
        <w:tc>
          <w:tcPr>
            <w:tcW w:w="2273"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National Weighted Activity Unit</w:t>
            </w:r>
          </w:p>
        </w:tc>
        <w:tc>
          <w:tcPr>
            <w:tcW w:w="6682" w:type="dxa"/>
            <w:shd w:val="clear" w:color="auto" w:fill="auto"/>
          </w:tcPr>
          <w:p w:rsidR="0036490E" w:rsidRPr="00FA3851" w:rsidRDefault="0036490E" w:rsidP="00865674">
            <w:pPr>
              <w:tabs>
                <w:tab w:val="left" w:pos="1162"/>
              </w:tabs>
              <w:spacing w:before="80" w:after="80"/>
              <w:rPr>
                <w:rFonts w:cs="Arial"/>
                <w:color w:val="000000"/>
                <w:sz w:val="18"/>
                <w:szCs w:val="18"/>
                <w:lang w:eastAsia="en-AU"/>
              </w:rPr>
            </w:pPr>
            <w:r w:rsidRPr="00FA3851">
              <w:rPr>
                <w:rFonts w:cs="Arial"/>
                <w:color w:val="000000"/>
                <w:sz w:val="18"/>
                <w:szCs w:val="18"/>
                <w:lang w:eastAsia="en-AU"/>
              </w:rPr>
              <w:t>Max(0,GWAU15-_adj_privpat_serv-_adj_privpat_accomm</w:t>
            </w:r>
            <w:r w:rsidRPr="00833D55">
              <w:rPr>
                <w:rFonts w:cs="Arial"/>
                <w:color w:val="000000"/>
                <w:sz w:val="18"/>
                <w:szCs w:val="18"/>
                <w:lang w:eastAsia="en-AU"/>
              </w:rPr>
              <w:t xml:space="preserve"> ) for only inscope funding sources</w:t>
            </w:r>
          </w:p>
        </w:tc>
      </w:tr>
    </w:tbl>
    <w:p w:rsidR="00460371" w:rsidRDefault="00460371" w:rsidP="00AD4FFC">
      <w:pPr>
        <w:tabs>
          <w:tab w:val="left" w:pos="1162"/>
        </w:tabs>
        <w:sectPr w:rsidR="00460371" w:rsidSect="00933C77">
          <w:pgSz w:w="16839" w:h="11907" w:orient="landscape" w:code="9"/>
          <w:pgMar w:top="1440" w:right="1440" w:bottom="1440" w:left="1440" w:header="709" w:footer="709" w:gutter="0"/>
          <w:cols w:space="708"/>
          <w:docGrid w:linePitch="360"/>
        </w:sectPr>
      </w:pPr>
    </w:p>
    <w:p w:rsidR="00F51276" w:rsidRDefault="00F51276" w:rsidP="00F51276">
      <w:pPr>
        <w:pStyle w:val="Heading1"/>
        <w:pageBreakBefore/>
        <w:numPr>
          <w:ilvl w:val="0"/>
          <w:numId w:val="35"/>
        </w:numPr>
        <w:spacing w:before="100" w:beforeAutospacing="1" w:after="100" w:afterAutospacing="1"/>
      </w:pPr>
      <w:bookmarkStart w:id="162" w:name="_Ref342306421"/>
      <w:bookmarkStart w:id="163" w:name="_Ref342306507"/>
      <w:bookmarkStart w:id="164" w:name="_Toc380754750"/>
      <w:bookmarkStart w:id="165" w:name="_Toc412550728"/>
      <w:bookmarkStart w:id="166" w:name="_Toc319673308"/>
      <w:bookmarkStart w:id="167" w:name="_Toc380754711"/>
      <w:r>
        <w:lastRenderedPageBreak/>
        <w:t>Mental health care cost model</w:t>
      </w:r>
      <w:bookmarkEnd w:id="162"/>
      <w:bookmarkEnd w:id="163"/>
      <w:bookmarkEnd w:id="164"/>
      <w:bookmarkEnd w:id="165"/>
    </w:p>
    <w:p w:rsidR="00F51276" w:rsidRDefault="00F51276" w:rsidP="00843C0C">
      <w:pPr>
        <w:pStyle w:val="Heading2"/>
        <w:keepLines w:val="0"/>
        <w:numPr>
          <w:ilvl w:val="1"/>
          <w:numId w:val="64"/>
        </w:numPr>
        <w:tabs>
          <w:tab w:val="left" w:pos="1162"/>
        </w:tabs>
        <w:spacing w:after="60"/>
      </w:pPr>
      <w:bookmarkStart w:id="168" w:name="_Toc380754751"/>
      <w:bookmarkStart w:id="169" w:name="_Toc412550729"/>
      <w:r>
        <w:t>General issues</w:t>
      </w:r>
      <w:bookmarkEnd w:id="168"/>
      <w:bookmarkEnd w:id="169"/>
    </w:p>
    <w:p w:rsidR="00F51276" w:rsidRDefault="00F51276" w:rsidP="00843C0C">
      <w:pPr>
        <w:pStyle w:val="Heading3"/>
        <w:keepLines w:val="0"/>
        <w:numPr>
          <w:ilvl w:val="2"/>
          <w:numId w:val="64"/>
        </w:numPr>
        <w:tabs>
          <w:tab w:val="left" w:pos="1162"/>
        </w:tabs>
        <w:spacing w:before="240" w:after="120"/>
      </w:pPr>
      <w:bookmarkStart w:id="170" w:name="_Toc380754752"/>
      <w:bookmarkStart w:id="171" w:name="_Toc412550730"/>
      <w:r>
        <w:t>Cost unit</w:t>
      </w:r>
      <w:bookmarkEnd w:id="170"/>
      <w:bookmarkEnd w:id="171"/>
    </w:p>
    <w:p w:rsidR="00F51276" w:rsidRPr="00805EBF" w:rsidRDefault="00F51276" w:rsidP="00F51276">
      <w:pPr>
        <w:tabs>
          <w:tab w:val="left" w:pos="1162"/>
        </w:tabs>
        <w:rPr>
          <w:rFonts w:cs="Arial"/>
          <w:szCs w:val="20"/>
        </w:rPr>
      </w:pPr>
      <w:r w:rsidRPr="00805EBF">
        <w:rPr>
          <w:rFonts w:cs="Arial"/>
          <w:szCs w:val="20"/>
        </w:rPr>
        <w:t>An ‘episode of admitted patient care’</w:t>
      </w:r>
      <w:r w:rsidRPr="00805EBF">
        <w:rPr>
          <w:rStyle w:val="FootnoteReference"/>
          <w:rFonts w:cs="Arial"/>
          <w:szCs w:val="20"/>
        </w:rPr>
        <w:footnoteReference w:id="14"/>
      </w:r>
      <w:r w:rsidRPr="00805EBF">
        <w:rPr>
          <w:rFonts w:cs="Arial"/>
          <w:szCs w:val="20"/>
        </w:rPr>
        <w:t xml:space="preserve"> is the </w:t>
      </w:r>
      <w:r>
        <w:rPr>
          <w:rFonts w:cs="Arial"/>
          <w:szCs w:val="20"/>
        </w:rPr>
        <w:t>cost</w:t>
      </w:r>
      <w:r w:rsidRPr="00805EBF">
        <w:rPr>
          <w:rFonts w:cs="Arial"/>
          <w:szCs w:val="20"/>
        </w:rPr>
        <w:t xml:space="preserve"> unit for mental health patients</w:t>
      </w:r>
      <w:r>
        <w:rPr>
          <w:rFonts w:cs="Arial"/>
          <w:szCs w:val="20"/>
        </w:rPr>
        <w:t xml:space="preserve">. As was done in NEP14, </w:t>
      </w:r>
      <w:r w:rsidRPr="00805EBF">
        <w:rPr>
          <w:rFonts w:cs="Arial"/>
          <w:szCs w:val="20"/>
        </w:rPr>
        <w:t xml:space="preserve">mental health patients are specifically defined as only those acute admitted patients that are in MDCs 19 and 20 (Mental </w:t>
      </w:r>
      <w:r>
        <w:rPr>
          <w:rFonts w:cs="Arial"/>
          <w:szCs w:val="20"/>
        </w:rPr>
        <w:t>D</w:t>
      </w:r>
      <w:r w:rsidRPr="00805EBF">
        <w:rPr>
          <w:rFonts w:cs="Arial"/>
          <w:szCs w:val="20"/>
        </w:rPr>
        <w:t xml:space="preserve">iseases and </w:t>
      </w:r>
      <w:r>
        <w:rPr>
          <w:rFonts w:cs="Arial"/>
          <w:szCs w:val="20"/>
        </w:rPr>
        <w:t>D</w:t>
      </w:r>
      <w:r w:rsidRPr="00805EBF">
        <w:rPr>
          <w:rFonts w:cs="Arial"/>
          <w:szCs w:val="20"/>
        </w:rPr>
        <w:t>isorders</w:t>
      </w:r>
      <w:r>
        <w:rPr>
          <w:rFonts w:cs="Arial"/>
          <w:szCs w:val="20"/>
        </w:rPr>
        <w:t>,</w:t>
      </w:r>
      <w:r w:rsidRPr="00805EBF">
        <w:rPr>
          <w:rFonts w:cs="Arial"/>
          <w:szCs w:val="20"/>
        </w:rPr>
        <w:t xml:space="preserve"> and Alcohol/</w:t>
      </w:r>
      <w:r>
        <w:rPr>
          <w:rFonts w:cs="Arial"/>
          <w:szCs w:val="20"/>
        </w:rPr>
        <w:t>D</w:t>
      </w:r>
      <w:r w:rsidRPr="00805EBF">
        <w:rPr>
          <w:rFonts w:cs="Arial"/>
          <w:szCs w:val="20"/>
        </w:rPr>
        <w:t xml:space="preserve">rug </w:t>
      </w:r>
      <w:r>
        <w:rPr>
          <w:rFonts w:cs="Arial"/>
          <w:szCs w:val="20"/>
        </w:rPr>
        <w:t>U</w:t>
      </w:r>
      <w:r w:rsidRPr="00805EBF">
        <w:rPr>
          <w:rFonts w:cs="Arial"/>
          <w:szCs w:val="20"/>
        </w:rPr>
        <w:t xml:space="preserve">se and </w:t>
      </w:r>
      <w:r>
        <w:rPr>
          <w:rFonts w:cs="Arial"/>
          <w:szCs w:val="20"/>
        </w:rPr>
        <w:t>A</w:t>
      </w:r>
      <w:r w:rsidRPr="00805EBF">
        <w:rPr>
          <w:rFonts w:cs="Arial"/>
          <w:szCs w:val="20"/>
        </w:rPr>
        <w:t>lcohol/</w:t>
      </w:r>
      <w:r>
        <w:rPr>
          <w:rFonts w:cs="Arial"/>
          <w:szCs w:val="20"/>
        </w:rPr>
        <w:t>D</w:t>
      </w:r>
      <w:r w:rsidRPr="00805EBF">
        <w:rPr>
          <w:rFonts w:cs="Arial"/>
          <w:szCs w:val="20"/>
        </w:rPr>
        <w:t xml:space="preserve">rug </w:t>
      </w:r>
      <w:r>
        <w:rPr>
          <w:rFonts w:cs="Arial"/>
          <w:szCs w:val="20"/>
        </w:rPr>
        <w:t>I</w:t>
      </w:r>
      <w:r w:rsidRPr="00805EBF">
        <w:rPr>
          <w:rFonts w:cs="Arial"/>
          <w:szCs w:val="20"/>
        </w:rPr>
        <w:t xml:space="preserve">nduced </w:t>
      </w:r>
      <w:r>
        <w:rPr>
          <w:rFonts w:cs="Arial"/>
          <w:szCs w:val="20"/>
        </w:rPr>
        <w:t>O</w:t>
      </w:r>
      <w:r w:rsidRPr="00805EBF">
        <w:rPr>
          <w:rFonts w:cs="Arial"/>
          <w:szCs w:val="20"/>
        </w:rPr>
        <w:t xml:space="preserve">rganic </w:t>
      </w:r>
      <w:r>
        <w:rPr>
          <w:rFonts w:cs="Arial"/>
          <w:szCs w:val="20"/>
        </w:rPr>
        <w:t>M</w:t>
      </w:r>
      <w:r w:rsidRPr="00805EBF">
        <w:rPr>
          <w:rFonts w:cs="Arial"/>
          <w:szCs w:val="20"/>
        </w:rPr>
        <w:t xml:space="preserve">ental </w:t>
      </w:r>
      <w:r>
        <w:rPr>
          <w:rFonts w:cs="Arial"/>
          <w:szCs w:val="20"/>
        </w:rPr>
        <w:t>D</w:t>
      </w:r>
      <w:r w:rsidRPr="00805EBF">
        <w:rPr>
          <w:rFonts w:cs="Arial"/>
          <w:szCs w:val="20"/>
        </w:rPr>
        <w:t>isorders respectively) and those patients in other MDCs that have recorded psychiatric care days</w:t>
      </w:r>
      <w:r>
        <w:rPr>
          <w:rFonts w:cs="Arial"/>
          <w:szCs w:val="20"/>
        </w:rPr>
        <w:t xml:space="preserve">. </w:t>
      </w:r>
    </w:p>
    <w:p w:rsidR="00F51276" w:rsidRPr="00805EBF" w:rsidRDefault="00F51276" w:rsidP="00F51276">
      <w:pPr>
        <w:tabs>
          <w:tab w:val="left" w:pos="1162"/>
        </w:tabs>
        <w:rPr>
          <w:rFonts w:cs="Arial"/>
          <w:szCs w:val="20"/>
        </w:rPr>
      </w:pPr>
      <w:r w:rsidRPr="00805EBF">
        <w:rPr>
          <w:rFonts w:cs="Arial"/>
          <w:szCs w:val="20"/>
        </w:rPr>
        <w:t>As such</w:t>
      </w:r>
      <w:r>
        <w:rPr>
          <w:rFonts w:cs="Arial"/>
          <w:szCs w:val="20"/>
        </w:rPr>
        <w:t>,</w:t>
      </w:r>
      <w:r w:rsidRPr="00805EBF">
        <w:rPr>
          <w:rFonts w:cs="Arial"/>
          <w:szCs w:val="20"/>
        </w:rPr>
        <w:t xml:space="preserve"> </w:t>
      </w:r>
      <w:r>
        <w:rPr>
          <w:rFonts w:cs="Arial"/>
          <w:szCs w:val="20"/>
        </w:rPr>
        <w:t xml:space="preserve">acute admitted </w:t>
      </w:r>
      <w:r w:rsidRPr="00805EBF">
        <w:rPr>
          <w:rFonts w:cs="Arial"/>
          <w:szCs w:val="20"/>
        </w:rPr>
        <w:t xml:space="preserve">mental health patients are a subset of acute admitted patients and </w:t>
      </w:r>
      <w:r>
        <w:rPr>
          <w:rFonts w:cs="Arial"/>
          <w:szCs w:val="20"/>
        </w:rPr>
        <w:t>are</w:t>
      </w:r>
      <w:r w:rsidRPr="00805EBF">
        <w:rPr>
          <w:rFonts w:cs="Arial"/>
          <w:szCs w:val="20"/>
        </w:rPr>
        <w:t xml:space="preserve"> analysed </w:t>
      </w:r>
      <w:r>
        <w:rPr>
          <w:rFonts w:cs="Arial"/>
          <w:szCs w:val="20"/>
        </w:rPr>
        <w:t>under</w:t>
      </w:r>
      <w:r w:rsidRPr="00805EBF">
        <w:rPr>
          <w:rFonts w:cs="Arial"/>
          <w:szCs w:val="20"/>
        </w:rPr>
        <w:t xml:space="preserve"> the Acute Cost Model.</w:t>
      </w:r>
    </w:p>
    <w:p w:rsidR="00F51276" w:rsidRDefault="00F51276" w:rsidP="00F51276">
      <w:pPr>
        <w:tabs>
          <w:tab w:val="left" w:pos="1162"/>
        </w:tabs>
        <w:rPr>
          <w:rFonts w:cs="Arial"/>
          <w:szCs w:val="20"/>
        </w:rPr>
      </w:pPr>
      <w:r w:rsidRPr="00805EBF">
        <w:rPr>
          <w:rFonts w:cs="Arial"/>
          <w:szCs w:val="20"/>
        </w:rPr>
        <w:t xml:space="preserve">Mental health patients receiving ED and non-admitted care services are not differentiated in </w:t>
      </w:r>
      <w:r>
        <w:rPr>
          <w:rFonts w:cs="Arial"/>
          <w:szCs w:val="20"/>
        </w:rPr>
        <w:t xml:space="preserve">the 2015-16 </w:t>
      </w:r>
      <w:r w:rsidRPr="00805EBF">
        <w:rPr>
          <w:rFonts w:cs="Arial"/>
          <w:szCs w:val="20"/>
        </w:rPr>
        <w:t>NEP and so receive payments as defined for the relevant ABF product category.</w:t>
      </w:r>
    </w:p>
    <w:p w:rsidR="00F51276" w:rsidRDefault="00F51276" w:rsidP="00F51276">
      <w:pPr>
        <w:pStyle w:val="Heading3"/>
        <w:keepLines w:val="0"/>
        <w:numPr>
          <w:ilvl w:val="2"/>
          <w:numId w:val="64"/>
        </w:numPr>
        <w:tabs>
          <w:tab w:val="left" w:pos="1162"/>
        </w:tabs>
        <w:spacing w:before="240" w:after="120"/>
      </w:pPr>
      <w:bookmarkStart w:id="172" w:name="_Toc380754753"/>
      <w:bookmarkStart w:id="173" w:name="_Toc412550731"/>
      <w:r>
        <w:t>Scope</w:t>
      </w:r>
      <w:bookmarkEnd w:id="172"/>
      <w:bookmarkEnd w:id="173"/>
    </w:p>
    <w:p w:rsidR="00F51276" w:rsidRPr="00805EBF" w:rsidRDefault="00F51276" w:rsidP="00F51276">
      <w:pPr>
        <w:tabs>
          <w:tab w:val="left" w:pos="1162"/>
        </w:tabs>
        <w:rPr>
          <w:rFonts w:cs="Arial"/>
          <w:szCs w:val="20"/>
        </w:rPr>
      </w:pPr>
      <w:r w:rsidRPr="00805EBF">
        <w:rPr>
          <w:rFonts w:cs="Arial"/>
          <w:szCs w:val="20"/>
        </w:rPr>
        <w:t>Mental health admitted care is that provided to patients who undergo a facility’s formal admission</w:t>
      </w:r>
      <w:r w:rsidRPr="00805EBF">
        <w:rPr>
          <w:rStyle w:val="FootnoteReference"/>
          <w:rFonts w:cs="Arial"/>
          <w:szCs w:val="20"/>
        </w:rPr>
        <w:footnoteReference w:id="15"/>
      </w:r>
      <w:r w:rsidRPr="00805EBF">
        <w:rPr>
          <w:rFonts w:cs="Arial"/>
          <w:szCs w:val="20"/>
        </w:rPr>
        <w:t xml:space="preserve"> processes where the clinical intent or treatment goal is the provision of acute care.</w:t>
      </w:r>
    </w:p>
    <w:p w:rsidR="00F51276" w:rsidRDefault="00F51276" w:rsidP="00F51276">
      <w:pPr>
        <w:tabs>
          <w:tab w:val="left" w:pos="1162"/>
        </w:tabs>
        <w:rPr>
          <w:rFonts w:cs="Arial"/>
          <w:szCs w:val="20"/>
        </w:rPr>
      </w:pPr>
      <w:r w:rsidRPr="00805EBF">
        <w:rPr>
          <w:rFonts w:cs="Arial"/>
          <w:szCs w:val="20"/>
        </w:rPr>
        <w:t>In</w:t>
      </w:r>
      <w:r>
        <w:rPr>
          <w:rFonts w:cs="Arial"/>
          <w:szCs w:val="20"/>
        </w:rPr>
        <w:t xml:space="preserve"> </w:t>
      </w:r>
      <w:r w:rsidRPr="00805EBF">
        <w:rPr>
          <w:rFonts w:cs="Arial"/>
          <w:szCs w:val="20"/>
        </w:rPr>
        <w:t>scope hospitals and patients are as defined for acute admitted</w:t>
      </w:r>
      <w:r>
        <w:rPr>
          <w:rFonts w:cs="Arial"/>
          <w:szCs w:val="20"/>
        </w:rPr>
        <w:t>, as outlined in Section 2</w:t>
      </w:r>
      <w:r w:rsidRPr="00805EBF">
        <w:rPr>
          <w:rFonts w:cs="Arial"/>
          <w:szCs w:val="20"/>
        </w:rPr>
        <w:t>.</w:t>
      </w:r>
    </w:p>
    <w:p w:rsidR="00F51276" w:rsidRDefault="00F51276" w:rsidP="00F51276">
      <w:pPr>
        <w:pStyle w:val="Heading3"/>
        <w:keepLines w:val="0"/>
        <w:numPr>
          <w:ilvl w:val="2"/>
          <w:numId w:val="64"/>
        </w:numPr>
        <w:tabs>
          <w:tab w:val="left" w:pos="1162"/>
        </w:tabs>
        <w:spacing w:before="240" w:after="120"/>
      </w:pPr>
      <w:bookmarkStart w:id="174" w:name="_Toc380754754"/>
      <w:bookmarkStart w:id="175" w:name="_Toc412550732"/>
      <w:r>
        <w:t>Classification</w:t>
      </w:r>
      <w:bookmarkEnd w:id="174"/>
      <w:bookmarkEnd w:id="175"/>
    </w:p>
    <w:p w:rsidR="00F51276" w:rsidRDefault="00F51276" w:rsidP="00F51276">
      <w:pPr>
        <w:tabs>
          <w:tab w:val="left" w:pos="1162"/>
        </w:tabs>
        <w:rPr>
          <w:rFonts w:cs="Arial"/>
          <w:szCs w:val="20"/>
        </w:rPr>
      </w:pPr>
      <w:r w:rsidRPr="00D130B9">
        <w:rPr>
          <w:rFonts w:cs="Arial"/>
          <w:szCs w:val="20"/>
        </w:rPr>
        <w:t>AR-DRGs are used to classify acute admitted care including the mental health acute patients</w:t>
      </w:r>
      <w:r>
        <w:rPr>
          <w:rFonts w:cs="Arial"/>
          <w:szCs w:val="20"/>
        </w:rPr>
        <w:t xml:space="preserve">. </w:t>
      </w:r>
      <w:r w:rsidRPr="00D130B9">
        <w:rPr>
          <w:rFonts w:cs="Arial"/>
          <w:szCs w:val="20"/>
        </w:rPr>
        <w:t xml:space="preserve">The version applying for funding in </w:t>
      </w:r>
      <w:r>
        <w:rPr>
          <w:rFonts w:cs="Arial"/>
          <w:szCs w:val="20"/>
        </w:rPr>
        <w:t>2015-16</w:t>
      </w:r>
      <w:r w:rsidRPr="00D130B9">
        <w:rPr>
          <w:rFonts w:cs="Arial"/>
          <w:szCs w:val="20"/>
        </w:rPr>
        <w:t xml:space="preserve"> is </w:t>
      </w:r>
      <w:r>
        <w:rPr>
          <w:rFonts w:cs="Arial"/>
          <w:szCs w:val="20"/>
        </w:rPr>
        <w:t>AR</w:t>
      </w:r>
      <w:r>
        <w:rPr>
          <w:rFonts w:cs="Arial"/>
          <w:szCs w:val="20"/>
        </w:rPr>
        <w:noBreakHyphen/>
        <w:t>DRG v7.0.</w:t>
      </w:r>
    </w:p>
    <w:p w:rsidR="00F51276" w:rsidRDefault="00F51276" w:rsidP="00F51276">
      <w:pPr>
        <w:pStyle w:val="Heading2"/>
        <w:keepLines w:val="0"/>
        <w:numPr>
          <w:ilvl w:val="1"/>
          <w:numId w:val="64"/>
        </w:numPr>
        <w:tabs>
          <w:tab w:val="left" w:pos="1162"/>
        </w:tabs>
        <w:spacing w:after="60"/>
      </w:pPr>
      <w:bookmarkStart w:id="176" w:name="_Toc380754755"/>
      <w:bookmarkStart w:id="177" w:name="_Toc412550733"/>
      <w:r w:rsidRPr="006D0E7D">
        <w:t>Analysis of costs to</w:t>
      </w:r>
      <w:r>
        <w:t xml:space="preserve"> derive NWAU for mental health care</w:t>
      </w:r>
      <w:bookmarkEnd w:id="176"/>
      <w:bookmarkEnd w:id="177"/>
    </w:p>
    <w:p w:rsidR="00F51276" w:rsidRDefault="00F51276" w:rsidP="00F51276">
      <w:pPr>
        <w:pStyle w:val="Heading3"/>
        <w:keepLines w:val="0"/>
        <w:numPr>
          <w:ilvl w:val="2"/>
          <w:numId w:val="64"/>
        </w:numPr>
        <w:tabs>
          <w:tab w:val="left" w:pos="1162"/>
        </w:tabs>
        <w:spacing w:before="240" w:after="120"/>
      </w:pPr>
      <w:bookmarkStart w:id="178" w:name="_Toc380754756"/>
      <w:bookmarkStart w:id="179" w:name="_Toc412550734"/>
      <w:r>
        <w:t>Data preparation</w:t>
      </w:r>
      <w:bookmarkEnd w:id="178"/>
      <w:bookmarkEnd w:id="179"/>
    </w:p>
    <w:p w:rsidR="00F51276" w:rsidRDefault="00F51276" w:rsidP="00F51276">
      <w:pPr>
        <w:tabs>
          <w:tab w:val="left" w:pos="1162"/>
        </w:tabs>
        <w:rPr>
          <w:rFonts w:cs="Arial"/>
          <w:szCs w:val="20"/>
        </w:rPr>
      </w:pPr>
      <w:r w:rsidRPr="00D130B9">
        <w:rPr>
          <w:rFonts w:cs="Arial"/>
          <w:szCs w:val="20"/>
        </w:rPr>
        <w:t xml:space="preserve">See </w:t>
      </w:r>
      <w:r>
        <w:rPr>
          <w:rFonts w:cs="Arial"/>
          <w:szCs w:val="20"/>
        </w:rPr>
        <w:t xml:space="preserve">Section </w:t>
      </w:r>
      <w:r>
        <w:rPr>
          <w:rFonts w:cs="Arial"/>
          <w:szCs w:val="20"/>
        </w:rPr>
        <w:fldChar w:fldCharType="begin"/>
      </w:r>
      <w:r>
        <w:rPr>
          <w:rFonts w:cs="Arial"/>
          <w:szCs w:val="20"/>
        </w:rPr>
        <w:instrText xml:space="preserve"> REF _Ref342385231 \r \h  \* MERGEFORMAT </w:instrText>
      </w:r>
      <w:r>
        <w:rPr>
          <w:rFonts w:cs="Arial"/>
          <w:szCs w:val="20"/>
        </w:rPr>
      </w:r>
      <w:r>
        <w:rPr>
          <w:rFonts w:cs="Arial"/>
          <w:szCs w:val="20"/>
        </w:rPr>
        <w:fldChar w:fldCharType="separate"/>
      </w:r>
      <w:r w:rsidR="00915776">
        <w:rPr>
          <w:rFonts w:cs="Arial"/>
          <w:szCs w:val="20"/>
        </w:rPr>
        <w:t>2.2.1</w:t>
      </w:r>
      <w:r>
        <w:rPr>
          <w:rFonts w:cs="Arial"/>
          <w:szCs w:val="20"/>
        </w:rPr>
        <w:fldChar w:fldCharType="end"/>
      </w:r>
      <w:r>
        <w:rPr>
          <w:rFonts w:cs="Arial"/>
          <w:szCs w:val="20"/>
        </w:rPr>
        <w:t>.</w:t>
      </w:r>
    </w:p>
    <w:p w:rsidR="00F51276" w:rsidRDefault="00F51276" w:rsidP="00F51276">
      <w:pPr>
        <w:pStyle w:val="Heading3"/>
        <w:keepLines w:val="0"/>
        <w:numPr>
          <w:ilvl w:val="2"/>
          <w:numId w:val="64"/>
        </w:numPr>
        <w:tabs>
          <w:tab w:val="left" w:pos="1162"/>
        </w:tabs>
        <w:spacing w:before="240" w:after="120"/>
      </w:pPr>
      <w:bookmarkStart w:id="180" w:name="_Toc380754757"/>
      <w:bookmarkStart w:id="181" w:name="_Toc412550735"/>
      <w:r>
        <w:t>Stratification and weighting</w:t>
      </w:r>
      <w:bookmarkEnd w:id="180"/>
      <w:bookmarkEnd w:id="181"/>
    </w:p>
    <w:p w:rsidR="00F51276" w:rsidRDefault="00F51276" w:rsidP="00F51276">
      <w:pPr>
        <w:tabs>
          <w:tab w:val="left" w:pos="1162"/>
        </w:tabs>
        <w:rPr>
          <w:szCs w:val="20"/>
        </w:rPr>
      </w:pPr>
      <w:r>
        <w:rPr>
          <w:rFonts w:cs="Arial"/>
          <w:szCs w:val="20"/>
        </w:rPr>
        <w:t xml:space="preserve">See Section </w:t>
      </w:r>
      <w:r>
        <w:rPr>
          <w:rFonts w:cs="Arial"/>
          <w:szCs w:val="20"/>
        </w:rPr>
        <w:fldChar w:fldCharType="begin"/>
      </w:r>
      <w:r>
        <w:rPr>
          <w:rFonts w:cs="Arial"/>
          <w:szCs w:val="20"/>
        </w:rPr>
        <w:instrText xml:space="preserve"> REF _Ref342385246 \r \h  \* MERGEFORMAT </w:instrText>
      </w:r>
      <w:r>
        <w:rPr>
          <w:rFonts w:cs="Arial"/>
          <w:szCs w:val="20"/>
        </w:rPr>
      </w:r>
      <w:r>
        <w:rPr>
          <w:rFonts w:cs="Arial"/>
          <w:szCs w:val="20"/>
        </w:rPr>
        <w:fldChar w:fldCharType="separate"/>
      </w:r>
      <w:r w:rsidR="00915776">
        <w:rPr>
          <w:rFonts w:cs="Arial"/>
          <w:szCs w:val="20"/>
        </w:rPr>
        <w:t>2.2.2</w:t>
      </w:r>
      <w:r>
        <w:rPr>
          <w:rFonts w:cs="Arial"/>
          <w:szCs w:val="20"/>
        </w:rPr>
        <w:fldChar w:fldCharType="end"/>
      </w:r>
      <w:r w:rsidRPr="00D130B9">
        <w:rPr>
          <w:szCs w:val="20"/>
        </w:rPr>
        <w:t>.</w:t>
      </w:r>
    </w:p>
    <w:p w:rsidR="00F51276" w:rsidRDefault="00F51276" w:rsidP="00F51276">
      <w:pPr>
        <w:pStyle w:val="Heading3"/>
        <w:keepLines w:val="0"/>
        <w:numPr>
          <w:ilvl w:val="2"/>
          <w:numId w:val="64"/>
        </w:numPr>
        <w:tabs>
          <w:tab w:val="left" w:pos="1162"/>
        </w:tabs>
        <w:spacing w:before="240" w:after="120"/>
      </w:pPr>
      <w:bookmarkStart w:id="182" w:name="_Toc380754758"/>
      <w:bookmarkStart w:id="183" w:name="_Toc412550736"/>
      <w:r>
        <w:t>Inlier bounds</w:t>
      </w:r>
      <w:bookmarkEnd w:id="182"/>
      <w:bookmarkEnd w:id="183"/>
    </w:p>
    <w:p w:rsidR="00F51276" w:rsidRPr="00D130B9" w:rsidRDefault="00F51276" w:rsidP="00F51276">
      <w:pPr>
        <w:tabs>
          <w:tab w:val="left" w:pos="1162"/>
        </w:tabs>
        <w:rPr>
          <w:rFonts w:cs="Arial"/>
          <w:szCs w:val="20"/>
        </w:rPr>
      </w:pPr>
      <w:r w:rsidRPr="00D130B9">
        <w:rPr>
          <w:rFonts w:cs="Arial"/>
          <w:szCs w:val="20"/>
        </w:rPr>
        <w:t xml:space="preserve">The inlier bounds for </w:t>
      </w:r>
      <w:r>
        <w:rPr>
          <w:rFonts w:cs="Arial"/>
          <w:szCs w:val="20"/>
        </w:rPr>
        <w:t xml:space="preserve">AR-DRGs within </w:t>
      </w:r>
      <w:r w:rsidRPr="00D130B9">
        <w:rPr>
          <w:rFonts w:cs="Arial"/>
          <w:szCs w:val="20"/>
        </w:rPr>
        <w:t xml:space="preserve">MDCs 19 and 20 were set </w:t>
      </w:r>
      <w:r>
        <w:rPr>
          <w:rFonts w:cs="Arial"/>
          <w:szCs w:val="20"/>
        </w:rPr>
        <w:t>using the</w:t>
      </w:r>
      <w:r w:rsidRPr="00D130B9">
        <w:rPr>
          <w:rFonts w:cs="Arial"/>
          <w:szCs w:val="20"/>
        </w:rPr>
        <w:t xml:space="preserve"> L1.5</w:t>
      </w:r>
      <w:r>
        <w:rPr>
          <w:rFonts w:cs="Arial"/>
          <w:szCs w:val="20"/>
        </w:rPr>
        <w:t xml:space="preserve"> </w:t>
      </w:r>
      <w:r w:rsidRPr="00D130B9">
        <w:rPr>
          <w:rFonts w:cs="Arial"/>
          <w:szCs w:val="20"/>
        </w:rPr>
        <w:t xml:space="preserve">H1.5 </w:t>
      </w:r>
      <w:r>
        <w:rPr>
          <w:rFonts w:cs="Arial"/>
          <w:szCs w:val="20"/>
        </w:rPr>
        <w:t xml:space="preserve">method </w:t>
      </w:r>
      <w:r w:rsidRPr="00D130B9">
        <w:rPr>
          <w:rFonts w:cs="Arial"/>
          <w:szCs w:val="20"/>
        </w:rPr>
        <w:t xml:space="preserve">while </w:t>
      </w:r>
      <w:r w:rsidR="00D028D9">
        <w:rPr>
          <w:rFonts w:cs="Arial"/>
          <w:szCs w:val="20"/>
        </w:rPr>
        <w:t xml:space="preserve">the majority of other </w:t>
      </w:r>
      <w:r w:rsidRPr="00D130B9">
        <w:rPr>
          <w:rFonts w:cs="Arial"/>
          <w:szCs w:val="20"/>
        </w:rPr>
        <w:t>MDCs in the Acute Cost Model remained at L3H3</w:t>
      </w:r>
      <w:r>
        <w:rPr>
          <w:rFonts w:cs="Arial"/>
          <w:szCs w:val="20"/>
        </w:rPr>
        <w:t xml:space="preserve"> (see Section 2.2.3)</w:t>
      </w:r>
      <w:r w:rsidRPr="00D130B9">
        <w:rPr>
          <w:rFonts w:cs="Arial"/>
          <w:szCs w:val="20"/>
        </w:rPr>
        <w:t>.</w:t>
      </w:r>
    </w:p>
    <w:p w:rsidR="00F51276" w:rsidRPr="006D0E7D" w:rsidRDefault="00F51276" w:rsidP="00F51276">
      <w:pPr>
        <w:tabs>
          <w:tab w:val="left" w:pos="1162"/>
        </w:tabs>
        <w:rPr>
          <w:rFonts w:cs="Arial"/>
          <w:b/>
          <w:bCs/>
          <w:color w:val="000000"/>
          <w:szCs w:val="20"/>
        </w:rPr>
      </w:pPr>
      <w:r>
        <w:rPr>
          <w:rFonts w:cs="Arial"/>
          <w:szCs w:val="20"/>
        </w:rPr>
        <w:t>These</w:t>
      </w:r>
      <w:r w:rsidRPr="00D130B9">
        <w:rPr>
          <w:rFonts w:cs="Arial"/>
          <w:szCs w:val="20"/>
        </w:rPr>
        <w:t xml:space="preserve"> </w:t>
      </w:r>
      <w:r>
        <w:rPr>
          <w:rFonts w:cs="Arial"/>
          <w:szCs w:val="20"/>
        </w:rPr>
        <w:t xml:space="preserve">narrower </w:t>
      </w:r>
      <w:r w:rsidRPr="00D130B9">
        <w:rPr>
          <w:rFonts w:cs="Arial"/>
          <w:szCs w:val="20"/>
        </w:rPr>
        <w:t xml:space="preserve">inlier bounds resulted in a lower proportion of inliers and a corresponding higher proportion of short-stay </w:t>
      </w:r>
      <w:r>
        <w:rPr>
          <w:rFonts w:cs="Arial"/>
          <w:szCs w:val="20"/>
        </w:rPr>
        <w:t xml:space="preserve">and long-stay </w:t>
      </w:r>
      <w:r w:rsidRPr="00D130B9">
        <w:rPr>
          <w:rFonts w:cs="Arial"/>
          <w:szCs w:val="20"/>
        </w:rPr>
        <w:t>outliers</w:t>
      </w:r>
      <w:r>
        <w:rPr>
          <w:rFonts w:cs="Arial"/>
          <w:szCs w:val="20"/>
        </w:rPr>
        <w:t>,</w:t>
      </w:r>
      <w:r w:rsidRPr="00D130B9">
        <w:rPr>
          <w:rFonts w:cs="Arial"/>
          <w:szCs w:val="20"/>
        </w:rPr>
        <w:t xml:space="preserve"> as shown in</w:t>
      </w:r>
      <w:r>
        <w:rPr>
          <w:rFonts w:cs="Arial"/>
          <w:szCs w:val="20"/>
        </w:rPr>
        <w:t xml:space="preserve"> Table </w:t>
      </w:r>
      <w:r w:rsidR="00693CC5">
        <w:rPr>
          <w:rFonts w:cs="Arial"/>
          <w:szCs w:val="20"/>
        </w:rPr>
        <w:t>8</w:t>
      </w:r>
      <w:r w:rsidRPr="00D130B9">
        <w:rPr>
          <w:rFonts w:cs="Arial"/>
          <w:szCs w:val="20"/>
        </w:rPr>
        <w:t>.</w:t>
      </w:r>
    </w:p>
    <w:p w:rsidR="00F51276" w:rsidRDefault="00F51276" w:rsidP="00F51276">
      <w:pPr>
        <w:rPr>
          <w:rFonts w:ascii="Arial" w:eastAsia="Times New Roman" w:hAnsi="Arial" w:cs="Times New Roman"/>
          <w:b/>
          <w:sz w:val="20"/>
        </w:rPr>
      </w:pPr>
      <w:bookmarkStart w:id="184" w:name="_Ref342308730"/>
      <w:r>
        <w:br w:type="page"/>
      </w:r>
    </w:p>
    <w:bookmarkEnd w:id="184"/>
    <w:p w:rsidR="00F51276" w:rsidRDefault="00F51276">
      <w:pPr>
        <w:pStyle w:val="table"/>
      </w:pPr>
      <w:r>
        <w:lastRenderedPageBreak/>
        <w:t xml:space="preserve">Table </w:t>
      </w:r>
      <w:r w:rsidR="00693CC5">
        <w:rPr>
          <w:noProof/>
        </w:rPr>
        <w:t>8</w:t>
      </w:r>
      <w:r>
        <w:t xml:space="preserve">: </w:t>
      </w:r>
      <w:r w:rsidRPr="00487993">
        <w:t xml:space="preserve">MDCs 19 &amp; 20 (Mental health) – </w:t>
      </w:r>
      <w:r>
        <w:t>activity and cost d</w:t>
      </w:r>
      <w:r w:rsidRPr="00487993">
        <w:t>istribution</w:t>
      </w:r>
    </w:p>
    <w:tbl>
      <w:tblPr>
        <w:tblStyle w:val="TableGrid"/>
        <w:tblW w:w="8079"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Description w:val="A summary of table 17 is outlined in the text prior to this table."/>
      </w:tblPr>
      <w:tblGrid>
        <w:gridCol w:w="2019"/>
        <w:gridCol w:w="2020"/>
        <w:gridCol w:w="2020"/>
        <w:gridCol w:w="2020"/>
      </w:tblGrid>
      <w:tr w:rsidR="00F51276" w:rsidRPr="00F561D4" w:rsidTr="00920356">
        <w:trPr>
          <w:cantSplit/>
          <w:trHeight w:val="227"/>
          <w:tblHeader/>
          <w:jc w:val="center"/>
        </w:trPr>
        <w:tc>
          <w:tcPr>
            <w:tcW w:w="201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F51276" w:rsidRPr="00601A6A" w:rsidRDefault="00F51276" w:rsidP="00920356">
            <w:pPr>
              <w:tabs>
                <w:tab w:val="left" w:pos="1162"/>
              </w:tabs>
              <w:spacing w:before="80" w:after="80"/>
              <w:jc w:val="center"/>
              <w:rPr>
                <w:rFonts w:cs="Arial"/>
                <w:color w:val="000000"/>
                <w:sz w:val="20"/>
                <w:szCs w:val="20"/>
              </w:rPr>
            </w:pPr>
          </w:p>
        </w:tc>
        <w:tc>
          <w:tcPr>
            <w:tcW w:w="2020" w:type="dxa"/>
            <w:tcBorders>
              <w:left w:val="single" w:sz="4" w:space="0" w:color="auto"/>
              <w:bottom w:val="single" w:sz="4" w:space="0" w:color="595959" w:themeColor="text1" w:themeTint="A6"/>
            </w:tcBorders>
            <w:shd w:val="clear" w:color="auto" w:fill="BFBFBF" w:themeFill="background1" w:themeFillShade="BF"/>
            <w:noWrap/>
            <w:hideMark/>
          </w:tcPr>
          <w:p w:rsidR="00F51276" w:rsidRPr="00601A6A" w:rsidRDefault="00F51276" w:rsidP="00920356">
            <w:pPr>
              <w:tabs>
                <w:tab w:val="left" w:pos="1162"/>
              </w:tabs>
              <w:spacing w:before="80" w:after="80"/>
              <w:jc w:val="center"/>
              <w:rPr>
                <w:rFonts w:cs="Arial"/>
                <w:b/>
                <w:bCs/>
                <w:color w:val="000000"/>
                <w:sz w:val="20"/>
                <w:szCs w:val="20"/>
              </w:rPr>
            </w:pPr>
            <w:r w:rsidRPr="00601A6A">
              <w:rPr>
                <w:rFonts w:cs="Arial"/>
                <w:b/>
                <w:bCs/>
                <w:color w:val="000000"/>
                <w:sz w:val="20"/>
                <w:szCs w:val="20"/>
              </w:rPr>
              <w:t>Short-Stay Outlier</w:t>
            </w:r>
          </w:p>
        </w:tc>
        <w:tc>
          <w:tcPr>
            <w:tcW w:w="2020" w:type="dxa"/>
            <w:tcBorders>
              <w:bottom w:val="single" w:sz="4" w:space="0" w:color="595959" w:themeColor="text1" w:themeTint="A6"/>
            </w:tcBorders>
            <w:shd w:val="clear" w:color="auto" w:fill="BFBFBF" w:themeFill="background1" w:themeFillShade="BF"/>
            <w:noWrap/>
            <w:hideMark/>
          </w:tcPr>
          <w:p w:rsidR="00F51276" w:rsidRPr="00601A6A" w:rsidRDefault="00F51276" w:rsidP="00920356">
            <w:pPr>
              <w:tabs>
                <w:tab w:val="left" w:pos="1162"/>
              </w:tabs>
              <w:spacing w:before="80" w:after="80"/>
              <w:jc w:val="center"/>
              <w:rPr>
                <w:rFonts w:cs="Arial"/>
                <w:b/>
                <w:bCs/>
                <w:color w:val="000000"/>
                <w:sz w:val="20"/>
                <w:szCs w:val="20"/>
              </w:rPr>
            </w:pPr>
            <w:r w:rsidRPr="00601A6A">
              <w:rPr>
                <w:rFonts w:cs="Arial"/>
                <w:b/>
                <w:bCs/>
                <w:color w:val="000000"/>
                <w:sz w:val="20"/>
                <w:szCs w:val="20"/>
              </w:rPr>
              <w:t>Inlier</w:t>
            </w:r>
          </w:p>
        </w:tc>
        <w:tc>
          <w:tcPr>
            <w:tcW w:w="2020" w:type="dxa"/>
            <w:tcBorders>
              <w:bottom w:val="single" w:sz="4" w:space="0" w:color="595959" w:themeColor="text1" w:themeTint="A6"/>
            </w:tcBorders>
            <w:shd w:val="clear" w:color="auto" w:fill="BFBFBF" w:themeFill="background1" w:themeFillShade="BF"/>
            <w:noWrap/>
            <w:hideMark/>
          </w:tcPr>
          <w:p w:rsidR="00F51276" w:rsidRPr="00601A6A" w:rsidRDefault="00F51276" w:rsidP="00920356">
            <w:pPr>
              <w:tabs>
                <w:tab w:val="left" w:pos="1162"/>
              </w:tabs>
              <w:spacing w:before="80" w:after="80"/>
              <w:jc w:val="center"/>
              <w:rPr>
                <w:rFonts w:cs="Arial"/>
                <w:b/>
                <w:bCs/>
                <w:color w:val="000000"/>
                <w:sz w:val="20"/>
                <w:szCs w:val="20"/>
              </w:rPr>
            </w:pPr>
            <w:r w:rsidRPr="00601A6A">
              <w:rPr>
                <w:rFonts w:cs="Arial"/>
                <w:b/>
                <w:bCs/>
                <w:color w:val="000000"/>
                <w:sz w:val="20"/>
                <w:szCs w:val="20"/>
              </w:rPr>
              <w:t>Long-Stay Outlier</w:t>
            </w:r>
          </w:p>
        </w:tc>
      </w:tr>
      <w:tr w:rsidR="00F51276" w:rsidRPr="00F3531B" w:rsidTr="00920356">
        <w:trPr>
          <w:cantSplit/>
          <w:trHeight w:val="227"/>
          <w:jc w:val="center"/>
        </w:trPr>
        <w:tc>
          <w:tcPr>
            <w:tcW w:w="2019" w:type="dxa"/>
            <w:tcBorders>
              <w:top w:val="single" w:sz="4" w:space="0" w:color="auto"/>
            </w:tcBorders>
            <w:noWrap/>
            <w:hideMark/>
          </w:tcPr>
          <w:p w:rsidR="00F51276" w:rsidRPr="00601A6A" w:rsidRDefault="00F51276" w:rsidP="00920356">
            <w:pPr>
              <w:tabs>
                <w:tab w:val="left" w:pos="1162"/>
              </w:tabs>
              <w:spacing w:before="80" w:after="80"/>
              <w:rPr>
                <w:rFonts w:cs="Arial"/>
                <w:color w:val="000000"/>
                <w:sz w:val="20"/>
                <w:szCs w:val="20"/>
              </w:rPr>
            </w:pPr>
            <w:r w:rsidRPr="00601A6A">
              <w:rPr>
                <w:rFonts w:cs="Arial"/>
                <w:color w:val="000000"/>
                <w:sz w:val="20"/>
                <w:szCs w:val="20"/>
              </w:rPr>
              <w:t>Separations</w:t>
            </w:r>
          </w:p>
        </w:tc>
        <w:tc>
          <w:tcPr>
            <w:tcW w:w="2020" w:type="dxa"/>
            <w:tcBorders>
              <w:top w:val="single" w:sz="4" w:space="0" w:color="595959" w:themeColor="text1" w:themeTint="A6"/>
            </w:tcBorders>
            <w:noWrap/>
            <w:vAlign w:val="bottom"/>
            <w:hideMark/>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34%</w:t>
            </w:r>
          </w:p>
        </w:tc>
        <w:tc>
          <w:tcPr>
            <w:tcW w:w="2020" w:type="dxa"/>
            <w:tcBorders>
              <w:top w:val="single" w:sz="4" w:space="0" w:color="595959" w:themeColor="text1" w:themeTint="A6"/>
            </w:tcBorders>
            <w:noWrap/>
            <w:vAlign w:val="bottom"/>
            <w:hideMark/>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54%</w:t>
            </w:r>
          </w:p>
        </w:tc>
        <w:tc>
          <w:tcPr>
            <w:tcW w:w="2020" w:type="dxa"/>
            <w:tcBorders>
              <w:top w:val="single" w:sz="4" w:space="0" w:color="595959" w:themeColor="text1" w:themeTint="A6"/>
            </w:tcBorders>
            <w:noWrap/>
            <w:vAlign w:val="bottom"/>
            <w:hideMark/>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12%</w:t>
            </w:r>
          </w:p>
        </w:tc>
      </w:tr>
      <w:tr w:rsidR="00F51276" w:rsidRPr="00F3531B" w:rsidTr="00920356">
        <w:trPr>
          <w:cantSplit/>
          <w:trHeight w:val="227"/>
          <w:jc w:val="center"/>
        </w:trPr>
        <w:tc>
          <w:tcPr>
            <w:tcW w:w="2019" w:type="dxa"/>
            <w:noWrap/>
            <w:hideMark/>
          </w:tcPr>
          <w:p w:rsidR="00F51276" w:rsidRPr="00601A6A" w:rsidRDefault="00F51276" w:rsidP="00920356">
            <w:pPr>
              <w:tabs>
                <w:tab w:val="left" w:pos="1162"/>
              </w:tabs>
              <w:spacing w:before="80" w:after="80"/>
              <w:rPr>
                <w:rFonts w:cs="Arial"/>
                <w:color w:val="000000"/>
                <w:sz w:val="20"/>
                <w:szCs w:val="20"/>
              </w:rPr>
            </w:pPr>
            <w:r w:rsidRPr="00601A6A">
              <w:rPr>
                <w:rFonts w:cs="Arial"/>
                <w:color w:val="000000"/>
                <w:sz w:val="20"/>
                <w:szCs w:val="20"/>
              </w:rPr>
              <w:t>Patient Days</w:t>
            </w:r>
          </w:p>
        </w:tc>
        <w:tc>
          <w:tcPr>
            <w:tcW w:w="2020" w:type="dxa"/>
            <w:noWrap/>
            <w:vAlign w:val="bottom"/>
            <w:hideMark/>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14%</w:t>
            </w:r>
          </w:p>
        </w:tc>
        <w:tc>
          <w:tcPr>
            <w:tcW w:w="2020" w:type="dxa"/>
            <w:noWrap/>
            <w:vAlign w:val="bottom"/>
            <w:hideMark/>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33%</w:t>
            </w:r>
          </w:p>
        </w:tc>
        <w:tc>
          <w:tcPr>
            <w:tcW w:w="2020" w:type="dxa"/>
            <w:noWrap/>
            <w:vAlign w:val="bottom"/>
            <w:hideMark/>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53%</w:t>
            </w:r>
          </w:p>
        </w:tc>
      </w:tr>
      <w:tr w:rsidR="00F51276" w:rsidRPr="00F3531B" w:rsidTr="00920356">
        <w:trPr>
          <w:cantSplit/>
          <w:trHeight w:val="227"/>
          <w:jc w:val="center"/>
        </w:trPr>
        <w:tc>
          <w:tcPr>
            <w:tcW w:w="2019" w:type="dxa"/>
            <w:noWrap/>
            <w:hideMark/>
          </w:tcPr>
          <w:p w:rsidR="00F51276" w:rsidRPr="00601A6A" w:rsidRDefault="00F51276" w:rsidP="00920356">
            <w:pPr>
              <w:tabs>
                <w:tab w:val="left" w:pos="1162"/>
              </w:tabs>
              <w:spacing w:before="80" w:after="80"/>
              <w:rPr>
                <w:rFonts w:cs="Arial"/>
                <w:color w:val="000000"/>
                <w:sz w:val="20"/>
                <w:szCs w:val="20"/>
              </w:rPr>
            </w:pPr>
            <w:r w:rsidRPr="00601A6A">
              <w:rPr>
                <w:rFonts w:cs="Arial"/>
                <w:color w:val="000000"/>
                <w:sz w:val="20"/>
                <w:szCs w:val="20"/>
              </w:rPr>
              <w:t>Actual Costs</w:t>
            </w:r>
          </w:p>
        </w:tc>
        <w:tc>
          <w:tcPr>
            <w:tcW w:w="2020" w:type="dxa"/>
            <w:noWrap/>
            <w:vAlign w:val="bottom"/>
            <w:hideMark/>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16%</w:t>
            </w:r>
          </w:p>
        </w:tc>
        <w:tc>
          <w:tcPr>
            <w:tcW w:w="2020" w:type="dxa"/>
            <w:noWrap/>
            <w:vAlign w:val="bottom"/>
            <w:hideMark/>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34%</w:t>
            </w:r>
          </w:p>
        </w:tc>
        <w:tc>
          <w:tcPr>
            <w:tcW w:w="2020" w:type="dxa"/>
            <w:noWrap/>
            <w:vAlign w:val="bottom"/>
            <w:hideMark/>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50%</w:t>
            </w:r>
          </w:p>
        </w:tc>
      </w:tr>
    </w:tbl>
    <w:p w:rsidR="00F51276" w:rsidRPr="00601A6A" w:rsidRDefault="00F51276" w:rsidP="00F51276">
      <w:pPr>
        <w:tabs>
          <w:tab w:val="left" w:pos="1162"/>
        </w:tabs>
        <w:spacing w:before="80"/>
        <w:ind w:left="567"/>
        <w:rPr>
          <w:rFonts w:cs="Arial"/>
          <w:i/>
          <w:sz w:val="20"/>
          <w:szCs w:val="20"/>
        </w:rPr>
      </w:pPr>
      <w:r w:rsidRPr="00601A6A">
        <w:rPr>
          <w:rFonts w:cs="Arial"/>
          <w:b/>
          <w:i/>
          <w:sz w:val="20"/>
          <w:szCs w:val="20"/>
        </w:rPr>
        <w:t>Note:</w:t>
      </w:r>
      <w:r w:rsidRPr="00601A6A">
        <w:rPr>
          <w:rFonts w:cs="Arial"/>
          <w:i/>
          <w:sz w:val="20"/>
          <w:szCs w:val="20"/>
        </w:rPr>
        <w:t xml:space="preserve"> Same-day payment separation category has been combined with the short-stay outlier category.</w:t>
      </w:r>
    </w:p>
    <w:p w:rsidR="00F51276" w:rsidRPr="00F3531B" w:rsidRDefault="00F51276" w:rsidP="00F51276">
      <w:pPr>
        <w:tabs>
          <w:tab w:val="left" w:pos="1162"/>
        </w:tabs>
        <w:rPr>
          <w:rFonts w:cs="Arial"/>
        </w:rPr>
      </w:pPr>
      <w:r>
        <w:rPr>
          <w:rFonts w:cs="Arial"/>
        </w:rPr>
        <w:t xml:space="preserve">Table </w:t>
      </w:r>
      <w:r w:rsidR="00693CC5">
        <w:rPr>
          <w:rFonts w:cs="Arial"/>
        </w:rPr>
        <w:t>9</w:t>
      </w:r>
      <w:r w:rsidR="00693CC5" w:rsidRPr="00F3531B">
        <w:rPr>
          <w:rFonts w:cs="Arial"/>
        </w:rPr>
        <w:t xml:space="preserve"> </w:t>
      </w:r>
      <w:r w:rsidRPr="00F3531B">
        <w:rPr>
          <w:rFonts w:cs="Arial"/>
        </w:rPr>
        <w:t>shows the corresponding distribution of activity and costs across the medical AR</w:t>
      </w:r>
      <w:r>
        <w:rPr>
          <w:rFonts w:cs="Arial"/>
        </w:rPr>
        <w:noBreakHyphen/>
      </w:r>
      <w:r w:rsidRPr="00F3531B">
        <w:rPr>
          <w:rFonts w:cs="Arial"/>
        </w:rPr>
        <w:t>DRGs (which are classified under the L3H3 inlier bounds policy</w:t>
      </w:r>
      <w:r>
        <w:rPr>
          <w:rFonts w:cs="Arial"/>
        </w:rPr>
        <w:t xml:space="preserve">, with the exception of the 21 AR-DRGs provided at </w:t>
      </w:r>
      <w:r w:rsidRPr="00B97568">
        <w:rPr>
          <w:rStyle w:val="Hyperlink"/>
          <w:b/>
        </w:rPr>
        <w:t>Attachment C</w:t>
      </w:r>
      <w:r w:rsidRPr="00F3531B">
        <w:rPr>
          <w:rFonts w:cs="Arial"/>
        </w:rPr>
        <w:t>).</w:t>
      </w:r>
    </w:p>
    <w:p w:rsidR="00F51276" w:rsidRPr="00F3531B" w:rsidRDefault="00F51276">
      <w:pPr>
        <w:pStyle w:val="table"/>
      </w:pPr>
      <w:bookmarkStart w:id="185" w:name="_Ref342308771"/>
      <w:r w:rsidRPr="0057715E">
        <w:t xml:space="preserve">Table </w:t>
      </w:r>
      <w:bookmarkEnd w:id="185"/>
      <w:r w:rsidR="00693CC5">
        <w:t>9</w:t>
      </w:r>
      <w:r w:rsidRPr="0057715E">
        <w:t>: Medical AR-DRGs excluding MDC 19 &amp; 20 – activity and cost distribution</w:t>
      </w:r>
    </w:p>
    <w:tbl>
      <w:tblPr>
        <w:tblStyle w:val="TableGrid"/>
        <w:tblW w:w="8079" w:type="dxa"/>
        <w:jc w:val="center"/>
        <w:tblLayout w:type="fixed"/>
        <w:tblLook w:val="04A0" w:firstRow="1" w:lastRow="0" w:firstColumn="1" w:lastColumn="0" w:noHBand="0" w:noVBand="1"/>
        <w:tblDescription w:val="A summary of table 18 is outlined in the text prior to this table."/>
      </w:tblPr>
      <w:tblGrid>
        <w:gridCol w:w="2019"/>
        <w:gridCol w:w="2020"/>
        <w:gridCol w:w="2020"/>
        <w:gridCol w:w="2020"/>
      </w:tblGrid>
      <w:tr w:rsidR="00F51276" w:rsidRPr="00F3531B" w:rsidTr="00920356">
        <w:trPr>
          <w:cantSplit/>
          <w:trHeight w:val="300"/>
          <w:tblHeader/>
          <w:jc w:val="center"/>
        </w:trPr>
        <w:tc>
          <w:tcPr>
            <w:tcW w:w="201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F51276" w:rsidRPr="00601A6A" w:rsidRDefault="00F51276" w:rsidP="00920356">
            <w:pPr>
              <w:tabs>
                <w:tab w:val="left" w:pos="1162"/>
              </w:tabs>
              <w:spacing w:before="80" w:after="80"/>
              <w:rPr>
                <w:rFonts w:cs="Arial"/>
                <w:color w:val="000000"/>
                <w:sz w:val="20"/>
                <w:szCs w:val="20"/>
              </w:rPr>
            </w:pPr>
          </w:p>
        </w:tc>
        <w:tc>
          <w:tcPr>
            <w:tcW w:w="2020" w:type="dxa"/>
            <w:tcBorders>
              <w:top w:val="single" w:sz="4" w:space="0" w:color="595959" w:themeColor="text1" w:themeTint="A6"/>
              <w:left w:val="single" w:sz="4" w:space="0" w:color="auto"/>
              <w:bottom w:val="single" w:sz="4" w:space="0" w:color="595959" w:themeColor="text1" w:themeTint="A6"/>
              <w:right w:val="single" w:sz="4" w:space="0" w:color="595959" w:themeColor="text1" w:themeTint="A6"/>
            </w:tcBorders>
            <w:shd w:val="clear" w:color="auto" w:fill="BFBFBF" w:themeFill="background1" w:themeFillShade="BF"/>
            <w:noWrap/>
            <w:hideMark/>
          </w:tcPr>
          <w:p w:rsidR="00F51276" w:rsidRPr="00601A6A" w:rsidRDefault="00F51276" w:rsidP="00920356">
            <w:pPr>
              <w:tabs>
                <w:tab w:val="left" w:pos="1162"/>
              </w:tabs>
              <w:spacing w:before="80" w:after="80"/>
              <w:jc w:val="center"/>
              <w:rPr>
                <w:rFonts w:cs="Arial"/>
                <w:b/>
                <w:bCs/>
                <w:color w:val="000000"/>
                <w:sz w:val="20"/>
                <w:szCs w:val="20"/>
              </w:rPr>
            </w:pPr>
            <w:r w:rsidRPr="00601A6A">
              <w:rPr>
                <w:rFonts w:cs="Arial"/>
                <w:b/>
                <w:bCs/>
                <w:color w:val="000000"/>
                <w:sz w:val="20"/>
                <w:szCs w:val="20"/>
              </w:rPr>
              <w:t>Short-Stay Outlier</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noWrap/>
            <w:hideMark/>
          </w:tcPr>
          <w:p w:rsidR="00F51276" w:rsidRPr="00601A6A" w:rsidRDefault="00F51276" w:rsidP="00920356">
            <w:pPr>
              <w:tabs>
                <w:tab w:val="left" w:pos="1162"/>
              </w:tabs>
              <w:spacing w:before="80" w:after="80"/>
              <w:jc w:val="center"/>
              <w:rPr>
                <w:rFonts w:cs="Arial"/>
                <w:b/>
                <w:bCs/>
                <w:color w:val="000000"/>
                <w:sz w:val="20"/>
                <w:szCs w:val="20"/>
              </w:rPr>
            </w:pPr>
            <w:r w:rsidRPr="00601A6A">
              <w:rPr>
                <w:rFonts w:cs="Arial"/>
                <w:b/>
                <w:bCs/>
                <w:color w:val="000000"/>
                <w:sz w:val="20"/>
                <w:szCs w:val="20"/>
              </w:rPr>
              <w:t>Inlier</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noWrap/>
            <w:hideMark/>
          </w:tcPr>
          <w:p w:rsidR="00F51276" w:rsidRPr="00601A6A" w:rsidRDefault="00F51276" w:rsidP="00920356">
            <w:pPr>
              <w:tabs>
                <w:tab w:val="left" w:pos="1162"/>
              </w:tabs>
              <w:spacing w:before="80" w:after="80"/>
              <w:jc w:val="center"/>
              <w:rPr>
                <w:rFonts w:cs="Arial"/>
                <w:b/>
                <w:bCs/>
                <w:color w:val="000000"/>
                <w:sz w:val="20"/>
                <w:szCs w:val="20"/>
              </w:rPr>
            </w:pPr>
            <w:r w:rsidRPr="00601A6A">
              <w:rPr>
                <w:rFonts w:cs="Arial"/>
                <w:b/>
                <w:bCs/>
                <w:color w:val="000000"/>
                <w:sz w:val="20"/>
                <w:szCs w:val="20"/>
              </w:rPr>
              <w:t>Long-Stay Outlier</w:t>
            </w:r>
          </w:p>
        </w:tc>
      </w:tr>
      <w:tr w:rsidR="00F51276" w:rsidRPr="00F3531B" w:rsidTr="00920356">
        <w:trPr>
          <w:cantSplit/>
          <w:trHeight w:val="300"/>
          <w:jc w:val="center"/>
        </w:trPr>
        <w:tc>
          <w:tcPr>
            <w:tcW w:w="2019"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noWrap/>
            <w:hideMark/>
          </w:tcPr>
          <w:p w:rsidR="00F51276" w:rsidRPr="00601A6A" w:rsidRDefault="00F51276" w:rsidP="00920356">
            <w:pPr>
              <w:tabs>
                <w:tab w:val="left" w:pos="1162"/>
              </w:tabs>
              <w:spacing w:before="80" w:after="80"/>
              <w:rPr>
                <w:rFonts w:cs="Arial"/>
                <w:color w:val="000000"/>
                <w:sz w:val="20"/>
                <w:szCs w:val="20"/>
              </w:rPr>
            </w:pPr>
            <w:r w:rsidRPr="00601A6A">
              <w:rPr>
                <w:rFonts w:cs="Arial"/>
                <w:color w:val="000000"/>
                <w:sz w:val="20"/>
                <w:szCs w:val="20"/>
              </w:rPr>
              <w:t>Separations</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vAlign w:val="bottom"/>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8%</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vAlign w:val="bottom"/>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90%</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vAlign w:val="bottom"/>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2%</w:t>
            </w:r>
          </w:p>
        </w:tc>
      </w:tr>
      <w:tr w:rsidR="00F51276" w:rsidRPr="00F3531B" w:rsidTr="00920356">
        <w:trPr>
          <w:cantSplit/>
          <w:trHeight w:val="300"/>
          <w:jc w:val="center"/>
        </w:trPr>
        <w:tc>
          <w:tcPr>
            <w:tcW w:w="201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hideMark/>
          </w:tcPr>
          <w:p w:rsidR="00F51276" w:rsidRPr="00601A6A" w:rsidRDefault="00F51276" w:rsidP="00920356">
            <w:pPr>
              <w:tabs>
                <w:tab w:val="left" w:pos="1162"/>
              </w:tabs>
              <w:spacing w:before="80" w:after="80"/>
              <w:rPr>
                <w:rFonts w:cs="Arial"/>
                <w:color w:val="000000"/>
                <w:sz w:val="20"/>
                <w:szCs w:val="20"/>
              </w:rPr>
            </w:pPr>
            <w:r w:rsidRPr="00601A6A">
              <w:rPr>
                <w:rFonts w:cs="Arial"/>
                <w:color w:val="000000"/>
                <w:sz w:val="20"/>
                <w:szCs w:val="20"/>
              </w:rPr>
              <w:t>Patient Days</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vAlign w:val="bottom"/>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4%</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vAlign w:val="bottom"/>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79%</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vAlign w:val="bottom"/>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17%</w:t>
            </w:r>
          </w:p>
        </w:tc>
      </w:tr>
      <w:tr w:rsidR="00F51276" w:rsidRPr="00F3531B" w:rsidTr="00920356">
        <w:trPr>
          <w:cantSplit/>
          <w:trHeight w:val="300"/>
          <w:jc w:val="center"/>
        </w:trPr>
        <w:tc>
          <w:tcPr>
            <w:tcW w:w="201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hideMark/>
          </w:tcPr>
          <w:p w:rsidR="00F51276" w:rsidRPr="00601A6A" w:rsidRDefault="00F51276" w:rsidP="00920356">
            <w:pPr>
              <w:tabs>
                <w:tab w:val="left" w:pos="1162"/>
              </w:tabs>
              <w:spacing w:before="80" w:after="80"/>
              <w:rPr>
                <w:rFonts w:cs="Arial"/>
                <w:color w:val="000000"/>
                <w:sz w:val="20"/>
                <w:szCs w:val="20"/>
              </w:rPr>
            </w:pPr>
            <w:r w:rsidRPr="00601A6A">
              <w:rPr>
                <w:rFonts w:cs="Arial"/>
                <w:color w:val="000000"/>
                <w:sz w:val="20"/>
                <w:szCs w:val="20"/>
              </w:rPr>
              <w:t>Actual Costs</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vAlign w:val="bottom"/>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6%</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vAlign w:val="bottom"/>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82%</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vAlign w:val="bottom"/>
          </w:tcPr>
          <w:p w:rsidR="00F51276" w:rsidRPr="002B0802" w:rsidRDefault="00F51276" w:rsidP="00920356">
            <w:pPr>
              <w:tabs>
                <w:tab w:val="left" w:pos="1162"/>
              </w:tabs>
              <w:spacing w:before="80" w:after="80"/>
              <w:jc w:val="center"/>
              <w:rPr>
                <w:rFonts w:cs="Arial"/>
                <w:color w:val="000000"/>
                <w:sz w:val="20"/>
                <w:szCs w:val="20"/>
                <w:highlight w:val="yellow"/>
              </w:rPr>
            </w:pPr>
            <w:r>
              <w:rPr>
                <w:rFonts w:ascii="Calibri" w:hAnsi="Calibri"/>
                <w:color w:val="000000"/>
              </w:rPr>
              <w:t>12%</w:t>
            </w:r>
          </w:p>
        </w:tc>
      </w:tr>
    </w:tbl>
    <w:p w:rsidR="00F51276" w:rsidRPr="00601A6A" w:rsidRDefault="00F51276" w:rsidP="00F51276">
      <w:pPr>
        <w:tabs>
          <w:tab w:val="left" w:pos="1162"/>
        </w:tabs>
        <w:spacing w:before="80"/>
        <w:ind w:left="567"/>
        <w:rPr>
          <w:rFonts w:cs="Arial"/>
          <w:i/>
          <w:sz w:val="20"/>
          <w:szCs w:val="20"/>
        </w:rPr>
      </w:pPr>
      <w:r w:rsidRPr="00601A6A">
        <w:rPr>
          <w:rFonts w:cs="Arial"/>
          <w:b/>
          <w:i/>
          <w:sz w:val="20"/>
          <w:szCs w:val="20"/>
        </w:rPr>
        <w:t xml:space="preserve">Note: </w:t>
      </w:r>
      <w:r w:rsidRPr="00601A6A">
        <w:rPr>
          <w:rFonts w:cs="Arial"/>
          <w:i/>
          <w:sz w:val="20"/>
          <w:szCs w:val="20"/>
        </w:rPr>
        <w:t>Same-day payment separation category has been combined with the short-stay outlier category.</w:t>
      </w:r>
    </w:p>
    <w:p w:rsidR="00F51276" w:rsidRPr="00D130B9" w:rsidRDefault="00F51276" w:rsidP="00F51276">
      <w:pPr>
        <w:tabs>
          <w:tab w:val="left" w:pos="1162"/>
        </w:tabs>
        <w:rPr>
          <w:rFonts w:cs="Arial"/>
          <w:szCs w:val="20"/>
        </w:rPr>
      </w:pPr>
      <w:r>
        <w:t>A</w:t>
      </w:r>
      <w:r w:rsidRPr="00D130B9">
        <w:rPr>
          <w:rFonts w:cs="Arial"/>
          <w:szCs w:val="20"/>
        </w:rPr>
        <w:t xml:space="preserve">pplying the </w:t>
      </w:r>
      <w:r>
        <w:rPr>
          <w:rFonts w:cs="Arial"/>
          <w:szCs w:val="20"/>
        </w:rPr>
        <w:t>narrower</w:t>
      </w:r>
      <w:r w:rsidRPr="00D130B9">
        <w:rPr>
          <w:rFonts w:cs="Arial"/>
          <w:szCs w:val="20"/>
        </w:rPr>
        <w:t xml:space="preserve"> inlier bounds to MDCs 19 and 20 (mental health) </w:t>
      </w:r>
      <w:r>
        <w:rPr>
          <w:rFonts w:cs="Arial"/>
          <w:szCs w:val="20"/>
        </w:rPr>
        <w:t xml:space="preserve">significantly </w:t>
      </w:r>
      <w:r w:rsidRPr="00D130B9">
        <w:rPr>
          <w:rFonts w:cs="Arial"/>
          <w:szCs w:val="20"/>
        </w:rPr>
        <w:t>improves the explanatory power of</w:t>
      </w:r>
      <w:r>
        <w:rPr>
          <w:rFonts w:cs="Arial"/>
          <w:szCs w:val="20"/>
        </w:rPr>
        <w:t xml:space="preserve"> the AR-DRG</w:t>
      </w:r>
      <w:r w:rsidRPr="00D130B9">
        <w:rPr>
          <w:rFonts w:cs="Arial"/>
          <w:szCs w:val="20"/>
        </w:rPr>
        <w:t xml:space="preserve"> </w:t>
      </w:r>
      <w:r>
        <w:rPr>
          <w:rFonts w:cs="Arial"/>
          <w:szCs w:val="20"/>
        </w:rPr>
        <w:t xml:space="preserve">inlier/outlier </w:t>
      </w:r>
      <w:r w:rsidRPr="00D130B9">
        <w:rPr>
          <w:rFonts w:cs="Arial"/>
          <w:szCs w:val="20"/>
        </w:rPr>
        <w:t xml:space="preserve">model for mental health patients to a level comparable to </w:t>
      </w:r>
      <w:r>
        <w:rPr>
          <w:rFonts w:cs="Arial"/>
          <w:szCs w:val="20"/>
        </w:rPr>
        <w:t>the model applied across all other activity</w:t>
      </w:r>
      <w:r w:rsidRPr="00D130B9">
        <w:rPr>
          <w:rFonts w:cs="Arial"/>
          <w:szCs w:val="20"/>
        </w:rPr>
        <w:t>.</w:t>
      </w:r>
    </w:p>
    <w:p w:rsidR="00F51276" w:rsidRDefault="00F51276" w:rsidP="00F51276">
      <w:pPr>
        <w:pStyle w:val="Heading3"/>
        <w:keepLines w:val="0"/>
        <w:numPr>
          <w:ilvl w:val="2"/>
          <w:numId w:val="64"/>
        </w:numPr>
        <w:tabs>
          <w:tab w:val="left" w:pos="1162"/>
        </w:tabs>
        <w:spacing w:before="240" w:after="120"/>
      </w:pPr>
      <w:bookmarkStart w:id="186" w:name="_Toc380754759"/>
      <w:bookmarkStart w:id="187" w:name="_Toc412550737"/>
      <w:r>
        <w:t>Cost parameters and adjustments</w:t>
      </w:r>
      <w:bookmarkEnd w:id="186"/>
      <w:bookmarkEnd w:id="187"/>
    </w:p>
    <w:p w:rsidR="00F51276" w:rsidRPr="00D130B9" w:rsidRDefault="00F51276" w:rsidP="00F51276">
      <w:pPr>
        <w:tabs>
          <w:tab w:val="left" w:pos="1162"/>
        </w:tabs>
        <w:rPr>
          <w:rFonts w:cs="Arial"/>
          <w:szCs w:val="20"/>
        </w:rPr>
      </w:pPr>
      <w:r w:rsidRPr="00D130B9">
        <w:rPr>
          <w:rFonts w:cs="Arial"/>
          <w:szCs w:val="20"/>
        </w:rPr>
        <w:t>The cost parameters of the</w:t>
      </w:r>
      <w:r>
        <w:rPr>
          <w:rFonts w:cs="Arial"/>
          <w:szCs w:val="20"/>
        </w:rPr>
        <w:t xml:space="preserve"> AR-DRG inlier/outlier model that apply </w:t>
      </w:r>
      <w:r w:rsidRPr="00D130B9">
        <w:rPr>
          <w:rFonts w:cs="Arial"/>
          <w:szCs w:val="20"/>
        </w:rPr>
        <w:t>to mental health patients are calculated in the same way as those for acute patients (see Section</w:t>
      </w:r>
      <w:r>
        <w:rPr>
          <w:rFonts w:cs="Arial"/>
          <w:szCs w:val="20"/>
        </w:rPr>
        <w:t xml:space="preserve">s </w:t>
      </w:r>
      <w:r>
        <w:rPr>
          <w:rFonts w:cs="Arial"/>
          <w:szCs w:val="20"/>
        </w:rPr>
        <w:fldChar w:fldCharType="begin"/>
      </w:r>
      <w:r>
        <w:rPr>
          <w:rFonts w:cs="Arial"/>
          <w:szCs w:val="20"/>
        </w:rPr>
        <w:instrText xml:space="preserve"> REF _Ref342387300 \r \h  \* MERGEFORMAT </w:instrText>
      </w:r>
      <w:r>
        <w:rPr>
          <w:rFonts w:cs="Arial"/>
          <w:szCs w:val="20"/>
        </w:rPr>
      </w:r>
      <w:r>
        <w:rPr>
          <w:rFonts w:cs="Arial"/>
          <w:szCs w:val="20"/>
        </w:rPr>
        <w:fldChar w:fldCharType="separate"/>
      </w:r>
      <w:r w:rsidR="00915776">
        <w:rPr>
          <w:rFonts w:cs="Arial"/>
          <w:szCs w:val="20"/>
        </w:rPr>
        <w:t>2.2.3</w:t>
      </w:r>
      <w:r>
        <w:rPr>
          <w:rFonts w:cs="Arial"/>
          <w:szCs w:val="20"/>
        </w:rPr>
        <w:fldChar w:fldCharType="end"/>
      </w:r>
      <w:r>
        <w:rPr>
          <w:rFonts w:cs="Arial"/>
          <w:szCs w:val="20"/>
        </w:rPr>
        <w:t xml:space="preserve"> to </w:t>
      </w:r>
      <w:r>
        <w:rPr>
          <w:rFonts w:cs="Arial"/>
          <w:szCs w:val="20"/>
        </w:rPr>
        <w:fldChar w:fldCharType="begin"/>
      </w:r>
      <w:r>
        <w:rPr>
          <w:rFonts w:cs="Arial"/>
          <w:szCs w:val="20"/>
        </w:rPr>
        <w:instrText xml:space="preserve"> REF _Ref342387309 \r \h  \* MERGEFORMAT </w:instrText>
      </w:r>
      <w:r>
        <w:rPr>
          <w:rFonts w:cs="Arial"/>
          <w:szCs w:val="20"/>
        </w:rPr>
      </w:r>
      <w:r>
        <w:rPr>
          <w:rFonts w:cs="Arial"/>
          <w:szCs w:val="20"/>
        </w:rPr>
        <w:fldChar w:fldCharType="separate"/>
      </w:r>
      <w:r w:rsidR="00915776">
        <w:rPr>
          <w:rFonts w:cs="Arial"/>
          <w:szCs w:val="20"/>
        </w:rPr>
        <w:t>2.2.6</w:t>
      </w:r>
      <w:r>
        <w:rPr>
          <w:rFonts w:cs="Arial"/>
          <w:szCs w:val="20"/>
        </w:rPr>
        <w:fldChar w:fldCharType="end"/>
      </w:r>
      <w:r w:rsidRPr="00D130B9">
        <w:rPr>
          <w:rFonts w:cs="Arial"/>
          <w:szCs w:val="20"/>
        </w:rPr>
        <w:t>)</w:t>
      </w:r>
      <w:r>
        <w:rPr>
          <w:rFonts w:cs="Arial"/>
          <w:szCs w:val="20"/>
        </w:rPr>
        <w:t xml:space="preserve">. </w:t>
      </w:r>
      <w:r w:rsidRPr="00D130B9">
        <w:rPr>
          <w:rFonts w:cs="Arial"/>
          <w:szCs w:val="20"/>
        </w:rPr>
        <w:t xml:space="preserve">The </w:t>
      </w:r>
      <w:r>
        <w:rPr>
          <w:rFonts w:cs="Arial"/>
          <w:szCs w:val="20"/>
        </w:rPr>
        <w:t xml:space="preserve">resulting cost </w:t>
      </w:r>
      <w:r w:rsidRPr="00D130B9">
        <w:rPr>
          <w:rFonts w:cs="Arial"/>
          <w:szCs w:val="20"/>
        </w:rPr>
        <w:t>parameters for mental health patients differ to the extent that MDCs 19 and 20 use L1.5H1.5 to define the inlier bounds.</w:t>
      </w:r>
    </w:p>
    <w:p w:rsidR="00F51276" w:rsidRPr="00D130B9" w:rsidRDefault="00F51276" w:rsidP="00F51276">
      <w:pPr>
        <w:tabs>
          <w:tab w:val="left" w:pos="1162"/>
        </w:tabs>
        <w:rPr>
          <w:rFonts w:cs="Arial"/>
          <w:szCs w:val="20"/>
        </w:rPr>
      </w:pPr>
      <w:r w:rsidRPr="00D130B9">
        <w:rPr>
          <w:rFonts w:cs="Arial"/>
          <w:szCs w:val="20"/>
        </w:rPr>
        <w:t xml:space="preserve">The calculation and application of the adjustments are broadly similar </w:t>
      </w:r>
      <w:r>
        <w:rPr>
          <w:rFonts w:cs="Arial"/>
          <w:szCs w:val="20"/>
        </w:rPr>
        <w:t xml:space="preserve">to the acute model, with </w:t>
      </w:r>
      <w:r w:rsidRPr="00D130B9">
        <w:rPr>
          <w:rFonts w:cs="Arial"/>
          <w:szCs w:val="20"/>
        </w:rPr>
        <w:t>a number of important differences</w:t>
      </w:r>
      <w:r>
        <w:rPr>
          <w:rFonts w:cs="Arial"/>
          <w:szCs w:val="20"/>
        </w:rPr>
        <w:t>. E</w:t>
      </w:r>
      <w:r w:rsidRPr="00D130B9">
        <w:rPr>
          <w:rFonts w:cs="Arial"/>
          <w:szCs w:val="20"/>
        </w:rPr>
        <w:t xml:space="preserve">mpirical evidence was analysed for a number of </w:t>
      </w:r>
      <w:r>
        <w:rPr>
          <w:rFonts w:cs="Arial"/>
          <w:szCs w:val="20"/>
        </w:rPr>
        <w:t xml:space="preserve">mental health specific </w:t>
      </w:r>
      <w:r w:rsidRPr="00D130B9">
        <w:rPr>
          <w:rFonts w:cs="Arial"/>
          <w:szCs w:val="20"/>
        </w:rPr>
        <w:t xml:space="preserve">adjustments on the advice of the </w:t>
      </w:r>
      <w:r>
        <w:rPr>
          <w:rFonts w:cs="Arial"/>
          <w:szCs w:val="20"/>
        </w:rPr>
        <w:t xml:space="preserve">IHPA </w:t>
      </w:r>
      <w:r w:rsidRPr="00D130B9">
        <w:rPr>
          <w:rFonts w:cs="Arial"/>
          <w:szCs w:val="20"/>
        </w:rPr>
        <w:t>Mental Health Working Group.</w:t>
      </w:r>
      <w:r>
        <w:rPr>
          <w:rFonts w:cs="Arial"/>
          <w:szCs w:val="20"/>
        </w:rPr>
        <w:t xml:space="preserve"> The cost analysis was undertaken in preparation for NEP15 and the age groups have been modified from those used in NEP14.</w:t>
      </w:r>
    </w:p>
    <w:p w:rsidR="00F51276" w:rsidRPr="00D130B9" w:rsidRDefault="00F51276" w:rsidP="00F51276">
      <w:pPr>
        <w:tabs>
          <w:tab w:val="left" w:pos="1162"/>
        </w:tabs>
        <w:rPr>
          <w:rFonts w:cs="Arial"/>
          <w:szCs w:val="20"/>
        </w:rPr>
      </w:pPr>
      <w:r w:rsidRPr="00D130B9">
        <w:rPr>
          <w:rFonts w:cs="Arial"/>
          <w:szCs w:val="20"/>
        </w:rPr>
        <w:t>The different adjustments for mental</w:t>
      </w:r>
      <w:r>
        <w:rPr>
          <w:rFonts w:cs="Arial"/>
          <w:szCs w:val="20"/>
        </w:rPr>
        <w:t xml:space="preserve"> health patients are as follows:</w:t>
      </w:r>
    </w:p>
    <w:p w:rsidR="00F51276" w:rsidRPr="00D130B9" w:rsidRDefault="00F51276" w:rsidP="00F51276">
      <w:pPr>
        <w:pStyle w:val="ListParagraph"/>
        <w:numPr>
          <w:ilvl w:val="0"/>
          <w:numId w:val="30"/>
        </w:numPr>
        <w:tabs>
          <w:tab w:val="left" w:pos="1162"/>
        </w:tabs>
        <w:ind w:left="714" w:hanging="357"/>
        <w:rPr>
          <w:rFonts w:cs="Arial"/>
          <w:szCs w:val="20"/>
        </w:rPr>
      </w:pPr>
      <w:r w:rsidRPr="00D130B9">
        <w:rPr>
          <w:rFonts w:cs="Arial"/>
          <w:szCs w:val="20"/>
        </w:rPr>
        <w:t>Patients with</w:t>
      </w:r>
      <w:r>
        <w:rPr>
          <w:rFonts w:cs="Arial"/>
          <w:szCs w:val="20"/>
        </w:rPr>
        <w:t xml:space="preserve"> registered</w:t>
      </w:r>
      <w:r w:rsidRPr="00D130B9">
        <w:rPr>
          <w:rFonts w:cs="Arial"/>
          <w:szCs w:val="20"/>
        </w:rPr>
        <w:t xml:space="preserve"> psychiatric care days </w:t>
      </w:r>
      <w:r>
        <w:rPr>
          <w:rFonts w:cs="Arial"/>
          <w:szCs w:val="20"/>
        </w:rPr>
        <w:t>are</w:t>
      </w:r>
      <w:r w:rsidRPr="00D130B9">
        <w:rPr>
          <w:rFonts w:cs="Arial"/>
          <w:szCs w:val="20"/>
        </w:rPr>
        <w:t xml:space="preserve"> identified and broken into five age groups</w:t>
      </w:r>
      <w:r>
        <w:rPr>
          <w:rFonts w:cs="Arial"/>
          <w:szCs w:val="20"/>
        </w:rPr>
        <w:t>, with the following two groups exhibiting significantly higher costs making them</w:t>
      </w:r>
      <w:r>
        <w:t xml:space="preserve"> </w:t>
      </w:r>
      <w:r w:rsidRPr="00C36F8A">
        <w:rPr>
          <w:rFonts w:cs="Arial"/>
          <w:szCs w:val="20"/>
        </w:rPr>
        <w:t>eligible for adjustment</w:t>
      </w:r>
      <w:r w:rsidRPr="00D130B9">
        <w:rPr>
          <w:rFonts w:cs="Arial"/>
          <w:szCs w:val="20"/>
        </w:rPr>
        <w:t>:</w:t>
      </w:r>
    </w:p>
    <w:p w:rsidR="00F51276" w:rsidRDefault="00F51276" w:rsidP="00F51276">
      <w:pPr>
        <w:pStyle w:val="ListParagraph"/>
        <w:numPr>
          <w:ilvl w:val="1"/>
          <w:numId w:val="55"/>
        </w:numPr>
        <w:tabs>
          <w:tab w:val="left" w:pos="1162"/>
        </w:tabs>
        <w:spacing w:after="0"/>
        <w:ind w:left="1434" w:hanging="357"/>
        <w:rPr>
          <w:rFonts w:cs="Arial"/>
          <w:szCs w:val="20"/>
        </w:rPr>
      </w:pPr>
      <w:r w:rsidRPr="001E6E34">
        <w:rPr>
          <w:rFonts w:cs="Arial"/>
          <w:szCs w:val="20"/>
        </w:rPr>
        <w:t>Less than or equal to 17 years</w:t>
      </w:r>
      <w:r>
        <w:rPr>
          <w:rFonts w:cs="Arial"/>
          <w:szCs w:val="20"/>
        </w:rPr>
        <w:t>; and</w:t>
      </w:r>
    </w:p>
    <w:p w:rsidR="00F51276" w:rsidRPr="001E6E34" w:rsidRDefault="00F51276" w:rsidP="00F51276">
      <w:pPr>
        <w:pStyle w:val="ListParagraph"/>
        <w:numPr>
          <w:ilvl w:val="1"/>
          <w:numId w:val="55"/>
        </w:numPr>
        <w:tabs>
          <w:tab w:val="left" w:pos="1162"/>
        </w:tabs>
        <w:spacing w:after="0"/>
        <w:ind w:left="1434" w:hanging="357"/>
        <w:rPr>
          <w:rFonts w:cs="Arial"/>
          <w:szCs w:val="20"/>
        </w:rPr>
      </w:pPr>
      <w:r w:rsidRPr="001E6E34">
        <w:rPr>
          <w:rFonts w:cs="Arial"/>
          <w:szCs w:val="20"/>
        </w:rPr>
        <w:t xml:space="preserve">Greater than </w:t>
      </w:r>
      <w:r>
        <w:rPr>
          <w:rFonts w:cs="Arial"/>
          <w:szCs w:val="20"/>
        </w:rPr>
        <w:t>17</w:t>
      </w:r>
      <w:r w:rsidRPr="001E6E34">
        <w:rPr>
          <w:rFonts w:cs="Arial"/>
          <w:szCs w:val="20"/>
        </w:rPr>
        <w:t xml:space="preserve"> years</w:t>
      </w:r>
      <w:r>
        <w:rPr>
          <w:rFonts w:cs="Arial"/>
          <w:szCs w:val="20"/>
        </w:rPr>
        <w:t xml:space="preserve"> and not in MDCs 19 and 20. </w:t>
      </w:r>
    </w:p>
    <w:p w:rsidR="00F51276" w:rsidRPr="00D130B9" w:rsidRDefault="00F51276" w:rsidP="00F51276">
      <w:pPr>
        <w:pStyle w:val="ListParagraph"/>
        <w:numPr>
          <w:ilvl w:val="0"/>
          <w:numId w:val="30"/>
        </w:numPr>
        <w:tabs>
          <w:tab w:val="left" w:pos="1162"/>
        </w:tabs>
        <w:spacing w:before="120"/>
        <w:ind w:left="714" w:hanging="357"/>
        <w:rPr>
          <w:rFonts w:cs="Arial"/>
          <w:szCs w:val="20"/>
        </w:rPr>
      </w:pPr>
      <w:r w:rsidRPr="00D130B9">
        <w:rPr>
          <w:rFonts w:cs="Arial"/>
          <w:szCs w:val="20"/>
        </w:rPr>
        <w:t xml:space="preserve">Patients </w:t>
      </w:r>
      <w:r w:rsidR="003F3455">
        <w:rPr>
          <w:rFonts w:cs="Arial"/>
          <w:szCs w:val="20"/>
        </w:rPr>
        <w:t>with age less than or equal to</w:t>
      </w:r>
      <w:bookmarkStart w:id="188" w:name="_GoBack"/>
      <w:bookmarkEnd w:id="188"/>
      <w:r w:rsidRPr="00D130B9">
        <w:rPr>
          <w:rFonts w:cs="Arial"/>
          <w:szCs w:val="20"/>
        </w:rPr>
        <w:t xml:space="preserve"> 17 years</w:t>
      </w:r>
      <w:r>
        <w:rPr>
          <w:rFonts w:cs="Arial"/>
          <w:szCs w:val="20"/>
        </w:rPr>
        <w:t xml:space="preserve"> with registered psychiatric care days are</w:t>
      </w:r>
      <w:r w:rsidRPr="00D130B9">
        <w:rPr>
          <w:rFonts w:cs="Arial"/>
          <w:szCs w:val="20"/>
        </w:rPr>
        <w:t xml:space="preserve"> </w:t>
      </w:r>
      <w:r>
        <w:rPr>
          <w:rFonts w:cs="Arial"/>
          <w:szCs w:val="20"/>
        </w:rPr>
        <w:t xml:space="preserve">further </w:t>
      </w:r>
      <w:r w:rsidRPr="00D130B9">
        <w:rPr>
          <w:rFonts w:cs="Arial"/>
          <w:szCs w:val="20"/>
        </w:rPr>
        <w:t xml:space="preserve">divided into </w:t>
      </w:r>
      <w:r>
        <w:rPr>
          <w:rFonts w:cs="Arial"/>
          <w:szCs w:val="20"/>
        </w:rPr>
        <w:t xml:space="preserve">two groups, </w:t>
      </w:r>
      <w:r w:rsidRPr="00D130B9">
        <w:rPr>
          <w:rFonts w:cs="Arial"/>
          <w:szCs w:val="20"/>
        </w:rPr>
        <w:t xml:space="preserve">those that </w:t>
      </w:r>
      <w:r>
        <w:rPr>
          <w:rFonts w:cs="Arial"/>
          <w:szCs w:val="20"/>
        </w:rPr>
        <w:t xml:space="preserve">have </w:t>
      </w:r>
      <w:r w:rsidRPr="00D130B9">
        <w:rPr>
          <w:rFonts w:cs="Arial"/>
          <w:szCs w:val="20"/>
        </w:rPr>
        <w:t xml:space="preserve">received care in </w:t>
      </w:r>
      <w:r>
        <w:rPr>
          <w:rFonts w:cs="Arial"/>
          <w:szCs w:val="20"/>
        </w:rPr>
        <w:t xml:space="preserve">one of </w:t>
      </w:r>
      <w:r w:rsidRPr="00D130B9">
        <w:rPr>
          <w:rFonts w:cs="Arial"/>
          <w:szCs w:val="20"/>
        </w:rPr>
        <w:t xml:space="preserve">the </w:t>
      </w:r>
      <w:r>
        <w:rPr>
          <w:rFonts w:cs="Arial"/>
          <w:szCs w:val="20"/>
        </w:rPr>
        <w:t>ten</w:t>
      </w:r>
      <w:r w:rsidRPr="00D130B9">
        <w:rPr>
          <w:rFonts w:cs="Arial"/>
          <w:szCs w:val="20"/>
        </w:rPr>
        <w:t xml:space="preserve"> specialist paediatric hospitals and </w:t>
      </w:r>
      <w:r>
        <w:rPr>
          <w:rFonts w:cs="Arial"/>
          <w:szCs w:val="20"/>
        </w:rPr>
        <w:t>those that have not</w:t>
      </w:r>
      <w:r w:rsidRPr="00D130B9">
        <w:rPr>
          <w:rFonts w:cs="Arial"/>
          <w:szCs w:val="20"/>
        </w:rPr>
        <w:t>.</w:t>
      </w:r>
    </w:p>
    <w:p w:rsidR="00F51276" w:rsidRPr="00D130B9" w:rsidRDefault="00F51276" w:rsidP="00F51276">
      <w:pPr>
        <w:pStyle w:val="ListParagraph"/>
        <w:numPr>
          <w:ilvl w:val="0"/>
          <w:numId w:val="30"/>
        </w:numPr>
        <w:tabs>
          <w:tab w:val="left" w:pos="1162"/>
        </w:tabs>
        <w:spacing w:before="120"/>
        <w:ind w:left="714" w:hanging="357"/>
        <w:rPr>
          <w:rFonts w:cs="Arial"/>
          <w:szCs w:val="20"/>
        </w:rPr>
      </w:pPr>
      <w:r>
        <w:rPr>
          <w:rFonts w:cs="Arial"/>
          <w:szCs w:val="20"/>
        </w:rPr>
        <w:t>Specialist psychiatric age a</w:t>
      </w:r>
      <w:r w:rsidRPr="00D130B9">
        <w:rPr>
          <w:rFonts w:cs="Arial"/>
          <w:szCs w:val="20"/>
        </w:rPr>
        <w:t xml:space="preserve">djustments </w:t>
      </w:r>
      <w:r>
        <w:rPr>
          <w:rFonts w:cs="Arial"/>
          <w:szCs w:val="20"/>
        </w:rPr>
        <w:t>are</w:t>
      </w:r>
      <w:r w:rsidRPr="00D130B9">
        <w:rPr>
          <w:rFonts w:cs="Arial"/>
          <w:szCs w:val="20"/>
        </w:rPr>
        <w:t xml:space="preserve"> derived </w:t>
      </w:r>
      <w:r>
        <w:rPr>
          <w:rFonts w:cs="Arial"/>
          <w:szCs w:val="20"/>
        </w:rPr>
        <w:t>from</w:t>
      </w:r>
      <w:r w:rsidRPr="00D130B9">
        <w:rPr>
          <w:rFonts w:cs="Arial"/>
          <w:szCs w:val="20"/>
        </w:rPr>
        <w:t xml:space="preserve"> the age categories</w:t>
      </w:r>
      <w:r>
        <w:rPr>
          <w:rFonts w:cs="Arial"/>
          <w:szCs w:val="20"/>
        </w:rPr>
        <w:t>,</w:t>
      </w:r>
      <w:r w:rsidRPr="00D130B9">
        <w:rPr>
          <w:rFonts w:cs="Arial"/>
          <w:szCs w:val="20"/>
        </w:rPr>
        <w:t xml:space="preserve"> as set out in </w:t>
      </w:r>
      <w:r w:rsidRPr="00D873DE">
        <w:rPr>
          <w:rFonts w:cs="Arial"/>
          <w:szCs w:val="20"/>
        </w:rPr>
        <w:t>Table 1</w:t>
      </w:r>
      <w:r>
        <w:rPr>
          <w:rFonts w:cs="Arial"/>
          <w:szCs w:val="20"/>
        </w:rPr>
        <w:t xml:space="preserve"> of</w:t>
      </w:r>
      <w:r w:rsidRPr="00D130B9">
        <w:rPr>
          <w:rFonts w:cs="Arial"/>
          <w:szCs w:val="20"/>
        </w:rPr>
        <w:t xml:space="preserve"> the </w:t>
      </w:r>
      <w:r w:rsidRPr="000B33D2">
        <w:rPr>
          <w:rFonts w:cs="Arial"/>
          <w:szCs w:val="20"/>
        </w:rPr>
        <w:t>NEP15 Determination</w:t>
      </w:r>
      <w:r w:rsidRPr="00D130B9">
        <w:rPr>
          <w:rFonts w:cs="Arial"/>
          <w:szCs w:val="20"/>
        </w:rPr>
        <w:t>.</w:t>
      </w:r>
    </w:p>
    <w:p w:rsidR="00F51276" w:rsidRDefault="00F51276" w:rsidP="00F51276">
      <w:pPr>
        <w:pStyle w:val="ListParagraph"/>
        <w:numPr>
          <w:ilvl w:val="0"/>
          <w:numId w:val="30"/>
        </w:numPr>
        <w:tabs>
          <w:tab w:val="left" w:pos="1162"/>
        </w:tabs>
        <w:spacing w:before="120"/>
        <w:ind w:left="714" w:hanging="357"/>
        <w:rPr>
          <w:rFonts w:cs="Arial"/>
          <w:szCs w:val="20"/>
        </w:rPr>
      </w:pPr>
      <w:r w:rsidRPr="00D130B9">
        <w:rPr>
          <w:rFonts w:cs="Arial"/>
          <w:szCs w:val="20"/>
        </w:rPr>
        <w:lastRenderedPageBreak/>
        <w:t>Mental health patients also accrue other relevant adjustments that apply to acute admitted patients.</w:t>
      </w:r>
    </w:p>
    <w:p w:rsidR="00F51276" w:rsidRDefault="00F51276" w:rsidP="00F51276">
      <w:pPr>
        <w:pStyle w:val="Heading3"/>
        <w:keepLines w:val="0"/>
        <w:numPr>
          <w:ilvl w:val="2"/>
          <w:numId w:val="64"/>
        </w:numPr>
        <w:spacing w:before="240" w:after="120"/>
      </w:pPr>
      <w:bookmarkStart w:id="189" w:name="_Toc380754760"/>
      <w:bookmarkStart w:id="190" w:name="_Toc412550738"/>
      <w:r w:rsidRPr="004E7836">
        <w:t>Price weights and NWAU</w:t>
      </w:r>
      <w:bookmarkEnd w:id="189"/>
      <w:bookmarkEnd w:id="190"/>
    </w:p>
    <w:p w:rsidR="00F51276" w:rsidRDefault="00F51276" w:rsidP="00F51276">
      <w:pPr>
        <w:tabs>
          <w:tab w:val="left" w:pos="1162"/>
        </w:tabs>
        <w:rPr>
          <w:rFonts w:cs="Arial"/>
          <w:szCs w:val="20"/>
        </w:rPr>
      </w:pPr>
      <w:r>
        <w:rPr>
          <w:rFonts w:cs="Arial"/>
          <w:szCs w:val="20"/>
        </w:rPr>
        <w:t xml:space="preserve">See Section </w:t>
      </w:r>
      <w:r>
        <w:rPr>
          <w:rFonts w:cs="Arial"/>
          <w:szCs w:val="20"/>
        </w:rPr>
        <w:fldChar w:fldCharType="begin"/>
      </w:r>
      <w:r>
        <w:rPr>
          <w:rFonts w:cs="Arial"/>
          <w:szCs w:val="20"/>
        </w:rPr>
        <w:instrText xml:space="preserve"> REF _Ref342385160 \r \h  \* MERGEFORMAT </w:instrText>
      </w:r>
      <w:r>
        <w:rPr>
          <w:rFonts w:cs="Arial"/>
          <w:szCs w:val="20"/>
        </w:rPr>
      </w:r>
      <w:r>
        <w:rPr>
          <w:rFonts w:cs="Arial"/>
          <w:szCs w:val="20"/>
        </w:rPr>
        <w:fldChar w:fldCharType="separate"/>
      </w:r>
      <w:r w:rsidR="00915776">
        <w:rPr>
          <w:rFonts w:cs="Arial"/>
          <w:szCs w:val="20"/>
        </w:rPr>
        <w:t>2.2.10</w:t>
      </w:r>
      <w:r>
        <w:rPr>
          <w:rFonts w:cs="Arial"/>
          <w:szCs w:val="20"/>
        </w:rPr>
        <w:fldChar w:fldCharType="end"/>
      </w:r>
      <w:r>
        <w:rPr>
          <w:rFonts w:cs="Arial"/>
          <w:szCs w:val="20"/>
        </w:rPr>
        <w:t>.</w:t>
      </w:r>
    </w:p>
    <w:p w:rsidR="00F51276" w:rsidRDefault="00F51276" w:rsidP="00F51276">
      <w:pPr>
        <w:pStyle w:val="Heading2"/>
        <w:keepLines w:val="0"/>
        <w:numPr>
          <w:ilvl w:val="1"/>
          <w:numId w:val="64"/>
        </w:numPr>
        <w:tabs>
          <w:tab w:val="left" w:pos="1162"/>
        </w:tabs>
        <w:spacing w:after="60"/>
      </w:pPr>
      <w:bookmarkStart w:id="191" w:name="_Toc380754761"/>
      <w:bookmarkStart w:id="192" w:name="_Toc412550739"/>
      <w:r>
        <w:t>Assigning NWAU to mental health patient data</w:t>
      </w:r>
      <w:bookmarkEnd w:id="191"/>
      <w:bookmarkEnd w:id="192"/>
    </w:p>
    <w:p w:rsidR="00F51276" w:rsidRPr="00D130B9" w:rsidRDefault="00F51276" w:rsidP="00F51276">
      <w:pPr>
        <w:tabs>
          <w:tab w:val="left" w:pos="1162"/>
        </w:tabs>
        <w:rPr>
          <w:rFonts w:cs="Arial"/>
          <w:szCs w:val="20"/>
        </w:rPr>
      </w:pPr>
      <w:r>
        <w:rPr>
          <w:rFonts w:cs="Arial"/>
          <w:szCs w:val="20"/>
        </w:rPr>
        <w:t>See Sections 2.3 and 2.4.</w:t>
      </w:r>
    </w:p>
    <w:p w:rsidR="00F51276" w:rsidRDefault="00F51276" w:rsidP="00F51276">
      <w:pPr>
        <w:tabs>
          <w:tab w:val="left" w:pos="1162"/>
        </w:tabs>
      </w:pPr>
    </w:p>
    <w:p w:rsidR="00F51276" w:rsidRDefault="00F51276" w:rsidP="00F51276">
      <w:pPr>
        <w:tabs>
          <w:tab w:val="left" w:pos="1162"/>
        </w:tabs>
      </w:pPr>
    </w:p>
    <w:p w:rsidR="00F51276" w:rsidRDefault="00F51276" w:rsidP="00F51276">
      <w:pPr>
        <w:pStyle w:val="Heading1"/>
        <w:pageBreakBefore/>
        <w:numPr>
          <w:ilvl w:val="0"/>
          <w:numId w:val="35"/>
        </w:numPr>
        <w:spacing w:before="100" w:beforeAutospacing="1" w:after="100" w:afterAutospacing="1"/>
      </w:pPr>
      <w:bookmarkStart w:id="193" w:name="_Toc412550740"/>
      <w:r>
        <w:lastRenderedPageBreak/>
        <w:t>Subacute and non-acute admitted care cost model</w:t>
      </w:r>
      <w:bookmarkEnd w:id="193"/>
    </w:p>
    <w:p w:rsidR="00F51276" w:rsidRDefault="00F51276" w:rsidP="00F51276">
      <w:pPr>
        <w:pStyle w:val="Heading2"/>
        <w:keepLines w:val="0"/>
        <w:numPr>
          <w:ilvl w:val="1"/>
          <w:numId w:val="35"/>
        </w:numPr>
        <w:tabs>
          <w:tab w:val="left" w:pos="1162"/>
        </w:tabs>
        <w:spacing w:after="60"/>
      </w:pPr>
      <w:bookmarkStart w:id="194" w:name="_Toc380754736"/>
      <w:bookmarkStart w:id="195" w:name="_Toc412550741"/>
      <w:r>
        <w:t>General issues</w:t>
      </w:r>
      <w:bookmarkEnd w:id="194"/>
      <w:bookmarkEnd w:id="195"/>
    </w:p>
    <w:p w:rsidR="00F51276" w:rsidRPr="001E55B4" w:rsidRDefault="00F51276" w:rsidP="00F51276">
      <w:pPr>
        <w:pStyle w:val="Heading3"/>
        <w:keepLines w:val="0"/>
        <w:numPr>
          <w:ilvl w:val="2"/>
          <w:numId w:val="35"/>
        </w:numPr>
        <w:tabs>
          <w:tab w:val="left" w:pos="1162"/>
        </w:tabs>
        <w:spacing w:before="240" w:after="120"/>
      </w:pPr>
      <w:bookmarkStart w:id="196" w:name="_Toc380754737"/>
      <w:bookmarkStart w:id="197" w:name="_Toc412550742"/>
      <w:r>
        <w:t>Cost Unit</w:t>
      </w:r>
      <w:bookmarkEnd w:id="196"/>
      <w:bookmarkEnd w:id="197"/>
    </w:p>
    <w:p w:rsidR="00F51276" w:rsidRDefault="00F51276" w:rsidP="00F51276">
      <w:pPr>
        <w:tabs>
          <w:tab w:val="left" w:pos="1162"/>
        </w:tabs>
        <w:rPr>
          <w:rFonts w:cs="Arial"/>
          <w:szCs w:val="20"/>
        </w:rPr>
      </w:pPr>
      <w:r w:rsidRPr="009E1B1B">
        <w:rPr>
          <w:rFonts w:cs="Arial"/>
          <w:szCs w:val="20"/>
        </w:rPr>
        <w:t>An ‘episode of admitted patient care’</w:t>
      </w:r>
      <w:r w:rsidRPr="009E1B1B">
        <w:rPr>
          <w:rStyle w:val="FootnoteReference"/>
          <w:rFonts w:cs="Arial"/>
          <w:szCs w:val="20"/>
        </w:rPr>
        <w:footnoteReference w:id="16"/>
      </w:r>
      <w:r w:rsidRPr="009E1B1B">
        <w:rPr>
          <w:rFonts w:cs="Arial"/>
          <w:szCs w:val="20"/>
        </w:rPr>
        <w:t xml:space="preserve"> is the </w:t>
      </w:r>
      <w:r>
        <w:rPr>
          <w:rFonts w:cs="Arial"/>
          <w:szCs w:val="20"/>
        </w:rPr>
        <w:t xml:space="preserve">cost </w:t>
      </w:r>
      <w:r w:rsidRPr="009E1B1B">
        <w:rPr>
          <w:rFonts w:cs="Arial"/>
          <w:szCs w:val="20"/>
        </w:rPr>
        <w:t>unit for subacute and non-acute admitted patients</w:t>
      </w:r>
      <w:r>
        <w:rPr>
          <w:rFonts w:cs="Arial"/>
          <w:szCs w:val="20"/>
        </w:rPr>
        <w:t xml:space="preserve">. </w:t>
      </w:r>
      <w:r w:rsidRPr="009E1B1B">
        <w:rPr>
          <w:rFonts w:cs="Arial"/>
          <w:szCs w:val="20"/>
        </w:rPr>
        <w:t>It is “[t]</w:t>
      </w:r>
      <w:r w:rsidRPr="009E1B1B">
        <w:rPr>
          <w:rFonts w:cs="Arial"/>
          <w:i/>
          <w:szCs w:val="20"/>
        </w:rPr>
        <w:t>he period of admitted patient care … characterised by only one care type</w:t>
      </w:r>
      <w:r w:rsidRPr="009E1B1B">
        <w:rPr>
          <w:rFonts w:cs="Arial"/>
          <w:szCs w:val="20"/>
        </w:rPr>
        <w:t>”</w:t>
      </w:r>
      <w:r w:rsidRPr="009E1B1B">
        <w:rPr>
          <w:rStyle w:val="FootnoteReference"/>
          <w:rFonts w:cs="Arial"/>
          <w:szCs w:val="20"/>
        </w:rPr>
        <w:t xml:space="preserve"> </w:t>
      </w:r>
      <w:r w:rsidRPr="009E1B1B">
        <w:rPr>
          <w:rStyle w:val="FootnoteReference"/>
          <w:rFonts w:cs="Arial"/>
          <w:szCs w:val="20"/>
        </w:rPr>
        <w:footnoteReference w:id="17"/>
      </w:r>
      <w:r w:rsidRPr="009E1B1B">
        <w:rPr>
          <w:rFonts w:cs="Arial"/>
          <w:szCs w:val="20"/>
        </w:rPr>
        <w:t xml:space="preserve">, and covers the period of care from admission to </w:t>
      </w:r>
      <w:r w:rsidR="00B71156">
        <w:rPr>
          <w:rFonts w:cs="Arial"/>
          <w:szCs w:val="20"/>
        </w:rPr>
        <w:t>separation</w:t>
      </w:r>
      <w:r>
        <w:rPr>
          <w:rFonts w:cs="Arial"/>
          <w:szCs w:val="20"/>
        </w:rPr>
        <w:t>.</w:t>
      </w:r>
    </w:p>
    <w:p w:rsidR="00F51276" w:rsidRDefault="00F51276" w:rsidP="00F51276">
      <w:pPr>
        <w:pStyle w:val="Heading3"/>
        <w:keepLines w:val="0"/>
        <w:numPr>
          <w:ilvl w:val="2"/>
          <w:numId w:val="35"/>
        </w:numPr>
        <w:tabs>
          <w:tab w:val="left" w:pos="1162"/>
        </w:tabs>
        <w:spacing w:before="240" w:after="120"/>
      </w:pPr>
      <w:bookmarkStart w:id="198" w:name="_Toc380754738"/>
      <w:bookmarkStart w:id="199" w:name="_Toc412550743"/>
      <w:r>
        <w:t>Scope</w:t>
      </w:r>
      <w:bookmarkEnd w:id="198"/>
      <w:bookmarkEnd w:id="199"/>
    </w:p>
    <w:p w:rsidR="00F51276" w:rsidRPr="00933C6F" w:rsidRDefault="00F51276" w:rsidP="00F51276">
      <w:pPr>
        <w:tabs>
          <w:tab w:val="left" w:pos="1162"/>
        </w:tabs>
        <w:rPr>
          <w:rFonts w:cs="Arial"/>
          <w:szCs w:val="20"/>
        </w:rPr>
      </w:pPr>
      <w:r w:rsidRPr="00933C6F">
        <w:rPr>
          <w:rFonts w:cs="Arial"/>
          <w:szCs w:val="20"/>
        </w:rPr>
        <w:t>Subacute and non-acute admitted care is that provided to patients who undergo a facility’s formal admission</w:t>
      </w:r>
      <w:r w:rsidRPr="00933C6F">
        <w:rPr>
          <w:rStyle w:val="FootnoteReference"/>
          <w:rFonts w:cs="Arial"/>
          <w:szCs w:val="20"/>
        </w:rPr>
        <w:footnoteReference w:id="18"/>
      </w:r>
      <w:r w:rsidRPr="00933C6F">
        <w:rPr>
          <w:rFonts w:cs="Arial"/>
          <w:szCs w:val="20"/>
        </w:rPr>
        <w:t xml:space="preserve"> processes, where the clinical intent or treatment goal is the provision of subacute </w:t>
      </w:r>
      <w:r>
        <w:rPr>
          <w:rFonts w:cs="Arial"/>
          <w:szCs w:val="20"/>
        </w:rPr>
        <w:t xml:space="preserve">or non-acute </w:t>
      </w:r>
      <w:r w:rsidRPr="00933C6F">
        <w:rPr>
          <w:rFonts w:cs="Arial"/>
          <w:szCs w:val="20"/>
        </w:rPr>
        <w:t>care.</w:t>
      </w:r>
    </w:p>
    <w:p w:rsidR="00F51276" w:rsidRDefault="00F51276" w:rsidP="00F51276">
      <w:pPr>
        <w:tabs>
          <w:tab w:val="left" w:pos="1162"/>
        </w:tabs>
      </w:pPr>
      <w:r w:rsidRPr="00933C6F">
        <w:rPr>
          <w:rFonts w:cs="Arial"/>
          <w:szCs w:val="20"/>
        </w:rPr>
        <w:t>In-scope hospitals and patients are as defined for acute admitted patients</w:t>
      </w:r>
      <w:r>
        <w:rPr>
          <w:rFonts w:cs="Arial"/>
          <w:szCs w:val="20"/>
        </w:rPr>
        <w:t>,</w:t>
      </w:r>
      <w:r w:rsidRPr="00933C6F">
        <w:rPr>
          <w:rFonts w:cs="Arial"/>
          <w:szCs w:val="20"/>
        </w:rPr>
        <w:t xml:space="preserve"> except that the patients are admitted into a care type for subacute or non-acute care</w:t>
      </w:r>
      <w:r>
        <w:t>.</w:t>
      </w:r>
    </w:p>
    <w:p w:rsidR="00F51276" w:rsidRDefault="00F51276" w:rsidP="00F51276">
      <w:pPr>
        <w:pStyle w:val="Heading3"/>
        <w:keepLines w:val="0"/>
        <w:numPr>
          <w:ilvl w:val="2"/>
          <w:numId w:val="35"/>
        </w:numPr>
        <w:tabs>
          <w:tab w:val="left" w:pos="1162"/>
        </w:tabs>
        <w:spacing w:before="240" w:after="120"/>
      </w:pPr>
      <w:bookmarkStart w:id="200" w:name="_Toc380754739"/>
      <w:bookmarkStart w:id="201" w:name="_Toc412550744"/>
      <w:r>
        <w:t>Classification</w:t>
      </w:r>
      <w:bookmarkEnd w:id="200"/>
      <w:bookmarkEnd w:id="201"/>
    </w:p>
    <w:p w:rsidR="00F51276" w:rsidRDefault="00F51276" w:rsidP="00F51276">
      <w:pPr>
        <w:tabs>
          <w:tab w:val="left" w:pos="1162"/>
        </w:tabs>
        <w:rPr>
          <w:rFonts w:cs="Arial"/>
          <w:szCs w:val="20"/>
        </w:rPr>
      </w:pPr>
      <w:r w:rsidRPr="00933C6F">
        <w:rPr>
          <w:rFonts w:cs="Arial"/>
          <w:szCs w:val="20"/>
        </w:rPr>
        <w:t xml:space="preserve">Version 3 of Australian National Sub and Non-Acute Patient Classification (AN-SNAP </w:t>
      </w:r>
      <w:r>
        <w:rPr>
          <w:rFonts w:cs="Arial"/>
          <w:szCs w:val="20"/>
        </w:rPr>
        <w:t>v</w:t>
      </w:r>
      <w:r w:rsidRPr="00933C6F">
        <w:rPr>
          <w:rFonts w:cs="Arial"/>
          <w:szCs w:val="20"/>
        </w:rPr>
        <w:t>3) is used to classify subacute and non-acute admitted care. Where data on AN-SNAP classification is not available, the episode</w:t>
      </w:r>
      <w:r>
        <w:rPr>
          <w:rFonts w:cs="Arial"/>
          <w:szCs w:val="20"/>
        </w:rPr>
        <w:t>s are moved into the acute admitted care cost model</w:t>
      </w:r>
      <w:r w:rsidR="00600132">
        <w:rPr>
          <w:rFonts w:cs="Arial"/>
          <w:szCs w:val="20"/>
        </w:rPr>
        <w:t xml:space="preserve"> (</w:t>
      </w:r>
      <w:r w:rsidR="00600132">
        <w:t>with the exception of NSW same-day unsnapped episodes)</w:t>
      </w:r>
      <w:r w:rsidRPr="00933C6F">
        <w:rPr>
          <w:rFonts w:cs="Arial"/>
          <w:szCs w:val="20"/>
        </w:rPr>
        <w:t>.</w:t>
      </w:r>
    </w:p>
    <w:p w:rsidR="00F51276" w:rsidRDefault="00F51276" w:rsidP="00F51276">
      <w:pPr>
        <w:pStyle w:val="Heading3"/>
        <w:keepLines w:val="0"/>
        <w:numPr>
          <w:ilvl w:val="2"/>
          <w:numId w:val="35"/>
        </w:numPr>
        <w:tabs>
          <w:tab w:val="left" w:pos="1162"/>
        </w:tabs>
        <w:spacing w:before="240" w:after="120"/>
      </w:pPr>
      <w:bookmarkStart w:id="202" w:name="_Toc412550745"/>
      <w:r w:rsidRPr="004715A4">
        <w:t xml:space="preserve">New </w:t>
      </w:r>
      <w:r>
        <w:t>methodology for NEP15</w:t>
      </w:r>
      <w:bookmarkEnd w:id="202"/>
    </w:p>
    <w:p w:rsidR="00F51276" w:rsidRDefault="00F51276" w:rsidP="00F51276">
      <w:r>
        <w:t>NEP14 subacute price weights were based on the University of Wollongong (UoW) AN</w:t>
      </w:r>
      <w:r>
        <w:noBreakHyphen/>
        <w:t xml:space="preserve">SNAP </w:t>
      </w:r>
      <w:r w:rsidRPr="00D92192">
        <w:t>v</w:t>
      </w:r>
      <w:r>
        <w:t>3 cost weights calibrated to NHCDC Round 16 cost data. This year the subacute price weights have been calculated directly from the NHCDC Round 17 cost data. This approach was taken in response to widespread criticism that the UoW cost weight relativities were outdated (based on data going back to the 1990s). Further, it was found that a new construction</w:t>
      </w:r>
      <w:r w:rsidRPr="00D92192">
        <w:t xml:space="preserve"> o</w:t>
      </w:r>
      <w:r>
        <w:t xml:space="preserve">f inlier payments similar to those used in the ABF model for acute admitted actually resulted in a better fit than the UoW methodology, which used episode payments and inlier per diems. </w:t>
      </w:r>
    </w:p>
    <w:p w:rsidR="00F51276" w:rsidRDefault="00F51276" w:rsidP="00F51276">
      <w:r>
        <w:t xml:space="preserve">The only difference from the acute admitted cost model was that the ABF L1.5H1.5 methodology was used for all AN-SNAP classes. A further variation in NEP15 is that there are no longer care-type per diems. All episodes without a legitimate AN-SNAP classification have been transferred to the acute care model and paid according to their DRG classification. </w:t>
      </w:r>
    </w:p>
    <w:p w:rsidR="00F51276" w:rsidRPr="004715A4" w:rsidRDefault="00F51276" w:rsidP="00F51276">
      <w:r>
        <w:t xml:space="preserve">This means that only episodes with valid AN-SNAP classes were used in the subacute cost model which meant that there were far fewer episodes in the 2012-13 cost </w:t>
      </w:r>
      <w:proofErr w:type="gramStart"/>
      <w:r>
        <w:t>model</w:t>
      </w:r>
      <w:proofErr w:type="gramEnd"/>
      <w:r>
        <w:t>. It was recognised that there are no paediatric classifications in AN-</w:t>
      </w:r>
      <w:r w:rsidRPr="00D92192">
        <w:t>SNAP v3</w:t>
      </w:r>
      <w:r>
        <w:t xml:space="preserve">, but there will be in AN-SNAP v4 to be introduced in 2016-17. It was therefore decided that the paediatric episodes were to be left in the subacute stream and paediatric care-type per diems were calculated specifically for this subacute group. </w:t>
      </w:r>
    </w:p>
    <w:p w:rsidR="00F51276" w:rsidRDefault="00F51276" w:rsidP="00F51276">
      <w:pPr>
        <w:pStyle w:val="Heading2"/>
        <w:keepLines w:val="0"/>
        <w:numPr>
          <w:ilvl w:val="1"/>
          <w:numId w:val="35"/>
        </w:numPr>
        <w:tabs>
          <w:tab w:val="left" w:pos="1162"/>
        </w:tabs>
        <w:spacing w:after="60"/>
      </w:pPr>
      <w:bookmarkStart w:id="203" w:name="_Toc380754740"/>
      <w:bookmarkStart w:id="204" w:name="_Toc412550746"/>
      <w:r w:rsidRPr="001E55B4">
        <w:lastRenderedPageBreak/>
        <w:t>Analysis of costs to derive NWAU for subacute admitted care</w:t>
      </w:r>
      <w:bookmarkEnd w:id="203"/>
      <w:bookmarkEnd w:id="204"/>
    </w:p>
    <w:p w:rsidR="00F51276" w:rsidRPr="00933C6F" w:rsidRDefault="00F51276" w:rsidP="00F51276">
      <w:pPr>
        <w:tabs>
          <w:tab w:val="left" w:pos="1162"/>
        </w:tabs>
        <w:spacing w:before="120"/>
        <w:rPr>
          <w:rFonts w:cs="Arial"/>
          <w:szCs w:val="20"/>
        </w:rPr>
      </w:pPr>
      <w:r w:rsidRPr="00933C6F">
        <w:rPr>
          <w:rFonts w:cs="Arial"/>
          <w:szCs w:val="20"/>
        </w:rPr>
        <w:t xml:space="preserve">The following steps </w:t>
      </w:r>
      <w:r>
        <w:rPr>
          <w:rFonts w:cs="Arial"/>
          <w:szCs w:val="20"/>
        </w:rPr>
        <w:t>are</w:t>
      </w:r>
      <w:r w:rsidRPr="00933C6F">
        <w:rPr>
          <w:rFonts w:cs="Arial"/>
          <w:szCs w:val="20"/>
        </w:rPr>
        <w:t xml:space="preserve"> taken in developing the cost parameters and weights for subacute and non-acute admitted care:</w:t>
      </w:r>
    </w:p>
    <w:p w:rsidR="00F51276" w:rsidRPr="00933C6F" w:rsidRDefault="00F51276" w:rsidP="00F51276">
      <w:pPr>
        <w:pStyle w:val="ListParagraph"/>
        <w:numPr>
          <w:ilvl w:val="0"/>
          <w:numId w:val="26"/>
        </w:numPr>
        <w:tabs>
          <w:tab w:val="left" w:pos="1162"/>
        </w:tabs>
        <w:rPr>
          <w:rFonts w:cs="Arial"/>
          <w:szCs w:val="20"/>
        </w:rPr>
      </w:pPr>
      <w:r>
        <w:rPr>
          <w:rFonts w:cs="Arial"/>
          <w:szCs w:val="20"/>
        </w:rPr>
        <w:t>Data preparation.</w:t>
      </w:r>
    </w:p>
    <w:p w:rsidR="00F51276" w:rsidRPr="00933C6F" w:rsidRDefault="00F51276" w:rsidP="00F51276">
      <w:pPr>
        <w:pStyle w:val="ListParagraph"/>
        <w:numPr>
          <w:ilvl w:val="0"/>
          <w:numId w:val="26"/>
        </w:numPr>
        <w:tabs>
          <w:tab w:val="left" w:pos="1162"/>
        </w:tabs>
        <w:rPr>
          <w:rFonts w:cs="Arial"/>
          <w:szCs w:val="20"/>
        </w:rPr>
      </w:pPr>
      <w:r w:rsidRPr="00933C6F">
        <w:rPr>
          <w:rFonts w:cs="Arial"/>
          <w:szCs w:val="20"/>
        </w:rPr>
        <w:t>Develop sample</w:t>
      </w:r>
      <w:r>
        <w:rPr>
          <w:rFonts w:cs="Arial"/>
          <w:szCs w:val="20"/>
        </w:rPr>
        <w:t>-</w:t>
      </w:r>
      <w:r w:rsidRPr="00933C6F">
        <w:rPr>
          <w:rFonts w:cs="Arial"/>
          <w:szCs w:val="20"/>
        </w:rPr>
        <w:t>to</w:t>
      </w:r>
      <w:r>
        <w:rPr>
          <w:rFonts w:cs="Arial"/>
          <w:szCs w:val="20"/>
        </w:rPr>
        <w:t>-</w:t>
      </w:r>
      <w:r w:rsidRPr="00933C6F">
        <w:rPr>
          <w:rFonts w:cs="Arial"/>
          <w:szCs w:val="20"/>
        </w:rPr>
        <w:t>population weights</w:t>
      </w:r>
      <w:r>
        <w:rPr>
          <w:rFonts w:cs="Arial"/>
          <w:szCs w:val="20"/>
        </w:rPr>
        <w:t>.</w:t>
      </w:r>
    </w:p>
    <w:p w:rsidR="00F51276" w:rsidRDefault="00F51276" w:rsidP="00F51276">
      <w:pPr>
        <w:pStyle w:val="ListParagraph"/>
        <w:numPr>
          <w:ilvl w:val="0"/>
          <w:numId w:val="26"/>
        </w:numPr>
        <w:tabs>
          <w:tab w:val="left" w:pos="1162"/>
        </w:tabs>
        <w:rPr>
          <w:rFonts w:cs="Arial"/>
          <w:szCs w:val="20"/>
        </w:rPr>
      </w:pPr>
      <w:r w:rsidRPr="00933C6F">
        <w:rPr>
          <w:rFonts w:cs="Arial"/>
          <w:szCs w:val="20"/>
        </w:rPr>
        <w:t>Classify AN-SNAP episodes into relevant categories: inliers, short</w:t>
      </w:r>
      <w:r>
        <w:rPr>
          <w:rFonts w:cs="Arial"/>
          <w:szCs w:val="20"/>
        </w:rPr>
        <w:t>-stay</w:t>
      </w:r>
      <w:r w:rsidRPr="00933C6F">
        <w:rPr>
          <w:rFonts w:cs="Arial"/>
          <w:szCs w:val="20"/>
        </w:rPr>
        <w:t xml:space="preserve"> and long</w:t>
      </w:r>
      <w:r>
        <w:rPr>
          <w:rFonts w:cs="Arial"/>
          <w:szCs w:val="20"/>
        </w:rPr>
        <w:t>-</w:t>
      </w:r>
      <w:r w:rsidRPr="00933C6F">
        <w:rPr>
          <w:rFonts w:cs="Arial"/>
          <w:szCs w:val="20"/>
        </w:rPr>
        <w:t>stay outliers</w:t>
      </w:r>
      <w:r>
        <w:rPr>
          <w:rFonts w:cs="Arial"/>
          <w:szCs w:val="20"/>
        </w:rPr>
        <w:t xml:space="preserve"> using the ABF L1.5H1.5 methodology.</w:t>
      </w:r>
    </w:p>
    <w:p w:rsidR="00F51276" w:rsidRPr="00933C6F" w:rsidRDefault="00F51276" w:rsidP="00F51276">
      <w:pPr>
        <w:pStyle w:val="ListParagraph"/>
        <w:numPr>
          <w:ilvl w:val="0"/>
          <w:numId w:val="26"/>
        </w:numPr>
        <w:tabs>
          <w:tab w:val="left" w:pos="1162"/>
        </w:tabs>
        <w:rPr>
          <w:rFonts w:cs="Arial"/>
          <w:szCs w:val="20"/>
        </w:rPr>
      </w:pPr>
      <w:r w:rsidRPr="00933C6F">
        <w:rPr>
          <w:rFonts w:cs="Arial"/>
          <w:szCs w:val="20"/>
        </w:rPr>
        <w:t xml:space="preserve">Derive </w:t>
      </w:r>
      <w:r>
        <w:rPr>
          <w:rFonts w:cs="Arial"/>
          <w:szCs w:val="20"/>
        </w:rPr>
        <w:t>i</w:t>
      </w:r>
      <w:r w:rsidRPr="00933C6F">
        <w:rPr>
          <w:rFonts w:cs="Arial"/>
          <w:szCs w:val="20"/>
        </w:rPr>
        <w:t>ndigenous</w:t>
      </w:r>
      <w:r>
        <w:rPr>
          <w:rFonts w:cs="Arial"/>
          <w:szCs w:val="20"/>
        </w:rPr>
        <w:t xml:space="preserve"> and </w:t>
      </w:r>
      <w:r w:rsidRPr="00933C6F">
        <w:rPr>
          <w:rFonts w:cs="Arial"/>
          <w:szCs w:val="20"/>
        </w:rPr>
        <w:t>remote</w:t>
      </w:r>
      <w:r>
        <w:rPr>
          <w:rFonts w:cs="Arial"/>
          <w:szCs w:val="20"/>
        </w:rPr>
        <w:t xml:space="preserve">ness </w:t>
      </w:r>
      <w:r w:rsidRPr="00933C6F">
        <w:rPr>
          <w:rFonts w:cs="Arial"/>
          <w:szCs w:val="20"/>
        </w:rPr>
        <w:t>adjustments</w:t>
      </w:r>
      <w:r>
        <w:rPr>
          <w:rFonts w:cs="Arial"/>
          <w:szCs w:val="20"/>
        </w:rPr>
        <w:t>.</w:t>
      </w:r>
    </w:p>
    <w:p w:rsidR="00F51276" w:rsidRPr="00933C6F" w:rsidRDefault="00F51276" w:rsidP="00F51276">
      <w:pPr>
        <w:pStyle w:val="ListParagraph"/>
        <w:numPr>
          <w:ilvl w:val="0"/>
          <w:numId w:val="26"/>
        </w:numPr>
        <w:tabs>
          <w:tab w:val="left" w:pos="1162"/>
        </w:tabs>
        <w:rPr>
          <w:rFonts w:cs="Arial"/>
          <w:szCs w:val="20"/>
        </w:rPr>
      </w:pPr>
      <w:r w:rsidRPr="00933C6F">
        <w:rPr>
          <w:rFonts w:cs="Arial"/>
          <w:szCs w:val="20"/>
        </w:rPr>
        <w:t>Derive private patient service adjustments for each care type</w:t>
      </w:r>
      <w:r>
        <w:rPr>
          <w:rFonts w:cs="Arial"/>
          <w:szCs w:val="20"/>
        </w:rPr>
        <w:t>.</w:t>
      </w:r>
    </w:p>
    <w:p w:rsidR="00F51276" w:rsidRPr="00933C6F" w:rsidRDefault="00F51276" w:rsidP="00F51276">
      <w:pPr>
        <w:pStyle w:val="ListParagraph"/>
        <w:numPr>
          <w:ilvl w:val="0"/>
          <w:numId w:val="26"/>
        </w:numPr>
        <w:tabs>
          <w:tab w:val="left" w:pos="1162"/>
        </w:tabs>
        <w:rPr>
          <w:rFonts w:cs="Arial"/>
          <w:szCs w:val="20"/>
        </w:rPr>
      </w:pPr>
      <w:r>
        <w:rPr>
          <w:rFonts w:cs="Arial"/>
          <w:szCs w:val="20"/>
        </w:rPr>
        <w:t>Assign the calibrated AN-SNAP v</w:t>
      </w:r>
      <w:r w:rsidRPr="00933C6F">
        <w:rPr>
          <w:rFonts w:cs="Arial"/>
          <w:szCs w:val="20"/>
        </w:rPr>
        <w:t xml:space="preserve">2 cost parameters to the </w:t>
      </w:r>
      <w:r>
        <w:rPr>
          <w:rFonts w:cs="Arial"/>
          <w:szCs w:val="20"/>
        </w:rPr>
        <w:t>matching AN-SNAP v</w:t>
      </w:r>
      <w:r w:rsidRPr="00933C6F">
        <w:rPr>
          <w:rFonts w:cs="Arial"/>
          <w:szCs w:val="20"/>
        </w:rPr>
        <w:t>3 classes.</w:t>
      </w:r>
    </w:p>
    <w:p w:rsidR="00F51276" w:rsidRDefault="00F51276" w:rsidP="00F51276">
      <w:pPr>
        <w:tabs>
          <w:tab w:val="left" w:pos="1162"/>
        </w:tabs>
        <w:rPr>
          <w:rFonts w:cs="Arial"/>
          <w:szCs w:val="20"/>
        </w:rPr>
      </w:pPr>
      <w:r w:rsidRPr="00933C6F">
        <w:rPr>
          <w:rFonts w:cs="Arial"/>
          <w:szCs w:val="20"/>
        </w:rPr>
        <w:t>These steps are</w:t>
      </w:r>
      <w:r>
        <w:rPr>
          <w:rFonts w:cs="Arial"/>
          <w:szCs w:val="20"/>
        </w:rPr>
        <w:t xml:space="preserve"> described in more detail in the following sections.</w:t>
      </w:r>
    </w:p>
    <w:p w:rsidR="00F51276" w:rsidRPr="00D15DA0" w:rsidRDefault="00F51276" w:rsidP="00F51276">
      <w:pPr>
        <w:pStyle w:val="Heading3"/>
        <w:keepLines w:val="0"/>
        <w:numPr>
          <w:ilvl w:val="2"/>
          <w:numId w:val="35"/>
        </w:numPr>
        <w:tabs>
          <w:tab w:val="left" w:pos="1162"/>
        </w:tabs>
        <w:spacing w:before="240" w:after="120"/>
      </w:pPr>
      <w:bookmarkStart w:id="205" w:name="_Toc380754741"/>
      <w:bookmarkStart w:id="206" w:name="_Toc412550747"/>
      <w:r w:rsidRPr="00D15DA0">
        <w:t>Data preparation</w:t>
      </w:r>
      <w:bookmarkEnd w:id="205"/>
      <w:bookmarkEnd w:id="206"/>
    </w:p>
    <w:p w:rsidR="00F51276" w:rsidRPr="004F5BA3" w:rsidRDefault="00F51276" w:rsidP="00F51276">
      <w:pPr>
        <w:tabs>
          <w:tab w:val="left" w:pos="1162"/>
        </w:tabs>
        <w:rPr>
          <w:rFonts w:cs="Arial"/>
          <w:szCs w:val="20"/>
        </w:rPr>
      </w:pPr>
      <w:r w:rsidRPr="000976DD">
        <w:rPr>
          <w:rFonts w:cs="Arial"/>
          <w:szCs w:val="20"/>
        </w:rPr>
        <w:t xml:space="preserve">The </w:t>
      </w:r>
      <w:r>
        <w:rPr>
          <w:rFonts w:cs="Arial"/>
          <w:szCs w:val="20"/>
        </w:rPr>
        <w:t>2012-13 subacute cost</w:t>
      </w:r>
      <w:r w:rsidRPr="000976DD">
        <w:rPr>
          <w:rFonts w:cs="Arial"/>
          <w:szCs w:val="20"/>
        </w:rPr>
        <w:t xml:space="preserve"> </w:t>
      </w:r>
      <w:proofErr w:type="gramStart"/>
      <w:r w:rsidRPr="000976DD">
        <w:rPr>
          <w:rFonts w:cs="Arial"/>
          <w:szCs w:val="20"/>
        </w:rPr>
        <w:t>sample</w:t>
      </w:r>
      <w:proofErr w:type="gramEnd"/>
      <w:r w:rsidRPr="000976DD">
        <w:rPr>
          <w:rFonts w:cs="Arial"/>
          <w:szCs w:val="20"/>
        </w:rPr>
        <w:t xml:space="preserve"> consist</w:t>
      </w:r>
      <w:r>
        <w:rPr>
          <w:rFonts w:cs="Arial"/>
          <w:szCs w:val="20"/>
        </w:rPr>
        <w:t>s</w:t>
      </w:r>
      <w:r w:rsidRPr="000976DD">
        <w:rPr>
          <w:rFonts w:cs="Arial"/>
          <w:szCs w:val="20"/>
        </w:rPr>
        <w:t xml:space="preserve"> of the following groups:</w:t>
      </w:r>
    </w:p>
    <w:p w:rsidR="00F51276" w:rsidRDefault="00F51276" w:rsidP="00F51276">
      <w:pPr>
        <w:pStyle w:val="ListParagraph"/>
        <w:numPr>
          <w:ilvl w:val="0"/>
          <w:numId w:val="36"/>
        </w:numPr>
        <w:tabs>
          <w:tab w:val="left" w:pos="1162"/>
        </w:tabs>
        <w:spacing w:before="80" w:after="0"/>
        <w:rPr>
          <w:rFonts w:cs="Arial"/>
          <w:szCs w:val="20"/>
        </w:rPr>
      </w:pPr>
      <w:r>
        <w:rPr>
          <w:rFonts w:cs="Arial"/>
          <w:szCs w:val="20"/>
        </w:rPr>
        <w:t>Patient level care type or AN-SNAP classified data</w:t>
      </w:r>
    </w:p>
    <w:p w:rsidR="00F51276" w:rsidRDefault="00F51276" w:rsidP="00F51276">
      <w:pPr>
        <w:pStyle w:val="ListParagraph"/>
        <w:numPr>
          <w:ilvl w:val="1"/>
          <w:numId w:val="36"/>
        </w:numPr>
        <w:tabs>
          <w:tab w:val="left" w:pos="1162"/>
        </w:tabs>
        <w:spacing w:before="80" w:after="0"/>
        <w:rPr>
          <w:rFonts w:cs="Arial"/>
          <w:szCs w:val="20"/>
        </w:rPr>
      </w:pPr>
      <w:r w:rsidRPr="00ED280E">
        <w:rPr>
          <w:rFonts w:cs="Arial"/>
          <w:szCs w:val="20"/>
        </w:rPr>
        <w:t>217</w:t>
      </w:r>
      <w:r>
        <w:rPr>
          <w:rFonts w:cs="Arial"/>
          <w:szCs w:val="20"/>
        </w:rPr>
        <w:t xml:space="preserve"> establishments reported patient level cost data comprising of 182,</w:t>
      </w:r>
      <w:r w:rsidR="00600132">
        <w:rPr>
          <w:rFonts w:cs="Arial"/>
          <w:szCs w:val="20"/>
        </w:rPr>
        <w:t>855</w:t>
      </w:r>
      <w:r>
        <w:rPr>
          <w:rFonts w:cs="Arial"/>
          <w:szCs w:val="20"/>
        </w:rPr>
        <w:t xml:space="preserve"> records involving 2,490,</w:t>
      </w:r>
      <w:r w:rsidR="00600132">
        <w:rPr>
          <w:rFonts w:cs="Arial"/>
          <w:szCs w:val="20"/>
        </w:rPr>
        <w:t>010</w:t>
      </w:r>
      <w:r>
        <w:rPr>
          <w:rFonts w:cs="Arial"/>
          <w:szCs w:val="20"/>
        </w:rPr>
        <w:t xml:space="preserve"> records days; and</w:t>
      </w:r>
    </w:p>
    <w:p w:rsidR="00F51276" w:rsidRDefault="00F51276" w:rsidP="00F51276">
      <w:pPr>
        <w:pStyle w:val="ListParagraph"/>
        <w:numPr>
          <w:ilvl w:val="0"/>
          <w:numId w:val="36"/>
        </w:numPr>
        <w:tabs>
          <w:tab w:val="left" w:pos="1162"/>
        </w:tabs>
        <w:spacing w:before="80" w:after="0"/>
        <w:rPr>
          <w:rFonts w:cs="Arial"/>
          <w:szCs w:val="20"/>
        </w:rPr>
      </w:pPr>
      <w:r>
        <w:rPr>
          <w:rFonts w:cs="Arial"/>
          <w:szCs w:val="20"/>
        </w:rPr>
        <w:t>AN-SNAP classified data with admission and separation dates for the 2012-13 financial year– a subset (a)</w:t>
      </w:r>
    </w:p>
    <w:p w:rsidR="00F51276" w:rsidRPr="00ED280E" w:rsidRDefault="00600132" w:rsidP="00F51276">
      <w:pPr>
        <w:pStyle w:val="ListParagraph"/>
        <w:numPr>
          <w:ilvl w:val="1"/>
          <w:numId w:val="36"/>
        </w:numPr>
        <w:tabs>
          <w:tab w:val="left" w:pos="1162"/>
        </w:tabs>
        <w:spacing w:before="80" w:after="0"/>
        <w:rPr>
          <w:rFonts w:cs="Arial"/>
          <w:szCs w:val="20"/>
        </w:rPr>
      </w:pPr>
      <w:r>
        <w:rPr>
          <w:rFonts w:cs="Arial"/>
          <w:szCs w:val="20"/>
        </w:rPr>
        <w:t>154</w:t>
      </w:r>
      <w:r w:rsidR="00F51276" w:rsidRPr="00ED280E">
        <w:rPr>
          <w:rFonts w:cs="Arial"/>
          <w:szCs w:val="20"/>
        </w:rPr>
        <w:t xml:space="preserve"> establishments reported AN</w:t>
      </w:r>
      <w:r w:rsidR="00F51276" w:rsidRPr="00ED280E">
        <w:rPr>
          <w:rFonts w:cs="Arial"/>
          <w:szCs w:val="20"/>
        </w:rPr>
        <w:noBreakHyphen/>
        <w:t>SNAP classified data comprising of 103,</w:t>
      </w:r>
      <w:r>
        <w:rPr>
          <w:rFonts w:cs="Arial"/>
          <w:szCs w:val="20"/>
        </w:rPr>
        <w:t>393</w:t>
      </w:r>
      <w:r w:rsidR="00F51276" w:rsidRPr="00ED280E">
        <w:rPr>
          <w:rFonts w:cs="Arial"/>
          <w:szCs w:val="20"/>
        </w:rPr>
        <w:t xml:space="preserve"> records involving </w:t>
      </w:r>
      <w:r w:rsidRPr="00ED280E">
        <w:rPr>
          <w:rFonts w:cs="Arial"/>
          <w:szCs w:val="20"/>
        </w:rPr>
        <w:t>1,49</w:t>
      </w:r>
      <w:r>
        <w:rPr>
          <w:rFonts w:cs="Arial"/>
          <w:szCs w:val="20"/>
        </w:rPr>
        <w:t xml:space="preserve">0,205 </w:t>
      </w:r>
      <w:r w:rsidR="00F51276" w:rsidRPr="00ED280E">
        <w:rPr>
          <w:rFonts w:cs="Arial"/>
          <w:szCs w:val="20"/>
        </w:rPr>
        <w:t>record days</w:t>
      </w:r>
      <w:r w:rsidR="00F51276">
        <w:rPr>
          <w:rFonts w:cs="Arial"/>
          <w:szCs w:val="20"/>
        </w:rPr>
        <w:t xml:space="preserve">. </w:t>
      </w:r>
    </w:p>
    <w:p w:rsidR="00F51276" w:rsidRDefault="00F51276" w:rsidP="00F51276">
      <w:pPr>
        <w:tabs>
          <w:tab w:val="left" w:pos="1162"/>
        </w:tabs>
        <w:spacing w:before="200"/>
        <w:rPr>
          <w:rFonts w:cs="Arial"/>
          <w:szCs w:val="20"/>
        </w:rPr>
      </w:pPr>
      <w:r>
        <w:rPr>
          <w:rFonts w:cs="Arial"/>
          <w:szCs w:val="20"/>
        </w:rPr>
        <w:t>As in the acute model, HCP data was used to correct for the missing private patient costs in the NHCDC, as well as for subsequent estimates of private patient service adjustments (see Section 2.2.8).</w:t>
      </w:r>
    </w:p>
    <w:p w:rsidR="00F51276" w:rsidRDefault="00F51276" w:rsidP="00F51276">
      <w:pPr>
        <w:tabs>
          <w:tab w:val="left" w:pos="1162"/>
        </w:tabs>
        <w:rPr>
          <w:rFonts w:cs="Arial"/>
          <w:szCs w:val="20"/>
        </w:rPr>
      </w:pPr>
      <w:r>
        <w:rPr>
          <w:rFonts w:cs="Arial"/>
          <w:szCs w:val="20"/>
        </w:rPr>
        <w:t xml:space="preserve">For NEP15, the data was trimmed for extreme outliers using similar methodology to the acute admitted care cost model. The following data was not used to derive the AN-SNAP v3 cost profiles:  </w:t>
      </w:r>
    </w:p>
    <w:p w:rsidR="00F51276" w:rsidRDefault="00F51276" w:rsidP="00F51276">
      <w:pPr>
        <w:pStyle w:val="ListParagraph"/>
        <w:numPr>
          <w:ilvl w:val="0"/>
          <w:numId w:val="61"/>
        </w:numPr>
        <w:tabs>
          <w:tab w:val="left" w:pos="1162"/>
        </w:tabs>
        <w:ind w:left="714" w:hanging="357"/>
        <w:rPr>
          <w:rFonts w:cs="Arial"/>
          <w:szCs w:val="20"/>
        </w:rPr>
      </w:pPr>
      <w:r>
        <w:rPr>
          <w:rFonts w:cs="Arial"/>
          <w:szCs w:val="20"/>
        </w:rPr>
        <w:t>Paediatric Records</w:t>
      </w:r>
    </w:p>
    <w:p w:rsidR="00F51276" w:rsidRDefault="00F51276" w:rsidP="00F51276">
      <w:pPr>
        <w:pStyle w:val="ListParagraph"/>
        <w:numPr>
          <w:ilvl w:val="0"/>
          <w:numId w:val="61"/>
        </w:numPr>
        <w:tabs>
          <w:tab w:val="left" w:pos="1162"/>
        </w:tabs>
        <w:rPr>
          <w:rFonts w:cs="Arial"/>
          <w:szCs w:val="20"/>
        </w:rPr>
      </w:pPr>
      <w:r>
        <w:rPr>
          <w:rFonts w:cs="Arial"/>
          <w:szCs w:val="20"/>
        </w:rPr>
        <w:t>Records that had an inscope cost of $0</w:t>
      </w:r>
    </w:p>
    <w:p w:rsidR="00F51276" w:rsidRDefault="00F51276" w:rsidP="00F51276">
      <w:pPr>
        <w:pStyle w:val="ListParagraph"/>
        <w:numPr>
          <w:ilvl w:val="0"/>
          <w:numId w:val="61"/>
        </w:numPr>
        <w:tabs>
          <w:tab w:val="left" w:pos="1162"/>
        </w:tabs>
        <w:rPr>
          <w:rFonts w:cs="Arial"/>
          <w:szCs w:val="20"/>
        </w:rPr>
      </w:pPr>
      <w:r>
        <w:rPr>
          <w:rFonts w:cs="Arial"/>
          <w:szCs w:val="20"/>
        </w:rPr>
        <w:t xml:space="preserve">Records with an Error or </w:t>
      </w:r>
      <w:proofErr w:type="spellStart"/>
      <w:r>
        <w:rPr>
          <w:rFonts w:cs="Arial"/>
          <w:szCs w:val="20"/>
        </w:rPr>
        <w:t>Ungroupable</w:t>
      </w:r>
      <w:proofErr w:type="spellEnd"/>
      <w:r>
        <w:rPr>
          <w:rFonts w:cs="Arial"/>
          <w:szCs w:val="20"/>
        </w:rPr>
        <w:t xml:space="preserve"> AN-SNAP</w:t>
      </w:r>
      <w:r w:rsidR="00693CC5">
        <w:rPr>
          <w:rFonts w:cs="Arial"/>
          <w:szCs w:val="20"/>
        </w:rPr>
        <w:t xml:space="preserve"> </w:t>
      </w:r>
      <w:r>
        <w:rPr>
          <w:rFonts w:cs="Arial"/>
          <w:szCs w:val="20"/>
        </w:rPr>
        <w:t>v3 class</w:t>
      </w:r>
    </w:p>
    <w:p w:rsidR="00F51276" w:rsidRDefault="00F51276" w:rsidP="00F51276">
      <w:pPr>
        <w:pStyle w:val="ListParagraph"/>
        <w:numPr>
          <w:ilvl w:val="0"/>
          <w:numId w:val="61"/>
        </w:numPr>
        <w:tabs>
          <w:tab w:val="left" w:pos="1162"/>
        </w:tabs>
        <w:rPr>
          <w:rFonts w:cs="Arial"/>
          <w:szCs w:val="20"/>
        </w:rPr>
      </w:pPr>
      <w:r>
        <w:rPr>
          <w:rFonts w:cs="Arial"/>
          <w:szCs w:val="20"/>
        </w:rPr>
        <w:t>Non Phase palliative care separations</w:t>
      </w:r>
    </w:p>
    <w:p w:rsidR="00F51276" w:rsidRDefault="00F51276" w:rsidP="00F51276">
      <w:pPr>
        <w:pStyle w:val="ListParagraph"/>
        <w:numPr>
          <w:ilvl w:val="0"/>
          <w:numId w:val="61"/>
        </w:numPr>
        <w:tabs>
          <w:tab w:val="left" w:pos="1162"/>
        </w:tabs>
        <w:rPr>
          <w:rFonts w:cs="Arial"/>
          <w:szCs w:val="20"/>
        </w:rPr>
      </w:pPr>
      <w:r>
        <w:rPr>
          <w:rFonts w:cs="Arial"/>
          <w:szCs w:val="20"/>
        </w:rPr>
        <w:t xml:space="preserve">Extreme cost outliers within an AN-SNAP v3 class. </w:t>
      </w:r>
    </w:p>
    <w:p w:rsidR="00F51276" w:rsidRPr="00EC1676" w:rsidRDefault="00F51276" w:rsidP="00F51276">
      <w:pPr>
        <w:pStyle w:val="Heading3"/>
        <w:keepLines w:val="0"/>
        <w:numPr>
          <w:ilvl w:val="2"/>
          <w:numId w:val="35"/>
        </w:numPr>
        <w:tabs>
          <w:tab w:val="left" w:pos="1162"/>
        </w:tabs>
        <w:spacing w:before="240" w:after="120"/>
      </w:pPr>
      <w:bookmarkStart w:id="207" w:name="_Toc380754742"/>
      <w:bookmarkStart w:id="208" w:name="_Toc412550748"/>
      <w:r>
        <w:t>Stratification and weighting</w:t>
      </w:r>
      <w:bookmarkEnd w:id="207"/>
      <w:bookmarkEnd w:id="208"/>
    </w:p>
    <w:p w:rsidR="00F51276" w:rsidRDefault="00F51276" w:rsidP="00F51276">
      <w:pPr>
        <w:tabs>
          <w:tab w:val="left" w:pos="1162"/>
        </w:tabs>
        <w:rPr>
          <w:rFonts w:cs="Arial"/>
          <w:szCs w:val="20"/>
        </w:rPr>
      </w:pPr>
      <w:r>
        <w:rPr>
          <w:rFonts w:cs="Arial"/>
          <w:szCs w:val="20"/>
        </w:rPr>
        <w:t xml:space="preserve">The sample of AN-SNAP classified data was weighted to account for the fact that the used sample excludes all activity with an admission date prior to 1 July 2012 (see Section </w:t>
      </w:r>
      <w:r>
        <w:rPr>
          <w:rFonts w:cs="Arial"/>
          <w:szCs w:val="20"/>
        </w:rPr>
        <w:fldChar w:fldCharType="begin"/>
      </w:r>
      <w:r>
        <w:rPr>
          <w:rFonts w:cs="Arial"/>
          <w:szCs w:val="20"/>
        </w:rPr>
        <w:instrText xml:space="preserve"> REF _Ref342385246 \r \h  \* MERGEFORMAT </w:instrText>
      </w:r>
      <w:r>
        <w:rPr>
          <w:rFonts w:cs="Arial"/>
          <w:szCs w:val="20"/>
        </w:rPr>
      </w:r>
      <w:r>
        <w:rPr>
          <w:rFonts w:cs="Arial"/>
          <w:szCs w:val="20"/>
        </w:rPr>
        <w:fldChar w:fldCharType="separate"/>
      </w:r>
      <w:r w:rsidR="00915776">
        <w:rPr>
          <w:rFonts w:cs="Arial"/>
          <w:szCs w:val="20"/>
        </w:rPr>
        <w:t>2.2.2</w:t>
      </w:r>
      <w:r>
        <w:rPr>
          <w:rFonts w:cs="Arial"/>
          <w:szCs w:val="20"/>
        </w:rPr>
        <w:fldChar w:fldCharType="end"/>
      </w:r>
      <w:r>
        <w:rPr>
          <w:rFonts w:cs="Arial"/>
          <w:szCs w:val="20"/>
        </w:rPr>
        <w:t>).</w:t>
      </w:r>
    </w:p>
    <w:p w:rsidR="00F51276" w:rsidRPr="00EC1676" w:rsidRDefault="00F51276" w:rsidP="00F51276">
      <w:pPr>
        <w:pStyle w:val="Heading3"/>
        <w:keepLines w:val="0"/>
        <w:numPr>
          <w:ilvl w:val="2"/>
          <w:numId w:val="35"/>
        </w:numPr>
        <w:tabs>
          <w:tab w:val="left" w:pos="1162"/>
        </w:tabs>
        <w:spacing w:before="240" w:after="120"/>
      </w:pPr>
      <w:bookmarkStart w:id="209" w:name="_Toc380754743"/>
      <w:bookmarkStart w:id="210" w:name="_Toc412550749"/>
      <w:r>
        <w:t>Determining AN-SNAP Version 3 c</w:t>
      </w:r>
      <w:r w:rsidRPr="00EC1676">
        <w:t>ost parameters</w:t>
      </w:r>
      <w:bookmarkEnd w:id="209"/>
      <w:bookmarkEnd w:id="210"/>
    </w:p>
    <w:p w:rsidR="00F51276" w:rsidRDefault="00F51276" w:rsidP="00F51276">
      <w:pPr>
        <w:tabs>
          <w:tab w:val="left" w:pos="1162"/>
        </w:tabs>
        <w:rPr>
          <w:rFonts w:cs="Arial"/>
          <w:szCs w:val="20"/>
        </w:rPr>
      </w:pPr>
      <w:r w:rsidRPr="00250D7F">
        <w:rPr>
          <w:rFonts w:cs="Arial"/>
          <w:szCs w:val="20"/>
        </w:rPr>
        <w:t xml:space="preserve">The AN-SNAP </w:t>
      </w:r>
      <w:r>
        <w:rPr>
          <w:rFonts w:cs="Arial"/>
          <w:szCs w:val="20"/>
        </w:rPr>
        <w:t xml:space="preserve">cost </w:t>
      </w:r>
      <w:r w:rsidRPr="00250D7F">
        <w:rPr>
          <w:rFonts w:cs="Arial"/>
          <w:szCs w:val="20"/>
        </w:rPr>
        <w:t>model parameters</w:t>
      </w:r>
      <w:r>
        <w:rPr>
          <w:rFonts w:cs="Arial"/>
          <w:szCs w:val="20"/>
        </w:rPr>
        <w:t xml:space="preserve"> </w:t>
      </w:r>
      <w:r w:rsidRPr="00250D7F">
        <w:rPr>
          <w:rFonts w:cs="Arial"/>
          <w:szCs w:val="20"/>
        </w:rPr>
        <w:t>comprise</w:t>
      </w:r>
      <w:r>
        <w:rPr>
          <w:rFonts w:cs="Arial"/>
          <w:szCs w:val="20"/>
        </w:rPr>
        <w:t xml:space="preserve"> the following: </w:t>
      </w:r>
    </w:p>
    <w:p w:rsidR="00F51276" w:rsidRDefault="00F51276" w:rsidP="00F51276">
      <w:pPr>
        <w:pStyle w:val="ListParagraph"/>
        <w:numPr>
          <w:ilvl w:val="0"/>
          <w:numId w:val="60"/>
        </w:numPr>
        <w:tabs>
          <w:tab w:val="left" w:pos="1162"/>
        </w:tabs>
        <w:rPr>
          <w:rFonts w:cs="Arial"/>
          <w:szCs w:val="20"/>
        </w:rPr>
      </w:pPr>
      <w:r w:rsidRPr="00FA3851">
        <w:rPr>
          <w:rFonts w:cs="Arial"/>
          <w:i/>
          <w:szCs w:val="20"/>
        </w:rPr>
        <w:t>Same Day price weight:</w:t>
      </w:r>
      <w:r>
        <w:rPr>
          <w:rFonts w:cs="Arial"/>
          <w:szCs w:val="20"/>
        </w:rPr>
        <w:t xml:space="preserve"> applicable to records within a Same Day Snap class or admitted and discharged on the same day in a palliative care type. </w:t>
      </w:r>
    </w:p>
    <w:p w:rsidR="00F51276" w:rsidRDefault="00F51276" w:rsidP="00F51276">
      <w:pPr>
        <w:pStyle w:val="ListParagraph"/>
        <w:numPr>
          <w:ilvl w:val="0"/>
          <w:numId w:val="60"/>
        </w:numPr>
        <w:tabs>
          <w:tab w:val="left" w:pos="1162"/>
        </w:tabs>
        <w:rPr>
          <w:rFonts w:cs="Arial"/>
          <w:szCs w:val="20"/>
        </w:rPr>
      </w:pPr>
      <w:r w:rsidRPr="00FA3851">
        <w:rPr>
          <w:rFonts w:cs="Arial"/>
          <w:i/>
          <w:szCs w:val="20"/>
        </w:rPr>
        <w:lastRenderedPageBreak/>
        <w:t xml:space="preserve">Short Stay Outlier Per Diem rate: </w:t>
      </w:r>
      <w:r>
        <w:rPr>
          <w:rFonts w:cs="Arial"/>
          <w:szCs w:val="20"/>
        </w:rPr>
        <w:t>applicable to records that are not same day and have a length of stay shorter than the lower bound.</w:t>
      </w:r>
    </w:p>
    <w:p w:rsidR="00F51276" w:rsidRDefault="00F51276" w:rsidP="00F51276">
      <w:pPr>
        <w:pStyle w:val="ListParagraph"/>
        <w:numPr>
          <w:ilvl w:val="0"/>
          <w:numId w:val="60"/>
        </w:numPr>
        <w:tabs>
          <w:tab w:val="left" w:pos="1162"/>
        </w:tabs>
        <w:rPr>
          <w:rFonts w:cs="Arial"/>
          <w:szCs w:val="20"/>
        </w:rPr>
      </w:pPr>
      <w:r w:rsidRPr="00FA3851">
        <w:rPr>
          <w:rFonts w:cs="Arial"/>
          <w:i/>
          <w:szCs w:val="20"/>
        </w:rPr>
        <w:t>Inlier Episodic Rate:</w:t>
      </w:r>
      <w:r>
        <w:rPr>
          <w:rFonts w:cs="Arial"/>
          <w:szCs w:val="20"/>
        </w:rPr>
        <w:t xml:space="preserve"> applicable to records with a length of stay within the upper and lower bound of the specific AN-SNAP v3 class.</w:t>
      </w:r>
    </w:p>
    <w:p w:rsidR="00F51276" w:rsidRPr="00977DA5" w:rsidRDefault="00F51276" w:rsidP="00F51276">
      <w:pPr>
        <w:pStyle w:val="ListParagraph"/>
        <w:numPr>
          <w:ilvl w:val="0"/>
          <w:numId w:val="60"/>
        </w:numPr>
        <w:tabs>
          <w:tab w:val="left" w:pos="1162"/>
        </w:tabs>
        <w:rPr>
          <w:rFonts w:cs="Arial"/>
          <w:szCs w:val="20"/>
        </w:rPr>
      </w:pPr>
      <w:r w:rsidRPr="00FA3851">
        <w:rPr>
          <w:rFonts w:cs="Arial"/>
          <w:i/>
          <w:szCs w:val="20"/>
        </w:rPr>
        <w:t>Long stay Outlier Per Diem Rate:</w:t>
      </w:r>
      <w:r>
        <w:rPr>
          <w:rFonts w:cs="Arial"/>
          <w:szCs w:val="20"/>
        </w:rPr>
        <w:t xml:space="preserve"> applicable to records with a length of stay longer than the specified upper bound. </w:t>
      </w:r>
    </w:p>
    <w:p w:rsidR="00F51276" w:rsidRPr="00EC1676" w:rsidRDefault="00F51276" w:rsidP="00F51276">
      <w:pPr>
        <w:pStyle w:val="Heading3"/>
        <w:keepLines w:val="0"/>
        <w:numPr>
          <w:ilvl w:val="2"/>
          <w:numId w:val="35"/>
        </w:numPr>
        <w:tabs>
          <w:tab w:val="left" w:pos="1162"/>
        </w:tabs>
        <w:spacing w:before="240" w:after="120"/>
      </w:pPr>
      <w:bookmarkStart w:id="211" w:name="_Toc380754744"/>
      <w:bookmarkStart w:id="212" w:name="_Toc412550750"/>
      <w:r w:rsidRPr="00EC1676">
        <w:t>Calculation of additional adjustments</w:t>
      </w:r>
      <w:bookmarkEnd w:id="211"/>
      <w:bookmarkEnd w:id="212"/>
    </w:p>
    <w:p w:rsidR="00F51276" w:rsidRPr="00250D7F" w:rsidRDefault="00F51276" w:rsidP="00F51276">
      <w:pPr>
        <w:tabs>
          <w:tab w:val="left" w:pos="1162"/>
        </w:tabs>
        <w:rPr>
          <w:rFonts w:cs="Arial"/>
          <w:szCs w:val="20"/>
        </w:rPr>
      </w:pPr>
      <w:r>
        <w:rPr>
          <w:rFonts w:cs="Arial"/>
          <w:szCs w:val="20"/>
        </w:rPr>
        <w:t>The following adjustments were derived within the subacute cost model</w:t>
      </w:r>
      <w:r w:rsidRPr="00250D7F">
        <w:rPr>
          <w:rFonts w:cs="Arial"/>
          <w:szCs w:val="20"/>
        </w:rPr>
        <w:t>:</w:t>
      </w:r>
    </w:p>
    <w:p w:rsidR="00F51276" w:rsidRPr="00250D7F" w:rsidRDefault="00F51276" w:rsidP="00F51276">
      <w:pPr>
        <w:pStyle w:val="ListParagraph"/>
        <w:numPr>
          <w:ilvl w:val="0"/>
          <w:numId w:val="27"/>
        </w:numPr>
        <w:tabs>
          <w:tab w:val="left" w:pos="1162"/>
        </w:tabs>
        <w:ind w:left="714" w:hanging="357"/>
        <w:rPr>
          <w:rFonts w:cs="Arial"/>
          <w:i/>
          <w:szCs w:val="20"/>
        </w:rPr>
      </w:pPr>
      <w:r w:rsidRPr="00250D7F">
        <w:rPr>
          <w:rFonts w:cs="Arial"/>
          <w:i/>
          <w:szCs w:val="20"/>
        </w:rPr>
        <w:t xml:space="preserve">Indigenous </w:t>
      </w:r>
      <w:r>
        <w:rPr>
          <w:rFonts w:cs="Arial"/>
          <w:i/>
          <w:szCs w:val="20"/>
        </w:rPr>
        <w:t>a</w:t>
      </w:r>
      <w:r w:rsidRPr="00250D7F">
        <w:rPr>
          <w:rFonts w:cs="Arial"/>
          <w:i/>
          <w:szCs w:val="20"/>
        </w:rPr>
        <w:t xml:space="preserve">djustment and </w:t>
      </w:r>
      <w:r>
        <w:rPr>
          <w:rFonts w:cs="Arial"/>
          <w:i/>
          <w:szCs w:val="20"/>
        </w:rPr>
        <w:t>r</w:t>
      </w:r>
      <w:r w:rsidRPr="00250D7F">
        <w:rPr>
          <w:rFonts w:cs="Arial"/>
          <w:i/>
          <w:szCs w:val="20"/>
        </w:rPr>
        <w:t>emote</w:t>
      </w:r>
      <w:r>
        <w:rPr>
          <w:rFonts w:cs="Arial"/>
          <w:i/>
          <w:szCs w:val="20"/>
        </w:rPr>
        <w:t>ness</w:t>
      </w:r>
      <w:r w:rsidRPr="00250D7F">
        <w:rPr>
          <w:rFonts w:cs="Arial"/>
          <w:i/>
          <w:szCs w:val="20"/>
        </w:rPr>
        <w:t xml:space="preserve"> </w:t>
      </w:r>
      <w:r>
        <w:rPr>
          <w:rFonts w:cs="Arial"/>
          <w:i/>
          <w:szCs w:val="20"/>
        </w:rPr>
        <w:t>a</w:t>
      </w:r>
      <w:r w:rsidRPr="00250D7F">
        <w:rPr>
          <w:rFonts w:cs="Arial"/>
          <w:i/>
          <w:szCs w:val="20"/>
        </w:rPr>
        <w:t>djustment</w:t>
      </w:r>
      <w:r w:rsidRPr="00250D7F">
        <w:rPr>
          <w:rFonts w:cs="Arial"/>
          <w:szCs w:val="20"/>
        </w:rPr>
        <w:t>:</w:t>
      </w:r>
      <w:r>
        <w:rPr>
          <w:rFonts w:cs="Arial"/>
          <w:szCs w:val="20"/>
        </w:rPr>
        <w:t xml:space="preserve"> </w:t>
      </w:r>
      <w:r w:rsidRPr="00250D7F">
        <w:rPr>
          <w:rFonts w:cs="Arial"/>
          <w:szCs w:val="20"/>
        </w:rPr>
        <w:t xml:space="preserve">These adjustments </w:t>
      </w:r>
      <w:r>
        <w:rPr>
          <w:rFonts w:cs="Arial"/>
          <w:szCs w:val="20"/>
        </w:rPr>
        <w:t>are</w:t>
      </w:r>
      <w:r w:rsidRPr="00250D7F">
        <w:rPr>
          <w:rFonts w:cs="Arial"/>
          <w:szCs w:val="20"/>
        </w:rPr>
        <w:t xml:space="preserve"> calculated in the same way as for the acute model. The three</w:t>
      </w:r>
      <w:r>
        <w:rPr>
          <w:rFonts w:cs="Arial"/>
          <w:szCs w:val="20"/>
        </w:rPr>
        <w:t xml:space="preserve"> components of the remoteness adjustment and indigenous adjustment are</w:t>
      </w:r>
      <w:r w:rsidRPr="00250D7F">
        <w:rPr>
          <w:rFonts w:cs="Arial"/>
          <w:szCs w:val="20"/>
        </w:rPr>
        <w:t xml:space="preserve"> harmonised and set to be equal to their counterparts in the acute admitted model</w:t>
      </w:r>
      <w:r>
        <w:rPr>
          <w:rFonts w:cs="Arial"/>
          <w:szCs w:val="20"/>
        </w:rPr>
        <w:t>. This is because they all differed from their acute counterpart only by a very small margin</w:t>
      </w:r>
      <w:r w:rsidRPr="00250D7F">
        <w:rPr>
          <w:rFonts w:cs="Arial"/>
          <w:szCs w:val="20"/>
        </w:rPr>
        <w:t xml:space="preserve">. </w:t>
      </w:r>
    </w:p>
    <w:p w:rsidR="00F51276" w:rsidRDefault="00F51276" w:rsidP="00F51276">
      <w:pPr>
        <w:pStyle w:val="ListParagraph"/>
        <w:numPr>
          <w:ilvl w:val="0"/>
          <w:numId w:val="27"/>
        </w:numPr>
        <w:tabs>
          <w:tab w:val="left" w:pos="1162"/>
        </w:tabs>
        <w:ind w:left="714" w:hanging="357"/>
        <w:rPr>
          <w:rFonts w:cs="Arial"/>
          <w:szCs w:val="20"/>
        </w:rPr>
      </w:pPr>
      <w:r w:rsidRPr="00250D7F">
        <w:rPr>
          <w:rFonts w:cs="Arial"/>
          <w:i/>
          <w:szCs w:val="20"/>
        </w:rPr>
        <w:t xml:space="preserve">Private </w:t>
      </w:r>
      <w:r>
        <w:rPr>
          <w:rFonts w:cs="Arial"/>
          <w:i/>
          <w:szCs w:val="20"/>
        </w:rPr>
        <w:t>p</w:t>
      </w:r>
      <w:r w:rsidRPr="00250D7F">
        <w:rPr>
          <w:rFonts w:cs="Arial"/>
          <w:i/>
          <w:szCs w:val="20"/>
        </w:rPr>
        <w:t xml:space="preserve">atient </w:t>
      </w:r>
      <w:r>
        <w:rPr>
          <w:rFonts w:cs="Arial"/>
          <w:i/>
          <w:szCs w:val="20"/>
        </w:rPr>
        <w:t>s</w:t>
      </w:r>
      <w:r w:rsidRPr="00250D7F">
        <w:rPr>
          <w:rFonts w:cs="Arial"/>
          <w:i/>
          <w:szCs w:val="20"/>
        </w:rPr>
        <w:t xml:space="preserve">ervice </w:t>
      </w:r>
      <w:r>
        <w:rPr>
          <w:rFonts w:cs="Arial"/>
          <w:i/>
          <w:szCs w:val="20"/>
        </w:rPr>
        <w:t>a</w:t>
      </w:r>
      <w:r w:rsidRPr="00250D7F">
        <w:rPr>
          <w:rFonts w:cs="Arial"/>
          <w:i/>
          <w:szCs w:val="20"/>
        </w:rPr>
        <w:t xml:space="preserve">djustment: </w:t>
      </w:r>
      <w:r>
        <w:rPr>
          <w:rFonts w:cs="Arial"/>
          <w:szCs w:val="20"/>
        </w:rPr>
        <w:t xml:space="preserve">This adjustment is </w:t>
      </w:r>
      <w:r w:rsidRPr="00250D7F">
        <w:rPr>
          <w:rFonts w:cs="Arial"/>
          <w:szCs w:val="20"/>
        </w:rPr>
        <w:t xml:space="preserve">calculated </w:t>
      </w:r>
      <w:r>
        <w:rPr>
          <w:rFonts w:cs="Arial"/>
          <w:szCs w:val="20"/>
        </w:rPr>
        <w:t xml:space="preserve">by care type </w:t>
      </w:r>
      <w:r w:rsidRPr="00250D7F">
        <w:rPr>
          <w:rFonts w:cs="Arial"/>
          <w:szCs w:val="20"/>
        </w:rPr>
        <w:t xml:space="preserve">in the same way as </w:t>
      </w:r>
      <w:r>
        <w:rPr>
          <w:rFonts w:cs="Arial"/>
          <w:szCs w:val="20"/>
        </w:rPr>
        <w:t xml:space="preserve">it is calculated by AR-DRG within the </w:t>
      </w:r>
      <w:r w:rsidRPr="00250D7F">
        <w:rPr>
          <w:rFonts w:cs="Arial"/>
          <w:szCs w:val="20"/>
        </w:rPr>
        <w:t xml:space="preserve">acute admitted </w:t>
      </w:r>
      <w:r>
        <w:rPr>
          <w:rFonts w:cs="Arial"/>
          <w:szCs w:val="20"/>
        </w:rPr>
        <w:t xml:space="preserve">cost </w:t>
      </w:r>
      <w:r w:rsidRPr="00250D7F">
        <w:rPr>
          <w:rFonts w:cs="Arial"/>
          <w:szCs w:val="20"/>
        </w:rPr>
        <w:t>model.</w:t>
      </w:r>
    </w:p>
    <w:p w:rsidR="00F51276" w:rsidRPr="00250D7F" w:rsidRDefault="00F51276" w:rsidP="00F51276">
      <w:pPr>
        <w:pStyle w:val="ListParagraph"/>
        <w:numPr>
          <w:ilvl w:val="0"/>
          <w:numId w:val="27"/>
        </w:numPr>
        <w:tabs>
          <w:tab w:val="left" w:pos="1162"/>
        </w:tabs>
        <w:rPr>
          <w:rFonts w:cs="Arial"/>
          <w:szCs w:val="20"/>
        </w:rPr>
      </w:pPr>
      <w:r>
        <w:rPr>
          <w:rFonts w:cs="Arial"/>
          <w:i/>
          <w:szCs w:val="20"/>
        </w:rPr>
        <w:t xml:space="preserve">Private patient accommodation adjustment: </w:t>
      </w:r>
      <w:r>
        <w:rPr>
          <w:rFonts w:cs="Arial"/>
          <w:szCs w:val="20"/>
        </w:rPr>
        <w:t xml:space="preserve">This adjustment is identical to that of the acute admitted cost model (see Section </w:t>
      </w:r>
      <w:r>
        <w:rPr>
          <w:rFonts w:cs="Arial"/>
          <w:szCs w:val="20"/>
        </w:rPr>
        <w:fldChar w:fldCharType="begin"/>
      </w:r>
      <w:r>
        <w:rPr>
          <w:rFonts w:cs="Arial"/>
          <w:szCs w:val="20"/>
        </w:rPr>
        <w:instrText xml:space="preserve"> REF _Ref349765580 \r \h  \* MERGEFORMAT </w:instrText>
      </w:r>
      <w:r>
        <w:rPr>
          <w:rFonts w:cs="Arial"/>
          <w:szCs w:val="20"/>
        </w:rPr>
      </w:r>
      <w:r>
        <w:rPr>
          <w:rFonts w:cs="Arial"/>
          <w:szCs w:val="20"/>
        </w:rPr>
        <w:fldChar w:fldCharType="separate"/>
      </w:r>
      <w:r w:rsidR="00915776">
        <w:rPr>
          <w:rFonts w:cs="Arial"/>
          <w:szCs w:val="20"/>
        </w:rPr>
        <w:t>2.2.8</w:t>
      </w:r>
      <w:r>
        <w:rPr>
          <w:rFonts w:cs="Arial"/>
          <w:szCs w:val="20"/>
        </w:rPr>
        <w:fldChar w:fldCharType="end"/>
      </w:r>
      <w:r>
        <w:rPr>
          <w:rFonts w:cs="Arial"/>
          <w:szCs w:val="20"/>
        </w:rPr>
        <w:t>).</w:t>
      </w:r>
    </w:p>
    <w:p w:rsidR="00F51276" w:rsidRPr="00F3531B" w:rsidRDefault="00F51276" w:rsidP="00F51276">
      <w:pPr>
        <w:tabs>
          <w:tab w:val="left" w:pos="1162"/>
        </w:tabs>
        <w:rPr>
          <w:rFonts w:cs="Arial"/>
          <w:szCs w:val="20"/>
        </w:rPr>
      </w:pPr>
      <w:r w:rsidRPr="00F3531B">
        <w:rPr>
          <w:rFonts w:cs="Arial"/>
          <w:szCs w:val="20"/>
        </w:rPr>
        <w:t>In summary the proportion of NHCDC activity for which the adjustments apply are as follows:</w:t>
      </w:r>
    </w:p>
    <w:p w:rsidR="00F51276" w:rsidRPr="00BA1DF7" w:rsidRDefault="00F51276" w:rsidP="00F51276">
      <w:pPr>
        <w:pStyle w:val="ListParagraph"/>
        <w:numPr>
          <w:ilvl w:val="0"/>
          <w:numId w:val="28"/>
        </w:numPr>
        <w:tabs>
          <w:tab w:val="left" w:pos="1162"/>
        </w:tabs>
        <w:spacing w:before="80" w:after="0"/>
        <w:ind w:left="714" w:hanging="357"/>
        <w:rPr>
          <w:rFonts w:cs="Arial"/>
          <w:szCs w:val="20"/>
        </w:rPr>
      </w:pPr>
      <w:r w:rsidRPr="00BA1DF7">
        <w:rPr>
          <w:rFonts w:cs="Arial"/>
          <w:szCs w:val="20"/>
        </w:rPr>
        <w:t xml:space="preserve">The indigenous adjustment applied </w:t>
      </w:r>
      <w:r w:rsidRPr="002350E1">
        <w:rPr>
          <w:rFonts w:cs="Arial"/>
          <w:szCs w:val="20"/>
        </w:rPr>
        <w:t>to 1.</w:t>
      </w:r>
      <w:r>
        <w:rPr>
          <w:rFonts w:cs="Arial"/>
          <w:szCs w:val="20"/>
        </w:rPr>
        <w:t>4</w:t>
      </w:r>
      <w:r w:rsidRPr="00BA1DF7">
        <w:rPr>
          <w:rFonts w:cs="Arial"/>
          <w:szCs w:val="20"/>
        </w:rPr>
        <w:t>% of subacute activity.</w:t>
      </w:r>
    </w:p>
    <w:p w:rsidR="00F51276" w:rsidRPr="00BA1DF7" w:rsidRDefault="00F51276" w:rsidP="00F51276">
      <w:pPr>
        <w:pStyle w:val="ListParagraph"/>
        <w:numPr>
          <w:ilvl w:val="0"/>
          <w:numId w:val="28"/>
        </w:numPr>
        <w:tabs>
          <w:tab w:val="left" w:pos="1162"/>
        </w:tabs>
        <w:spacing w:before="80" w:after="0"/>
        <w:ind w:left="714" w:hanging="357"/>
        <w:rPr>
          <w:rFonts w:cs="Arial"/>
          <w:szCs w:val="20"/>
        </w:rPr>
      </w:pPr>
      <w:r w:rsidRPr="00BA1DF7">
        <w:rPr>
          <w:rFonts w:cs="Arial"/>
          <w:szCs w:val="20"/>
        </w:rPr>
        <w:t xml:space="preserve">The remoteness adjustment applied to </w:t>
      </w:r>
      <w:r w:rsidR="00600132">
        <w:rPr>
          <w:rFonts w:cs="Arial"/>
          <w:szCs w:val="20"/>
        </w:rPr>
        <w:t>4.7</w:t>
      </w:r>
      <w:r w:rsidRPr="00BA1DF7">
        <w:rPr>
          <w:rFonts w:cs="Arial"/>
          <w:szCs w:val="20"/>
        </w:rPr>
        <w:t>% of subacute activity.</w:t>
      </w:r>
    </w:p>
    <w:p w:rsidR="00F51276" w:rsidRPr="00BA1DF7" w:rsidRDefault="00F51276" w:rsidP="00F51276">
      <w:pPr>
        <w:pStyle w:val="ListParagraph"/>
        <w:numPr>
          <w:ilvl w:val="0"/>
          <w:numId w:val="28"/>
        </w:numPr>
        <w:tabs>
          <w:tab w:val="left" w:pos="1162"/>
        </w:tabs>
        <w:spacing w:before="80" w:after="0"/>
        <w:ind w:left="714" w:hanging="357"/>
        <w:rPr>
          <w:rFonts w:cs="Arial"/>
          <w:szCs w:val="20"/>
        </w:rPr>
      </w:pPr>
      <w:r w:rsidRPr="00BA1DF7">
        <w:rPr>
          <w:rFonts w:cs="Arial"/>
          <w:szCs w:val="20"/>
        </w:rPr>
        <w:t xml:space="preserve">The private patient adjustments applied to </w:t>
      </w:r>
      <w:r w:rsidR="00600132">
        <w:rPr>
          <w:rFonts w:cs="Arial"/>
          <w:szCs w:val="20"/>
        </w:rPr>
        <w:t>20.6</w:t>
      </w:r>
      <w:r w:rsidRPr="002350E1">
        <w:rPr>
          <w:rFonts w:cs="Arial"/>
          <w:szCs w:val="20"/>
        </w:rPr>
        <w:t>%</w:t>
      </w:r>
      <w:r w:rsidRPr="00BA1DF7">
        <w:rPr>
          <w:rFonts w:cs="Arial"/>
          <w:szCs w:val="20"/>
        </w:rPr>
        <w:t xml:space="preserve"> of subacute activity.</w:t>
      </w:r>
    </w:p>
    <w:p w:rsidR="00F51276" w:rsidRDefault="00F51276" w:rsidP="00F51276">
      <w:pPr>
        <w:tabs>
          <w:tab w:val="left" w:pos="1162"/>
        </w:tabs>
        <w:spacing w:before="200"/>
        <w:rPr>
          <w:rFonts w:cs="Arial"/>
          <w:szCs w:val="20"/>
        </w:rPr>
      </w:pPr>
      <w:r>
        <w:t>T</w:t>
      </w:r>
      <w:r>
        <w:rPr>
          <w:rFonts w:cs="Arial"/>
          <w:szCs w:val="20"/>
        </w:rPr>
        <w:t>he cost model (including all adjustments except the private patient adjustments) was then calibrated to ensure model costs are equalised against actual costs</w:t>
      </w:r>
      <w:r w:rsidRPr="00250D7F">
        <w:rPr>
          <w:rFonts w:cs="Arial"/>
          <w:szCs w:val="20"/>
        </w:rPr>
        <w:t>.</w:t>
      </w:r>
    </w:p>
    <w:p w:rsidR="00F51276" w:rsidRDefault="00F51276" w:rsidP="00F51276">
      <w:pPr>
        <w:pStyle w:val="Heading3"/>
        <w:keepLines w:val="0"/>
        <w:numPr>
          <w:ilvl w:val="2"/>
          <w:numId w:val="35"/>
        </w:numPr>
        <w:spacing w:before="240" w:after="120"/>
      </w:pPr>
      <w:bookmarkStart w:id="213" w:name="_Toc412550751"/>
      <w:bookmarkStart w:id="214" w:name="_Toc380754745"/>
      <w:r>
        <w:t xml:space="preserve">Calculation of Paediatric care-type per </w:t>
      </w:r>
      <w:proofErr w:type="gramStart"/>
      <w:r>
        <w:t>diem</w:t>
      </w:r>
      <w:bookmarkEnd w:id="213"/>
      <w:proofErr w:type="gramEnd"/>
    </w:p>
    <w:p w:rsidR="00F51276" w:rsidRDefault="00F51276" w:rsidP="00F51276">
      <w:r>
        <w:t xml:space="preserve">The paediatric care type rates comprise of the following: </w:t>
      </w:r>
    </w:p>
    <w:p w:rsidR="00F51276" w:rsidRPr="00667796" w:rsidRDefault="00F51276" w:rsidP="00F51276">
      <w:pPr>
        <w:pStyle w:val="ListParagraph"/>
        <w:numPr>
          <w:ilvl w:val="0"/>
          <w:numId w:val="62"/>
        </w:numPr>
      </w:pPr>
      <w:r w:rsidRPr="00667796">
        <w:rPr>
          <w:i/>
        </w:rPr>
        <w:t>Same Day price rate</w:t>
      </w:r>
      <w:r w:rsidRPr="00667796">
        <w:t>: determined by the average cost of the same day paediatric separations within the specified care type.</w:t>
      </w:r>
    </w:p>
    <w:p w:rsidR="00F51276" w:rsidRPr="00667796" w:rsidRDefault="00F51276" w:rsidP="00F51276">
      <w:pPr>
        <w:pStyle w:val="ListParagraph"/>
        <w:numPr>
          <w:ilvl w:val="0"/>
          <w:numId w:val="62"/>
        </w:numPr>
      </w:pPr>
      <w:r w:rsidRPr="00667796">
        <w:rPr>
          <w:i/>
        </w:rPr>
        <w:t>Overnight price rate</w:t>
      </w:r>
      <w:r w:rsidRPr="00667796">
        <w:t xml:space="preserve">: determined by taking the average cost divided by the average length of stay for overnight paediatric separations within the specified care type. </w:t>
      </w:r>
    </w:p>
    <w:p w:rsidR="00F51276" w:rsidRPr="00EC1676" w:rsidRDefault="00F51276" w:rsidP="00F51276">
      <w:pPr>
        <w:pStyle w:val="Heading3"/>
        <w:keepLines w:val="0"/>
        <w:numPr>
          <w:ilvl w:val="2"/>
          <w:numId w:val="35"/>
        </w:numPr>
        <w:spacing w:before="240" w:after="120"/>
      </w:pPr>
      <w:bookmarkStart w:id="215" w:name="_Toc412550752"/>
      <w:r w:rsidRPr="00883EAC">
        <w:t>Price weights and NWAU</w:t>
      </w:r>
      <w:bookmarkEnd w:id="214"/>
      <w:bookmarkEnd w:id="215"/>
    </w:p>
    <w:p w:rsidR="00F51276" w:rsidRPr="00C17FFA" w:rsidRDefault="00F51276" w:rsidP="00F51276">
      <w:pPr>
        <w:tabs>
          <w:tab w:val="left" w:pos="1162"/>
        </w:tabs>
        <w:rPr>
          <w:rFonts w:cs="Arial"/>
        </w:rPr>
      </w:pPr>
      <w:bookmarkStart w:id="216" w:name="_Toc380754746"/>
      <w:r w:rsidRPr="00C17FFA">
        <w:rPr>
          <w:rFonts w:cs="Arial"/>
        </w:rPr>
        <w:t xml:space="preserve">The conversion of cost parameters to price weights involves dividing the dollar-valued cost parameters by the reference cost </w:t>
      </w:r>
      <w:r>
        <w:rPr>
          <w:rFonts w:cs="Arial"/>
        </w:rPr>
        <w:t xml:space="preserve">(from the acute care cost model) </w:t>
      </w:r>
      <w:r w:rsidRPr="00C17FFA">
        <w:rPr>
          <w:rFonts w:cs="Arial"/>
        </w:rPr>
        <w:t>to obtain cost weights. The same reference cost is used across all streams of activity and is discussed in Sec</w:t>
      </w:r>
      <w:r>
        <w:rPr>
          <w:rFonts w:cs="Arial"/>
        </w:rPr>
        <w:t>tion </w:t>
      </w:r>
      <w:r w:rsidRPr="00C17FFA">
        <w:rPr>
          <w:rFonts w:cs="Arial"/>
        </w:rPr>
        <w:t>2.2.10.</w:t>
      </w:r>
    </w:p>
    <w:p w:rsidR="00F51276" w:rsidRDefault="00F51276" w:rsidP="009B622C">
      <w:pPr>
        <w:pStyle w:val="Heading2"/>
        <w:keepLines w:val="0"/>
        <w:numPr>
          <w:ilvl w:val="1"/>
          <w:numId w:val="35"/>
        </w:numPr>
        <w:tabs>
          <w:tab w:val="left" w:pos="1162"/>
        </w:tabs>
        <w:spacing w:after="60"/>
      </w:pPr>
      <w:bookmarkStart w:id="217" w:name="_Toc412550753"/>
      <w:r>
        <w:t>Applying the NEP</w:t>
      </w:r>
      <w:bookmarkEnd w:id="216"/>
      <w:bookmarkEnd w:id="217"/>
    </w:p>
    <w:p w:rsidR="00F51276" w:rsidRPr="00E36060" w:rsidRDefault="00F51276" w:rsidP="00F51276">
      <w:pPr>
        <w:tabs>
          <w:tab w:val="left" w:pos="1162"/>
        </w:tabs>
        <w:spacing w:before="120"/>
        <w:rPr>
          <w:rFonts w:cs="Arial"/>
        </w:rPr>
      </w:pPr>
      <w:r w:rsidRPr="00E36060">
        <w:rPr>
          <w:rFonts w:cs="Arial"/>
        </w:rPr>
        <w:t xml:space="preserve">As set out in </w:t>
      </w:r>
      <w:r>
        <w:rPr>
          <w:rFonts w:cs="Arial"/>
        </w:rPr>
        <w:t xml:space="preserve">the </w:t>
      </w:r>
      <w:r w:rsidRPr="000B33D2">
        <w:rPr>
          <w:rFonts w:cs="Arial"/>
        </w:rPr>
        <w:t>2015-16 NEP Determination</w:t>
      </w:r>
      <w:r w:rsidRPr="00E36060">
        <w:rPr>
          <w:rFonts w:cs="Arial"/>
        </w:rPr>
        <w:t xml:space="preserve">, the price of an ABF </w:t>
      </w:r>
      <w:r w:rsidR="00E74059">
        <w:rPr>
          <w:rFonts w:cs="Arial"/>
        </w:rPr>
        <w:t>subacute a</w:t>
      </w:r>
      <w:r w:rsidRPr="00E36060">
        <w:rPr>
          <w:rFonts w:cs="Arial"/>
        </w:rPr>
        <w:t>ctivity is calculated using the following formula, with adjustments applied as applicable:</w:t>
      </w:r>
    </w:p>
    <w:p w:rsidR="00F51276" w:rsidRPr="00E90F0A" w:rsidRDefault="00F51276" w:rsidP="00F51276">
      <w:pPr>
        <w:tabs>
          <w:tab w:val="left" w:pos="1162"/>
        </w:tabs>
        <w:rPr>
          <w:rFonts w:cs="Arial"/>
        </w:rPr>
      </w:pPr>
      <m:oMathPara>
        <m:oMath>
          <m:r>
            <m:rPr>
              <m:sty m:val="p"/>
            </m:rPr>
            <w:rPr>
              <w:rFonts w:ascii="Cambria Math" w:hAnsi="Cambria Math" w:cs="Arial"/>
              <w:szCs w:val="20"/>
            </w:rPr>
            <m:t>Price of an admitted subacute ABF activity={</m:t>
          </m:r>
          <m:d>
            <m:dPr>
              <m:begChr m:val="["/>
              <m:endChr m:val="]"/>
              <m:ctrlPr>
                <w:rPr>
                  <w:rFonts w:ascii="Cambria Math" w:hAnsi="Cambria Math" w:cs="Arial"/>
                  <w:szCs w:val="20"/>
                </w:rPr>
              </m:ctrlPr>
            </m:dPr>
            <m:e>
              <m:r>
                <m:rPr>
                  <m:sty m:val="p"/>
                </m:rPr>
                <w:rPr>
                  <w:rFonts w:ascii="Cambria Math" w:hAnsi="Cambria Math" w:cs="Arial"/>
                  <w:szCs w:val="20"/>
                </w:rPr>
                <m:t>PW×</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m:t>
                      </m:r>
                    </m:sub>
                  </m:sSub>
                </m:e>
              </m:d>
            </m:e>
          </m:d>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r>
            <m:rPr>
              <m:sty m:val="p"/>
            </m:rPr>
            <w:rPr>
              <w:rFonts w:ascii="Cambria Math" w:hAnsi="Cambria Math" w:cs="Arial"/>
              <w:szCs w:val="20"/>
            </w:rPr>
            <m:t>]}×NEP</m:t>
          </m:r>
        </m:oMath>
      </m:oMathPara>
    </w:p>
    <w:p w:rsidR="00C63AD3" w:rsidRDefault="00C63AD3">
      <w:pPr>
        <w:spacing w:after="200" w:line="276" w:lineRule="auto"/>
        <w:rPr>
          <w:rFonts w:cs="Arial"/>
          <w:szCs w:val="20"/>
          <w:lang w:eastAsia="en-AU"/>
        </w:rPr>
      </w:pPr>
      <w:r>
        <w:rPr>
          <w:rFonts w:cs="Arial"/>
          <w:szCs w:val="20"/>
          <w:lang w:eastAsia="en-AU"/>
        </w:rPr>
        <w:br w:type="page"/>
      </w:r>
    </w:p>
    <w:p w:rsidR="00F51276" w:rsidRPr="00E90F0A" w:rsidRDefault="00F51276" w:rsidP="00F51276">
      <w:pPr>
        <w:tabs>
          <w:tab w:val="left" w:pos="1162"/>
        </w:tabs>
        <w:autoSpaceDE w:val="0"/>
        <w:autoSpaceDN w:val="0"/>
        <w:adjustRightInd w:val="0"/>
        <w:spacing w:after="0"/>
        <w:rPr>
          <w:rFonts w:cs="Arial"/>
          <w:szCs w:val="20"/>
          <w:lang w:eastAsia="en-AU"/>
        </w:rPr>
      </w:pPr>
      <w:r w:rsidRPr="00E90F0A">
        <w:rPr>
          <w:rFonts w:cs="Arial"/>
          <w:szCs w:val="20"/>
          <w:lang w:eastAsia="en-AU"/>
        </w:rPr>
        <w:lastRenderedPageBreak/>
        <w:t>Where:</w:t>
      </w:r>
    </w:p>
    <w:p w:rsidR="00F51276" w:rsidRPr="00E90F0A" w:rsidRDefault="00F51276" w:rsidP="00F51276">
      <w:pPr>
        <w:pStyle w:val="ListParagraph"/>
        <w:numPr>
          <w:ilvl w:val="1"/>
          <w:numId w:val="18"/>
        </w:numPr>
        <w:tabs>
          <w:tab w:val="left" w:pos="1162"/>
        </w:tabs>
        <w:spacing w:after="0"/>
        <w:ind w:left="1434" w:hanging="357"/>
        <w:rPr>
          <w:rFonts w:cs="Arial"/>
          <w:szCs w:val="20"/>
        </w:rPr>
      </w:pPr>
      <m:oMath>
        <m:r>
          <m:rPr>
            <m:sty m:val="p"/>
          </m:rPr>
          <w:rPr>
            <w:rFonts w:ascii="Cambria Math" w:hAnsi="Cambria Math" w:cs="Arial"/>
            <w:szCs w:val="20"/>
          </w:rPr>
          <m:t>PW</m:t>
        </m:r>
      </m:oMath>
      <w:r w:rsidRPr="00E90F0A">
        <w:rPr>
          <w:rFonts w:cs="Arial"/>
          <w:szCs w:val="20"/>
        </w:rPr>
        <w:t xml:space="preserve"> </w:t>
      </w:r>
      <w:proofErr w:type="gramStart"/>
      <w:r w:rsidRPr="00E90F0A">
        <w:rPr>
          <w:rFonts w:cs="Arial"/>
          <w:szCs w:val="20"/>
        </w:rPr>
        <w:t>means</w:t>
      </w:r>
      <w:proofErr w:type="gramEnd"/>
      <w:r w:rsidRPr="00E90F0A">
        <w:rPr>
          <w:rFonts w:cs="Arial"/>
          <w:szCs w:val="20"/>
        </w:rPr>
        <w:t xml:space="preserve"> the Price Weight for an ABF Activity as set </w:t>
      </w:r>
      <w:r w:rsidRPr="00E90F0A">
        <w:rPr>
          <w:rFonts w:cs="Arial"/>
          <w:szCs w:val="20"/>
          <w:lang w:eastAsia="en-AU"/>
        </w:rPr>
        <w:t xml:space="preserve">out at Appendix B of the </w:t>
      </w:r>
      <w:r w:rsidRPr="000B33D2">
        <w:rPr>
          <w:rFonts w:cs="Arial"/>
          <w:szCs w:val="20"/>
          <w:lang w:eastAsia="en-AU"/>
        </w:rPr>
        <w:t>NEP13 Determination</w:t>
      </w:r>
      <w:r w:rsidRPr="00E90F0A">
        <w:rPr>
          <w:rFonts w:cs="Arial"/>
          <w:szCs w:val="20"/>
          <w:lang w:eastAsia="en-AU"/>
        </w:rPr>
        <w:t>.</w:t>
      </w:r>
      <w:r w:rsidRPr="00E90F0A">
        <w:rPr>
          <w:rFonts w:cs="Arial"/>
          <w:b/>
          <w:szCs w:val="20"/>
        </w:rPr>
        <w:t xml:space="preserve"> </w:t>
      </w:r>
    </w:p>
    <w:p w:rsidR="00F51276" w:rsidRPr="00E90F0A" w:rsidRDefault="00822CBA" w:rsidP="00F51276">
      <w:pPr>
        <w:pStyle w:val="ListParagraph"/>
        <w:numPr>
          <w:ilvl w:val="1"/>
          <w:numId w:val="18"/>
        </w:numPr>
        <w:tabs>
          <w:tab w:val="left" w:pos="1162"/>
        </w:tabs>
        <w:spacing w:after="0"/>
        <w:ind w:left="1434" w:hanging="357"/>
        <w:rPr>
          <w:rFonts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oMath>
      <w:r w:rsidR="00F51276" w:rsidRPr="00E90F0A">
        <w:rPr>
          <w:rFonts w:cs="Arial"/>
          <w:szCs w:val="20"/>
        </w:rPr>
        <w:t xml:space="preserve"> means the Indigenous adjustment</w:t>
      </w:r>
    </w:p>
    <w:p w:rsidR="00F51276" w:rsidRPr="00E90F0A" w:rsidRDefault="00822CBA" w:rsidP="00F51276">
      <w:pPr>
        <w:pStyle w:val="ListParagraph"/>
        <w:numPr>
          <w:ilvl w:val="1"/>
          <w:numId w:val="18"/>
        </w:numPr>
        <w:tabs>
          <w:tab w:val="left" w:pos="1162"/>
        </w:tabs>
        <w:spacing w:after="0"/>
        <w:ind w:left="1434" w:hanging="357"/>
        <w:rPr>
          <w:rFonts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m:t>
            </m:r>
          </m:sub>
        </m:sSub>
      </m:oMath>
      <w:r w:rsidR="00F51276" w:rsidRPr="00E90F0A">
        <w:rPr>
          <w:rFonts w:cs="Arial"/>
          <w:szCs w:val="20"/>
        </w:rPr>
        <w:t xml:space="preserve"> means each or any remoteness area adjustment</w:t>
      </w:r>
    </w:p>
    <w:p w:rsidR="00F51276" w:rsidRPr="00E90F0A" w:rsidRDefault="00822CBA" w:rsidP="00F51276">
      <w:pPr>
        <w:pStyle w:val="ListParagraph"/>
        <w:numPr>
          <w:ilvl w:val="1"/>
          <w:numId w:val="18"/>
        </w:numPr>
        <w:tabs>
          <w:tab w:val="left" w:pos="1162"/>
        </w:tabs>
        <w:autoSpaceDE w:val="0"/>
        <w:autoSpaceDN w:val="0"/>
        <w:adjustRightInd w:val="0"/>
        <w:spacing w:after="0"/>
        <w:ind w:left="1434" w:hanging="357"/>
        <w:rPr>
          <w:rFonts w:cs="Arial"/>
          <w:szCs w:val="20"/>
          <w:lang w:eastAsia="en-AU"/>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oMath>
      <w:r w:rsidR="00F51276" w:rsidRPr="00E90F0A">
        <w:rPr>
          <w:rFonts w:cs="Arial"/>
          <w:szCs w:val="20"/>
        </w:rPr>
        <w:t xml:space="preserve"> means the private patient service adjustment</w:t>
      </w:r>
    </w:p>
    <w:p w:rsidR="00F51276" w:rsidRPr="00E90F0A" w:rsidRDefault="00822CBA" w:rsidP="00F51276">
      <w:pPr>
        <w:pStyle w:val="ListParagraph"/>
        <w:numPr>
          <w:ilvl w:val="1"/>
          <w:numId w:val="18"/>
        </w:numPr>
        <w:tabs>
          <w:tab w:val="left" w:pos="1162"/>
        </w:tabs>
        <w:spacing w:after="0"/>
        <w:ind w:left="1434" w:hanging="357"/>
        <w:rPr>
          <w:rFonts w:cs="Arial"/>
          <w:szCs w:val="20"/>
        </w:rPr>
      </w:pPr>
      <m:oMath>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oMath>
      <w:r w:rsidR="00F51276" w:rsidRPr="00E90F0A">
        <w:rPr>
          <w:rFonts w:cs="Arial"/>
          <w:b/>
          <w:szCs w:val="20"/>
        </w:rPr>
        <w:t xml:space="preserve"> </w:t>
      </w:r>
      <w:r w:rsidR="00F51276" w:rsidRPr="00E90F0A">
        <w:rPr>
          <w:rFonts w:cs="Arial"/>
          <w:szCs w:val="20"/>
        </w:rPr>
        <w:t>means the private patient accommodation adjustment applicable to the state/territory of hospitalisation and length of stay</w:t>
      </w:r>
    </w:p>
    <w:p w:rsidR="00F51276" w:rsidRPr="00E90F0A" w:rsidRDefault="00F51276" w:rsidP="00F51276">
      <w:pPr>
        <w:pStyle w:val="ListParagraph"/>
        <w:numPr>
          <w:ilvl w:val="1"/>
          <w:numId w:val="18"/>
        </w:numPr>
        <w:tabs>
          <w:tab w:val="left" w:pos="1162"/>
        </w:tabs>
        <w:spacing w:after="0"/>
        <w:ind w:left="1434" w:hanging="357"/>
        <w:rPr>
          <w:rFonts w:cs="Arial"/>
          <w:szCs w:val="20"/>
        </w:rPr>
      </w:pPr>
      <m:oMath>
        <m:r>
          <m:rPr>
            <m:sty m:val="p"/>
          </m:rPr>
          <w:rPr>
            <w:rFonts w:ascii="Cambria Math" w:hAnsi="Cambria Math" w:cs="Arial"/>
            <w:szCs w:val="20"/>
          </w:rPr>
          <m:t>LOS</m:t>
        </m:r>
      </m:oMath>
      <w:r w:rsidRPr="00E90F0A">
        <w:rPr>
          <w:rFonts w:cs="Arial"/>
          <w:szCs w:val="20"/>
        </w:rPr>
        <w:t xml:space="preserve"> means length of stay in hospital (in days)</w:t>
      </w:r>
    </w:p>
    <w:p w:rsidR="00F51276" w:rsidRPr="00E90F0A" w:rsidRDefault="00F51276" w:rsidP="00F51276">
      <w:pPr>
        <w:pStyle w:val="ListParagraph"/>
        <w:numPr>
          <w:ilvl w:val="1"/>
          <w:numId w:val="18"/>
        </w:numPr>
        <w:tabs>
          <w:tab w:val="left" w:pos="1162"/>
        </w:tabs>
        <w:spacing w:after="0"/>
        <w:ind w:left="1434" w:hanging="357"/>
        <w:rPr>
          <w:rFonts w:cs="Arial"/>
          <w:szCs w:val="20"/>
        </w:rPr>
      </w:pPr>
      <m:oMath>
        <m:r>
          <m:rPr>
            <m:sty m:val="p"/>
          </m:rPr>
          <w:rPr>
            <w:rFonts w:ascii="Cambria Math" w:hAnsi="Cambria Math" w:cs="Arial"/>
            <w:szCs w:val="20"/>
          </w:rPr>
          <m:t>NEP</m:t>
        </m:r>
      </m:oMath>
      <w:r w:rsidRPr="00E90F0A">
        <w:rPr>
          <w:rFonts w:cs="Arial"/>
          <w:szCs w:val="20"/>
        </w:rPr>
        <w:t xml:space="preserve"> is the </w:t>
      </w:r>
      <w:r>
        <w:rPr>
          <w:rFonts w:cs="Arial"/>
          <w:szCs w:val="20"/>
        </w:rPr>
        <w:t>2015-16</w:t>
      </w:r>
      <w:r w:rsidRPr="00E90F0A">
        <w:rPr>
          <w:rFonts w:cs="Arial"/>
          <w:szCs w:val="20"/>
        </w:rPr>
        <w:t xml:space="preserve"> National Efficient Price</w:t>
      </w:r>
    </w:p>
    <w:p w:rsidR="00F51276" w:rsidRPr="00183A38" w:rsidRDefault="00F51276" w:rsidP="00F51276">
      <w:pPr>
        <w:tabs>
          <w:tab w:val="left" w:pos="1162"/>
        </w:tabs>
        <w:autoSpaceDE w:val="0"/>
        <w:autoSpaceDN w:val="0"/>
        <w:adjustRightInd w:val="0"/>
        <w:spacing w:after="0"/>
        <w:rPr>
          <w:rFonts w:cs="Arial"/>
          <w:szCs w:val="20"/>
          <w:lang w:eastAsia="en-AU"/>
        </w:rPr>
      </w:pPr>
    </w:p>
    <w:p w:rsidR="00F51276" w:rsidRDefault="00F51276" w:rsidP="00F51276">
      <w:pPr>
        <w:tabs>
          <w:tab w:val="left" w:pos="1162"/>
        </w:tabs>
        <w:autoSpaceDE w:val="0"/>
        <w:autoSpaceDN w:val="0"/>
        <w:adjustRightInd w:val="0"/>
        <w:spacing w:after="0"/>
        <w:rPr>
          <w:rFonts w:cstheme="minorHAnsi"/>
        </w:rPr>
      </w:pPr>
      <w:r w:rsidRPr="00183A38">
        <w:rPr>
          <w:rFonts w:cs="Arial"/>
          <w:szCs w:val="20"/>
          <w:lang w:eastAsia="en-AU"/>
        </w:rPr>
        <w:t>In the event that the application of the private patient accommodation adjustment and the private patient service adjustment returns a negative NWAU value for a patient, the NWAU value is held to be zero</w:t>
      </w:r>
      <w:r>
        <w:rPr>
          <w:rFonts w:cs="Arial"/>
          <w:szCs w:val="20"/>
          <w:lang w:eastAsia="en-AU"/>
        </w:rPr>
        <w:t>,</w:t>
      </w:r>
      <w:r w:rsidRPr="00183A38">
        <w:rPr>
          <w:rFonts w:cs="Arial"/>
          <w:szCs w:val="20"/>
          <w:lang w:eastAsia="en-AU"/>
        </w:rPr>
        <w:t xml:space="preserve"> </w:t>
      </w:r>
      <w:r>
        <w:rPr>
          <w:rFonts w:cs="Arial"/>
          <w:szCs w:val="20"/>
          <w:lang w:eastAsia="en-AU"/>
        </w:rPr>
        <w:t>as</w:t>
      </w:r>
      <w:r w:rsidRPr="00183A38">
        <w:rPr>
          <w:rFonts w:cs="Arial"/>
          <w:szCs w:val="20"/>
          <w:lang w:eastAsia="en-AU"/>
        </w:rPr>
        <w:t xml:space="preserve"> negative NWAU values are not permitted for any patients</w:t>
      </w:r>
      <w:r w:rsidRPr="00250D7F">
        <w:rPr>
          <w:rFonts w:cs="Arial"/>
          <w:szCs w:val="20"/>
          <w:lang w:eastAsia="en-AU"/>
        </w:rPr>
        <w:t xml:space="preserve"> under the National Pricing</w:t>
      </w:r>
      <w:r>
        <w:rPr>
          <w:rFonts w:cs="Arial"/>
          <w:szCs w:val="20"/>
          <w:lang w:eastAsia="en-AU"/>
        </w:rPr>
        <w:t xml:space="preserve"> </w:t>
      </w:r>
      <w:r w:rsidRPr="00250D7F">
        <w:rPr>
          <w:rFonts w:cs="Arial"/>
          <w:szCs w:val="20"/>
          <w:lang w:eastAsia="en-AU"/>
        </w:rPr>
        <w:t>Model.</w:t>
      </w:r>
    </w:p>
    <w:p w:rsidR="00F51276" w:rsidRDefault="00F51276" w:rsidP="00F51276">
      <w:pPr>
        <w:autoSpaceDE w:val="0"/>
        <w:autoSpaceDN w:val="0"/>
        <w:adjustRightInd w:val="0"/>
        <w:spacing w:after="0"/>
        <w:rPr>
          <w:rFonts w:cs="Arial"/>
          <w:szCs w:val="20"/>
          <w:lang w:eastAsia="en-AU"/>
        </w:rPr>
      </w:pPr>
    </w:p>
    <w:p w:rsidR="00F51276" w:rsidRPr="004611B5" w:rsidRDefault="00F51276" w:rsidP="00F51276">
      <w:pPr>
        <w:autoSpaceDE w:val="0"/>
        <w:autoSpaceDN w:val="0"/>
        <w:adjustRightInd w:val="0"/>
        <w:spacing w:after="0"/>
        <w:rPr>
          <w:rFonts w:cs="Arial"/>
          <w:szCs w:val="20"/>
          <w:lang w:eastAsia="en-AU"/>
        </w:rPr>
      </w:pPr>
      <w:r w:rsidRPr="004611B5">
        <w:rPr>
          <w:rFonts w:cs="Arial"/>
          <w:szCs w:val="20"/>
          <w:lang w:eastAsia="en-AU"/>
        </w:rPr>
        <w:t>Note: the definition of</w:t>
      </w:r>
      <w:r w:rsidRPr="004611B5">
        <w:rPr>
          <w:rFonts w:ascii="Arial+FPEF" w:hAnsi="Arial+FPEF" w:cs="Arial+FPEF"/>
          <w:szCs w:val="20"/>
          <w:lang w:eastAsia="en-AU"/>
        </w:rPr>
        <w:t xml:space="preserve"> APPS </w:t>
      </w:r>
      <w:r w:rsidRPr="004611B5">
        <w:rPr>
          <w:rFonts w:cs="Arial"/>
          <w:szCs w:val="20"/>
          <w:lang w:eastAsia="en-AU"/>
        </w:rPr>
        <w:t>as the Private Patient Service A</w:t>
      </w:r>
      <w:r>
        <w:rPr>
          <w:rFonts w:cs="Arial"/>
          <w:szCs w:val="20"/>
          <w:lang w:eastAsia="en-AU"/>
        </w:rPr>
        <w:t xml:space="preserve">djustment is now expressed as a </w:t>
      </w:r>
      <w:r w:rsidRPr="004611B5">
        <w:rPr>
          <w:rFonts w:cs="Arial"/>
          <w:szCs w:val="20"/>
          <w:lang w:eastAsia="en-AU"/>
        </w:rPr>
        <w:t>discount and equates to</w:t>
      </w:r>
      <w:r w:rsidRPr="004611B5">
        <w:rPr>
          <w:rFonts w:ascii="Arial+FPEF" w:hAnsi="Arial+FPEF" w:cs="Arial+FPEF"/>
          <w:szCs w:val="20"/>
          <w:lang w:eastAsia="en-AU"/>
        </w:rPr>
        <w:t xml:space="preserve"> (1 - APPS) </w:t>
      </w:r>
      <w:r w:rsidRPr="004611B5">
        <w:rPr>
          <w:rFonts w:cs="Arial"/>
          <w:szCs w:val="20"/>
          <w:lang w:eastAsia="en-AU"/>
        </w:rPr>
        <w:t>in NEP13.</w:t>
      </w:r>
    </w:p>
    <w:p w:rsidR="00F51276" w:rsidRDefault="00F51276" w:rsidP="00F51276">
      <w:pPr>
        <w:pStyle w:val="Heading2"/>
        <w:keepLines w:val="0"/>
        <w:numPr>
          <w:ilvl w:val="1"/>
          <w:numId w:val="35"/>
        </w:numPr>
        <w:tabs>
          <w:tab w:val="left" w:pos="1162"/>
        </w:tabs>
        <w:spacing w:after="60"/>
      </w:pPr>
      <w:bookmarkStart w:id="218" w:name="_Toc380754747"/>
      <w:bookmarkStart w:id="219" w:name="_Toc412550754"/>
      <w:r w:rsidRPr="003B1072">
        <w:t>Assigning NWAU to subacute and non-acute admitted patient data</w:t>
      </w:r>
      <w:bookmarkEnd w:id="218"/>
      <w:bookmarkEnd w:id="219"/>
    </w:p>
    <w:p w:rsidR="00F51276" w:rsidRPr="00360A1B" w:rsidRDefault="00F51276" w:rsidP="00F51276">
      <w:pPr>
        <w:tabs>
          <w:tab w:val="left" w:pos="1162"/>
        </w:tabs>
        <w:spacing w:before="120"/>
        <w:rPr>
          <w:rFonts w:cs="Arial"/>
          <w:szCs w:val="20"/>
        </w:rPr>
      </w:pPr>
      <w:r w:rsidRPr="008C13B4">
        <w:rPr>
          <w:rFonts w:cs="Arial"/>
          <w:szCs w:val="20"/>
        </w:rPr>
        <w:t xml:space="preserve">This section describes how the cost parameters calculated in the previous section can be applied to subacute and non-acute patient activity data to calculate NWAU for each episode. </w:t>
      </w:r>
      <w:r w:rsidRPr="00360A1B">
        <w:rPr>
          <w:rFonts w:cs="Arial"/>
          <w:szCs w:val="20"/>
        </w:rPr>
        <w:t>The process is broken into two stages:</w:t>
      </w:r>
    </w:p>
    <w:p w:rsidR="00F51276" w:rsidRPr="00360A1B" w:rsidRDefault="00F51276" w:rsidP="00F51276">
      <w:pPr>
        <w:tabs>
          <w:tab w:val="left" w:pos="1162"/>
        </w:tabs>
        <w:ind w:left="851" w:hanging="851"/>
        <w:rPr>
          <w:rFonts w:cs="Arial"/>
          <w:szCs w:val="20"/>
        </w:rPr>
      </w:pPr>
      <w:r w:rsidRPr="00514DF2">
        <w:rPr>
          <w:rFonts w:cs="Arial"/>
          <w:szCs w:val="20"/>
        </w:rPr>
        <w:t>Stage 1</w:t>
      </w:r>
      <w:r>
        <w:rPr>
          <w:rFonts w:cs="Arial"/>
          <w:szCs w:val="20"/>
        </w:rPr>
        <w:t>:</w:t>
      </w:r>
      <w:r w:rsidRPr="00360A1B">
        <w:rPr>
          <w:rFonts w:cs="Arial"/>
          <w:szCs w:val="20"/>
        </w:rPr>
        <w:t xml:space="preserve"> Preparation of subacute and non-acute admitted patient data and creation of variables required for NWAU calculation.</w:t>
      </w:r>
    </w:p>
    <w:p w:rsidR="00F51276" w:rsidRPr="00C83F6F" w:rsidRDefault="00F51276" w:rsidP="00F51276">
      <w:pPr>
        <w:tabs>
          <w:tab w:val="left" w:pos="1162"/>
        </w:tabs>
        <w:ind w:left="851" w:hanging="851"/>
        <w:rPr>
          <w:rFonts w:cs="Arial"/>
          <w:szCs w:val="20"/>
        </w:rPr>
      </w:pPr>
      <w:r>
        <w:rPr>
          <w:rFonts w:cs="Arial"/>
          <w:szCs w:val="20"/>
        </w:rPr>
        <w:t>Stage 2:</w:t>
      </w:r>
      <w:r w:rsidRPr="00C83F6F">
        <w:rPr>
          <w:rFonts w:cs="Arial"/>
          <w:szCs w:val="20"/>
        </w:rPr>
        <w:t xml:space="preserve"> Calculation of NWAU using subacute and non-acute admitted patient data (from   Stage 1).</w:t>
      </w:r>
    </w:p>
    <w:p w:rsidR="00F51276" w:rsidRPr="00360A1B" w:rsidRDefault="00F51276" w:rsidP="00F51276">
      <w:pPr>
        <w:pStyle w:val="Heading3"/>
        <w:keepLines w:val="0"/>
        <w:numPr>
          <w:ilvl w:val="2"/>
          <w:numId w:val="35"/>
        </w:numPr>
        <w:tabs>
          <w:tab w:val="left" w:pos="1162"/>
        </w:tabs>
        <w:spacing w:before="240" w:after="120"/>
      </w:pPr>
      <w:bookmarkStart w:id="220" w:name="_Toc380754748"/>
      <w:bookmarkStart w:id="221" w:name="_Toc412550755"/>
      <w:r w:rsidRPr="00360A1B">
        <w:t>Data Preparation</w:t>
      </w:r>
      <w:bookmarkEnd w:id="220"/>
      <w:bookmarkEnd w:id="221"/>
    </w:p>
    <w:p w:rsidR="00F51276" w:rsidRPr="00BF0679" w:rsidRDefault="00F51276" w:rsidP="00BF0679">
      <w:pPr>
        <w:rPr>
          <w:rFonts w:cs="Arial"/>
          <w:szCs w:val="20"/>
        </w:rPr>
      </w:pPr>
      <w:r w:rsidRPr="00360A1B">
        <w:rPr>
          <w:rFonts w:cs="Arial"/>
          <w:szCs w:val="20"/>
        </w:rPr>
        <w:t>The data preparation stage is illustrated in</w:t>
      </w:r>
      <w:r>
        <w:rPr>
          <w:rFonts w:cs="Arial"/>
          <w:szCs w:val="20"/>
        </w:rPr>
        <w:t xml:space="preserve"> Figure </w:t>
      </w:r>
      <w:r w:rsidR="006D7C24">
        <w:rPr>
          <w:rFonts w:cs="Arial"/>
          <w:szCs w:val="20"/>
        </w:rPr>
        <w:t>7</w:t>
      </w:r>
      <w:r>
        <w:rPr>
          <w:rFonts w:cs="Arial"/>
          <w:szCs w:val="20"/>
        </w:rPr>
        <w:t>.</w:t>
      </w:r>
      <w:bookmarkStart w:id="222" w:name="_Ref342309110"/>
    </w:p>
    <w:p w:rsidR="00F51276" w:rsidRDefault="00F51276">
      <w:pPr>
        <w:pStyle w:val="table"/>
      </w:pPr>
      <w:r>
        <w:t>Figure</w:t>
      </w:r>
      <w:bookmarkEnd w:id="222"/>
      <w:r>
        <w:t xml:space="preserve"> </w:t>
      </w:r>
      <w:r w:rsidR="006D7C24">
        <w:t>7</w:t>
      </w:r>
      <w:r>
        <w:t xml:space="preserve">: </w:t>
      </w:r>
      <w:r w:rsidRPr="00804B23">
        <w:t>Assigning NWAU to subacute and non-acute admitte</w:t>
      </w:r>
      <w:r>
        <w:t xml:space="preserve">d patient data – Stage 1 – Data </w:t>
      </w:r>
      <w:r w:rsidRPr="00804B23">
        <w:t>Preparation</w:t>
      </w:r>
    </w:p>
    <w:p w:rsidR="00F51276" w:rsidRDefault="00BC0B1C" w:rsidP="009B622C">
      <w:pPr>
        <w:pStyle w:val="table"/>
      </w:pPr>
      <w:r>
        <w:rPr>
          <w:noProof/>
        </w:rPr>
        <w:drawing>
          <wp:inline distT="0" distB="0" distL="0" distR="0" wp14:anchorId="470C2DD8" wp14:editId="39478C97">
            <wp:extent cx="5724525" cy="2295525"/>
            <wp:effectExtent l="19050" t="19050" r="28575" b="28575"/>
            <wp:docPr id="139" name="Picture 139" descr="Figure seven is a flow chart assigning National Weighted Activity Unit (NWAU) to subacute and non-acute admitted patient data, stage one, data preparation. &#10;&#10;First tier: Admitted Patient Care National Minimum Data Set (APC NMDS) and Admitted Subacute and Non-Acute Activity Based Funding Data Set Specification (ASNA ABF DSS) Dataset. &#10;Stepone1: Create variables S01 to S07. &#10;Step two: Filter to pat_subacute_flag = 1 &#10;Step three: Create variables S08 S12. &#10;Step four: Filter to pat_inscope_flag = 1 &#10;Step five: Left join with postcode and Statistical Local Area (SLA) tables and create variable S13. &#10;Step six: Create variables S14 to S16. &#10;&#10;After Step six, step seven provides two paths. &#10;&#10;First path: &#10;Step seven: Filter to ansnap_flag = 1 &#10;Step eight: Inner join with National Weighted Activity Unit (NWAU) price weight table and create variables S17 to S22. &#10;Off Step eight: 2014-15 National Weighted Activity Unit (NWAU) Australian National Subacute and Non-Acute Patient (AN-SNAP) Price Weight table. &#10;Step nine: Create variables S23 to S27. &#10;Step eleven: Use 2014-15 National Weighted Activity Unit (NWAU) adjustments to create variables S30 to S37. &#10;Off Step eleven: 2014-15 National Weighted Activity Unit (NWAU) adjustments. &#10;Final tier for the first path: Prepared subacute and non-acute Australian National Subacute and Non-Acute Patient (AN-SNAP) dataset. &#10;&#10;(back to step six) Second path: &#10;Step seven: Filter to ansnap_flag = 0 &#10;Step ten: Inner join with National Weighted Activity Unit (NWAU) price weight table and create variable S28 and S29. &#10;Off step ten: 2014-15 National Weighted Activity Unit (NWAU) care type same day and overnight per diem price weight table. &#10;Step eleven: Use 2014-15 National Weighted Activity Unit (NWAU) adjustments to create variables S30 to S37. &#10;Off step eleven: 2013-14 National Weighted Activity Unit (NWAU) adjustments &#10;Final tier for the second path: Prepared subacute and non-acute care type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2295525"/>
                    </a:xfrm>
                    <a:prstGeom prst="rect">
                      <a:avLst/>
                    </a:prstGeom>
                    <a:noFill/>
                    <a:ln>
                      <a:solidFill>
                        <a:schemeClr val="accent1"/>
                      </a:solidFill>
                    </a:ln>
                  </pic:spPr>
                </pic:pic>
              </a:graphicData>
            </a:graphic>
          </wp:inline>
        </w:drawing>
      </w:r>
    </w:p>
    <w:p w:rsidR="00F51276" w:rsidRPr="00C83F6F" w:rsidRDefault="00F51276" w:rsidP="00F51276">
      <w:pPr>
        <w:spacing w:before="480"/>
        <w:rPr>
          <w:rFonts w:ascii="Arial" w:eastAsia="Times New Roman" w:hAnsi="Arial" w:cs="Times New Roman"/>
          <w:b/>
          <w:sz w:val="20"/>
        </w:rPr>
      </w:pPr>
      <w:r w:rsidRPr="00360A1B">
        <w:rPr>
          <w:rFonts w:cs="Arial"/>
          <w:szCs w:val="20"/>
        </w:rPr>
        <w:lastRenderedPageBreak/>
        <w:t>The process is broken into eleven steps, each requiring variables created in previous steps. There are two resulting datasets one cont</w:t>
      </w:r>
      <w:r>
        <w:rPr>
          <w:rFonts w:cs="Arial"/>
          <w:szCs w:val="20"/>
        </w:rPr>
        <w:t xml:space="preserve">aining data grouped to AN-SNAP </w:t>
      </w:r>
      <w:r w:rsidR="00AB1A29">
        <w:rPr>
          <w:rFonts w:cs="Arial"/>
          <w:szCs w:val="20"/>
        </w:rPr>
        <w:t>v</w:t>
      </w:r>
      <w:r w:rsidR="00AB1A29" w:rsidRPr="00360A1B">
        <w:rPr>
          <w:rFonts w:cs="Arial"/>
          <w:szCs w:val="20"/>
        </w:rPr>
        <w:t xml:space="preserve">ersion </w:t>
      </w:r>
      <w:r w:rsidRPr="00360A1B">
        <w:rPr>
          <w:rFonts w:cs="Arial"/>
          <w:szCs w:val="20"/>
        </w:rPr>
        <w:t>3 and the other containing only Care Type information.</w:t>
      </w:r>
    </w:p>
    <w:p w:rsidR="00F51276" w:rsidRDefault="00F51276" w:rsidP="00F51276">
      <w:pPr>
        <w:tabs>
          <w:tab w:val="left" w:pos="1162"/>
        </w:tabs>
        <w:rPr>
          <w:rFonts w:cs="Arial"/>
          <w:szCs w:val="20"/>
        </w:rPr>
      </w:pPr>
      <w:r w:rsidRPr="0038153A">
        <w:rPr>
          <w:rFonts w:cs="Arial"/>
          <w:szCs w:val="20"/>
        </w:rPr>
        <w:t xml:space="preserve">The process requires the </w:t>
      </w:r>
      <w:r>
        <w:rPr>
          <w:rFonts w:cs="Arial"/>
          <w:szCs w:val="20"/>
        </w:rPr>
        <w:t>five</w:t>
      </w:r>
      <w:r w:rsidRPr="0038153A">
        <w:rPr>
          <w:rFonts w:cs="Arial"/>
          <w:szCs w:val="20"/>
        </w:rPr>
        <w:t xml:space="preserve"> input datasets or tables referred to in</w:t>
      </w:r>
      <w:r>
        <w:rPr>
          <w:rFonts w:cs="Arial"/>
          <w:szCs w:val="20"/>
        </w:rPr>
        <w:t xml:space="preserve"> Table 1</w:t>
      </w:r>
      <w:r w:rsidR="00693CC5">
        <w:rPr>
          <w:rFonts w:cs="Arial"/>
          <w:szCs w:val="20"/>
        </w:rPr>
        <w:t>0</w:t>
      </w:r>
      <w:r>
        <w:rPr>
          <w:rFonts w:cs="Arial"/>
          <w:szCs w:val="20"/>
        </w:rPr>
        <w:t>.</w:t>
      </w:r>
    </w:p>
    <w:p w:rsidR="00F51276" w:rsidRPr="0038153A" w:rsidRDefault="00F51276" w:rsidP="00F51276">
      <w:pPr>
        <w:tabs>
          <w:tab w:val="left" w:pos="1162"/>
        </w:tabs>
        <w:rPr>
          <w:rFonts w:cs="Arial"/>
          <w:szCs w:val="20"/>
        </w:rPr>
      </w:pPr>
      <w:r w:rsidRPr="0038153A">
        <w:rPr>
          <w:rFonts w:cs="Arial"/>
          <w:szCs w:val="20"/>
        </w:rPr>
        <w:t>Fifteen variables are required to form the input APC dataset. These variables form part of the APC and ASNC ABF Data Set Specifications on the IHPA website and are listed in</w:t>
      </w:r>
      <w:r>
        <w:rPr>
          <w:rFonts w:cs="Arial"/>
          <w:szCs w:val="20"/>
        </w:rPr>
        <w:t xml:space="preserve"> Table 1</w:t>
      </w:r>
      <w:r w:rsidR="00693CC5">
        <w:rPr>
          <w:rFonts w:cs="Arial"/>
          <w:szCs w:val="20"/>
        </w:rPr>
        <w:t>1</w:t>
      </w:r>
      <w:r>
        <w:rPr>
          <w:rFonts w:cs="Arial"/>
          <w:szCs w:val="20"/>
        </w:rPr>
        <w:t>.</w:t>
      </w:r>
    </w:p>
    <w:p w:rsidR="00C63AD3" w:rsidRPr="00BF0679" w:rsidRDefault="00F51276" w:rsidP="00BF0679">
      <w:pPr>
        <w:tabs>
          <w:tab w:val="left" w:pos="1162"/>
        </w:tabs>
        <w:rPr>
          <w:rFonts w:cs="Arial"/>
          <w:szCs w:val="20"/>
        </w:rPr>
      </w:pPr>
      <w:r w:rsidRPr="00A24619">
        <w:rPr>
          <w:rFonts w:cs="Arial"/>
          <w:szCs w:val="20"/>
        </w:rPr>
        <w:t xml:space="preserve">The variable definitions required to apply the Stage 1 process are given in </w:t>
      </w:r>
      <w:r>
        <w:rPr>
          <w:rFonts w:cs="Arial"/>
          <w:szCs w:val="20"/>
        </w:rPr>
        <w:t>Table 1</w:t>
      </w:r>
      <w:r w:rsidR="00693CC5">
        <w:rPr>
          <w:rFonts w:cs="Arial"/>
          <w:szCs w:val="20"/>
        </w:rPr>
        <w:t>2</w:t>
      </w:r>
      <w:r w:rsidRPr="00A24619">
        <w:rPr>
          <w:rFonts w:cs="Arial"/>
          <w:szCs w:val="20"/>
        </w:rPr>
        <w:t>.</w:t>
      </w:r>
      <w:bookmarkStart w:id="223" w:name="_Ref342308437"/>
      <w:bookmarkStart w:id="224" w:name="_Ref373494117"/>
    </w:p>
    <w:p w:rsidR="00F51276" w:rsidRDefault="00F51276">
      <w:pPr>
        <w:pStyle w:val="table"/>
      </w:pPr>
      <w:r>
        <w:t xml:space="preserve">Table </w:t>
      </w:r>
      <w:bookmarkEnd w:id="223"/>
      <w:bookmarkEnd w:id="224"/>
      <w:r>
        <w:rPr>
          <w:noProof/>
        </w:rPr>
        <w:t>1</w:t>
      </w:r>
      <w:r w:rsidR="00693CC5">
        <w:rPr>
          <w:noProof/>
        </w:rPr>
        <w:t>0</w:t>
      </w:r>
      <w:r>
        <w:t xml:space="preserve">: </w:t>
      </w:r>
      <w:r w:rsidRPr="00722792">
        <w:t>Datasets and tables used for assignment of NWAU to subacute admitted patient data</w:t>
      </w:r>
    </w:p>
    <w:tbl>
      <w:tblPr>
        <w:tblW w:w="9654" w:type="dxa"/>
        <w:tblInd w:w="93"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605"/>
        <w:gridCol w:w="7049"/>
      </w:tblGrid>
      <w:tr w:rsidR="00F51276" w:rsidRPr="00212A7B" w:rsidTr="00920356">
        <w:trPr>
          <w:cantSplit/>
          <w:trHeight w:val="225"/>
          <w:tblHeader/>
        </w:trPr>
        <w:tc>
          <w:tcPr>
            <w:tcW w:w="2605" w:type="dxa"/>
            <w:shd w:val="clear" w:color="auto" w:fill="BFBFBF" w:themeFill="background1" w:themeFillShade="BF"/>
            <w:hideMark/>
          </w:tcPr>
          <w:p w:rsidR="00F51276" w:rsidRPr="00212A7B" w:rsidRDefault="00F51276" w:rsidP="00920356">
            <w:pPr>
              <w:tabs>
                <w:tab w:val="left" w:pos="1162"/>
              </w:tabs>
              <w:spacing w:before="80" w:after="80"/>
              <w:rPr>
                <w:rFonts w:cs="Arial"/>
                <w:b/>
                <w:bCs/>
                <w:color w:val="000000"/>
                <w:szCs w:val="20"/>
                <w:lang w:eastAsia="en-AU"/>
              </w:rPr>
            </w:pPr>
            <w:r w:rsidRPr="00212A7B">
              <w:rPr>
                <w:rFonts w:cs="Arial"/>
                <w:b/>
                <w:bCs/>
                <w:color w:val="000000"/>
                <w:szCs w:val="20"/>
                <w:lang w:eastAsia="en-AU"/>
              </w:rPr>
              <w:t>Input dataset or table</w:t>
            </w:r>
          </w:p>
        </w:tc>
        <w:tc>
          <w:tcPr>
            <w:tcW w:w="7049" w:type="dxa"/>
            <w:shd w:val="clear" w:color="auto" w:fill="BFBFBF" w:themeFill="background1" w:themeFillShade="BF"/>
            <w:hideMark/>
          </w:tcPr>
          <w:p w:rsidR="00F51276" w:rsidRPr="00212A7B" w:rsidRDefault="00F51276" w:rsidP="00920356">
            <w:pPr>
              <w:tabs>
                <w:tab w:val="left" w:pos="1162"/>
              </w:tabs>
              <w:spacing w:before="80" w:after="80"/>
              <w:rPr>
                <w:rFonts w:cs="Arial"/>
                <w:b/>
                <w:bCs/>
                <w:color w:val="000000"/>
                <w:szCs w:val="20"/>
                <w:lang w:eastAsia="en-AU"/>
              </w:rPr>
            </w:pPr>
            <w:r w:rsidRPr="00212A7B">
              <w:rPr>
                <w:rFonts w:cs="Arial"/>
                <w:b/>
                <w:bCs/>
                <w:color w:val="000000"/>
                <w:szCs w:val="20"/>
                <w:lang w:eastAsia="en-AU"/>
              </w:rPr>
              <w:t>Description</w:t>
            </w:r>
          </w:p>
        </w:tc>
      </w:tr>
      <w:tr w:rsidR="00F51276" w:rsidRPr="00212A7B" w:rsidTr="00920356">
        <w:trPr>
          <w:cantSplit/>
          <w:trHeight w:val="450"/>
        </w:trPr>
        <w:tc>
          <w:tcPr>
            <w:tcW w:w="2605" w:type="dxa"/>
            <w:shd w:val="clear" w:color="auto" w:fill="auto"/>
            <w:hideMark/>
          </w:tcPr>
          <w:p w:rsidR="00F51276" w:rsidRPr="00DE1EA4" w:rsidRDefault="00F51276" w:rsidP="00920356">
            <w:pPr>
              <w:tabs>
                <w:tab w:val="left" w:pos="1162"/>
              </w:tabs>
              <w:spacing w:before="80" w:after="80"/>
              <w:rPr>
                <w:rFonts w:cs="Arial"/>
                <w:color w:val="000000"/>
                <w:sz w:val="20"/>
                <w:szCs w:val="20"/>
                <w:lang w:eastAsia="en-AU"/>
              </w:rPr>
            </w:pPr>
            <w:r w:rsidRPr="00DE1EA4">
              <w:rPr>
                <w:rFonts w:cs="Arial"/>
                <w:color w:val="000000"/>
                <w:sz w:val="20"/>
                <w:szCs w:val="20"/>
                <w:lang w:eastAsia="en-AU"/>
              </w:rPr>
              <w:t xml:space="preserve">APC </w:t>
            </w:r>
            <w:r w:rsidR="007B3797">
              <w:rPr>
                <w:rFonts w:cs="Arial"/>
                <w:color w:val="000000"/>
                <w:sz w:val="20"/>
                <w:szCs w:val="20"/>
                <w:lang w:eastAsia="en-AU"/>
              </w:rPr>
              <w:t xml:space="preserve">NMDS </w:t>
            </w:r>
            <w:r w:rsidRPr="00DE1EA4">
              <w:rPr>
                <w:rFonts w:cs="Arial"/>
                <w:color w:val="000000"/>
                <w:sz w:val="20"/>
                <w:szCs w:val="20"/>
                <w:lang w:eastAsia="en-AU"/>
              </w:rPr>
              <w:t xml:space="preserve">&amp; ASNC ABF DSS </w:t>
            </w:r>
          </w:p>
        </w:tc>
        <w:tc>
          <w:tcPr>
            <w:tcW w:w="7049" w:type="dxa"/>
            <w:shd w:val="clear" w:color="auto" w:fill="auto"/>
            <w:hideMark/>
          </w:tcPr>
          <w:p w:rsidR="00F51276" w:rsidRPr="00DE1EA4" w:rsidRDefault="00F51276" w:rsidP="007B3797">
            <w:pPr>
              <w:tabs>
                <w:tab w:val="left" w:pos="1162"/>
              </w:tabs>
              <w:spacing w:before="80" w:after="80"/>
              <w:rPr>
                <w:rFonts w:cs="Arial"/>
                <w:color w:val="000000"/>
                <w:sz w:val="20"/>
                <w:szCs w:val="20"/>
                <w:lang w:eastAsia="en-AU"/>
              </w:rPr>
            </w:pPr>
            <w:r w:rsidRPr="00DE1EA4">
              <w:rPr>
                <w:rFonts w:cs="Arial"/>
                <w:color w:val="000000"/>
                <w:sz w:val="20"/>
                <w:szCs w:val="20"/>
                <w:lang w:eastAsia="en-AU"/>
              </w:rPr>
              <w:t xml:space="preserve">Dataset based </w:t>
            </w:r>
            <w:proofErr w:type="gramStart"/>
            <w:r w:rsidRPr="00DE1EA4">
              <w:rPr>
                <w:rFonts w:cs="Arial"/>
                <w:color w:val="000000"/>
                <w:sz w:val="20"/>
                <w:szCs w:val="20"/>
                <w:lang w:eastAsia="en-AU"/>
              </w:rPr>
              <w:t xml:space="preserve">on the </w:t>
            </w:r>
            <w:r>
              <w:rPr>
                <w:rFonts w:cs="Arial"/>
                <w:color w:val="000000"/>
                <w:sz w:val="20"/>
                <w:szCs w:val="20"/>
                <w:lang w:eastAsia="en-AU"/>
              </w:rPr>
              <w:t>2015-16</w:t>
            </w:r>
            <w:r w:rsidRPr="00DE1EA4">
              <w:rPr>
                <w:rFonts w:cs="Arial"/>
                <w:color w:val="000000"/>
                <w:sz w:val="20"/>
                <w:szCs w:val="20"/>
                <w:lang w:eastAsia="en-AU"/>
              </w:rPr>
              <w:t xml:space="preserve"> Admitted Patient Care </w:t>
            </w:r>
            <w:r w:rsidR="007B3797">
              <w:rPr>
                <w:rFonts w:cs="Arial"/>
                <w:color w:val="000000"/>
                <w:sz w:val="20"/>
                <w:szCs w:val="20"/>
                <w:lang w:eastAsia="en-AU"/>
              </w:rPr>
              <w:t>National Minimum</w:t>
            </w:r>
            <w:r w:rsidR="007B3797" w:rsidRPr="00DE1EA4">
              <w:rPr>
                <w:rFonts w:cs="Arial"/>
                <w:color w:val="000000"/>
                <w:sz w:val="20"/>
                <w:szCs w:val="20"/>
                <w:lang w:eastAsia="en-AU"/>
              </w:rPr>
              <w:t xml:space="preserve"> </w:t>
            </w:r>
            <w:r w:rsidRPr="00DE1EA4">
              <w:rPr>
                <w:rFonts w:cs="Arial"/>
                <w:color w:val="000000"/>
                <w:sz w:val="20"/>
                <w:szCs w:val="20"/>
                <w:lang w:eastAsia="en-AU"/>
              </w:rPr>
              <w:t>Data Set</w:t>
            </w:r>
            <w:r w:rsidR="007B3797">
              <w:rPr>
                <w:rFonts w:cs="Arial"/>
                <w:color w:val="000000"/>
                <w:sz w:val="20"/>
                <w:szCs w:val="20"/>
                <w:lang w:eastAsia="en-AU"/>
              </w:rPr>
              <w:t xml:space="preserve"> (APC NMDS)</w:t>
            </w:r>
            <w:r w:rsidRPr="00DE1EA4">
              <w:rPr>
                <w:rFonts w:cs="Arial"/>
                <w:color w:val="000000"/>
                <w:sz w:val="20"/>
                <w:szCs w:val="20"/>
                <w:lang w:eastAsia="en-AU"/>
              </w:rPr>
              <w:t>, with extra AN</w:t>
            </w:r>
            <w:r w:rsidRPr="00DE1EA4">
              <w:rPr>
                <w:rFonts w:cs="Arial"/>
                <w:color w:val="000000"/>
                <w:sz w:val="20"/>
                <w:szCs w:val="20"/>
                <w:lang w:eastAsia="en-AU"/>
              </w:rPr>
              <w:noBreakHyphen/>
              <w:t>SNAP information from the Admitted Subacute and Non</w:t>
            </w:r>
            <w:r w:rsidR="007B3797">
              <w:rPr>
                <w:rFonts w:cs="Arial"/>
                <w:color w:val="000000"/>
                <w:sz w:val="20"/>
                <w:szCs w:val="20"/>
                <w:lang w:eastAsia="en-AU"/>
              </w:rPr>
              <w:t>-</w:t>
            </w:r>
            <w:r w:rsidRPr="00DE1EA4">
              <w:rPr>
                <w:rFonts w:cs="Arial"/>
                <w:color w:val="000000"/>
                <w:sz w:val="20"/>
                <w:szCs w:val="20"/>
                <w:lang w:eastAsia="en-AU"/>
              </w:rPr>
              <w:t xml:space="preserve">acute </w:t>
            </w:r>
            <w:r w:rsidR="007B3797">
              <w:rPr>
                <w:rFonts w:cs="Arial"/>
                <w:color w:val="000000"/>
                <w:sz w:val="20"/>
                <w:szCs w:val="20"/>
                <w:lang w:eastAsia="en-AU"/>
              </w:rPr>
              <w:t>hospital care</w:t>
            </w:r>
            <w:proofErr w:type="gramEnd"/>
            <w:r w:rsidR="007B3797">
              <w:rPr>
                <w:rFonts w:cs="Arial"/>
                <w:color w:val="000000"/>
                <w:sz w:val="20"/>
                <w:szCs w:val="20"/>
                <w:lang w:eastAsia="en-AU"/>
              </w:rPr>
              <w:t xml:space="preserve"> DSS (ASNAHC DSS)</w:t>
            </w:r>
            <w:r w:rsidRPr="00DE1EA4">
              <w:rPr>
                <w:rFonts w:cs="Arial"/>
                <w:color w:val="000000"/>
                <w:sz w:val="20"/>
                <w:szCs w:val="20"/>
                <w:lang w:eastAsia="en-AU"/>
              </w:rPr>
              <w:t>, where available. Dataset specifications are located on the IHPA website.</w:t>
            </w:r>
          </w:p>
        </w:tc>
      </w:tr>
      <w:tr w:rsidR="00F51276" w:rsidRPr="00212A7B" w:rsidTr="00920356">
        <w:trPr>
          <w:cantSplit/>
          <w:trHeight w:val="450"/>
        </w:trPr>
        <w:tc>
          <w:tcPr>
            <w:tcW w:w="2605" w:type="dxa"/>
            <w:shd w:val="clear" w:color="auto" w:fill="auto"/>
            <w:hideMark/>
          </w:tcPr>
          <w:p w:rsidR="00F51276" w:rsidRPr="00DE1EA4" w:rsidRDefault="00F51276" w:rsidP="00920356">
            <w:pPr>
              <w:tabs>
                <w:tab w:val="left" w:pos="1162"/>
              </w:tabs>
              <w:spacing w:before="80" w:after="80"/>
              <w:rPr>
                <w:rFonts w:cs="Arial"/>
                <w:color w:val="000000"/>
                <w:sz w:val="20"/>
                <w:szCs w:val="20"/>
                <w:lang w:eastAsia="en-AU"/>
              </w:rPr>
            </w:pPr>
            <w:r w:rsidRPr="00DE1EA4">
              <w:rPr>
                <w:rFonts w:cs="Arial"/>
                <w:color w:val="000000"/>
                <w:sz w:val="20"/>
                <w:szCs w:val="20"/>
                <w:lang w:eastAsia="en-AU"/>
              </w:rPr>
              <w:t>Postcode table</w:t>
            </w:r>
          </w:p>
        </w:tc>
        <w:tc>
          <w:tcPr>
            <w:tcW w:w="7049" w:type="dxa"/>
            <w:shd w:val="clear" w:color="auto" w:fill="auto"/>
            <w:hideMark/>
          </w:tcPr>
          <w:p w:rsidR="00F51276" w:rsidRPr="00DE1EA4" w:rsidRDefault="00F51276" w:rsidP="00920356">
            <w:pPr>
              <w:tabs>
                <w:tab w:val="left" w:pos="1162"/>
              </w:tabs>
              <w:spacing w:before="80" w:after="80"/>
              <w:rPr>
                <w:rFonts w:cs="Arial"/>
                <w:color w:val="000000"/>
                <w:sz w:val="20"/>
                <w:szCs w:val="20"/>
                <w:lang w:eastAsia="en-AU"/>
              </w:rPr>
            </w:pPr>
            <w:r w:rsidRPr="00DE1EA4">
              <w:rPr>
                <w:rFonts w:cs="Arial"/>
                <w:color w:val="000000"/>
                <w:sz w:val="20"/>
                <w:szCs w:val="20"/>
                <w:lang w:eastAsia="en-AU"/>
              </w:rPr>
              <w:t>Table of postcodes mapped to the 2010 ASGS Remoteness Area classification. Each postcode is mapped to the Remoteness Area category within which the majority of the postcode’s population reside. PO Box postcodes are mapped to the Remoteness Area category within which the Post Office is located.</w:t>
            </w:r>
          </w:p>
        </w:tc>
      </w:tr>
      <w:tr w:rsidR="00F51276" w:rsidRPr="00212A7B" w:rsidTr="00920356">
        <w:trPr>
          <w:cantSplit/>
          <w:trHeight w:val="450"/>
        </w:trPr>
        <w:tc>
          <w:tcPr>
            <w:tcW w:w="2605" w:type="dxa"/>
            <w:shd w:val="clear" w:color="auto" w:fill="auto"/>
          </w:tcPr>
          <w:p w:rsidR="00F51276" w:rsidRPr="00BA4C38" w:rsidRDefault="00F51276" w:rsidP="00920356">
            <w:pPr>
              <w:tabs>
                <w:tab w:val="left" w:pos="1162"/>
              </w:tabs>
              <w:spacing w:before="80" w:after="80"/>
              <w:rPr>
                <w:rFonts w:cs="Arial"/>
                <w:sz w:val="20"/>
                <w:szCs w:val="20"/>
              </w:rPr>
            </w:pPr>
            <w:r>
              <w:rPr>
                <w:rFonts w:cs="Arial"/>
                <w:sz w:val="20"/>
                <w:szCs w:val="20"/>
              </w:rPr>
              <w:t>ASGS table</w:t>
            </w:r>
          </w:p>
        </w:tc>
        <w:tc>
          <w:tcPr>
            <w:tcW w:w="7049" w:type="dxa"/>
            <w:shd w:val="clear" w:color="auto" w:fill="auto"/>
          </w:tcPr>
          <w:p w:rsidR="00F51276" w:rsidRPr="00BA4C38" w:rsidRDefault="00F51276" w:rsidP="00920356">
            <w:pPr>
              <w:tabs>
                <w:tab w:val="left" w:pos="1162"/>
              </w:tabs>
              <w:spacing w:before="80" w:after="80"/>
              <w:rPr>
                <w:rFonts w:cs="Arial"/>
                <w:sz w:val="20"/>
                <w:szCs w:val="20"/>
              </w:rPr>
            </w:pPr>
            <w:r w:rsidRPr="00BA4C38">
              <w:rPr>
                <w:rFonts w:cs="Arial"/>
                <w:sz w:val="20"/>
                <w:szCs w:val="20"/>
              </w:rPr>
              <w:t xml:space="preserve">Table of </w:t>
            </w:r>
            <w:r>
              <w:rPr>
                <w:rFonts w:ascii="Arial" w:hAnsi="Arial" w:cs="Arial"/>
                <w:sz w:val="20"/>
                <w:szCs w:val="20"/>
              </w:rPr>
              <w:t>Australian Statistical Geography Standard</w:t>
            </w:r>
            <w:r>
              <w:rPr>
                <w:rFonts w:cs="Arial"/>
                <w:sz w:val="20"/>
                <w:szCs w:val="20"/>
              </w:rPr>
              <w:t xml:space="preserve"> (ASGS)</w:t>
            </w:r>
            <w:r w:rsidRPr="00BA4C38">
              <w:rPr>
                <w:rFonts w:cs="Arial"/>
                <w:sz w:val="20"/>
                <w:szCs w:val="20"/>
              </w:rPr>
              <w:t xml:space="preserve"> mapped to the Remoteness Area category with</w:t>
            </w:r>
            <w:r>
              <w:rPr>
                <w:rFonts w:cs="Arial"/>
                <w:sz w:val="20"/>
                <w:szCs w:val="20"/>
              </w:rPr>
              <w:t>in which the majority of the ASGS</w:t>
            </w:r>
            <w:r w:rsidRPr="00BA4C38">
              <w:rPr>
                <w:rFonts w:cs="Arial"/>
                <w:sz w:val="20"/>
                <w:szCs w:val="20"/>
              </w:rPr>
              <w:t>’s population resides.</w:t>
            </w:r>
          </w:p>
        </w:tc>
      </w:tr>
      <w:tr w:rsidR="00F51276" w:rsidRPr="00212A7B" w:rsidTr="00920356">
        <w:trPr>
          <w:cantSplit/>
          <w:trHeight w:val="450"/>
        </w:trPr>
        <w:tc>
          <w:tcPr>
            <w:tcW w:w="2605" w:type="dxa"/>
            <w:shd w:val="clear" w:color="auto" w:fill="auto"/>
            <w:hideMark/>
          </w:tcPr>
          <w:p w:rsidR="00F51276" w:rsidRPr="00DE1EA4" w:rsidRDefault="00F51276" w:rsidP="00920356">
            <w:pPr>
              <w:tabs>
                <w:tab w:val="left" w:pos="1162"/>
              </w:tabs>
              <w:spacing w:before="80" w:after="80"/>
              <w:rPr>
                <w:rFonts w:cs="Arial"/>
                <w:color w:val="000000"/>
                <w:sz w:val="20"/>
                <w:szCs w:val="20"/>
                <w:lang w:eastAsia="en-AU"/>
              </w:rPr>
            </w:pPr>
            <w:r w:rsidRPr="00DE1EA4">
              <w:rPr>
                <w:rFonts w:cs="Arial"/>
                <w:color w:val="000000"/>
                <w:sz w:val="20"/>
                <w:szCs w:val="20"/>
                <w:lang w:eastAsia="en-AU"/>
              </w:rPr>
              <w:t>SLA table</w:t>
            </w:r>
          </w:p>
        </w:tc>
        <w:tc>
          <w:tcPr>
            <w:tcW w:w="7049" w:type="dxa"/>
            <w:shd w:val="clear" w:color="auto" w:fill="auto"/>
            <w:hideMark/>
          </w:tcPr>
          <w:p w:rsidR="00F51276" w:rsidRPr="00DE1EA4" w:rsidRDefault="00F51276" w:rsidP="00920356">
            <w:pPr>
              <w:tabs>
                <w:tab w:val="left" w:pos="1162"/>
              </w:tabs>
              <w:spacing w:before="80" w:after="80"/>
              <w:rPr>
                <w:rFonts w:cs="Arial"/>
                <w:color w:val="000000"/>
                <w:sz w:val="20"/>
                <w:szCs w:val="20"/>
                <w:lang w:eastAsia="en-AU"/>
              </w:rPr>
            </w:pPr>
            <w:r w:rsidRPr="00DE1EA4">
              <w:rPr>
                <w:rFonts w:cs="Arial"/>
                <w:color w:val="000000"/>
                <w:sz w:val="20"/>
                <w:szCs w:val="20"/>
                <w:lang w:eastAsia="en-AU"/>
              </w:rPr>
              <w:t xml:space="preserve">Table of Statistical Local Areas (SLAs) mapped to the </w:t>
            </w:r>
            <w:r w:rsidRPr="00490D7A">
              <w:rPr>
                <w:rFonts w:cs="Arial"/>
                <w:color w:val="000000"/>
                <w:sz w:val="20"/>
                <w:szCs w:val="20"/>
                <w:lang w:eastAsia="en-AU"/>
              </w:rPr>
              <w:t>2011</w:t>
            </w:r>
            <w:r w:rsidRPr="00DE1EA4">
              <w:rPr>
                <w:rFonts w:cs="Arial"/>
                <w:color w:val="000000"/>
                <w:sz w:val="20"/>
                <w:szCs w:val="20"/>
                <w:lang w:eastAsia="en-AU"/>
              </w:rPr>
              <w:t xml:space="preserve"> ASGS Remoteness Area classification</w:t>
            </w:r>
            <w:r>
              <w:rPr>
                <w:rFonts w:cs="Arial"/>
                <w:color w:val="000000"/>
                <w:sz w:val="20"/>
                <w:szCs w:val="20"/>
                <w:lang w:eastAsia="en-AU"/>
              </w:rPr>
              <w:t>s</w:t>
            </w:r>
            <w:r w:rsidRPr="00DE1EA4">
              <w:rPr>
                <w:rFonts w:cs="Arial"/>
                <w:color w:val="000000"/>
                <w:sz w:val="20"/>
                <w:szCs w:val="20"/>
                <w:lang w:eastAsia="en-AU"/>
              </w:rPr>
              <w:t>. Each SLA is mapped to the Remoteness Area category within which the majority of the SLA’s population reside.</w:t>
            </w:r>
          </w:p>
        </w:tc>
      </w:tr>
      <w:tr w:rsidR="00F51276" w:rsidRPr="00212A7B" w:rsidTr="00920356">
        <w:trPr>
          <w:cantSplit/>
          <w:trHeight w:val="225"/>
        </w:trPr>
        <w:tc>
          <w:tcPr>
            <w:tcW w:w="2605" w:type="dxa"/>
            <w:shd w:val="clear" w:color="auto" w:fill="auto"/>
            <w:hideMark/>
          </w:tcPr>
          <w:p w:rsidR="00F51276" w:rsidRPr="00DE1EA4" w:rsidRDefault="00F51276" w:rsidP="00920356">
            <w:pPr>
              <w:tabs>
                <w:tab w:val="left" w:pos="1162"/>
              </w:tabs>
              <w:spacing w:before="80" w:after="80"/>
              <w:rPr>
                <w:rFonts w:cs="Arial"/>
                <w:color w:val="000000"/>
                <w:sz w:val="20"/>
                <w:szCs w:val="20"/>
                <w:lang w:eastAsia="en-AU"/>
              </w:rPr>
            </w:pPr>
            <w:r>
              <w:rPr>
                <w:rFonts w:cs="Arial"/>
                <w:color w:val="000000"/>
                <w:sz w:val="20"/>
                <w:szCs w:val="20"/>
                <w:lang w:eastAsia="en-AU"/>
              </w:rPr>
              <w:t>2015-16</w:t>
            </w:r>
            <w:r w:rsidRPr="00DE1EA4">
              <w:rPr>
                <w:rFonts w:cs="Arial"/>
                <w:color w:val="000000"/>
                <w:sz w:val="20"/>
                <w:szCs w:val="20"/>
                <w:lang w:eastAsia="en-AU"/>
              </w:rPr>
              <w:t xml:space="preserve"> NWAU Price Weight tables</w:t>
            </w:r>
          </w:p>
        </w:tc>
        <w:tc>
          <w:tcPr>
            <w:tcW w:w="7049" w:type="dxa"/>
            <w:shd w:val="clear" w:color="auto" w:fill="auto"/>
            <w:hideMark/>
          </w:tcPr>
          <w:p w:rsidR="00F51276" w:rsidRPr="000B33D2" w:rsidRDefault="00F51276" w:rsidP="00920356">
            <w:pPr>
              <w:tabs>
                <w:tab w:val="left" w:pos="1162"/>
              </w:tabs>
              <w:spacing w:before="80" w:after="80"/>
              <w:rPr>
                <w:rFonts w:cs="Arial"/>
                <w:color w:val="000000"/>
                <w:sz w:val="20"/>
                <w:szCs w:val="20"/>
                <w:lang w:eastAsia="en-AU"/>
              </w:rPr>
            </w:pPr>
            <w:r w:rsidRPr="000B33D2">
              <w:rPr>
                <w:rFonts w:cs="Arial"/>
                <w:color w:val="000000"/>
                <w:sz w:val="20"/>
                <w:szCs w:val="20"/>
                <w:lang w:eastAsia="en-AU"/>
              </w:rPr>
              <w:t xml:space="preserve">2015-16 NWAU Subacute and Non-Acute Admitted AN-SNAP and Care Type Same Day and Overnight Per Diem Price Weight tables, found in the NEP15 Determination. </w:t>
            </w:r>
          </w:p>
        </w:tc>
      </w:tr>
      <w:tr w:rsidR="00F51276" w:rsidRPr="00212A7B" w:rsidTr="00920356">
        <w:trPr>
          <w:cantSplit/>
          <w:trHeight w:val="225"/>
        </w:trPr>
        <w:tc>
          <w:tcPr>
            <w:tcW w:w="2605" w:type="dxa"/>
            <w:shd w:val="clear" w:color="auto" w:fill="auto"/>
            <w:hideMark/>
          </w:tcPr>
          <w:p w:rsidR="00F51276" w:rsidRPr="00DE1EA4" w:rsidRDefault="00F51276" w:rsidP="00920356">
            <w:pPr>
              <w:tabs>
                <w:tab w:val="left" w:pos="1162"/>
              </w:tabs>
              <w:spacing w:before="80" w:after="80"/>
              <w:rPr>
                <w:rFonts w:cs="Arial"/>
                <w:color w:val="000000"/>
                <w:sz w:val="20"/>
                <w:szCs w:val="20"/>
                <w:lang w:eastAsia="en-AU"/>
              </w:rPr>
            </w:pPr>
            <w:r>
              <w:rPr>
                <w:rFonts w:cs="Arial"/>
                <w:color w:val="000000"/>
                <w:sz w:val="20"/>
                <w:szCs w:val="20"/>
                <w:lang w:eastAsia="en-AU"/>
              </w:rPr>
              <w:t>2015-16</w:t>
            </w:r>
            <w:r w:rsidRPr="00DE1EA4">
              <w:rPr>
                <w:rFonts w:cs="Arial"/>
                <w:color w:val="000000"/>
                <w:sz w:val="20"/>
                <w:szCs w:val="20"/>
                <w:lang w:eastAsia="en-AU"/>
              </w:rPr>
              <w:t xml:space="preserve"> NWAU Adjustments</w:t>
            </w:r>
          </w:p>
        </w:tc>
        <w:tc>
          <w:tcPr>
            <w:tcW w:w="7049" w:type="dxa"/>
            <w:shd w:val="clear" w:color="auto" w:fill="auto"/>
            <w:hideMark/>
          </w:tcPr>
          <w:p w:rsidR="00F51276" w:rsidRPr="000B33D2" w:rsidRDefault="00F51276" w:rsidP="00920356">
            <w:pPr>
              <w:tabs>
                <w:tab w:val="left" w:pos="1162"/>
              </w:tabs>
              <w:spacing w:before="80" w:after="80"/>
              <w:rPr>
                <w:rFonts w:cs="Arial"/>
                <w:color w:val="000000"/>
                <w:sz w:val="20"/>
                <w:szCs w:val="20"/>
                <w:lang w:eastAsia="en-AU"/>
              </w:rPr>
            </w:pPr>
            <w:r w:rsidRPr="000B33D2">
              <w:rPr>
                <w:rFonts w:cs="Arial"/>
                <w:color w:val="000000"/>
                <w:sz w:val="20"/>
                <w:szCs w:val="20"/>
                <w:lang w:eastAsia="en-AU"/>
              </w:rPr>
              <w:t xml:space="preserve">2015-16 NWAU Subacute and Non-Acute Admitted Adjustments, found in the NEP15 Determination. </w:t>
            </w:r>
          </w:p>
        </w:tc>
      </w:tr>
    </w:tbl>
    <w:p w:rsidR="00BF0679" w:rsidRDefault="00BF0679">
      <w:pPr>
        <w:pStyle w:val="table"/>
      </w:pPr>
      <w:bookmarkStart w:id="225" w:name="_Ref342308479"/>
    </w:p>
    <w:p w:rsidR="00BF0679" w:rsidRDefault="00BF0679">
      <w:pPr>
        <w:spacing w:after="200" w:line="276" w:lineRule="auto"/>
        <w:rPr>
          <w:rFonts w:ascii="Arial" w:eastAsia="Times New Roman" w:hAnsi="Arial" w:cstheme="minorHAnsi"/>
          <w:b/>
          <w:color w:val="000000"/>
          <w:sz w:val="20"/>
          <w:szCs w:val="20"/>
          <w:lang w:eastAsia="en-AU"/>
        </w:rPr>
      </w:pPr>
      <w:r>
        <w:br w:type="page"/>
      </w:r>
    </w:p>
    <w:p w:rsidR="00F51276" w:rsidRDefault="00F51276">
      <w:pPr>
        <w:pStyle w:val="table"/>
      </w:pPr>
      <w:r>
        <w:lastRenderedPageBreak/>
        <w:t xml:space="preserve">Table </w:t>
      </w:r>
      <w:bookmarkEnd w:id="225"/>
      <w:r>
        <w:t>1</w:t>
      </w:r>
      <w:r w:rsidR="00693CC5">
        <w:t>1</w:t>
      </w:r>
      <w:r>
        <w:t xml:space="preserve">: </w:t>
      </w:r>
      <w:r w:rsidRPr="00A643F6">
        <w:t xml:space="preserve">APC &amp; ASNC ABF DSS variables used to calculate </w:t>
      </w:r>
      <w:r>
        <w:t>2015-16</w:t>
      </w:r>
      <w:r w:rsidRPr="00A643F6">
        <w:t xml:space="preserve"> subacute admitted NWAU</w:t>
      </w:r>
    </w:p>
    <w:tbl>
      <w:tblPr>
        <w:tblW w:w="6707" w:type="dxa"/>
        <w:jc w:val="center"/>
        <w:tblInd w:w="-63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155"/>
        <w:gridCol w:w="4552"/>
      </w:tblGrid>
      <w:tr w:rsidR="00F51276" w:rsidRPr="00496274" w:rsidTr="00920356">
        <w:trPr>
          <w:cantSplit/>
          <w:trHeight w:val="259"/>
          <w:tblHeader/>
          <w:jc w:val="center"/>
        </w:trPr>
        <w:tc>
          <w:tcPr>
            <w:tcW w:w="2155" w:type="dxa"/>
            <w:shd w:val="clear" w:color="auto" w:fill="BFBFBF" w:themeFill="background1" w:themeFillShade="BF"/>
          </w:tcPr>
          <w:p w:rsidR="00F51276" w:rsidRPr="00494D73" w:rsidRDefault="00F51276" w:rsidP="00920356">
            <w:pPr>
              <w:tabs>
                <w:tab w:val="left" w:pos="1162"/>
              </w:tabs>
              <w:spacing w:before="80" w:after="80"/>
              <w:rPr>
                <w:rFonts w:cs="Arial"/>
                <w:color w:val="000000"/>
                <w:sz w:val="18"/>
                <w:szCs w:val="18"/>
                <w:lang w:eastAsia="en-AU"/>
              </w:rPr>
            </w:pPr>
            <w:r w:rsidRPr="00667F5B">
              <w:rPr>
                <w:rFonts w:cs="Arial"/>
                <w:b/>
                <w:bCs/>
                <w:color w:val="000000"/>
                <w:szCs w:val="20"/>
                <w:lang w:eastAsia="en-AU"/>
              </w:rPr>
              <w:t>Dataset</w:t>
            </w:r>
          </w:p>
        </w:tc>
        <w:tc>
          <w:tcPr>
            <w:tcW w:w="4552" w:type="dxa"/>
            <w:shd w:val="clear" w:color="auto" w:fill="BFBFBF" w:themeFill="background1" w:themeFillShade="BF"/>
            <w:noWrap/>
          </w:tcPr>
          <w:p w:rsidR="00F51276" w:rsidRPr="00494D73" w:rsidRDefault="00F51276" w:rsidP="00920356">
            <w:pPr>
              <w:tabs>
                <w:tab w:val="left" w:pos="1162"/>
              </w:tabs>
              <w:spacing w:before="80" w:after="80"/>
              <w:rPr>
                <w:rFonts w:cs="Arial"/>
                <w:color w:val="000000"/>
                <w:sz w:val="18"/>
                <w:szCs w:val="18"/>
                <w:lang w:eastAsia="en-AU"/>
              </w:rPr>
            </w:pPr>
            <w:r w:rsidRPr="00667F5B">
              <w:rPr>
                <w:rFonts w:cs="Arial"/>
                <w:b/>
                <w:bCs/>
                <w:color w:val="000000"/>
                <w:szCs w:val="20"/>
                <w:lang w:eastAsia="en-AU"/>
              </w:rPr>
              <w:t>Variable</w:t>
            </w:r>
          </w:p>
        </w:tc>
      </w:tr>
      <w:tr w:rsidR="00F51276" w:rsidRPr="00496274" w:rsidTr="00920356">
        <w:trPr>
          <w:cantSplit/>
          <w:trHeight w:val="259"/>
          <w:jc w:val="center"/>
        </w:trPr>
        <w:tc>
          <w:tcPr>
            <w:tcW w:w="2155" w:type="dxa"/>
            <w:vMerge w:val="restart"/>
            <w:shd w:val="clear" w:color="auto" w:fill="auto"/>
            <w:hideMark/>
          </w:tcPr>
          <w:p w:rsidR="00F51276" w:rsidRPr="00494D73" w:rsidRDefault="00F51276" w:rsidP="00F76672">
            <w:pPr>
              <w:tabs>
                <w:tab w:val="left" w:pos="1162"/>
              </w:tabs>
              <w:spacing w:before="60" w:after="60"/>
              <w:rPr>
                <w:rFonts w:cs="Arial"/>
                <w:color w:val="000000"/>
                <w:sz w:val="18"/>
                <w:szCs w:val="18"/>
                <w:lang w:eastAsia="en-AU"/>
              </w:rPr>
            </w:pPr>
            <w:r w:rsidRPr="00494D73">
              <w:rPr>
                <w:rFonts w:cs="Arial"/>
                <w:color w:val="000000"/>
                <w:sz w:val="18"/>
                <w:szCs w:val="18"/>
                <w:lang w:eastAsia="en-AU"/>
              </w:rPr>
              <w:t xml:space="preserve">APC </w:t>
            </w:r>
            <w:r w:rsidR="00F76672">
              <w:rPr>
                <w:rFonts w:cs="Arial"/>
                <w:color w:val="000000"/>
                <w:sz w:val="18"/>
                <w:szCs w:val="18"/>
                <w:lang w:eastAsia="en-AU"/>
              </w:rPr>
              <w:t>NMDS</w:t>
            </w: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State Identifier</w:t>
            </w:r>
          </w:p>
        </w:tc>
      </w:tr>
      <w:tr w:rsidR="00F51276" w:rsidRPr="00496274" w:rsidTr="00920356">
        <w:trPr>
          <w:cantSplit/>
          <w:trHeight w:val="259"/>
          <w:jc w:val="center"/>
        </w:trPr>
        <w:tc>
          <w:tcPr>
            <w:tcW w:w="2155" w:type="dxa"/>
            <w:vMerge/>
            <w:hideMark/>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Hospital geographical Indicator</w:t>
            </w:r>
          </w:p>
        </w:tc>
      </w:tr>
      <w:tr w:rsidR="00F51276" w:rsidRPr="00496274" w:rsidTr="00920356">
        <w:trPr>
          <w:cantSplit/>
          <w:trHeight w:val="259"/>
          <w:jc w:val="center"/>
        </w:trPr>
        <w:tc>
          <w:tcPr>
            <w:tcW w:w="2155" w:type="dxa"/>
            <w:vMerge/>
            <w:hideMark/>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Date of Birth</w:t>
            </w:r>
          </w:p>
        </w:tc>
      </w:tr>
      <w:tr w:rsidR="00F51276" w:rsidRPr="00496274" w:rsidTr="00920356">
        <w:trPr>
          <w:cantSplit/>
          <w:trHeight w:val="259"/>
          <w:jc w:val="center"/>
        </w:trPr>
        <w:tc>
          <w:tcPr>
            <w:tcW w:w="2155" w:type="dxa"/>
            <w:vMerge/>
            <w:hideMark/>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Date of Admission</w:t>
            </w:r>
          </w:p>
        </w:tc>
      </w:tr>
      <w:tr w:rsidR="00F51276" w:rsidRPr="00496274" w:rsidTr="00920356">
        <w:trPr>
          <w:cantSplit/>
          <w:trHeight w:val="259"/>
          <w:jc w:val="center"/>
        </w:trPr>
        <w:tc>
          <w:tcPr>
            <w:tcW w:w="2155" w:type="dxa"/>
            <w:vMerge/>
            <w:hideMark/>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Date of Separation</w:t>
            </w:r>
          </w:p>
        </w:tc>
      </w:tr>
      <w:tr w:rsidR="00F51276" w:rsidRPr="00496274" w:rsidTr="00920356">
        <w:trPr>
          <w:cantSplit/>
          <w:trHeight w:val="259"/>
          <w:jc w:val="center"/>
        </w:trPr>
        <w:tc>
          <w:tcPr>
            <w:tcW w:w="2155" w:type="dxa"/>
            <w:vMerge/>
            <w:hideMark/>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Care Type</w:t>
            </w:r>
          </w:p>
        </w:tc>
      </w:tr>
      <w:tr w:rsidR="00F51276" w:rsidRPr="00496274" w:rsidTr="00920356">
        <w:trPr>
          <w:cantSplit/>
          <w:trHeight w:val="259"/>
          <w:jc w:val="center"/>
        </w:trPr>
        <w:tc>
          <w:tcPr>
            <w:tcW w:w="2155" w:type="dxa"/>
            <w:vMerge/>
            <w:hideMark/>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Indigenous Status</w:t>
            </w:r>
          </w:p>
        </w:tc>
      </w:tr>
      <w:tr w:rsidR="00F51276" w:rsidRPr="00496274" w:rsidTr="00920356">
        <w:trPr>
          <w:cantSplit/>
          <w:trHeight w:val="259"/>
          <w:jc w:val="center"/>
        </w:trPr>
        <w:tc>
          <w:tcPr>
            <w:tcW w:w="2155" w:type="dxa"/>
            <w:vMerge/>
            <w:hideMark/>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Funding Source</w:t>
            </w:r>
          </w:p>
        </w:tc>
      </w:tr>
      <w:tr w:rsidR="00F51276" w:rsidRPr="00496274" w:rsidTr="00920356">
        <w:trPr>
          <w:cantSplit/>
          <w:trHeight w:val="259"/>
          <w:jc w:val="center"/>
        </w:trPr>
        <w:tc>
          <w:tcPr>
            <w:tcW w:w="2155" w:type="dxa"/>
            <w:vMerge/>
            <w:hideMark/>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Total Leave Days</w:t>
            </w:r>
          </w:p>
        </w:tc>
      </w:tr>
      <w:tr w:rsidR="00F51276" w:rsidRPr="00496274" w:rsidTr="00920356">
        <w:trPr>
          <w:cantSplit/>
          <w:trHeight w:val="259"/>
          <w:jc w:val="center"/>
        </w:trPr>
        <w:tc>
          <w:tcPr>
            <w:tcW w:w="2155" w:type="dxa"/>
            <w:vMerge/>
            <w:hideMark/>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Postcode of Patient's Usual Residence</w:t>
            </w:r>
          </w:p>
        </w:tc>
      </w:tr>
      <w:tr w:rsidR="00F51276" w:rsidRPr="00496274" w:rsidTr="00920356">
        <w:trPr>
          <w:cantSplit/>
          <w:trHeight w:val="259"/>
          <w:jc w:val="center"/>
        </w:trPr>
        <w:tc>
          <w:tcPr>
            <w:tcW w:w="2155" w:type="dxa"/>
            <w:vMerge/>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tcPr>
          <w:p w:rsidR="00F51276" w:rsidRPr="00494D73"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Australian Statistical Geography Standard of Patient’s usual Residence</w:t>
            </w:r>
          </w:p>
        </w:tc>
      </w:tr>
      <w:tr w:rsidR="00F51276" w:rsidRPr="00496274" w:rsidTr="00920356">
        <w:trPr>
          <w:cantSplit/>
          <w:trHeight w:val="259"/>
          <w:jc w:val="center"/>
        </w:trPr>
        <w:tc>
          <w:tcPr>
            <w:tcW w:w="2155" w:type="dxa"/>
            <w:vMerge/>
            <w:hideMark/>
          </w:tcPr>
          <w:p w:rsidR="00F51276" w:rsidRPr="00494D73" w:rsidRDefault="00F51276" w:rsidP="00920356">
            <w:pPr>
              <w:tabs>
                <w:tab w:val="left" w:pos="1162"/>
              </w:tabs>
              <w:spacing w:before="60" w:after="60"/>
              <w:rPr>
                <w:rFonts w:cs="Arial"/>
                <w:color w:val="000000"/>
                <w:sz w:val="18"/>
                <w:szCs w:val="18"/>
                <w:lang w:eastAsia="en-AU"/>
              </w:rPr>
            </w:pP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Statistical Local Area of Patient's Usual Residence</w:t>
            </w:r>
          </w:p>
        </w:tc>
      </w:tr>
      <w:tr w:rsidR="00F51276" w:rsidRPr="00496274" w:rsidTr="00920356">
        <w:trPr>
          <w:cantSplit/>
          <w:trHeight w:val="259"/>
          <w:jc w:val="center"/>
        </w:trPr>
        <w:tc>
          <w:tcPr>
            <w:tcW w:w="2155" w:type="dxa"/>
            <w:shd w:val="clear" w:color="auto" w:fill="auto"/>
            <w:hideMark/>
          </w:tcPr>
          <w:p w:rsidR="00F51276" w:rsidRPr="00494D73" w:rsidRDefault="00F76672" w:rsidP="00F76672">
            <w:pPr>
              <w:tabs>
                <w:tab w:val="left" w:pos="1162"/>
              </w:tabs>
              <w:spacing w:before="60" w:after="60"/>
              <w:rPr>
                <w:rFonts w:cs="Arial"/>
                <w:color w:val="000000"/>
                <w:sz w:val="18"/>
                <w:szCs w:val="18"/>
                <w:lang w:eastAsia="en-AU"/>
              </w:rPr>
            </w:pPr>
            <w:r>
              <w:rPr>
                <w:rFonts w:cs="Arial"/>
                <w:color w:val="000000"/>
                <w:sz w:val="18"/>
                <w:szCs w:val="18"/>
                <w:lang w:eastAsia="en-AU"/>
              </w:rPr>
              <w:t xml:space="preserve">ASNA ABF </w:t>
            </w:r>
            <w:r w:rsidR="00F51276" w:rsidRPr="00494D73">
              <w:rPr>
                <w:rFonts w:cs="Arial"/>
                <w:color w:val="000000"/>
                <w:sz w:val="18"/>
                <w:szCs w:val="18"/>
                <w:lang w:eastAsia="en-AU"/>
              </w:rPr>
              <w:t>DSS</w:t>
            </w:r>
          </w:p>
        </w:tc>
        <w:tc>
          <w:tcPr>
            <w:tcW w:w="4552" w:type="dxa"/>
            <w:shd w:val="clear" w:color="auto" w:fill="auto"/>
            <w:noWrap/>
            <w:hideMark/>
          </w:tcPr>
          <w:p w:rsidR="00F51276" w:rsidRPr="00494D73" w:rsidRDefault="00F51276" w:rsidP="00920356">
            <w:pPr>
              <w:tabs>
                <w:tab w:val="left" w:pos="1162"/>
              </w:tabs>
              <w:spacing w:before="60" w:after="60"/>
              <w:rPr>
                <w:rFonts w:cs="Arial"/>
                <w:color w:val="000000"/>
                <w:sz w:val="18"/>
                <w:szCs w:val="18"/>
                <w:lang w:eastAsia="en-AU"/>
              </w:rPr>
            </w:pPr>
            <w:r w:rsidRPr="00494D73">
              <w:rPr>
                <w:rFonts w:cs="Arial"/>
                <w:color w:val="000000"/>
                <w:sz w:val="18"/>
                <w:szCs w:val="18"/>
                <w:lang w:eastAsia="en-AU"/>
              </w:rPr>
              <w:t>AN-SNAP Class (Version 3)</w:t>
            </w:r>
          </w:p>
        </w:tc>
      </w:tr>
    </w:tbl>
    <w:p w:rsidR="00F51276" w:rsidRDefault="00F51276" w:rsidP="00F51276">
      <w:pPr>
        <w:tabs>
          <w:tab w:val="left" w:pos="1162"/>
        </w:tabs>
      </w:pPr>
    </w:p>
    <w:p w:rsidR="00F51276" w:rsidRDefault="00F51276" w:rsidP="00F51276">
      <w:pPr>
        <w:pStyle w:val="Caption"/>
        <w:keepNext/>
        <w:sectPr w:rsidR="00F51276" w:rsidSect="00A64DA2">
          <w:pgSz w:w="11907" w:h="16839" w:code="9"/>
          <w:pgMar w:top="1440" w:right="1440" w:bottom="1440" w:left="1440" w:header="709" w:footer="709" w:gutter="0"/>
          <w:cols w:space="708"/>
          <w:docGrid w:linePitch="360"/>
        </w:sectPr>
      </w:pPr>
      <w:bookmarkStart w:id="226" w:name="_Ref342308623"/>
    </w:p>
    <w:p w:rsidR="00F51276" w:rsidRDefault="00F51276">
      <w:pPr>
        <w:pStyle w:val="table"/>
      </w:pPr>
      <w:bookmarkStart w:id="227" w:name="_Ref373326419"/>
      <w:r>
        <w:lastRenderedPageBreak/>
        <w:t xml:space="preserve">Table </w:t>
      </w:r>
      <w:bookmarkEnd w:id="226"/>
      <w:bookmarkEnd w:id="227"/>
      <w:r>
        <w:t>1</w:t>
      </w:r>
      <w:r w:rsidR="00693CC5">
        <w:t>2</w:t>
      </w:r>
      <w:r>
        <w:t xml:space="preserve">: </w:t>
      </w:r>
      <w:r w:rsidRPr="00967D6C">
        <w:t>Assigning NWAU to subacute and non-acute admitted patient data – Stage 1 – Data Preparation – variable definitions</w:t>
      </w:r>
    </w:p>
    <w:tbl>
      <w:tblPr>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Description w:val="Table 12 assigns the National Weighted Activity Unit (NWAU) to subacute and non-acute admitted patient data"/>
      </w:tblPr>
      <w:tblGrid>
        <w:gridCol w:w="737"/>
        <w:gridCol w:w="917"/>
        <w:gridCol w:w="4919"/>
        <w:gridCol w:w="2097"/>
        <w:gridCol w:w="5505"/>
      </w:tblGrid>
      <w:tr w:rsidR="00F51276" w:rsidRPr="00496274" w:rsidTr="00920356">
        <w:trPr>
          <w:cantSplit/>
          <w:trHeight w:val="225"/>
          <w:tblHeader/>
          <w:jc w:val="center"/>
        </w:trPr>
        <w:tc>
          <w:tcPr>
            <w:tcW w:w="0" w:type="auto"/>
            <w:shd w:val="clear" w:color="auto" w:fill="BFBFBF" w:themeFill="background1" w:themeFillShade="BF"/>
            <w:noWrap/>
            <w:hideMark/>
          </w:tcPr>
          <w:p w:rsidR="00F51276" w:rsidRPr="001729CF" w:rsidRDefault="00F51276" w:rsidP="00920356">
            <w:pPr>
              <w:tabs>
                <w:tab w:val="left" w:pos="1162"/>
              </w:tabs>
              <w:spacing w:before="80" w:after="80"/>
              <w:rPr>
                <w:rFonts w:cs="Arial"/>
                <w:b/>
                <w:bCs/>
                <w:color w:val="000000"/>
                <w:sz w:val="18"/>
                <w:szCs w:val="18"/>
                <w:lang w:eastAsia="en-AU"/>
              </w:rPr>
            </w:pPr>
            <w:r w:rsidRPr="001729CF">
              <w:rPr>
                <w:rFonts w:cs="Arial"/>
                <w:b/>
                <w:bCs/>
                <w:color w:val="000000"/>
                <w:sz w:val="18"/>
                <w:szCs w:val="18"/>
                <w:lang w:eastAsia="en-AU"/>
              </w:rPr>
              <w:t>Step</w:t>
            </w:r>
          </w:p>
        </w:tc>
        <w:tc>
          <w:tcPr>
            <w:tcW w:w="0" w:type="auto"/>
            <w:shd w:val="clear" w:color="auto" w:fill="BFBFBF" w:themeFill="background1" w:themeFillShade="BF"/>
            <w:noWrap/>
            <w:vAlign w:val="center"/>
            <w:hideMark/>
          </w:tcPr>
          <w:p w:rsidR="00F51276" w:rsidRPr="001729CF" w:rsidRDefault="00F51276" w:rsidP="00920356">
            <w:pPr>
              <w:tabs>
                <w:tab w:val="left" w:pos="1162"/>
              </w:tabs>
              <w:spacing w:before="80" w:after="80"/>
              <w:jc w:val="center"/>
              <w:rPr>
                <w:rFonts w:cs="Arial"/>
                <w:b/>
                <w:bCs/>
                <w:color w:val="000000"/>
                <w:sz w:val="18"/>
                <w:szCs w:val="18"/>
                <w:lang w:eastAsia="en-AU"/>
              </w:rPr>
            </w:pPr>
            <w:r w:rsidRPr="001729CF">
              <w:rPr>
                <w:rFonts w:cs="Arial"/>
                <w:b/>
                <w:bCs/>
                <w:color w:val="000000"/>
                <w:sz w:val="18"/>
                <w:szCs w:val="18"/>
                <w:lang w:eastAsia="en-AU"/>
              </w:rPr>
              <w:t>Variable</w:t>
            </w:r>
          </w:p>
        </w:tc>
        <w:tc>
          <w:tcPr>
            <w:tcW w:w="0" w:type="auto"/>
            <w:shd w:val="clear" w:color="auto" w:fill="BFBFBF" w:themeFill="background1" w:themeFillShade="BF"/>
            <w:noWrap/>
            <w:vAlign w:val="center"/>
            <w:hideMark/>
          </w:tcPr>
          <w:p w:rsidR="00F51276" w:rsidRPr="001729CF" w:rsidRDefault="00F51276" w:rsidP="00920356">
            <w:pPr>
              <w:tabs>
                <w:tab w:val="left" w:pos="1162"/>
              </w:tabs>
              <w:spacing w:before="80" w:after="80"/>
              <w:rPr>
                <w:rFonts w:cs="Arial"/>
                <w:b/>
                <w:bCs/>
                <w:color w:val="000000"/>
                <w:sz w:val="18"/>
                <w:szCs w:val="18"/>
                <w:lang w:eastAsia="en-AU"/>
              </w:rPr>
            </w:pPr>
            <w:r w:rsidRPr="001729CF">
              <w:rPr>
                <w:rFonts w:cs="Arial"/>
                <w:b/>
                <w:bCs/>
                <w:color w:val="000000"/>
                <w:sz w:val="18"/>
                <w:szCs w:val="18"/>
                <w:lang w:eastAsia="en-AU"/>
              </w:rPr>
              <w:t>Name</w:t>
            </w:r>
          </w:p>
        </w:tc>
        <w:tc>
          <w:tcPr>
            <w:tcW w:w="0" w:type="auto"/>
            <w:shd w:val="clear" w:color="auto" w:fill="BFBFBF" w:themeFill="background1" w:themeFillShade="BF"/>
            <w:vAlign w:val="center"/>
            <w:hideMark/>
          </w:tcPr>
          <w:p w:rsidR="00F51276" w:rsidRPr="001729CF" w:rsidRDefault="00F51276" w:rsidP="00920356">
            <w:pPr>
              <w:tabs>
                <w:tab w:val="left" w:pos="1162"/>
              </w:tabs>
              <w:spacing w:before="80" w:after="80"/>
              <w:rPr>
                <w:rFonts w:cs="Arial"/>
                <w:b/>
                <w:bCs/>
                <w:color w:val="000000"/>
                <w:sz w:val="18"/>
                <w:szCs w:val="18"/>
                <w:lang w:eastAsia="en-AU"/>
              </w:rPr>
            </w:pPr>
            <w:r w:rsidRPr="001729CF">
              <w:rPr>
                <w:rFonts w:cs="Arial"/>
                <w:b/>
                <w:bCs/>
                <w:color w:val="000000"/>
                <w:sz w:val="18"/>
                <w:szCs w:val="18"/>
                <w:lang w:eastAsia="en-AU"/>
              </w:rPr>
              <w:t>Description</w:t>
            </w:r>
          </w:p>
        </w:tc>
        <w:tc>
          <w:tcPr>
            <w:tcW w:w="0" w:type="auto"/>
            <w:shd w:val="clear" w:color="auto" w:fill="BFBFBF" w:themeFill="background1" w:themeFillShade="BF"/>
            <w:vAlign w:val="center"/>
            <w:hideMark/>
          </w:tcPr>
          <w:p w:rsidR="00F51276" w:rsidRPr="001729CF" w:rsidRDefault="00F51276" w:rsidP="00920356">
            <w:pPr>
              <w:tabs>
                <w:tab w:val="left" w:pos="1162"/>
              </w:tabs>
              <w:spacing w:before="80" w:after="80"/>
              <w:rPr>
                <w:rFonts w:cs="Arial"/>
                <w:b/>
                <w:bCs/>
                <w:color w:val="000000"/>
                <w:sz w:val="18"/>
                <w:szCs w:val="18"/>
                <w:lang w:eastAsia="en-AU"/>
              </w:rPr>
            </w:pPr>
            <w:r w:rsidRPr="001729CF">
              <w:rPr>
                <w:rFonts w:cs="Arial"/>
                <w:b/>
                <w:bCs/>
                <w:color w:val="000000"/>
                <w:sz w:val="18"/>
                <w:szCs w:val="18"/>
                <w:lang w:eastAsia="en-AU"/>
              </w:rPr>
              <w:t>Definition</w:t>
            </w:r>
          </w:p>
        </w:tc>
      </w:tr>
      <w:tr w:rsidR="00F51276" w:rsidRPr="00496274" w:rsidTr="00920356">
        <w:trPr>
          <w:cantSplit/>
          <w:trHeight w:val="450"/>
          <w:jc w:val="center"/>
        </w:trPr>
        <w:tc>
          <w:tcPr>
            <w:tcW w:w="0" w:type="auto"/>
            <w:tcBorders>
              <w:bottom w:val="single" w:sz="4" w:space="0" w:color="auto"/>
            </w:tcBorders>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Step 1</w:t>
            </w:r>
          </w:p>
        </w:tc>
        <w:tc>
          <w:tcPr>
            <w:tcW w:w="0" w:type="auto"/>
            <w:shd w:val="clear" w:color="auto" w:fill="auto"/>
            <w:noWrap/>
            <w:hideMark/>
          </w:tcPr>
          <w:p w:rsidR="00F51276" w:rsidRPr="001729CF" w:rsidRDefault="00F51276" w:rsidP="00920356">
            <w:pPr>
              <w:tabs>
                <w:tab w:val="left" w:pos="1162"/>
              </w:tabs>
              <w:spacing w:after="0"/>
              <w:jc w:val="center"/>
              <w:rPr>
                <w:rFonts w:cs="Arial"/>
                <w:color w:val="000000"/>
                <w:sz w:val="18"/>
                <w:szCs w:val="18"/>
                <w:lang w:eastAsia="en-AU"/>
              </w:rPr>
            </w:pPr>
            <w:r w:rsidRPr="001729CF">
              <w:rPr>
                <w:rFonts w:cs="Arial"/>
                <w:color w:val="000000"/>
                <w:sz w:val="18"/>
                <w:szCs w:val="18"/>
                <w:lang w:eastAsia="en-AU"/>
              </w:rPr>
              <w:t>S01</w:t>
            </w:r>
          </w:p>
        </w:tc>
        <w:tc>
          <w:tcPr>
            <w:tcW w:w="0" w:type="auto"/>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Pr>
                <w:rFonts w:cs="Arial"/>
                <w:color w:val="000000"/>
                <w:sz w:val="18"/>
                <w:szCs w:val="18"/>
                <w:lang w:eastAsia="en-AU"/>
              </w:rPr>
              <w:t>pat</w:t>
            </w:r>
            <w:r w:rsidRPr="00822178">
              <w:rPr>
                <w:rFonts w:cs="Arial"/>
                <w:color w:val="000000"/>
                <w:sz w:val="18"/>
                <w:szCs w:val="18"/>
                <w:lang w:eastAsia="en-AU"/>
              </w:rPr>
              <w:t>_remoteness</w:t>
            </w:r>
            <w:proofErr w:type="spellEnd"/>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Patient</w:t>
            </w:r>
            <w:r w:rsidRPr="00822178">
              <w:rPr>
                <w:rFonts w:cs="Arial"/>
                <w:color w:val="000000"/>
                <w:sz w:val="18"/>
                <w:szCs w:val="18"/>
                <w:lang w:eastAsia="en-AU"/>
              </w:rPr>
              <w:t xml:space="preserve"> Remoteness Area</w:t>
            </w:r>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 xml:space="preserve">2011 ASGS Remoteness Area category of the establishment location taken from </w:t>
            </w:r>
            <w:r>
              <w:rPr>
                <w:rFonts w:cs="Arial"/>
                <w:color w:val="000000"/>
                <w:sz w:val="18"/>
                <w:szCs w:val="18"/>
                <w:lang w:eastAsia="en-AU"/>
              </w:rPr>
              <w:t xml:space="preserve">patient postcode, ASGS, SLA, or </w:t>
            </w:r>
            <w:r w:rsidRPr="00822178">
              <w:rPr>
                <w:rFonts w:cs="Arial"/>
                <w:color w:val="000000"/>
                <w:sz w:val="18"/>
                <w:szCs w:val="18"/>
                <w:lang w:eastAsia="en-AU"/>
              </w:rPr>
              <w:t>the hospital geographical indicator variable, where</w:t>
            </w:r>
            <w:proofErr w:type="gramStart"/>
            <w:r w:rsidRPr="00822178">
              <w:rPr>
                <w:rFonts w:cs="Arial"/>
                <w:color w:val="000000"/>
                <w:sz w:val="18"/>
                <w:szCs w:val="18"/>
                <w:lang w:eastAsia="en-AU"/>
              </w:rPr>
              <w:t>:</w:t>
            </w:r>
            <w:proofErr w:type="gramEnd"/>
            <w:r w:rsidRPr="00822178">
              <w:rPr>
                <w:rFonts w:cs="Arial"/>
                <w:color w:val="000000"/>
                <w:sz w:val="18"/>
                <w:szCs w:val="18"/>
                <w:lang w:eastAsia="en-AU"/>
              </w:rPr>
              <w:br/>
              <w:t>0 = Major City; 1 = Inner Regional; 2 = Outer Regional; 3</w:t>
            </w:r>
            <w:r>
              <w:rPr>
                <w:rFonts w:cs="Arial"/>
                <w:color w:val="000000"/>
                <w:sz w:val="18"/>
                <w:szCs w:val="18"/>
                <w:lang w:eastAsia="en-AU"/>
              </w:rPr>
              <w:t> </w:t>
            </w:r>
            <w:r w:rsidRPr="00822178">
              <w:rPr>
                <w:rFonts w:cs="Arial"/>
                <w:color w:val="000000"/>
                <w:sz w:val="18"/>
                <w:szCs w:val="18"/>
                <w:lang w:eastAsia="en-AU"/>
              </w:rPr>
              <w:t>=</w:t>
            </w:r>
            <w:r>
              <w:rPr>
                <w:rFonts w:cs="Arial"/>
                <w:color w:val="000000"/>
                <w:sz w:val="18"/>
                <w:szCs w:val="18"/>
                <w:lang w:eastAsia="en-AU"/>
              </w:rPr>
              <w:t> </w:t>
            </w:r>
            <w:r w:rsidRPr="00822178">
              <w:rPr>
                <w:rFonts w:cs="Arial"/>
                <w:color w:val="000000"/>
                <w:sz w:val="18"/>
                <w:szCs w:val="18"/>
                <w:lang w:eastAsia="en-AU"/>
              </w:rPr>
              <w:t>Remote; and 4 = Very Remote.</w:t>
            </w:r>
          </w:p>
        </w:tc>
      </w:tr>
      <w:tr w:rsidR="00F51276" w:rsidRPr="00496274" w:rsidTr="00920356">
        <w:trPr>
          <w:cantSplit/>
          <w:trHeight w:val="225"/>
          <w:jc w:val="center"/>
        </w:trPr>
        <w:tc>
          <w:tcPr>
            <w:tcW w:w="0" w:type="auto"/>
            <w:tcBorders>
              <w:top w:val="single" w:sz="4" w:space="0" w:color="auto"/>
              <w:bottom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Step 2</w:t>
            </w:r>
          </w:p>
        </w:tc>
        <w:tc>
          <w:tcPr>
            <w:tcW w:w="0" w:type="auto"/>
            <w:shd w:val="clear" w:color="auto" w:fill="auto"/>
            <w:noWrap/>
            <w:hideMark/>
          </w:tcPr>
          <w:p w:rsidR="00F51276" w:rsidRPr="001729CF" w:rsidRDefault="00F51276" w:rsidP="00920356">
            <w:pPr>
              <w:tabs>
                <w:tab w:val="left" w:pos="1162"/>
              </w:tabs>
              <w:spacing w:after="0"/>
              <w:jc w:val="center"/>
              <w:rPr>
                <w:rFonts w:cs="Arial"/>
                <w:color w:val="000000"/>
                <w:sz w:val="18"/>
                <w:szCs w:val="18"/>
                <w:lang w:eastAsia="en-AU"/>
              </w:rPr>
            </w:pPr>
            <w:r w:rsidRPr="001729CF">
              <w:rPr>
                <w:rFonts w:cs="Arial"/>
                <w:color w:val="000000"/>
                <w:sz w:val="18"/>
                <w:szCs w:val="18"/>
                <w:lang w:eastAsia="en-AU"/>
              </w:rPr>
              <w:t>S02</w:t>
            </w:r>
          </w:p>
        </w:tc>
        <w:tc>
          <w:tcPr>
            <w:tcW w:w="0" w:type="auto"/>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1729CF">
              <w:rPr>
                <w:rFonts w:cs="Arial"/>
                <w:color w:val="000000"/>
                <w:sz w:val="18"/>
                <w:szCs w:val="18"/>
                <w:lang w:eastAsia="en-AU"/>
              </w:rPr>
              <w:t>pat_subacute_flag</w:t>
            </w:r>
            <w:proofErr w:type="spellEnd"/>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Subacute and non-acute patient flag</w:t>
            </w:r>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1 if Care Type = 2, 3, 4, 5, 6 or 8; else</w:t>
            </w:r>
            <w:r w:rsidRPr="001729CF">
              <w:rPr>
                <w:rFonts w:cs="Arial"/>
                <w:color w:val="000000"/>
                <w:sz w:val="18"/>
                <w:szCs w:val="18"/>
                <w:lang w:eastAsia="en-AU"/>
              </w:rPr>
              <w:br/>
              <w:t>0.</w:t>
            </w:r>
          </w:p>
        </w:tc>
      </w:tr>
      <w:tr w:rsidR="00F51276" w:rsidRPr="00496274" w:rsidTr="00920356">
        <w:trPr>
          <w:cantSplit/>
          <w:trHeight w:val="450"/>
          <w:jc w:val="center"/>
        </w:trPr>
        <w:tc>
          <w:tcPr>
            <w:tcW w:w="0" w:type="auto"/>
            <w:tcBorders>
              <w:top w:val="nil"/>
              <w:bottom w:val="nil"/>
            </w:tcBorders>
            <w:shd w:val="clear" w:color="auto" w:fill="auto"/>
            <w:vAlign w:val="center"/>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S03</w:t>
            </w:r>
          </w:p>
        </w:tc>
        <w:tc>
          <w:tcPr>
            <w:tcW w:w="0" w:type="auto"/>
            <w:shd w:val="clear" w:color="auto" w:fill="auto"/>
            <w:noWrap/>
          </w:tcPr>
          <w:p w:rsidR="00F51276"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pat_los</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Length of stay</w:t>
            </w:r>
          </w:p>
        </w:tc>
        <w:tc>
          <w:tcPr>
            <w:tcW w:w="0" w:type="auto"/>
            <w:shd w:val="clear" w:color="auto" w:fill="auto"/>
          </w:tcPr>
          <w:p w:rsidR="00F51276" w:rsidRPr="00822178"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Max</w:t>
            </w:r>
            <w:r>
              <w:rPr>
                <w:rFonts w:cs="Arial"/>
                <w:color w:val="000000"/>
                <w:sz w:val="18"/>
                <w:szCs w:val="18"/>
                <w:lang w:eastAsia="en-AU"/>
              </w:rPr>
              <w:t xml:space="preserve"> (</w:t>
            </w:r>
            <w:r w:rsidRPr="00822178">
              <w:rPr>
                <w:rFonts w:cs="Arial"/>
                <w:color w:val="000000"/>
                <w:sz w:val="18"/>
                <w:szCs w:val="18"/>
                <w:lang w:eastAsia="en-AU"/>
              </w:rPr>
              <w:t xml:space="preserve">1, </w:t>
            </w:r>
            <w:proofErr w:type="gramStart"/>
            <w:r w:rsidRPr="00822178">
              <w:rPr>
                <w:rFonts w:cs="Arial"/>
                <w:color w:val="000000"/>
                <w:sz w:val="18"/>
                <w:szCs w:val="18"/>
                <w:lang w:eastAsia="en-AU"/>
              </w:rPr>
              <w:t>( Date</w:t>
            </w:r>
            <w:proofErr w:type="gramEnd"/>
            <w:r w:rsidRPr="00822178">
              <w:rPr>
                <w:rFonts w:cs="Arial"/>
                <w:color w:val="000000"/>
                <w:sz w:val="18"/>
                <w:szCs w:val="18"/>
                <w:lang w:eastAsia="en-AU"/>
              </w:rPr>
              <w:t xml:space="preserve"> of Separation ) - ( Date of Admissio</w:t>
            </w:r>
            <w:r>
              <w:rPr>
                <w:rFonts w:cs="Arial"/>
                <w:color w:val="000000"/>
                <w:sz w:val="18"/>
                <w:szCs w:val="18"/>
                <w:lang w:eastAsia="en-AU"/>
              </w:rPr>
              <w:t xml:space="preserve">n ) - ( Total Leave Days ) ). </w:t>
            </w:r>
          </w:p>
        </w:tc>
      </w:tr>
      <w:tr w:rsidR="00F51276" w:rsidRPr="00496274" w:rsidTr="00920356">
        <w:trPr>
          <w:cantSplit/>
          <w:trHeight w:val="450"/>
          <w:jc w:val="center"/>
        </w:trPr>
        <w:tc>
          <w:tcPr>
            <w:tcW w:w="0" w:type="auto"/>
            <w:tcBorders>
              <w:top w:val="nil"/>
              <w:bottom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hideMark/>
          </w:tcPr>
          <w:p w:rsidR="00F51276" w:rsidRPr="001729CF" w:rsidRDefault="00F51276" w:rsidP="00920356">
            <w:pPr>
              <w:tabs>
                <w:tab w:val="left" w:pos="1162"/>
              </w:tabs>
              <w:spacing w:after="0"/>
              <w:jc w:val="center"/>
              <w:rPr>
                <w:rFonts w:cs="Arial"/>
                <w:color w:val="000000"/>
                <w:sz w:val="18"/>
                <w:szCs w:val="18"/>
                <w:lang w:eastAsia="en-AU"/>
              </w:rPr>
            </w:pPr>
            <w:r w:rsidRPr="001729CF">
              <w:rPr>
                <w:rFonts w:cs="Arial"/>
                <w:color w:val="000000"/>
                <w:sz w:val="18"/>
                <w:szCs w:val="18"/>
                <w:lang w:eastAsia="en-AU"/>
              </w:rPr>
              <w:t>S0</w:t>
            </w:r>
            <w:r>
              <w:rPr>
                <w:rFonts w:cs="Arial"/>
                <w:color w:val="000000"/>
                <w:sz w:val="18"/>
                <w:szCs w:val="18"/>
                <w:lang w:eastAsia="en-AU"/>
              </w:rPr>
              <w:t>4</w:t>
            </w:r>
          </w:p>
        </w:tc>
        <w:tc>
          <w:tcPr>
            <w:tcW w:w="0" w:type="auto"/>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1729CF">
              <w:rPr>
                <w:rFonts w:cs="Arial"/>
                <w:color w:val="000000"/>
                <w:sz w:val="18"/>
                <w:szCs w:val="18"/>
                <w:lang w:eastAsia="en-AU"/>
              </w:rPr>
              <w:t>pat_sameday_flag</w:t>
            </w:r>
            <w:proofErr w:type="spellEnd"/>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Patient same-day flag</w:t>
            </w:r>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1 if Date of Admission = Date of Separation; else</w:t>
            </w:r>
            <w:r w:rsidRPr="00822178">
              <w:rPr>
                <w:rFonts w:cs="Arial"/>
                <w:color w:val="000000"/>
                <w:sz w:val="18"/>
                <w:szCs w:val="18"/>
                <w:lang w:eastAsia="en-AU"/>
              </w:rPr>
              <w:br/>
              <w:t>0.</w:t>
            </w:r>
          </w:p>
        </w:tc>
      </w:tr>
      <w:tr w:rsidR="00F51276" w:rsidRPr="00496274" w:rsidTr="00920356">
        <w:trPr>
          <w:cantSplit/>
          <w:trHeight w:val="450"/>
          <w:jc w:val="center"/>
        </w:trPr>
        <w:tc>
          <w:tcPr>
            <w:tcW w:w="0" w:type="auto"/>
            <w:tcBorders>
              <w:top w:val="nil"/>
              <w:bottom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917" w:type="dxa"/>
            <w:shd w:val="clear" w:color="auto" w:fill="auto"/>
            <w:noWrap/>
            <w:hideMark/>
          </w:tcPr>
          <w:p w:rsidR="00F51276" w:rsidRPr="001729CF" w:rsidRDefault="00F51276" w:rsidP="00920356">
            <w:pPr>
              <w:tabs>
                <w:tab w:val="left" w:pos="1162"/>
              </w:tabs>
              <w:spacing w:after="0"/>
              <w:jc w:val="center"/>
              <w:rPr>
                <w:rFonts w:cs="Arial"/>
                <w:color w:val="000000"/>
                <w:sz w:val="18"/>
                <w:szCs w:val="18"/>
                <w:lang w:eastAsia="en-AU"/>
              </w:rPr>
            </w:pPr>
            <w:r w:rsidRPr="001729CF">
              <w:rPr>
                <w:rFonts w:cs="Arial"/>
                <w:color w:val="000000"/>
                <w:sz w:val="18"/>
                <w:szCs w:val="18"/>
                <w:lang w:eastAsia="en-AU"/>
              </w:rPr>
              <w:t>S0</w:t>
            </w:r>
            <w:r>
              <w:rPr>
                <w:rFonts w:cs="Arial"/>
                <w:color w:val="000000"/>
                <w:sz w:val="18"/>
                <w:szCs w:val="18"/>
                <w:lang w:eastAsia="en-AU"/>
              </w:rPr>
              <w:t>5</w:t>
            </w:r>
          </w:p>
        </w:tc>
        <w:tc>
          <w:tcPr>
            <w:tcW w:w="4919" w:type="dxa"/>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pat_age_years</w:t>
            </w:r>
            <w:proofErr w:type="spellEnd"/>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Age at admission (in years)</w:t>
            </w:r>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total</w:t>
            </w:r>
            <w:proofErr w:type="gramEnd"/>
            <w:r w:rsidRPr="00822178">
              <w:rPr>
                <w:rFonts w:cs="Arial"/>
                <w:color w:val="000000"/>
                <w:sz w:val="18"/>
                <w:szCs w:val="18"/>
                <w:lang w:eastAsia="en-AU"/>
              </w:rPr>
              <w:t xml:space="preserve"> whole years from Date of Birth to Date of Admission.</w:t>
            </w:r>
          </w:p>
        </w:tc>
      </w:tr>
      <w:tr w:rsidR="00F51276" w:rsidRPr="00496274" w:rsidTr="00920356">
        <w:trPr>
          <w:cantSplit/>
          <w:trHeight w:val="450"/>
          <w:jc w:val="center"/>
        </w:trPr>
        <w:tc>
          <w:tcPr>
            <w:tcW w:w="0" w:type="auto"/>
            <w:tcBorders>
              <w:top w:val="nil"/>
              <w:bottom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hideMark/>
          </w:tcPr>
          <w:p w:rsidR="00F51276" w:rsidRPr="001729CF" w:rsidRDefault="00F51276" w:rsidP="00920356">
            <w:pPr>
              <w:tabs>
                <w:tab w:val="left" w:pos="1162"/>
              </w:tabs>
              <w:spacing w:after="0"/>
              <w:jc w:val="center"/>
              <w:rPr>
                <w:rFonts w:cs="Arial"/>
                <w:color w:val="000000"/>
                <w:sz w:val="18"/>
                <w:szCs w:val="18"/>
                <w:lang w:eastAsia="en-AU"/>
              </w:rPr>
            </w:pPr>
            <w:r w:rsidRPr="001729CF">
              <w:rPr>
                <w:rFonts w:cs="Arial"/>
                <w:color w:val="000000"/>
                <w:sz w:val="18"/>
                <w:szCs w:val="18"/>
                <w:lang w:eastAsia="en-AU"/>
              </w:rPr>
              <w:t>S0</w:t>
            </w:r>
            <w:r>
              <w:rPr>
                <w:rFonts w:cs="Arial"/>
                <w:color w:val="000000"/>
                <w:sz w:val="18"/>
                <w:szCs w:val="18"/>
                <w:lang w:eastAsia="en-AU"/>
              </w:rPr>
              <w:t>6</w:t>
            </w:r>
          </w:p>
        </w:tc>
        <w:tc>
          <w:tcPr>
            <w:tcW w:w="0" w:type="auto"/>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pat_eligible_paed_flag</w:t>
            </w:r>
            <w:proofErr w:type="spellEnd"/>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Paediatric Adjustment eligible patient</w:t>
            </w:r>
          </w:p>
        </w:tc>
        <w:tc>
          <w:tcPr>
            <w:tcW w:w="0" w:type="auto"/>
            <w:shd w:val="clear" w:color="auto" w:fill="auto"/>
            <w:hideMark/>
          </w:tcPr>
          <w:p w:rsidR="00F51276" w:rsidRPr="001729CF" w:rsidRDefault="00F51276" w:rsidP="00B35287">
            <w:pPr>
              <w:tabs>
                <w:tab w:val="left" w:pos="1162"/>
              </w:tabs>
              <w:spacing w:after="0"/>
              <w:rPr>
                <w:rFonts w:cs="Arial"/>
                <w:color w:val="000000"/>
                <w:sz w:val="18"/>
                <w:szCs w:val="18"/>
                <w:lang w:eastAsia="en-AU"/>
              </w:rPr>
            </w:pPr>
            <w:r>
              <w:rPr>
                <w:rFonts w:cs="Arial"/>
                <w:color w:val="000000"/>
                <w:sz w:val="18"/>
                <w:szCs w:val="18"/>
                <w:lang w:eastAsia="en-AU"/>
              </w:rPr>
              <w:t xml:space="preserve">Patients </w:t>
            </w:r>
            <w:r w:rsidR="00B35287">
              <w:rPr>
                <w:rFonts w:cs="Arial"/>
                <w:color w:val="000000"/>
                <w:sz w:val="18"/>
                <w:szCs w:val="18"/>
                <w:lang w:eastAsia="en-AU"/>
              </w:rPr>
              <w:t>with age less than or equal to</w:t>
            </w:r>
            <w:r>
              <w:rPr>
                <w:rFonts w:cs="Arial"/>
                <w:color w:val="000000"/>
                <w:sz w:val="18"/>
                <w:szCs w:val="18"/>
                <w:lang w:eastAsia="en-AU"/>
              </w:rPr>
              <w:t xml:space="preserve"> 17 and in a Palliative, Rehabilitation or maintenance care type.</w:t>
            </w:r>
          </w:p>
        </w:tc>
      </w:tr>
      <w:tr w:rsidR="00F51276" w:rsidRPr="00496274" w:rsidTr="00920356">
        <w:trPr>
          <w:cantSplit/>
          <w:trHeight w:val="450"/>
          <w:jc w:val="center"/>
        </w:trPr>
        <w:tc>
          <w:tcPr>
            <w:tcW w:w="0" w:type="auto"/>
            <w:tcBorders>
              <w:top w:val="nil"/>
              <w:bottom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hideMark/>
          </w:tcPr>
          <w:p w:rsidR="00F51276" w:rsidRPr="001729CF" w:rsidRDefault="00F51276" w:rsidP="00920356">
            <w:pPr>
              <w:tabs>
                <w:tab w:val="left" w:pos="1162"/>
              </w:tabs>
              <w:spacing w:after="0"/>
              <w:jc w:val="center"/>
              <w:rPr>
                <w:rFonts w:cs="Arial"/>
                <w:color w:val="000000"/>
                <w:sz w:val="18"/>
                <w:szCs w:val="18"/>
                <w:lang w:eastAsia="en-AU"/>
              </w:rPr>
            </w:pPr>
            <w:r w:rsidRPr="001729CF">
              <w:rPr>
                <w:rFonts w:cs="Arial"/>
                <w:color w:val="000000"/>
                <w:sz w:val="18"/>
                <w:szCs w:val="18"/>
                <w:lang w:eastAsia="en-AU"/>
              </w:rPr>
              <w:t>S0</w:t>
            </w:r>
            <w:r>
              <w:rPr>
                <w:rFonts w:cs="Arial"/>
                <w:color w:val="000000"/>
                <w:sz w:val="18"/>
                <w:szCs w:val="18"/>
                <w:lang w:eastAsia="en-AU"/>
              </w:rPr>
              <w:t>7</w:t>
            </w:r>
          </w:p>
        </w:tc>
        <w:tc>
          <w:tcPr>
            <w:tcW w:w="0" w:type="auto"/>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sidRPr="00822178">
              <w:rPr>
                <w:rFonts w:cs="Arial"/>
                <w:color w:val="000000"/>
                <w:sz w:val="18"/>
                <w:szCs w:val="18"/>
                <w:lang w:eastAsia="en-AU"/>
              </w:rPr>
              <w:t>pat_ind_flag</w:t>
            </w:r>
            <w:proofErr w:type="spellEnd"/>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Indigenous patient flag</w:t>
            </w:r>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1 if Patient Indigenous Status = 1, 2 or 3; else</w:t>
            </w:r>
            <w:r w:rsidRPr="00822178">
              <w:rPr>
                <w:rFonts w:cs="Arial"/>
                <w:color w:val="000000"/>
                <w:sz w:val="18"/>
                <w:szCs w:val="18"/>
                <w:lang w:eastAsia="en-AU"/>
              </w:rPr>
              <w:br/>
              <w:t>0.</w:t>
            </w:r>
          </w:p>
        </w:tc>
      </w:tr>
      <w:tr w:rsidR="00F51276" w:rsidRPr="00496274" w:rsidTr="00920356">
        <w:trPr>
          <w:cantSplit/>
          <w:trHeight w:val="450"/>
          <w:jc w:val="center"/>
        </w:trPr>
        <w:tc>
          <w:tcPr>
            <w:tcW w:w="0" w:type="auto"/>
            <w:vMerge w:val="restart"/>
            <w:tcBorders>
              <w:top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hideMark/>
          </w:tcPr>
          <w:p w:rsidR="00F51276" w:rsidRPr="001729CF" w:rsidRDefault="00F51276" w:rsidP="00920356">
            <w:pPr>
              <w:tabs>
                <w:tab w:val="left" w:pos="1162"/>
              </w:tabs>
              <w:spacing w:after="0"/>
              <w:jc w:val="center"/>
              <w:rPr>
                <w:rFonts w:cs="Arial"/>
                <w:color w:val="000000"/>
                <w:sz w:val="18"/>
                <w:szCs w:val="18"/>
                <w:lang w:eastAsia="en-AU"/>
              </w:rPr>
            </w:pPr>
            <w:r w:rsidRPr="001729CF">
              <w:rPr>
                <w:rFonts w:cs="Arial"/>
                <w:color w:val="000000"/>
                <w:sz w:val="18"/>
                <w:szCs w:val="18"/>
                <w:lang w:eastAsia="en-AU"/>
              </w:rPr>
              <w:t>S0</w:t>
            </w:r>
            <w:r>
              <w:rPr>
                <w:rFonts w:cs="Arial"/>
                <w:color w:val="000000"/>
                <w:sz w:val="18"/>
                <w:szCs w:val="18"/>
                <w:lang w:eastAsia="en-AU"/>
              </w:rPr>
              <w:t>8</w:t>
            </w:r>
          </w:p>
        </w:tc>
        <w:tc>
          <w:tcPr>
            <w:tcW w:w="0" w:type="auto"/>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pat_private_flag</w:t>
            </w:r>
            <w:proofErr w:type="spellEnd"/>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Private patient flag</w:t>
            </w:r>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6E13C4">
              <w:rPr>
                <w:rFonts w:cs="Arial"/>
                <w:color w:val="000000"/>
                <w:sz w:val="18"/>
                <w:szCs w:val="18"/>
                <w:lang w:eastAsia="en-AU"/>
              </w:rPr>
              <w:t>1 if Funding Source = 9 or 13 for 2012-13 data and later.</w:t>
            </w:r>
            <w:r w:rsidRPr="006E13C4">
              <w:rPr>
                <w:rStyle w:val="FootnoteReference"/>
                <w:rFonts w:cs="Arial"/>
                <w:color w:val="000000"/>
                <w:sz w:val="18"/>
                <w:szCs w:val="18"/>
                <w:lang w:eastAsia="en-AU"/>
              </w:rPr>
              <w:footnoteReference w:id="19"/>
            </w:r>
          </w:p>
        </w:tc>
      </w:tr>
      <w:tr w:rsidR="00F51276" w:rsidRPr="00496274" w:rsidTr="00920356">
        <w:trPr>
          <w:cantSplit/>
          <w:trHeight w:val="225"/>
          <w:jc w:val="center"/>
        </w:trPr>
        <w:tc>
          <w:tcPr>
            <w:tcW w:w="0" w:type="auto"/>
            <w:vMerge/>
            <w:tcBorders>
              <w:bottom w:val="single" w:sz="4" w:space="0" w:color="auto"/>
            </w:tcBorders>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hideMark/>
          </w:tcPr>
          <w:p w:rsidR="00F51276" w:rsidRPr="001729CF" w:rsidRDefault="00F51276" w:rsidP="00920356">
            <w:pPr>
              <w:tabs>
                <w:tab w:val="left" w:pos="1162"/>
              </w:tabs>
              <w:spacing w:after="0"/>
              <w:jc w:val="center"/>
              <w:rPr>
                <w:rFonts w:cs="Arial"/>
                <w:color w:val="000000"/>
                <w:sz w:val="18"/>
                <w:szCs w:val="18"/>
                <w:lang w:eastAsia="en-AU"/>
              </w:rPr>
            </w:pPr>
            <w:r w:rsidRPr="001729CF">
              <w:rPr>
                <w:rFonts w:cs="Arial"/>
                <w:color w:val="000000"/>
                <w:sz w:val="18"/>
                <w:szCs w:val="18"/>
                <w:lang w:eastAsia="en-AU"/>
              </w:rPr>
              <w:t>S0</w:t>
            </w:r>
            <w:r>
              <w:rPr>
                <w:rFonts w:cs="Arial"/>
                <w:color w:val="000000"/>
                <w:sz w:val="18"/>
                <w:szCs w:val="18"/>
                <w:lang w:eastAsia="en-AU"/>
              </w:rPr>
              <w:t>9</w:t>
            </w:r>
          </w:p>
        </w:tc>
        <w:tc>
          <w:tcPr>
            <w:tcW w:w="0" w:type="auto"/>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proofErr w:type="spellStart"/>
            <w:r w:rsidRPr="00822178">
              <w:rPr>
                <w:rFonts w:cs="Arial"/>
                <w:color w:val="000000"/>
                <w:sz w:val="18"/>
                <w:szCs w:val="18"/>
                <w:lang w:eastAsia="en-AU"/>
              </w:rPr>
              <w:t>pat_public_flag</w:t>
            </w:r>
            <w:proofErr w:type="spellEnd"/>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Public patient flag</w:t>
            </w:r>
          </w:p>
        </w:tc>
        <w:tc>
          <w:tcPr>
            <w:tcW w:w="0" w:type="auto"/>
            <w:shd w:val="clear" w:color="auto" w:fill="auto"/>
            <w:hideMark/>
          </w:tcPr>
          <w:p w:rsidR="00F51276" w:rsidRDefault="00F51276" w:rsidP="00920356">
            <w:pPr>
              <w:tabs>
                <w:tab w:val="left" w:pos="1162"/>
              </w:tabs>
              <w:spacing w:after="0"/>
              <w:rPr>
                <w:rFonts w:cs="Arial"/>
                <w:color w:val="000000"/>
                <w:sz w:val="18"/>
                <w:szCs w:val="18"/>
                <w:lang w:eastAsia="en-AU"/>
              </w:rPr>
            </w:pPr>
            <w:r w:rsidRPr="006E13C4">
              <w:rPr>
                <w:rFonts w:cs="Arial"/>
                <w:color w:val="000000"/>
                <w:sz w:val="18"/>
                <w:szCs w:val="18"/>
                <w:lang w:eastAsia="en-AU"/>
              </w:rPr>
              <w:t>1 if Funding Source = 1, 2, 3 or 8 for 2012-13 data and later.</w:t>
            </w:r>
            <w:r w:rsidRPr="006E13C4">
              <w:rPr>
                <w:rStyle w:val="FootnoteReference"/>
                <w:rFonts w:cs="Arial"/>
                <w:color w:val="000000"/>
                <w:sz w:val="18"/>
                <w:szCs w:val="18"/>
                <w:lang w:eastAsia="en-AU"/>
              </w:rPr>
              <w:footnoteReference w:id="20"/>
            </w:r>
          </w:p>
          <w:p w:rsidR="00F51276" w:rsidRPr="001729CF" w:rsidRDefault="00F51276" w:rsidP="00920356">
            <w:pPr>
              <w:tabs>
                <w:tab w:val="left" w:pos="1162"/>
              </w:tabs>
              <w:spacing w:after="0"/>
              <w:rPr>
                <w:rFonts w:cs="Arial"/>
                <w:color w:val="000000"/>
                <w:sz w:val="18"/>
                <w:szCs w:val="18"/>
                <w:lang w:eastAsia="en-AU"/>
              </w:rPr>
            </w:pPr>
          </w:p>
        </w:tc>
      </w:tr>
      <w:tr w:rsidR="00F51276" w:rsidRPr="00496274" w:rsidTr="00920356">
        <w:trPr>
          <w:cantSplit/>
          <w:trHeight w:val="450"/>
          <w:jc w:val="center"/>
        </w:trPr>
        <w:tc>
          <w:tcPr>
            <w:tcW w:w="0" w:type="auto"/>
            <w:tcBorders>
              <w:top w:val="single" w:sz="4" w:space="0" w:color="auto"/>
              <w:bottom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Step 3</w:t>
            </w: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S10</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Pr>
                <w:rFonts w:cs="Arial"/>
                <w:color w:val="000000"/>
                <w:sz w:val="18"/>
                <w:szCs w:val="18"/>
                <w:lang w:eastAsia="en-AU"/>
              </w:rPr>
              <w:t>ansnap_type</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see definition</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AN-SNAP class type</w:t>
            </w:r>
          </w:p>
        </w:tc>
      </w:tr>
      <w:tr w:rsidR="00F51276" w:rsidRPr="00496274" w:rsidTr="00920356">
        <w:trPr>
          <w:cantSplit/>
          <w:trHeight w:val="450"/>
          <w:jc w:val="center"/>
        </w:trPr>
        <w:tc>
          <w:tcPr>
            <w:tcW w:w="0" w:type="auto"/>
            <w:tcBorders>
              <w:top w:val="nil"/>
              <w:bottom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S11</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Pr>
                <w:rFonts w:cs="Arial"/>
                <w:color w:val="000000"/>
                <w:sz w:val="18"/>
                <w:szCs w:val="18"/>
                <w:lang w:eastAsia="en-AU"/>
              </w:rPr>
              <w:t>ansnap_samedaylist_flag</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Same-day price list flag</w:t>
            </w:r>
            <w:r w:rsidRPr="00822178" w:rsidDel="00B62E07">
              <w:rPr>
                <w:rFonts w:cs="Arial"/>
                <w:color w:val="000000"/>
                <w:sz w:val="18"/>
                <w:szCs w:val="18"/>
                <w:lang w:eastAsia="en-AU"/>
              </w:rPr>
              <w:t xml:space="preserve"> </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1 if Same-Day Price List variable from joined NWAU A</w:t>
            </w:r>
            <w:r>
              <w:rPr>
                <w:rFonts w:cs="Arial"/>
                <w:color w:val="000000"/>
                <w:sz w:val="18"/>
                <w:szCs w:val="18"/>
                <w:lang w:eastAsia="en-AU"/>
              </w:rPr>
              <w:t>N-SNAP</w:t>
            </w:r>
            <w:r w:rsidRPr="00822178">
              <w:rPr>
                <w:rFonts w:cs="Arial"/>
                <w:color w:val="000000"/>
                <w:sz w:val="18"/>
                <w:szCs w:val="18"/>
                <w:lang w:eastAsia="en-AU"/>
              </w:rPr>
              <w:t xml:space="preserve"> Price Weight table equals 'Yes'; else</w:t>
            </w:r>
            <w:r>
              <w:rPr>
                <w:rFonts w:cs="Arial"/>
                <w:color w:val="000000"/>
                <w:sz w:val="18"/>
                <w:szCs w:val="18"/>
                <w:lang w:eastAsia="en-AU"/>
              </w:rPr>
              <w:t xml:space="preserve"> </w:t>
            </w:r>
            <w:r w:rsidRPr="00822178">
              <w:rPr>
                <w:rFonts w:cs="Arial"/>
                <w:color w:val="000000"/>
                <w:sz w:val="18"/>
                <w:szCs w:val="18"/>
                <w:lang w:eastAsia="en-AU"/>
              </w:rPr>
              <w:br/>
              <w:t>0.</w:t>
            </w:r>
          </w:p>
        </w:tc>
      </w:tr>
      <w:tr w:rsidR="00F51276" w:rsidRPr="00496274" w:rsidTr="00920356">
        <w:trPr>
          <w:cantSplit/>
          <w:trHeight w:val="450"/>
          <w:jc w:val="center"/>
        </w:trPr>
        <w:tc>
          <w:tcPr>
            <w:tcW w:w="0" w:type="auto"/>
            <w:tcBorders>
              <w:top w:val="nil"/>
              <w:bottom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S12</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Pr>
                <w:rFonts w:cs="Arial"/>
                <w:color w:val="000000"/>
                <w:sz w:val="18"/>
                <w:szCs w:val="18"/>
                <w:lang w:eastAsia="en-AU"/>
              </w:rPr>
              <w:t>ansnap_inlier_lb</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Inlier lower bound</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proofErr w:type="gramStart"/>
            <w:r w:rsidRPr="00822178">
              <w:rPr>
                <w:rFonts w:cs="Arial"/>
                <w:color w:val="000000"/>
                <w:sz w:val="18"/>
                <w:szCs w:val="18"/>
                <w:lang w:eastAsia="en-AU"/>
              </w:rPr>
              <w:t>inlier</w:t>
            </w:r>
            <w:proofErr w:type="gramEnd"/>
            <w:r w:rsidRPr="00822178">
              <w:rPr>
                <w:rFonts w:cs="Arial"/>
                <w:color w:val="000000"/>
                <w:sz w:val="18"/>
                <w:szCs w:val="18"/>
                <w:lang w:eastAsia="en-AU"/>
              </w:rPr>
              <w:t xml:space="preserve"> lower bound from NWAU </w:t>
            </w:r>
            <w:r>
              <w:rPr>
                <w:rFonts w:cs="Arial"/>
                <w:color w:val="000000"/>
                <w:sz w:val="18"/>
                <w:szCs w:val="18"/>
                <w:lang w:eastAsia="en-AU"/>
              </w:rPr>
              <w:t xml:space="preserve">AN-SNAP </w:t>
            </w:r>
            <w:r w:rsidRPr="00822178">
              <w:rPr>
                <w:rFonts w:cs="Arial"/>
                <w:color w:val="000000"/>
                <w:sz w:val="18"/>
                <w:szCs w:val="18"/>
                <w:lang w:eastAsia="en-AU"/>
              </w:rPr>
              <w:t>Price Weight table.</w:t>
            </w:r>
          </w:p>
        </w:tc>
      </w:tr>
      <w:tr w:rsidR="00F51276" w:rsidRPr="00496274" w:rsidTr="00920356">
        <w:trPr>
          <w:cantSplit/>
          <w:trHeight w:val="450"/>
          <w:jc w:val="center"/>
        </w:trPr>
        <w:tc>
          <w:tcPr>
            <w:tcW w:w="0" w:type="auto"/>
            <w:vMerge w:val="restart"/>
            <w:tcBorders>
              <w:top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S13</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Pr>
                <w:rFonts w:cs="Arial"/>
                <w:color w:val="000000"/>
                <w:sz w:val="18"/>
                <w:szCs w:val="18"/>
                <w:lang w:eastAsia="en-AU"/>
              </w:rPr>
              <w:t>ansnap_inlier_ub</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822178">
              <w:rPr>
                <w:rFonts w:cs="Arial"/>
                <w:color w:val="000000"/>
                <w:sz w:val="18"/>
                <w:szCs w:val="18"/>
                <w:lang w:eastAsia="en-AU"/>
              </w:rPr>
              <w:t>Inlier upper bound</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proofErr w:type="gramStart"/>
            <w:r>
              <w:rPr>
                <w:rFonts w:cs="Arial"/>
                <w:color w:val="000000"/>
                <w:sz w:val="18"/>
                <w:szCs w:val="18"/>
                <w:lang w:eastAsia="en-AU"/>
              </w:rPr>
              <w:t>inlier</w:t>
            </w:r>
            <w:proofErr w:type="gramEnd"/>
            <w:r>
              <w:rPr>
                <w:rFonts w:cs="Arial"/>
                <w:color w:val="000000"/>
                <w:sz w:val="18"/>
                <w:szCs w:val="18"/>
                <w:lang w:eastAsia="en-AU"/>
              </w:rPr>
              <w:t xml:space="preserve"> upper bound from NWAU AN-SNAP</w:t>
            </w:r>
            <w:r w:rsidRPr="00822178">
              <w:rPr>
                <w:rFonts w:cs="Arial"/>
                <w:color w:val="000000"/>
                <w:sz w:val="18"/>
                <w:szCs w:val="18"/>
                <w:lang w:eastAsia="en-AU"/>
              </w:rPr>
              <w:t xml:space="preserve"> Price Weight table.</w:t>
            </w:r>
          </w:p>
        </w:tc>
      </w:tr>
      <w:tr w:rsidR="00F51276" w:rsidRPr="00496274" w:rsidTr="00920356">
        <w:trPr>
          <w:cantSplit/>
          <w:trHeight w:val="675"/>
          <w:jc w:val="center"/>
        </w:trPr>
        <w:tc>
          <w:tcPr>
            <w:tcW w:w="0" w:type="auto"/>
            <w:vMerge/>
            <w:shd w:val="clear" w:color="auto" w:fill="auto"/>
            <w:noWrap/>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S14</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sidRPr="001729CF">
              <w:rPr>
                <w:rFonts w:cs="Arial"/>
                <w:color w:val="000000"/>
                <w:sz w:val="18"/>
                <w:szCs w:val="18"/>
                <w:lang w:eastAsia="en-AU"/>
              </w:rPr>
              <w:t>ansnap_pw_sd</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Same Day Price Weight</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w:t>
            </w:r>
            <w:proofErr w:type="gramStart"/>
            <w:r w:rsidRPr="001729CF">
              <w:rPr>
                <w:rFonts w:cs="Arial"/>
                <w:color w:val="000000"/>
                <w:sz w:val="18"/>
                <w:szCs w:val="18"/>
                <w:lang w:eastAsia="en-AU"/>
              </w:rPr>
              <w:t>same</w:t>
            </w:r>
            <w:proofErr w:type="gramEnd"/>
            <w:r w:rsidRPr="001729CF">
              <w:rPr>
                <w:rFonts w:cs="Arial"/>
                <w:color w:val="000000"/>
                <w:sz w:val="18"/>
                <w:szCs w:val="18"/>
                <w:lang w:eastAsia="en-AU"/>
              </w:rPr>
              <w:t xml:space="preserve"> day price weight from joined NWAU AN-SNAP Price Weight table) if not missing; else</w:t>
            </w:r>
            <w:r>
              <w:rPr>
                <w:rFonts w:cs="Arial"/>
                <w:color w:val="000000"/>
                <w:sz w:val="18"/>
                <w:szCs w:val="18"/>
                <w:lang w:eastAsia="en-AU"/>
              </w:rPr>
              <w:t xml:space="preserve"> missing. </w:t>
            </w:r>
          </w:p>
        </w:tc>
      </w:tr>
      <w:tr w:rsidR="00F51276" w:rsidRPr="00496274" w:rsidTr="00920356">
        <w:trPr>
          <w:cantSplit/>
          <w:trHeight w:val="450"/>
          <w:jc w:val="center"/>
        </w:trPr>
        <w:tc>
          <w:tcPr>
            <w:tcW w:w="0" w:type="auto"/>
            <w:vMerge/>
            <w:tcBorders>
              <w:bottom w:val="nil"/>
            </w:tcBorders>
            <w:shd w:val="clear" w:color="auto" w:fill="auto"/>
            <w:noWrap/>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S15</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sidRPr="001729CF">
              <w:rPr>
                <w:rFonts w:cs="Arial"/>
                <w:color w:val="000000"/>
                <w:sz w:val="18"/>
                <w:szCs w:val="18"/>
                <w:lang w:eastAsia="en-AU"/>
              </w:rPr>
              <w:t>ansnap_</w:t>
            </w:r>
            <w:r>
              <w:rPr>
                <w:rFonts w:cs="Arial"/>
                <w:color w:val="000000"/>
                <w:sz w:val="18"/>
                <w:szCs w:val="18"/>
                <w:lang w:eastAsia="en-AU"/>
              </w:rPr>
              <w:t>sso</w:t>
            </w:r>
            <w:r w:rsidRPr="001729CF">
              <w:rPr>
                <w:rFonts w:cs="Arial"/>
                <w:color w:val="000000"/>
                <w:sz w:val="18"/>
                <w:szCs w:val="18"/>
                <w:lang w:eastAsia="en-AU"/>
              </w:rPr>
              <w:t>_</w:t>
            </w:r>
            <w:r>
              <w:rPr>
                <w:rFonts w:cs="Arial"/>
                <w:color w:val="000000"/>
                <w:sz w:val="18"/>
                <w:szCs w:val="18"/>
                <w:lang w:eastAsia="en-AU"/>
              </w:rPr>
              <w:t>perdiem</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Short Stay Outlier Per Diem Price Weight</w:t>
            </w:r>
          </w:p>
        </w:tc>
        <w:tc>
          <w:tcPr>
            <w:tcW w:w="0" w:type="auto"/>
            <w:shd w:val="clear" w:color="auto" w:fill="auto"/>
          </w:tcPr>
          <w:p w:rsidR="00F51276" w:rsidRPr="001729CF" w:rsidRDefault="00C92D56" w:rsidP="00920356">
            <w:pPr>
              <w:tabs>
                <w:tab w:val="left" w:pos="1162"/>
              </w:tabs>
              <w:spacing w:after="0"/>
              <w:rPr>
                <w:rFonts w:cs="Arial"/>
                <w:color w:val="000000"/>
                <w:sz w:val="18"/>
                <w:szCs w:val="18"/>
                <w:lang w:eastAsia="en-AU"/>
              </w:rPr>
            </w:pPr>
            <w:r>
              <w:rPr>
                <w:rFonts w:cs="Arial"/>
                <w:color w:val="000000"/>
                <w:sz w:val="18"/>
                <w:szCs w:val="18"/>
                <w:lang w:eastAsia="en-AU"/>
              </w:rPr>
              <w:t>(</w:t>
            </w:r>
            <w:proofErr w:type="gramStart"/>
            <w:r w:rsidR="00F51276">
              <w:rPr>
                <w:rFonts w:cs="Arial"/>
                <w:color w:val="000000"/>
                <w:sz w:val="18"/>
                <w:szCs w:val="18"/>
                <w:lang w:eastAsia="en-AU"/>
              </w:rPr>
              <w:t>short</w:t>
            </w:r>
            <w:proofErr w:type="gramEnd"/>
            <w:r w:rsidR="00F51276">
              <w:rPr>
                <w:rFonts w:cs="Arial"/>
                <w:color w:val="000000"/>
                <w:sz w:val="18"/>
                <w:szCs w:val="18"/>
                <w:lang w:eastAsia="en-AU"/>
              </w:rPr>
              <w:t xml:space="preserve"> stay outlier</w:t>
            </w:r>
            <w:r w:rsidR="00F51276" w:rsidRPr="001729CF">
              <w:rPr>
                <w:rFonts w:cs="Arial"/>
                <w:color w:val="000000"/>
                <w:sz w:val="18"/>
                <w:szCs w:val="18"/>
                <w:lang w:eastAsia="en-AU"/>
              </w:rPr>
              <w:t xml:space="preserve"> price weight from joined NWAU AN-SNAP Price Weight table ) if not missing; else</w:t>
            </w:r>
            <w:r w:rsidR="00F51276">
              <w:rPr>
                <w:rFonts w:cs="Arial"/>
                <w:color w:val="000000"/>
                <w:sz w:val="18"/>
                <w:szCs w:val="18"/>
                <w:lang w:eastAsia="en-AU"/>
              </w:rPr>
              <w:t xml:space="preserve"> missing</w:t>
            </w:r>
            <w:r w:rsidR="00F51276" w:rsidRPr="001729CF">
              <w:rPr>
                <w:rFonts w:cs="Arial"/>
                <w:color w:val="000000"/>
                <w:sz w:val="18"/>
                <w:szCs w:val="18"/>
                <w:lang w:eastAsia="en-AU"/>
              </w:rPr>
              <w:t>.</w:t>
            </w:r>
          </w:p>
        </w:tc>
      </w:tr>
      <w:tr w:rsidR="00F51276" w:rsidRPr="00496274" w:rsidTr="00920356">
        <w:trPr>
          <w:cantSplit/>
          <w:trHeight w:val="450"/>
          <w:jc w:val="center"/>
        </w:trPr>
        <w:tc>
          <w:tcPr>
            <w:tcW w:w="0" w:type="auto"/>
            <w:tcBorders>
              <w:top w:val="nil"/>
              <w:bottom w:val="nil"/>
            </w:tcBorders>
            <w:shd w:val="clear" w:color="auto" w:fill="auto"/>
            <w:vAlign w:val="center"/>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S16</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sidRPr="001729CF">
              <w:rPr>
                <w:rFonts w:cs="Arial"/>
                <w:color w:val="000000"/>
                <w:sz w:val="18"/>
                <w:szCs w:val="18"/>
                <w:lang w:eastAsia="en-AU"/>
              </w:rPr>
              <w:t>ansnap_pw_inlier</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Inlier Price Weight</w:t>
            </w:r>
          </w:p>
        </w:tc>
        <w:tc>
          <w:tcPr>
            <w:tcW w:w="0" w:type="auto"/>
            <w:shd w:val="clear" w:color="auto" w:fill="auto"/>
          </w:tcPr>
          <w:p w:rsidR="00F51276" w:rsidRPr="001729CF" w:rsidRDefault="00C92D56" w:rsidP="00920356">
            <w:pPr>
              <w:tabs>
                <w:tab w:val="left" w:pos="1162"/>
              </w:tabs>
              <w:spacing w:after="0"/>
              <w:rPr>
                <w:rFonts w:cs="Arial"/>
                <w:color w:val="000000"/>
                <w:sz w:val="18"/>
                <w:szCs w:val="18"/>
                <w:lang w:eastAsia="en-AU"/>
              </w:rPr>
            </w:pPr>
            <w:r>
              <w:rPr>
                <w:rFonts w:cs="Arial"/>
                <w:color w:val="000000"/>
                <w:sz w:val="18"/>
                <w:szCs w:val="18"/>
                <w:lang w:eastAsia="en-AU"/>
              </w:rPr>
              <w:t>(</w:t>
            </w:r>
            <w:proofErr w:type="gramStart"/>
            <w:r w:rsidR="00F51276" w:rsidRPr="001729CF">
              <w:rPr>
                <w:rFonts w:cs="Arial"/>
                <w:color w:val="000000"/>
                <w:sz w:val="18"/>
                <w:szCs w:val="18"/>
                <w:lang w:eastAsia="en-AU"/>
              </w:rPr>
              <w:t>inlier</w:t>
            </w:r>
            <w:proofErr w:type="gramEnd"/>
            <w:r w:rsidR="00F51276" w:rsidRPr="001729CF">
              <w:rPr>
                <w:rFonts w:cs="Arial"/>
                <w:color w:val="000000"/>
                <w:sz w:val="18"/>
                <w:szCs w:val="18"/>
                <w:lang w:eastAsia="en-AU"/>
              </w:rPr>
              <w:t xml:space="preserve"> price weight from joined NWAU AN-SNAP Price Weight table ) if not missing; else</w:t>
            </w:r>
            <w:r w:rsidR="00F51276">
              <w:rPr>
                <w:rFonts w:cs="Arial"/>
                <w:color w:val="000000"/>
                <w:sz w:val="18"/>
                <w:szCs w:val="18"/>
                <w:lang w:eastAsia="en-AU"/>
              </w:rPr>
              <w:t xml:space="preserve"> missing</w:t>
            </w:r>
            <w:r w:rsidR="00F51276" w:rsidRPr="001729CF">
              <w:rPr>
                <w:rFonts w:cs="Arial"/>
                <w:color w:val="000000"/>
                <w:sz w:val="18"/>
                <w:szCs w:val="18"/>
                <w:lang w:eastAsia="en-AU"/>
              </w:rPr>
              <w:t>.</w:t>
            </w:r>
          </w:p>
        </w:tc>
      </w:tr>
      <w:tr w:rsidR="00F51276" w:rsidRPr="00496274" w:rsidTr="00920356">
        <w:trPr>
          <w:cantSplit/>
          <w:trHeight w:val="450"/>
          <w:jc w:val="center"/>
        </w:trPr>
        <w:tc>
          <w:tcPr>
            <w:tcW w:w="0" w:type="auto"/>
            <w:tcBorders>
              <w:top w:val="nil"/>
            </w:tcBorders>
            <w:shd w:val="clear" w:color="auto" w:fill="auto"/>
            <w:vAlign w:val="center"/>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S17</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Pr>
                <w:rFonts w:cs="Arial"/>
                <w:color w:val="000000"/>
                <w:sz w:val="18"/>
                <w:szCs w:val="18"/>
                <w:lang w:eastAsia="en-AU"/>
              </w:rPr>
              <w:t>ansnap_pw_lso_perdiem</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Long Stay Outlier Per Diem Price Weight</w:t>
            </w:r>
          </w:p>
        </w:tc>
        <w:tc>
          <w:tcPr>
            <w:tcW w:w="0" w:type="auto"/>
            <w:shd w:val="clear" w:color="auto" w:fill="auto"/>
          </w:tcPr>
          <w:p w:rsidR="00F51276" w:rsidRPr="001729CF" w:rsidRDefault="00C92D56" w:rsidP="00920356">
            <w:pPr>
              <w:tabs>
                <w:tab w:val="left" w:pos="1162"/>
              </w:tabs>
              <w:spacing w:after="0"/>
              <w:rPr>
                <w:rFonts w:cs="Arial"/>
                <w:color w:val="000000"/>
                <w:sz w:val="18"/>
                <w:szCs w:val="18"/>
                <w:lang w:eastAsia="en-AU"/>
              </w:rPr>
            </w:pPr>
            <w:r>
              <w:rPr>
                <w:rFonts w:cs="Arial"/>
                <w:color w:val="000000"/>
                <w:sz w:val="18"/>
                <w:szCs w:val="18"/>
                <w:lang w:eastAsia="en-AU"/>
              </w:rPr>
              <w:t>(</w:t>
            </w:r>
            <w:proofErr w:type="gramStart"/>
            <w:r w:rsidR="00F51276">
              <w:rPr>
                <w:rFonts w:cs="Arial"/>
                <w:color w:val="000000"/>
                <w:sz w:val="18"/>
                <w:szCs w:val="18"/>
                <w:lang w:eastAsia="en-AU"/>
              </w:rPr>
              <w:t>long</w:t>
            </w:r>
            <w:proofErr w:type="gramEnd"/>
            <w:r w:rsidR="00F51276">
              <w:rPr>
                <w:rFonts w:cs="Arial"/>
                <w:color w:val="000000"/>
                <w:sz w:val="18"/>
                <w:szCs w:val="18"/>
                <w:lang w:eastAsia="en-AU"/>
              </w:rPr>
              <w:t xml:space="preserve"> stay outlier</w:t>
            </w:r>
            <w:r w:rsidR="00F51276" w:rsidRPr="001729CF">
              <w:rPr>
                <w:rFonts w:cs="Arial"/>
                <w:color w:val="000000"/>
                <w:sz w:val="18"/>
                <w:szCs w:val="18"/>
                <w:lang w:eastAsia="en-AU"/>
              </w:rPr>
              <w:t xml:space="preserve"> price weight from joined NWAU AN-SNAP Price Weight table</w:t>
            </w:r>
            <w:r w:rsidR="00F51276">
              <w:rPr>
                <w:rFonts w:cs="Arial"/>
                <w:color w:val="000000"/>
                <w:sz w:val="18"/>
                <w:szCs w:val="18"/>
                <w:lang w:eastAsia="en-AU"/>
              </w:rPr>
              <w:t xml:space="preserve"> ) if not missing; missing</w:t>
            </w:r>
            <w:r w:rsidR="00F51276" w:rsidRPr="001729CF">
              <w:rPr>
                <w:rFonts w:cs="Arial"/>
                <w:color w:val="000000"/>
                <w:sz w:val="18"/>
                <w:szCs w:val="18"/>
                <w:lang w:eastAsia="en-AU"/>
              </w:rPr>
              <w:t>.</w:t>
            </w:r>
          </w:p>
        </w:tc>
      </w:tr>
      <w:tr w:rsidR="00F51276" w:rsidRPr="00496274" w:rsidTr="00920356">
        <w:trPr>
          <w:cantSplit/>
          <w:trHeight w:val="450"/>
          <w:jc w:val="center"/>
        </w:trPr>
        <w:tc>
          <w:tcPr>
            <w:tcW w:w="0" w:type="auto"/>
            <w:tcBorders>
              <w:bottom w:val="nil"/>
            </w:tcBorders>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S18</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Pr>
                <w:rFonts w:cs="Arial"/>
                <w:color w:val="000000"/>
                <w:sz w:val="18"/>
                <w:szCs w:val="18"/>
                <w:lang w:eastAsia="en-AU"/>
              </w:rPr>
              <w:t>paed_pw_sameday</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Same day price weight for paediatric patients</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w:t>
            </w:r>
            <w:proofErr w:type="gramStart"/>
            <w:r>
              <w:rPr>
                <w:rFonts w:cs="Arial"/>
                <w:color w:val="000000"/>
                <w:sz w:val="18"/>
                <w:szCs w:val="18"/>
                <w:lang w:eastAsia="en-AU"/>
              </w:rPr>
              <w:t>paediatric</w:t>
            </w:r>
            <w:proofErr w:type="gramEnd"/>
            <w:r>
              <w:rPr>
                <w:rFonts w:cs="Arial"/>
                <w:color w:val="000000"/>
                <w:sz w:val="18"/>
                <w:szCs w:val="18"/>
                <w:lang w:eastAsia="en-AU"/>
              </w:rPr>
              <w:t xml:space="preserve"> same day </w:t>
            </w:r>
            <w:r w:rsidRPr="001729CF">
              <w:rPr>
                <w:rFonts w:cs="Arial"/>
                <w:color w:val="000000"/>
                <w:sz w:val="18"/>
                <w:szCs w:val="18"/>
                <w:lang w:eastAsia="en-AU"/>
              </w:rPr>
              <w:t xml:space="preserve">price weight from joined </w:t>
            </w:r>
            <w:r>
              <w:rPr>
                <w:rFonts w:cs="Arial"/>
                <w:color w:val="000000"/>
                <w:sz w:val="18"/>
                <w:szCs w:val="18"/>
                <w:lang w:eastAsia="en-AU"/>
              </w:rPr>
              <w:t>care type</w:t>
            </w:r>
            <w:r w:rsidRPr="001729CF">
              <w:rPr>
                <w:rFonts w:cs="Arial"/>
                <w:color w:val="000000"/>
                <w:sz w:val="18"/>
                <w:szCs w:val="18"/>
                <w:lang w:eastAsia="en-AU"/>
              </w:rPr>
              <w:t xml:space="preserve"> Price Wei</w:t>
            </w:r>
            <w:r>
              <w:rPr>
                <w:rFonts w:cs="Arial"/>
                <w:color w:val="000000"/>
                <w:sz w:val="18"/>
                <w:szCs w:val="18"/>
                <w:lang w:eastAsia="en-AU"/>
              </w:rPr>
              <w:t>ght table ) if not missing; else missing</w:t>
            </w:r>
            <w:r w:rsidRPr="001729CF">
              <w:rPr>
                <w:rFonts w:cs="Arial"/>
                <w:color w:val="000000"/>
                <w:sz w:val="18"/>
                <w:szCs w:val="18"/>
                <w:lang w:eastAsia="en-AU"/>
              </w:rPr>
              <w:t>.</w:t>
            </w:r>
            <w:r w:rsidRPr="001729CF" w:rsidDel="00EB5229">
              <w:rPr>
                <w:rFonts w:cs="Arial"/>
                <w:color w:val="000000"/>
                <w:sz w:val="18"/>
                <w:szCs w:val="18"/>
                <w:lang w:eastAsia="en-AU"/>
              </w:rPr>
              <w:t xml:space="preserve"> </w:t>
            </w:r>
          </w:p>
        </w:tc>
      </w:tr>
      <w:tr w:rsidR="00F51276" w:rsidRPr="00496274" w:rsidTr="00920356">
        <w:trPr>
          <w:cantSplit/>
          <w:trHeight w:val="450"/>
          <w:jc w:val="center"/>
        </w:trPr>
        <w:tc>
          <w:tcPr>
            <w:tcW w:w="0" w:type="auto"/>
            <w:vMerge w:val="restart"/>
            <w:tcBorders>
              <w:top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S19</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Pr>
                <w:rFonts w:cs="Arial"/>
                <w:color w:val="000000"/>
                <w:sz w:val="18"/>
                <w:szCs w:val="18"/>
                <w:lang w:eastAsia="en-AU"/>
              </w:rPr>
              <w:t>paed_pw_overnight</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Overnight price weight for paediatric patients</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w:t>
            </w:r>
            <w:proofErr w:type="gramStart"/>
            <w:r>
              <w:rPr>
                <w:rFonts w:cs="Arial"/>
                <w:color w:val="000000"/>
                <w:sz w:val="18"/>
                <w:szCs w:val="18"/>
                <w:lang w:eastAsia="en-AU"/>
              </w:rPr>
              <w:t>paediatric</w:t>
            </w:r>
            <w:proofErr w:type="gramEnd"/>
            <w:r>
              <w:rPr>
                <w:rFonts w:cs="Arial"/>
                <w:color w:val="000000"/>
                <w:sz w:val="18"/>
                <w:szCs w:val="18"/>
                <w:lang w:eastAsia="en-AU"/>
              </w:rPr>
              <w:t xml:space="preserve"> overnight </w:t>
            </w:r>
            <w:r w:rsidRPr="001729CF">
              <w:rPr>
                <w:rFonts w:cs="Arial"/>
                <w:color w:val="000000"/>
                <w:sz w:val="18"/>
                <w:szCs w:val="18"/>
                <w:lang w:eastAsia="en-AU"/>
              </w:rPr>
              <w:t xml:space="preserve">price weight from joined </w:t>
            </w:r>
            <w:r>
              <w:rPr>
                <w:rFonts w:cs="Arial"/>
                <w:color w:val="000000"/>
                <w:sz w:val="18"/>
                <w:szCs w:val="18"/>
                <w:lang w:eastAsia="en-AU"/>
              </w:rPr>
              <w:t>care type</w:t>
            </w:r>
            <w:r w:rsidRPr="001729CF">
              <w:rPr>
                <w:rFonts w:cs="Arial"/>
                <w:color w:val="000000"/>
                <w:sz w:val="18"/>
                <w:szCs w:val="18"/>
                <w:lang w:eastAsia="en-AU"/>
              </w:rPr>
              <w:t xml:space="preserve"> Price Weight table ) if not missing; else</w:t>
            </w:r>
            <w:r>
              <w:rPr>
                <w:rFonts w:cs="Arial"/>
                <w:color w:val="000000"/>
                <w:sz w:val="18"/>
                <w:szCs w:val="18"/>
                <w:lang w:eastAsia="en-AU"/>
              </w:rPr>
              <w:t xml:space="preserve"> </w:t>
            </w:r>
            <w:r w:rsidRPr="00822178">
              <w:rPr>
                <w:rFonts w:cs="Arial"/>
                <w:color w:val="000000"/>
                <w:sz w:val="18"/>
                <w:szCs w:val="18"/>
                <w:lang w:eastAsia="en-AU"/>
              </w:rPr>
              <w:br/>
            </w:r>
            <w:r w:rsidRPr="001729CF">
              <w:rPr>
                <w:rFonts w:cs="Arial"/>
                <w:color w:val="000000"/>
                <w:sz w:val="18"/>
                <w:szCs w:val="18"/>
                <w:lang w:eastAsia="en-AU"/>
              </w:rPr>
              <w:t>0.</w:t>
            </w:r>
            <w:r w:rsidRPr="001729CF" w:rsidDel="00EB5229">
              <w:rPr>
                <w:rFonts w:cs="Arial"/>
                <w:color w:val="000000"/>
                <w:sz w:val="18"/>
                <w:szCs w:val="18"/>
                <w:lang w:eastAsia="en-AU"/>
              </w:rPr>
              <w:t xml:space="preserve"> </w:t>
            </w:r>
          </w:p>
        </w:tc>
      </w:tr>
      <w:tr w:rsidR="00F51276" w:rsidRPr="00496274" w:rsidTr="00920356">
        <w:trPr>
          <w:cantSplit/>
          <w:trHeight w:val="450"/>
          <w:jc w:val="center"/>
        </w:trPr>
        <w:tc>
          <w:tcPr>
            <w:tcW w:w="0" w:type="auto"/>
            <w:vMerge/>
            <w:tcBorders>
              <w:bottom w:val="nil"/>
            </w:tcBorders>
            <w:shd w:val="clear" w:color="auto" w:fill="auto"/>
            <w:vAlign w:val="center"/>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S20</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sidRPr="001729CF">
              <w:rPr>
                <w:rFonts w:cs="Arial"/>
                <w:color w:val="000000"/>
                <w:sz w:val="18"/>
                <w:szCs w:val="18"/>
                <w:lang w:eastAsia="en-AU"/>
              </w:rPr>
              <w:t>adj_indigenous</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See definition</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proofErr w:type="gramStart"/>
            <w:r w:rsidRPr="001729CF">
              <w:rPr>
                <w:rFonts w:cs="Arial"/>
                <w:color w:val="000000"/>
                <w:sz w:val="18"/>
                <w:szCs w:val="18"/>
                <w:lang w:eastAsia="en-AU"/>
              </w:rPr>
              <w:t>indigenous</w:t>
            </w:r>
            <w:proofErr w:type="gramEnd"/>
            <w:r w:rsidRPr="001729CF">
              <w:rPr>
                <w:rFonts w:cs="Arial"/>
                <w:color w:val="000000"/>
                <w:sz w:val="18"/>
                <w:szCs w:val="18"/>
                <w:lang w:eastAsia="en-AU"/>
              </w:rPr>
              <w:t xml:space="preserve"> adjustment.</w:t>
            </w:r>
          </w:p>
        </w:tc>
      </w:tr>
      <w:tr w:rsidR="00F51276" w:rsidRPr="00496274" w:rsidTr="00920356">
        <w:trPr>
          <w:cantSplit/>
          <w:trHeight w:val="450"/>
          <w:jc w:val="center"/>
        </w:trPr>
        <w:tc>
          <w:tcPr>
            <w:tcW w:w="0" w:type="auto"/>
            <w:tcBorders>
              <w:top w:val="nil"/>
              <w:bottom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S21</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Pr>
                <w:rFonts w:cs="Arial"/>
                <w:color w:val="000000"/>
                <w:sz w:val="18"/>
                <w:szCs w:val="18"/>
                <w:lang w:eastAsia="en-AU"/>
              </w:rPr>
              <w:t>adj_remoteness</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See definition</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proofErr w:type="gramStart"/>
            <w:r>
              <w:rPr>
                <w:rFonts w:cs="Arial"/>
                <w:color w:val="000000"/>
                <w:sz w:val="18"/>
                <w:szCs w:val="18"/>
                <w:lang w:eastAsia="en-AU"/>
              </w:rPr>
              <w:t>remoteness</w:t>
            </w:r>
            <w:proofErr w:type="gramEnd"/>
            <w:r>
              <w:rPr>
                <w:rFonts w:cs="Arial"/>
                <w:color w:val="000000"/>
                <w:sz w:val="18"/>
                <w:szCs w:val="18"/>
                <w:lang w:eastAsia="en-AU"/>
              </w:rPr>
              <w:t xml:space="preserve"> adjustment.</w:t>
            </w:r>
          </w:p>
        </w:tc>
      </w:tr>
      <w:tr w:rsidR="00F51276" w:rsidRPr="00496274" w:rsidTr="00920356">
        <w:trPr>
          <w:cantSplit/>
          <w:trHeight w:val="450"/>
          <w:jc w:val="center"/>
        </w:trPr>
        <w:tc>
          <w:tcPr>
            <w:tcW w:w="0" w:type="auto"/>
            <w:tcBorders>
              <w:top w:val="nil"/>
              <w:bottom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S22</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sidRPr="001729CF">
              <w:rPr>
                <w:rFonts w:cs="Arial"/>
                <w:color w:val="000000"/>
                <w:sz w:val="18"/>
                <w:szCs w:val="18"/>
                <w:lang w:eastAsia="en-AU"/>
              </w:rPr>
              <w:t>caretype_adj_privpat_serv</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See definition</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proofErr w:type="gramStart"/>
            <w:r w:rsidRPr="001729CF">
              <w:rPr>
                <w:rFonts w:cs="Arial"/>
                <w:color w:val="000000"/>
                <w:sz w:val="18"/>
                <w:szCs w:val="18"/>
                <w:lang w:eastAsia="en-AU"/>
              </w:rPr>
              <w:t>private</w:t>
            </w:r>
            <w:proofErr w:type="gramEnd"/>
            <w:r w:rsidRPr="001729CF">
              <w:rPr>
                <w:rFonts w:cs="Arial"/>
                <w:color w:val="000000"/>
                <w:sz w:val="18"/>
                <w:szCs w:val="18"/>
                <w:lang w:eastAsia="en-AU"/>
              </w:rPr>
              <w:t xml:space="preserve"> patient service adjustment (care type specific adjustment).</w:t>
            </w:r>
          </w:p>
        </w:tc>
      </w:tr>
      <w:tr w:rsidR="00F51276" w:rsidRPr="00496274" w:rsidTr="00920356">
        <w:trPr>
          <w:cantSplit/>
          <w:trHeight w:val="450"/>
          <w:jc w:val="center"/>
        </w:trPr>
        <w:tc>
          <w:tcPr>
            <w:tcW w:w="0" w:type="auto"/>
            <w:vMerge w:val="restart"/>
            <w:tcBorders>
              <w:top w:val="nil"/>
            </w:tcBorders>
            <w:shd w:val="clear" w:color="auto" w:fill="auto"/>
            <w:vAlign w:val="center"/>
            <w:hideMark/>
          </w:tcPr>
          <w:p w:rsidR="00F51276" w:rsidRPr="001729CF" w:rsidRDefault="00F51276" w:rsidP="00920356">
            <w:pPr>
              <w:tabs>
                <w:tab w:val="left" w:pos="1162"/>
              </w:tabs>
              <w:spacing w:after="0"/>
              <w:rPr>
                <w:rFonts w:cs="Arial"/>
                <w:color w:val="000000"/>
                <w:sz w:val="18"/>
                <w:szCs w:val="18"/>
                <w:lang w:eastAsia="en-AU"/>
              </w:rPr>
            </w:pPr>
          </w:p>
        </w:tc>
        <w:tc>
          <w:tcPr>
            <w:tcW w:w="0" w:type="auto"/>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S23</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sidRPr="001729CF">
              <w:rPr>
                <w:rFonts w:cs="Arial"/>
                <w:color w:val="000000"/>
                <w:sz w:val="18"/>
                <w:szCs w:val="18"/>
                <w:lang w:eastAsia="en-AU"/>
              </w:rPr>
              <w:t>state_adj_privpat_accomm_sd</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See definition</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proofErr w:type="gramStart"/>
            <w:r w:rsidRPr="001729CF">
              <w:rPr>
                <w:rFonts w:cs="Arial"/>
                <w:color w:val="000000"/>
                <w:sz w:val="18"/>
                <w:szCs w:val="18"/>
                <w:lang w:eastAsia="en-AU"/>
              </w:rPr>
              <w:t>private</w:t>
            </w:r>
            <w:proofErr w:type="gramEnd"/>
            <w:r w:rsidRPr="001729CF">
              <w:rPr>
                <w:rFonts w:cs="Arial"/>
                <w:color w:val="000000"/>
                <w:sz w:val="18"/>
                <w:szCs w:val="18"/>
                <w:lang w:eastAsia="en-AU"/>
              </w:rPr>
              <w:t xml:space="preserve"> patient accommodation adjustment: same-day rate (state-specific adjustment).</w:t>
            </w:r>
          </w:p>
        </w:tc>
      </w:tr>
      <w:tr w:rsidR="00F51276" w:rsidRPr="00496274" w:rsidTr="00920356">
        <w:trPr>
          <w:cantSplit/>
          <w:trHeight w:val="450"/>
          <w:jc w:val="center"/>
        </w:trPr>
        <w:tc>
          <w:tcPr>
            <w:tcW w:w="0" w:type="auto"/>
            <w:vMerge/>
            <w:tcBorders>
              <w:bottom w:val="single" w:sz="4" w:space="0" w:color="auto"/>
            </w:tcBorders>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p>
        </w:tc>
        <w:tc>
          <w:tcPr>
            <w:tcW w:w="0" w:type="auto"/>
            <w:tcBorders>
              <w:bottom w:val="single" w:sz="4" w:space="0" w:color="auto"/>
            </w:tcBorders>
            <w:shd w:val="clear" w:color="auto" w:fill="auto"/>
            <w:noWrap/>
            <w:hideMark/>
          </w:tcPr>
          <w:p w:rsidR="00F51276" w:rsidRPr="001729CF" w:rsidRDefault="00F51276" w:rsidP="00920356">
            <w:pPr>
              <w:tabs>
                <w:tab w:val="left" w:pos="1162"/>
              </w:tabs>
              <w:spacing w:after="0"/>
              <w:jc w:val="center"/>
              <w:rPr>
                <w:rFonts w:cs="Arial"/>
                <w:color w:val="000000"/>
                <w:sz w:val="18"/>
                <w:szCs w:val="18"/>
                <w:lang w:eastAsia="en-AU"/>
              </w:rPr>
            </w:pPr>
            <w:r w:rsidRPr="001729CF">
              <w:rPr>
                <w:rFonts w:cs="Arial"/>
                <w:color w:val="000000"/>
                <w:sz w:val="18"/>
                <w:szCs w:val="18"/>
                <w:lang w:eastAsia="en-AU"/>
              </w:rPr>
              <w:t>S2</w:t>
            </w:r>
            <w:r>
              <w:rPr>
                <w:rFonts w:cs="Arial"/>
                <w:color w:val="000000"/>
                <w:sz w:val="18"/>
                <w:szCs w:val="18"/>
                <w:lang w:eastAsia="en-AU"/>
              </w:rPr>
              <w:t>4</w:t>
            </w:r>
          </w:p>
        </w:tc>
        <w:tc>
          <w:tcPr>
            <w:tcW w:w="0" w:type="auto"/>
            <w:shd w:val="clear" w:color="auto" w:fill="auto"/>
            <w:noWrap/>
            <w:hideMark/>
          </w:tcPr>
          <w:p w:rsidR="00F51276" w:rsidRPr="001729CF" w:rsidRDefault="00F51276" w:rsidP="00920356">
            <w:pPr>
              <w:tabs>
                <w:tab w:val="left" w:pos="1162"/>
              </w:tabs>
              <w:spacing w:after="0"/>
              <w:rPr>
                <w:rFonts w:cs="Arial"/>
                <w:color w:val="000000"/>
                <w:sz w:val="18"/>
                <w:szCs w:val="18"/>
                <w:lang w:eastAsia="en-AU"/>
              </w:rPr>
            </w:pPr>
            <w:proofErr w:type="spellStart"/>
            <w:r w:rsidRPr="001729CF">
              <w:rPr>
                <w:rFonts w:cs="Arial"/>
                <w:color w:val="000000"/>
                <w:sz w:val="18"/>
                <w:szCs w:val="18"/>
                <w:lang w:eastAsia="en-AU"/>
              </w:rPr>
              <w:t>state_adj_privpat_accomm_on</w:t>
            </w:r>
            <w:proofErr w:type="spellEnd"/>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r w:rsidRPr="001729CF">
              <w:rPr>
                <w:rFonts w:cs="Arial"/>
                <w:color w:val="000000"/>
                <w:sz w:val="18"/>
                <w:szCs w:val="18"/>
                <w:lang w:eastAsia="en-AU"/>
              </w:rPr>
              <w:t>See definition</w:t>
            </w:r>
          </w:p>
        </w:tc>
        <w:tc>
          <w:tcPr>
            <w:tcW w:w="0" w:type="auto"/>
            <w:shd w:val="clear" w:color="auto" w:fill="auto"/>
            <w:hideMark/>
          </w:tcPr>
          <w:p w:rsidR="00F51276" w:rsidRPr="001729CF" w:rsidRDefault="00F51276" w:rsidP="00920356">
            <w:pPr>
              <w:tabs>
                <w:tab w:val="left" w:pos="1162"/>
              </w:tabs>
              <w:spacing w:after="0"/>
              <w:rPr>
                <w:rFonts w:cs="Arial"/>
                <w:color w:val="000000"/>
                <w:sz w:val="18"/>
                <w:szCs w:val="18"/>
                <w:lang w:eastAsia="en-AU"/>
              </w:rPr>
            </w:pPr>
            <w:proofErr w:type="gramStart"/>
            <w:r w:rsidRPr="001729CF">
              <w:rPr>
                <w:rFonts w:cs="Arial"/>
                <w:color w:val="000000"/>
                <w:sz w:val="18"/>
                <w:szCs w:val="18"/>
                <w:lang w:eastAsia="en-AU"/>
              </w:rPr>
              <w:t>private</w:t>
            </w:r>
            <w:proofErr w:type="gramEnd"/>
            <w:r w:rsidRPr="001729CF">
              <w:rPr>
                <w:rFonts w:cs="Arial"/>
                <w:color w:val="000000"/>
                <w:sz w:val="18"/>
                <w:szCs w:val="18"/>
                <w:lang w:eastAsia="en-AU"/>
              </w:rPr>
              <w:t xml:space="preserve"> patient accommodation adjustment: overnight per diem rate (state-specific adjustment).</w:t>
            </w:r>
          </w:p>
        </w:tc>
      </w:tr>
      <w:tr w:rsidR="00F51276" w:rsidRPr="00496274" w:rsidTr="00920356">
        <w:trPr>
          <w:cantSplit/>
          <w:trHeight w:val="450"/>
          <w:jc w:val="center"/>
        </w:trPr>
        <w:tc>
          <w:tcPr>
            <w:tcW w:w="0" w:type="auto"/>
            <w:tcBorders>
              <w:top w:val="single" w:sz="4" w:space="0" w:color="auto"/>
              <w:bottom w:val="single" w:sz="4" w:space="0" w:color="auto"/>
            </w:tcBorders>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Step 4</w:t>
            </w:r>
          </w:p>
        </w:tc>
        <w:tc>
          <w:tcPr>
            <w:tcW w:w="0" w:type="auto"/>
            <w:tcBorders>
              <w:top w:val="single" w:sz="4" w:space="0" w:color="auto"/>
              <w:bottom w:val="single" w:sz="4" w:space="0" w:color="auto"/>
            </w:tcBorders>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S25</w:t>
            </w:r>
          </w:p>
        </w:tc>
        <w:tc>
          <w:tcPr>
            <w:tcW w:w="0" w:type="auto"/>
            <w:shd w:val="clear" w:color="auto" w:fill="auto"/>
            <w:noWrap/>
          </w:tcPr>
          <w:p w:rsidR="00F51276" w:rsidRPr="001729CF" w:rsidRDefault="00F51276" w:rsidP="00920356">
            <w:pPr>
              <w:tabs>
                <w:tab w:val="left" w:pos="1162"/>
              </w:tabs>
              <w:spacing w:after="0"/>
              <w:rPr>
                <w:rFonts w:cs="Arial"/>
                <w:color w:val="000000"/>
                <w:sz w:val="18"/>
                <w:szCs w:val="18"/>
                <w:lang w:eastAsia="en-AU"/>
              </w:rPr>
            </w:pPr>
            <w:proofErr w:type="spellStart"/>
            <w:r>
              <w:rPr>
                <w:rFonts w:cs="Arial"/>
                <w:color w:val="000000"/>
                <w:sz w:val="18"/>
                <w:szCs w:val="18"/>
                <w:lang w:eastAsia="en-AU"/>
              </w:rPr>
              <w:t>Error_code</w:t>
            </w:r>
            <w:proofErr w:type="spellEnd"/>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See definition</w:t>
            </w:r>
          </w:p>
        </w:tc>
        <w:tc>
          <w:tcPr>
            <w:tcW w:w="0" w:type="auto"/>
            <w:shd w:val="clear" w:color="auto" w:fill="auto"/>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Outlines Errors in calculations</w:t>
            </w:r>
          </w:p>
        </w:tc>
      </w:tr>
      <w:tr w:rsidR="00F51276" w:rsidRPr="00496274" w:rsidTr="00920356">
        <w:trPr>
          <w:cantSplit/>
          <w:trHeight w:val="450"/>
          <w:jc w:val="center"/>
        </w:trPr>
        <w:tc>
          <w:tcPr>
            <w:tcW w:w="0" w:type="auto"/>
            <w:tcBorders>
              <w:top w:val="single" w:sz="4" w:space="0" w:color="auto"/>
              <w:bottom w:val="single" w:sz="4" w:space="0" w:color="auto"/>
            </w:tcBorders>
            <w:hideMark/>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Step 5</w:t>
            </w:r>
          </w:p>
        </w:tc>
        <w:tc>
          <w:tcPr>
            <w:tcW w:w="0" w:type="auto"/>
            <w:tcBorders>
              <w:top w:val="single" w:sz="4" w:space="0" w:color="auto"/>
              <w:bottom w:val="single" w:sz="4" w:space="0" w:color="auto"/>
            </w:tcBorders>
            <w:shd w:val="clear" w:color="auto" w:fill="auto"/>
            <w:noWrap/>
          </w:tcPr>
          <w:p w:rsidR="00F51276" w:rsidRPr="001729CF" w:rsidRDefault="00F51276" w:rsidP="00920356">
            <w:pPr>
              <w:tabs>
                <w:tab w:val="left" w:pos="1162"/>
              </w:tabs>
              <w:spacing w:after="0"/>
              <w:jc w:val="center"/>
              <w:rPr>
                <w:rFonts w:cs="Arial"/>
                <w:color w:val="000000"/>
                <w:sz w:val="18"/>
                <w:szCs w:val="18"/>
                <w:lang w:eastAsia="en-AU"/>
              </w:rPr>
            </w:pPr>
            <w:r>
              <w:rPr>
                <w:rFonts w:cs="Arial"/>
                <w:color w:val="000000"/>
                <w:sz w:val="18"/>
                <w:szCs w:val="18"/>
                <w:lang w:eastAsia="en-AU"/>
              </w:rPr>
              <w:t>S26</w:t>
            </w:r>
          </w:p>
        </w:tc>
        <w:tc>
          <w:tcPr>
            <w:tcW w:w="0" w:type="auto"/>
            <w:tcBorders>
              <w:bottom w:val="single" w:sz="4" w:space="0" w:color="auto"/>
            </w:tcBorders>
            <w:shd w:val="clear" w:color="auto" w:fill="auto"/>
            <w:noWrap/>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_</w:t>
            </w:r>
            <w:proofErr w:type="spellStart"/>
            <w:r>
              <w:rPr>
                <w:rFonts w:cs="Arial"/>
                <w:color w:val="000000"/>
                <w:sz w:val="18"/>
                <w:szCs w:val="18"/>
                <w:lang w:eastAsia="en-AU"/>
              </w:rPr>
              <w:t>pat_separation_category</w:t>
            </w:r>
            <w:proofErr w:type="spellEnd"/>
          </w:p>
        </w:tc>
        <w:tc>
          <w:tcPr>
            <w:tcW w:w="0" w:type="auto"/>
            <w:tcBorders>
              <w:bottom w:val="single" w:sz="4" w:space="0" w:color="auto"/>
            </w:tcBorders>
            <w:shd w:val="clear" w:color="auto" w:fill="auto"/>
          </w:tcPr>
          <w:p w:rsidR="00F51276" w:rsidRPr="001729CF"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See definition</w:t>
            </w:r>
          </w:p>
        </w:tc>
        <w:tc>
          <w:tcPr>
            <w:tcW w:w="0" w:type="auto"/>
            <w:tcBorders>
              <w:bottom w:val="single" w:sz="4" w:space="0" w:color="auto"/>
            </w:tcBorders>
            <w:shd w:val="clear" w:color="auto" w:fill="auto"/>
          </w:tcPr>
          <w:p w:rsidR="00F51276"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 xml:space="preserve">Patient separation category: </w:t>
            </w:r>
          </w:p>
          <w:p w:rsidR="00F51276"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0:</w:t>
            </w:r>
            <w:r w:rsidRPr="00F60424">
              <w:rPr>
                <w:rFonts w:cs="Arial"/>
                <w:color w:val="000000"/>
                <w:sz w:val="18"/>
                <w:szCs w:val="18"/>
                <w:lang w:eastAsia="en-AU"/>
              </w:rPr>
              <w:t xml:space="preserve"> </w:t>
            </w:r>
            <w:r>
              <w:rPr>
                <w:rFonts w:cs="Arial"/>
                <w:color w:val="000000"/>
                <w:sz w:val="18"/>
                <w:szCs w:val="18"/>
                <w:lang w:eastAsia="en-AU"/>
              </w:rPr>
              <w:t>Valid Paediatric patients</w:t>
            </w:r>
          </w:p>
          <w:p w:rsidR="00F51276" w:rsidRPr="00F60424" w:rsidRDefault="00F51276" w:rsidP="00920356">
            <w:pPr>
              <w:tabs>
                <w:tab w:val="left" w:pos="1162"/>
              </w:tabs>
              <w:spacing w:after="0"/>
              <w:rPr>
                <w:rFonts w:cs="Arial"/>
                <w:color w:val="000000"/>
                <w:sz w:val="18"/>
                <w:szCs w:val="18"/>
                <w:lang w:eastAsia="en-AU"/>
              </w:rPr>
            </w:pPr>
            <w:r>
              <w:rPr>
                <w:rFonts w:cs="Arial"/>
                <w:color w:val="000000"/>
                <w:sz w:val="18"/>
                <w:szCs w:val="18"/>
                <w:lang w:eastAsia="en-AU"/>
              </w:rPr>
              <w:t>1: Same day patients</w:t>
            </w:r>
          </w:p>
          <w:p w:rsidR="00F51276" w:rsidRDefault="00F51276" w:rsidP="00920356">
            <w:pPr>
              <w:tabs>
                <w:tab w:val="left" w:pos="1162"/>
              </w:tabs>
              <w:spacing w:after="0"/>
              <w:rPr>
                <w:rFonts w:cs="Arial"/>
                <w:color w:val="000000"/>
                <w:sz w:val="18"/>
                <w:szCs w:val="18"/>
                <w:lang w:eastAsia="en-AU"/>
              </w:rPr>
            </w:pPr>
            <w:r w:rsidRPr="00F60424">
              <w:rPr>
                <w:rFonts w:cs="Arial"/>
                <w:color w:val="000000"/>
                <w:sz w:val="18"/>
                <w:szCs w:val="18"/>
                <w:lang w:eastAsia="en-AU"/>
              </w:rPr>
              <w:t>2</w:t>
            </w:r>
            <w:r>
              <w:rPr>
                <w:rFonts w:cs="Arial"/>
                <w:color w:val="000000"/>
                <w:sz w:val="18"/>
                <w:szCs w:val="18"/>
                <w:lang w:eastAsia="en-AU"/>
              </w:rPr>
              <w:t>:</w:t>
            </w:r>
            <w:r w:rsidRPr="00F60424">
              <w:rPr>
                <w:rFonts w:cs="Arial"/>
                <w:color w:val="000000"/>
                <w:sz w:val="18"/>
                <w:szCs w:val="18"/>
                <w:lang w:eastAsia="en-AU"/>
              </w:rPr>
              <w:t xml:space="preserve"> </w:t>
            </w:r>
            <w:r>
              <w:rPr>
                <w:rFonts w:cs="Arial"/>
                <w:color w:val="000000"/>
                <w:sz w:val="18"/>
                <w:szCs w:val="18"/>
                <w:lang w:eastAsia="en-AU"/>
              </w:rPr>
              <w:t xml:space="preserve">Short Stay outlier patients </w:t>
            </w:r>
          </w:p>
          <w:p w:rsidR="00F51276" w:rsidRPr="00F60424" w:rsidRDefault="00F51276" w:rsidP="00920356">
            <w:pPr>
              <w:tabs>
                <w:tab w:val="left" w:pos="1162"/>
              </w:tabs>
              <w:spacing w:after="0"/>
              <w:rPr>
                <w:rFonts w:cs="Arial"/>
                <w:color w:val="000000"/>
                <w:sz w:val="18"/>
                <w:szCs w:val="18"/>
                <w:lang w:eastAsia="en-AU"/>
              </w:rPr>
            </w:pPr>
            <w:r w:rsidRPr="00F60424">
              <w:rPr>
                <w:rFonts w:cs="Arial"/>
                <w:color w:val="000000"/>
                <w:sz w:val="18"/>
                <w:szCs w:val="18"/>
                <w:lang w:eastAsia="en-AU"/>
              </w:rPr>
              <w:t>3</w:t>
            </w:r>
            <w:r>
              <w:rPr>
                <w:rFonts w:cs="Arial"/>
                <w:color w:val="000000"/>
                <w:sz w:val="18"/>
                <w:szCs w:val="18"/>
                <w:lang w:eastAsia="en-AU"/>
              </w:rPr>
              <w:t>:</w:t>
            </w:r>
            <w:r w:rsidRPr="00F60424">
              <w:rPr>
                <w:rFonts w:cs="Arial"/>
                <w:color w:val="000000"/>
                <w:sz w:val="18"/>
                <w:szCs w:val="18"/>
                <w:lang w:eastAsia="en-AU"/>
              </w:rPr>
              <w:t xml:space="preserve"> Inlier patients</w:t>
            </w:r>
          </w:p>
          <w:p w:rsidR="00F51276" w:rsidRPr="001729CF" w:rsidRDefault="00F51276" w:rsidP="00920356">
            <w:pPr>
              <w:tabs>
                <w:tab w:val="left" w:pos="1162"/>
              </w:tabs>
              <w:spacing w:after="0"/>
              <w:rPr>
                <w:rFonts w:cs="Arial"/>
                <w:color w:val="000000"/>
                <w:sz w:val="18"/>
                <w:szCs w:val="18"/>
                <w:lang w:eastAsia="en-AU"/>
              </w:rPr>
            </w:pPr>
            <w:r w:rsidRPr="00F60424">
              <w:rPr>
                <w:rFonts w:cs="Arial"/>
                <w:color w:val="000000"/>
                <w:sz w:val="18"/>
                <w:szCs w:val="18"/>
                <w:lang w:eastAsia="en-AU"/>
              </w:rPr>
              <w:t>4</w:t>
            </w:r>
            <w:r>
              <w:rPr>
                <w:rFonts w:cs="Arial"/>
                <w:color w:val="000000"/>
                <w:sz w:val="18"/>
                <w:szCs w:val="18"/>
                <w:lang w:eastAsia="en-AU"/>
              </w:rPr>
              <w:t>:</w:t>
            </w:r>
            <w:r w:rsidRPr="00F60424">
              <w:rPr>
                <w:rFonts w:cs="Arial"/>
                <w:color w:val="000000"/>
                <w:sz w:val="18"/>
                <w:szCs w:val="18"/>
                <w:lang w:eastAsia="en-AU"/>
              </w:rPr>
              <w:t xml:space="preserve"> Long stay outlier patients </w:t>
            </w:r>
          </w:p>
        </w:tc>
      </w:tr>
    </w:tbl>
    <w:p w:rsidR="00F51276" w:rsidRDefault="00F51276" w:rsidP="00F51276">
      <w:pPr>
        <w:tabs>
          <w:tab w:val="left" w:pos="1162"/>
        </w:tabs>
        <w:rPr>
          <w:szCs w:val="20"/>
        </w:rPr>
        <w:sectPr w:rsidR="00F51276" w:rsidSect="002049EC">
          <w:pgSz w:w="16839" w:h="11907" w:orient="landscape" w:code="9"/>
          <w:pgMar w:top="851" w:right="1440" w:bottom="1135" w:left="1440" w:header="709" w:footer="709" w:gutter="0"/>
          <w:cols w:space="708"/>
          <w:docGrid w:linePitch="360"/>
        </w:sectPr>
      </w:pPr>
    </w:p>
    <w:p w:rsidR="00F51276" w:rsidRPr="0038153A" w:rsidRDefault="00F51276" w:rsidP="00F51276">
      <w:pPr>
        <w:pStyle w:val="Heading3"/>
        <w:keepLines w:val="0"/>
        <w:numPr>
          <w:ilvl w:val="2"/>
          <w:numId w:val="35"/>
        </w:numPr>
        <w:tabs>
          <w:tab w:val="left" w:pos="1162"/>
        </w:tabs>
        <w:spacing w:before="240" w:after="120"/>
      </w:pPr>
      <w:bookmarkStart w:id="228" w:name="_Toc380754749"/>
      <w:bookmarkStart w:id="229" w:name="_Toc412550756"/>
      <w:r w:rsidRPr="0038153A">
        <w:lastRenderedPageBreak/>
        <w:t>Calculation of NWAU</w:t>
      </w:r>
      <w:bookmarkEnd w:id="228"/>
      <w:bookmarkEnd w:id="229"/>
    </w:p>
    <w:p w:rsidR="00F51276" w:rsidRPr="0038153A" w:rsidRDefault="00F51276" w:rsidP="00F51276">
      <w:pPr>
        <w:tabs>
          <w:tab w:val="left" w:pos="1162"/>
        </w:tabs>
        <w:rPr>
          <w:rFonts w:cs="Arial"/>
          <w:szCs w:val="20"/>
        </w:rPr>
      </w:pPr>
      <w:r w:rsidRPr="0038153A">
        <w:rPr>
          <w:rFonts w:cs="Arial"/>
          <w:szCs w:val="20"/>
        </w:rPr>
        <w:t>The NWAU calculation stage is illustrated in</w:t>
      </w:r>
      <w:r>
        <w:rPr>
          <w:rFonts w:cs="Arial"/>
          <w:szCs w:val="20"/>
        </w:rPr>
        <w:t xml:space="preserve"> Figure </w:t>
      </w:r>
      <w:r w:rsidR="006D7C24">
        <w:rPr>
          <w:rFonts w:cs="Arial"/>
          <w:szCs w:val="20"/>
        </w:rPr>
        <w:t>8</w:t>
      </w:r>
      <w:r>
        <w:rPr>
          <w:rFonts w:cs="Arial"/>
          <w:szCs w:val="20"/>
        </w:rPr>
        <w:t xml:space="preserve"> and is performed in Step 6.</w:t>
      </w:r>
      <w:r w:rsidRPr="0038153A">
        <w:rPr>
          <w:rFonts w:cs="Arial"/>
          <w:szCs w:val="20"/>
        </w:rPr>
        <w:t xml:space="preserve"> </w:t>
      </w:r>
    </w:p>
    <w:p w:rsidR="00F51276" w:rsidRDefault="00F51276" w:rsidP="00F51276">
      <w:pPr>
        <w:tabs>
          <w:tab w:val="left" w:pos="1162"/>
        </w:tabs>
        <w:spacing w:after="360"/>
        <w:rPr>
          <w:rFonts w:cs="Arial"/>
          <w:szCs w:val="20"/>
        </w:rPr>
      </w:pPr>
      <w:r>
        <w:rPr>
          <w:rFonts w:cs="Arial"/>
          <w:szCs w:val="20"/>
        </w:rPr>
        <w:t xml:space="preserve">Table </w:t>
      </w:r>
      <w:r w:rsidR="00693CC5">
        <w:rPr>
          <w:rFonts w:cs="Arial"/>
          <w:szCs w:val="20"/>
        </w:rPr>
        <w:t xml:space="preserve">13 </w:t>
      </w:r>
      <w:r w:rsidRPr="0038153A">
        <w:rPr>
          <w:rFonts w:cs="Arial"/>
          <w:szCs w:val="20"/>
        </w:rPr>
        <w:t xml:space="preserve">details the variables created in each of the steps, with the last step (Step 19) resulting in a variable containing the </w:t>
      </w:r>
      <w:r>
        <w:rPr>
          <w:rFonts w:cs="Arial"/>
          <w:szCs w:val="20"/>
        </w:rPr>
        <w:t>2015-16</w:t>
      </w:r>
      <w:r w:rsidRPr="0038153A">
        <w:rPr>
          <w:rFonts w:cs="Arial"/>
          <w:szCs w:val="20"/>
        </w:rPr>
        <w:t xml:space="preserve"> NWAU.</w:t>
      </w:r>
    </w:p>
    <w:p w:rsidR="00F51276" w:rsidRDefault="00F51276">
      <w:pPr>
        <w:pStyle w:val="table"/>
      </w:pPr>
      <w:bookmarkStart w:id="230" w:name="_Ref342309131"/>
      <w:r>
        <w:t>Figure</w:t>
      </w:r>
      <w:bookmarkEnd w:id="230"/>
      <w:r>
        <w:t xml:space="preserve"> </w:t>
      </w:r>
      <w:r w:rsidR="006D7C24">
        <w:t>8</w:t>
      </w:r>
      <w:r>
        <w:t xml:space="preserve">: </w:t>
      </w:r>
      <w:r w:rsidRPr="00FB4FC8">
        <w:t xml:space="preserve">Assigning NWAU to subacute and non-acute admitted patient data – </w:t>
      </w:r>
      <w:r>
        <w:t xml:space="preserve">Stage 2 </w:t>
      </w:r>
      <w:r>
        <w:noBreakHyphen/>
      </w:r>
      <w:r w:rsidRPr="00FB4FC8">
        <w:t xml:space="preserve"> NWAU calculation</w:t>
      </w:r>
    </w:p>
    <w:p w:rsidR="00F51276" w:rsidRDefault="00F51276" w:rsidP="00F51276">
      <w:pPr>
        <w:tabs>
          <w:tab w:val="left" w:pos="1162"/>
        </w:tabs>
        <w:jc w:val="center"/>
      </w:pPr>
      <w:r>
        <w:rPr>
          <w:noProof/>
          <w:lang w:eastAsia="en-AU"/>
        </w:rPr>
        <w:drawing>
          <wp:inline distT="0" distB="0" distL="0" distR="0" wp14:anchorId="08E94BE9" wp14:editId="7911CEF5">
            <wp:extent cx="4346369" cy="2741502"/>
            <wp:effectExtent l="19050" t="19050" r="16510" b="20955"/>
            <wp:docPr id="148" name="Picture 148" descr="Figure eight is a flow chart assigning National Weighted Activity Unit (NWAU) to subacute non-acute admitted patient data, stage two, National Weighted Activity Unit (NWAU) calculation. &#10;&#10;The chart provides two paths. &#10;&#10;First path: &#10;First tier: Prepared subacute and non-acute Australian National Subacute And Non-Acute Patient (AN-SNAP) dataset. &#10;Step twelve: Create variable S38. &#10;&#10;Second path: &#10;First tier: Prepared subacute and non-acute care type dataset. &#10;Step 13: Create variable S39. &#10;&#10;Begin one path. &#10;Step 14: Append/combine datasets. &#10;Create 15: Create variable S40. &#10;Step 16: Create variable S41. &#10;Step 17: Create variable S42. &#10;Step 18: Create variable S43. &#10;Step 19: Create variable S44. &#10;Final tier: Subacute and non-acute dataset with 2014-15 National Weighted Activity Unit (NW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5666" cy="2759981"/>
                    </a:xfrm>
                    <a:prstGeom prst="rect">
                      <a:avLst/>
                    </a:prstGeom>
                    <a:noFill/>
                    <a:ln>
                      <a:solidFill>
                        <a:schemeClr val="accent1"/>
                      </a:solidFill>
                    </a:ln>
                  </pic:spPr>
                </pic:pic>
              </a:graphicData>
            </a:graphic>
          </wp:inline>
        </w:drawing>
      </w:r>
    </w:p>
    <w:p w:rsidR="00F51276" w:rsidRDefault="00F51276" w:rsidP="00F51276">
      <w:pPr>
        <w:tabs>
          <w:tab w:val="left" w:pos="1162"/>
        </w:tabs>
      </w:pPr>
    </w:p>
    <w:p w:rsidR="00F51276" w:rsidRDefault="00F51276" w:rsidP="00F51276">
      <w:pPr>
        <w:tabs>
          <w:tab w:val="left" w:pos="1162"/>
        </w:tabs>
        <w:sectPr w:rsidR="00F51276" w:rsidSect="002049EC">
          <w:type w:val="continuous"/>
          <w:pgSz w:w="11907" w:h="16839" w:code="9"/>
          <w:pgMar w:top="1440" w:right="1440" w:bottom="1440" w:left="1440" w:header="709" w:footer="709" w:gutter="0"/>
          <w:cols w:space="708"/>
          <w:docGrid w:linePitch="360"/>
        </w:sectPr>
      </w:pPr>
    </w:p>
    <w:p w:rsidR="00F51276" w:rsidRDefault="00F51276">
      <w:pPr>
        <w:pStyle w:val="table"/>
      </w:pPr>
      <w:bookmarkStart w:id="231" w:name="_Ref342308624"/>
      <w:r>
        <w:lastRenderedPageBreak/>
        <w:t xml:space="preserve">Table </w:t>
      </w:r>
      <w:bookmarkEnd w:id="231"/>
      <w:r>
        <w:t>1</w:t>
      </w:r>
      <w:r w:rsidR="00693CC5">
        <w:t>3</w:t>
      </w:r>
      <w:r>
        <w:t xml:space="preserve">: </w:t>
      </w:r>
      <w:r w:rsidRPr="00596E4A">
        <w:t>Assigning NWAU to subacute and non-acute admitted patient data – Stage 2 – NWAU calculation – variable definitions</w:t>
      </w: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Description w:val="Table 16 outlines how stage 2 National Weighted Activity Unit (NWAU) calculation is assigned to NWAU to subacute and non-acute admitted patient data. "/>
      </w:tblPr>
      <w:tblGrid>
        <w:gridCol w:w="776"/>
        <w:gridCol w:w="761"/>
        <w:gridCol w:w="2115"/>
        <w:gridCol w:w="4253"/>
        <w:gridCol w:w="6270"/>
      </w:tblGrid>
      <w:tr w:rsidR="00F51276" w:rsidRPr="00A13645" w:rsidTr="00920356">
        <w:trPr>
          <w:cantSplit/>
          <w:trHeight w:val="225"/>
          <w:tblHeader/>
        </w:trPr>
        <w:tc>
          <w:tcPr>
            <w:tcW w:w="776" w:type="dxa"/>
            <w:tcBorders>
              <w:bottom w:val="single" w:sz="4" w:space="0" w:color="595959" w:themeColor="text1" w:themeTint="A6"/>
            </w:tcBorders>
            <w:shd w:val="clear" w:color="auto" w:fill="BFBFBF" w:themeFill="background1" w:themeFillShade="BF"/>
            <w:noWrap/>
            <w:hideMark/>
          </w:tcPr>
          <w:p w:rsidR="00F51276" w:rsidRPr="00D873B6" w:rsidRDefault="00F51276" w:rsidP="00920356">
            <w:pPr>
              <w:tabs>
                <w:tab w:val="left" w:pos="1162"/>
              </w:tabs>
              <w:spacing w:before="80" w:after="80"/>
              <w:rPr>
                <w:rFonts w:cs="Arial"/>
                <w:b/>
                <w:bCs/>
                <w:color w:val="000000"/>
                <w:sz w:val="18"/>
                <w:szCs w:val="18"/>
                <w:lang w:eastAsia="en-AU"/>
              </w:rPr>
            </w:pPr>
            <w:r w:rsidRPr="00D873B6">
              <w:rPr>
                <w:rFonts w:cs="Arial"/>
                <w:b/>
                <w:bCs/>
                <w:color w:val="000000"/>
                <w:sz w:val="18"/>
                <w:szCs w:val="18"/>
                <w:lang w:eastAsia="en-AU"/>
              </w:rPr>
              <w:t>Step</w:t>
            </w:r>
          </w:p>
        </w:tc>
        <w:tc>
          <w:tcPr>
            <w:tcW w:w="761" w:type="dxa"/>
            <w:shd w:val="clear" w:color="auto" w:fill="BFBFBF" w:themeFill="background1" w:themeFillShade="BF"/>
            <w:noWrap/>
            <w:vAlign w:val="center"/>
            <w:hideMark/>
          </w:tcPr>
          <w:p w:rsidR="00F51276" w:rsidRPr="00D873B6" w:rsidRDefault="00F51276" w:rsidP="00920356">
            <w:pPr>
              <w:tabs>
                <w:tab w:val="left" w:pos="1162"/>
              </w:tabs>
              <w:spacing w:before="80" w:after="80"/>
              <w:jc w:val="center"/>
              <w:rPr>
                <w:rFonts w:cs="Arial"/>
                <w:b/>
                <w:bCs/>
                <w:color w:val="000000"/>
                <w:sz w:val="18"/>
                <w:szCs w:val="18"/>
                <w:lang w:eastAsia="en-AU"/>
              </w:rPr>
            </w:pPr>
            <w:r w:rsidRPr="00D873B6">
              <w:rPr>
                <w:rFonts w:cs="Arial"/>
                <w:b/>
                <w:bCs/>
                <w:color w:val="000000"/>
                <w:sz w:val="18"/>
                <w:szCs w:val="18"/>
                <w:lang w:eastAsia="en-AU"/>
              </w:rPr>
              <w:t>Variable</w:t>
            </w:r>
          </w:p>
        </w:tc>
        <w:tc>
          <w:tcPr>
            <w:tcW w:w="2115" w:type="dxa"/>
            <w:shd w:val="clear" w:color="auto" w:fill="BFBFBF" w:themeFill="background1" w:themeFillShade="BF"/>
            <w:noWrap/>
            <w:vAlign w:val="center"/>
            <w:hideMark/>
          </w:tcPr>
          <w:p w:rsidR="00F51276" w:rsidRPr="00D873B6" w:rsidRDefault="00F51276" w:rsidP="00920356">
            <w:pPr>
              <w:tabs>
                <w:tab w:val="left" w:pos="1162"/>
              </w:tabs>
              <w:spacing w:before="80" w:after="80"/>
              <w:rPr>
                <w:rFonts w:cs="Arial"/>
                <w:b/>
                <w:bCs/>
                <w:color w:val="000000"/>
                <w:sz w:val="18"/>
                <w:szCs w:val="18"/>
                <w:lang w:eastAsia="en-AU"/>
              </w:rPr>
            </w:pPr>
            <w:r w:rsidRPr="00D873B6">
              <w:rPr>
                <w:rFonts w:cs="Arial"/>
                <w:b/>
                <w:bCs/>
                <w:color w:val="000000"/>
                <w:sz w:val="18"/>
                <w:szCs w:val="18"/>
                <w:lang w:eastAsia="en-AU"/>
              </w:rPr>
              <w:t>Name</w:t>
            </w:r>
          </w:p>
        </w:tc>
        <w:tc>
          <w:tcPr>
            <w:tcW w:w="4253" w:type="dxa"/>
            <w:shd w:val="clear" w:color="auto" w:fill="BFBFBF" w:themeFill="background1" w:themeFillShade="BF"/>
            <w:vAlign w:val="center"/>
            <w:hideMark/>
          </w:tcPr>
          <w:p w:rsidR="00F51276" w:rsidRPr="00D873B6" w:rsidRDefault="00F51276" w:rsidP="00920356">
            <w:pPr>
              <w:tabs>
                <w:tab w:val="left" w:pos="1162"/>
              </w:tabs>
              <w:spacing w:before="80" w:after="80"/>
              <w:rPr>
                <w:rFonts w:cs="Arial"/>
                <w:b/>
                <w:bCs/>
                <w:color w:val="000000"/>
                <w:sz w:val="18"/>
                <w:szCs w:val="18"/>
                <w:lang w:eastAsia="en-AU"/>
              </w:rPr>
            </w:pPr>
            <w:r w:rsidRPr="00D873B6">
              <w:rPr>
                <w:rFonts w:cs="Arial"/>
                <w:b/>
                <w:bCs/>
                <w:color w:val="000000"/>
                <w:sz w:val="18"/>
                <w:szCs w:val="18"/>
                <w:lang w:eastAsia="en-AU"/>
              </w:rPr>
              <w:t>Description</w:t>
            </w:r>
          </w:p>
        </w:tc>
        <w:tc>
          <w:tcPr>
            <w:tcW w:w="6270" w:type="dxa"/>
            <w:shd w:val="clear" w:color="auto" w:fill="BFBFBF" w:themeFill="background1" w:themeFillShade="BF"/>
            <w:vAlign w:val="center"/>
            <w:hideMark/>
          </w:tcPr>
          <w:p w:rsidR="00F51276" w:rsidRPr="00D873B6" w:rsidRDefault="00F51276" w:rsidP="00920356">
            <w:pPr>
              <w:tabs>
                <w:tab w:val="left" w:pos="1162"/>
              </w:tabs>
              <w:spacing w:before="80" w:after="80"/>
              <w:rPr>
                <w:rFonts w:cs="Arial"/>
                <w:b/>
                <w:bCs/>
                <w:color w:val="000000"/>
                <w:sz w:val="18"/>
                <w:szCs w:val="18"/>
                <w:lang w:eastAsia="en-AU"/>
              </w:rPr>
            </w:pPr>
            <w:r w:rsidRPr="00D873B6">
              <w:rPr>
                <w:rFonts w:cs="Arial"/>
                <w:b/>
                <w:bCs/>
                <w:color w:val="000000"/>
                <w:sz w:val="18"/>
                <w:szCs w:val="18"/>
                <w:lang w:eastAsia="en-AU"/>
              </w:rPr>
              <w:t>Definition</w:t>
            </w:r>
          </w:p>
        </w:tc>
      </w:tr>
      <w:tr w:rsidR="00F51276" w:rsidRPr="00A13645" w:rsidTr="00920356">
        <w:trPr>
          <w:cantSplit/>
          <w:trHeight w:val="1350"/>
        </w:trPr>
        <w:tc>
          <w:tcPr>
            <w:tcW w:w="776" w:type="dxa"/>
            <w:tcBorders>
              <w:bottom w:val="nil"/>
            </w:tcBorders>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sidRPr="00D873B6">
              <w:rPr>
                <w:rFonts w:cs="Arial"/>
                <w:color w:val="000000"/>
                <w:sz w:val="18"/>
                <w:szCs w:val="18"/>
                <w:lang w:eastAsia="en-AU"/>
              </w:rPr>
              <w:t xml:space="preserve">Step </w:t>
            </w:r>
            <w:r>
              <w:rPr>
                <w:rFonts w:cs="Arial"/>
                <w:color w:val="000000"/>
                <w:sz w:val="18"/>
                <w:szCs w:val="18"/>
                <w:lang w:eastAsia="en-AU"/>
              </w:rPr>
              <w:t>6</w:t>
            </w:r>
          </w:p>
        </w:tc>
        <w:tc>
          <w:tcPr>
            <w:tcW w:w="761" w:type="dxa"/>
            <w:shd w:val="clear" w:color="auto" w:fill="auto"/>
            <w:noWrap/>
            <w:hideMark/>
          </w:tcPr>
          <w:p w:rsidR="00F51276" w:rsidRPr="00D873B6" w:rsidRDefault="00F51276" w:rsidP="00920356">
            <w:pPr>
              <w:tabs>
                <w:tab w:val="left" w:pos="1162"/>
              </w:tabs>
              <w:spacing w:before="80" w:after="80"/>
              <w:jc w:val="center"/>
              <w:rPr>
                <w:rFonts w:cs="Arial"/>
                <w:color w:val="000000"/>
                <w:sz w:val="18"/>
                <w:szCs w:val="18"/>
                <w:lang w:eastAsia="en-AU"/>
              </w:rPr>
            </w:pPr>
            <w:r w:rsidRPr="00D873B6">
              <w:rPr>
                <w:rFonts w:cs="Arial"/>
                <w:color w:val="000000"/>
                <w:sz w:val="18"/>
                <w:szCs w:val="18"/>
                <w:lang w:eastAsia="en-AU"/>
              </w:rPr>
              <w:t>S</w:t>
            </w:r>
            <w:r>
              <w:rPr>
                <w:rFonts w:cs="Arial"/>
                <w:color w:val="000000"/>
                <w:sz w:val="18"/>
                <w:szCs w:val="18"/>
                <w:lang w:eastAsia="en-AU"/>
              </w:rPr>
              <w:t>27</w:t>
            </w:r>
          </w:p>
        </w:tc>
        <w:tc>
          <w:tcPr>
            <w:tcW w:w="2115" w:type="dxa"/>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Pr>
                <w:rFonts w:cs="Arial"/>
                <w:color w:val="000000"/>
                <w:sz w:val="18"/>
                <w:szCs w:val="18"/>
                <w:lang w:eastAsia="en-AU"/>
              </w:rPr>
              <w:t>_</w:t>
            </w:r>
            <w:r w:rsidRPr="00D873B6">
              <w:rPr>
                <w:rFonts w:cs="Arial"/>
                <w:color w:val="000000"/>
                <w:sz w:val="18"/>
                <w:szCs w:val="18"/>
                <w:lang w:eastAsia="en-AU"/>
              </w:rPr>
              <w:t>w01</w:t>
            </w:r>
          </w:p>
        </w:tc>
        <w:tc>
          <w:tcPr>
            <w:tcW w:w="4253" w:type="dxa"/>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sidRPr="00D873B6">
              <w:rPr>
                <w:rFonts w:cs="Arial"/>
                <w:color w:val="000000"/>
                <w:sz w:val="18"/>
                <w:szCs w:val="18"/>
                <w:lang w:eastAsia="en-AU"/>
              </w:rPr>
              <w:t>AN-SNAP inlier/outlier weight</w:t>
            </w:r>
          </w:p>
        </w:tc>
        <w:tc>
          <w:tcPr>
            <w:tcW w:w="6270" w:type="dxa"/>
            <w:shd w:val="clear" w:color="auto" w:fill="auto"/>
            <w:hideMark/>
          </w:tcPr>
          <w:p w:rsidR="00F51276" w:rsidRPr="00FA3851"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Based off _</w:t>
            </w:r>
            <w:proofErr w:type="spellStart"/>
            <w:r w:rsidRPr="00FA3851">
              <w:rPr>
                <w:rFonts w:cs="Arial"/>
                <w:color w:val="000000"/>
                <w:sz w:val="18"/>
                <w:szCs w:val="18"/>
                <w:lang w:eastAsia="en-AU"/>
              </w:rPr>
              <w:t>pat_separation_category</w:t>
            </w:r>
            <w:proofErr w:type="spellEnd"/>
            <w:r w:rsidRPr="00FA3851">
              <w:rPr>
                <w:rFonts w:cs="Arial"/>
                <w:color w:val="000000"/>
                <w:sz w:val="18"/>
                <w:szCs w:val="18"/>
                <w:lang w:eastAsia="en-AU"/>
              </w:rPr>
              <w:t>:</w:t>
            </w:r>
          </w:p>
          <w:p w:rsidR="00F51276" w:rsidRPr="00FA3851"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0: _pat_sameday_flag*paed_pw_sameday+(1-_pat_sameday_flag)*_pat_los*paed_pw_overnight</w:t>
            </w:r>
          </w:p>
          <w:p w:rsidR="00F51276" w:rsidRPr="00FA3851"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 xml:space="preserve">1: </w:t>
            </w:r>
            <w:proofErr w:type="spellStart"/>
            <w:r w:rsidRPr="00FA3851">
              <w:rPr>
                <w:rFonts w:cs="Arial"/>
                <w:color w:val="000000"/>
                <w:sz w:val="18"/>
                <w:szCs w:val="18"/>
                <w:lang w:eastAsia="en-AU"/>
              </w:rPr>
              <w:t>ansnap_pw_sd</w:t>
            </w:r>
            <w:proofErr w:type="spellEnd"/>
          </w:p>
          <w:p w:rsidR="00F51276" w:rsidRPr="00FA3851"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 xml:space="preserve">2: </w:t>
            </w:r>
            <w:proofErr w:type="spellStart"/>
            <w:r w:rsidRPr="00FA3851">
              <w:rPr>
                <w:rFonts w:cs="Arial"/>
                <w:color w:val="000000"/>
                <w:sz w:val="18"/>
                <w:szCs w:val="18"/>
                <w:lang w:eastAsia="en-AU"/>
              </w:rPr>
              <w:t>ansnap_pw_sso_perdiem</w:t>
            </w:r>
            <w:proofErr w:type="spellEnd"/>
            <w:r w:rsidRPr="00FA3851">
              <w:rPr>
                <w:rFonts w:cs="Arial"/>
                <w:color w:val="000000"/>
                <w:sz w:val="18"/>
                <w:szCs w:val="18"/>
                <w:lang w:eastAsia="en-AU"/>
              </w:rPr>
              <w:t xml:space="preserve"> * </w:t>
            </w:r>
            <w:proofErr w:type="spellStart"/>
            <w:r w:rsidRPr="00FA3851">
              <w:rPr>
                <w:rFonts w:cs="Arial"/>
                <w:color w:val="000000"/>
                <w:sz w:val="18"/>
                <w:szCs w:val="18"/>
                <w:lang w:eastAsia="en-AU"/>
              </w:rPr>
              <w:t>pat_los</w:t>
            </w:r>
            <w:proofErr w:type="spellEnd"/>
            <w:r w:rsidRPr="00FA3851">
              <w:rPr>
                <w:rFonts w:cs="Arial"/>
                <w:color w:val="000000"/>
                <w:sz w:val="18"/>
                <w:szCs w:val="18"/>
                <w:lang w:eastAsia="en-AU"/>
              </w:rPr>
              <w:t xml:space="preserve"> </w:t>
            </w:r>
          </w:p>
          <w:p w:rsidR="00F51276" w:rsidRPr="00FA3851"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 xml:space="preserve">3: </w:t>
            </w:r>
            <w:proofErr w:type="spellStart"/>
            <w:r w:rsidRPr="00FA3851">
              <w:rPr>
                <w:rFonts w:cs="Arial"/>
                <w:color w:val="000000"/>
                <w:sz w:val="18"/>
                <w:szCs w:val="18"/>
                <w:lang w:eastAsia="en-AU"/>
              </w:rPr>
              <w:t>ansnap_pw_inlier</w:t>
            </w:r>
            <w:proofErr w:type="spellEnd"/>
          </w:p>
          <w:p w:rsidR="00F51276" w:rsidRPr="00D873B6"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 xml:space="preserve">4: </w:t>
            </w:r>
            <w:proofErr w:type="spellStart"/>
            <w:r w:rsidRPr="00FA3851">
              <w:rPr>
                <w:rFonts w:cs="Arial"/>
                <w:color w:val="000000"/>
                <w:sz w:val="18"/>
                <w:szCs w:val="18"/>
                <w:lang w:eastAsia="en-AU"/>
              </w:rPr>
              <w:t>ansnap_pw_inlier</w:t>
            </w:r>
            <w:proofErr w:type="spellEnd"/>
            <w:r w:rsidRPr="00FA3851">
              <w:rPr>
                <w:rFonts w:cs="Arial"/>
                <w:color w:val="000000"/>
                <w:sz w:val="18"/>
                <w:szCs w:val="18"/>
                <w:lang w:eastAsia="en-AU"/>
              </w:rPr>
              <w:t xml:space="preserve"> + ( </w:t>
            </w:r>
            <w:proofErr w:type="spellStart"/>
            <w:r w:rsidRPr="00FA3851">
              <w:rPr>
                <w:rFonts w:cs="Arial"/>
                <w:color w:val="000000"/>
                <w:sz w:val="18"/>
                <w:szCs w:val="18"/>
                <w:lang w:eastAsia="en-AU"/>
              </w:rPr>
              <w:t>pat_los</w:t>
            </w:r>
            <w:proofErr w:type="spellEnd"/>
            <w:r w:rsidRPr="00FA3851">
              <w:rPr>
                <w:rFonts w:cs="Arial"/>
                <w:color w:val="000000"/>
                <w:sz w:val="18"/>
                <w:szCs w:val="18"/>
                <w:lang w:eastAsia="en-AU"/>
              </w:rPr>
              <w:t xml:space="preserve"> - </w:t>
            </w:r>
            <w:proofErr w:type="spellStart"/>
            <w:r w:rsidRPr="00FA3851">
              <w:rPr>
                <w:rFonts w:cs="Arial"/>
                <w:color w:val="000000"/>
                <w:sz w:val="18"/>
                <w:szCs w:val="18"/>
                <w:lang w:eastAsia="en-AU"/>
              </w:rPr>
              <w:t>ansnap_inlier_ub</w:t>
            </w:r>
            <w:proofErr w:type="spellEnd"/>
            <w:r w:rsidRPr="00FA3851">
              <w:rPr>
                <w:rFonts w:cs="Arial"/>
                <w:color w:val="000000"/>
                <w:sz w:val="18"/>
                <w:szCs w:val="18"/>
                <w:lang w:eastAsia="en-AU"/>
              </w:rPr>
              <w:t xml:space="preserve"> ) * </w:t>
            </w:r>
            <w:proofErr w:type="spellStart"/>
            <w:r w:rsidRPr="00FA3851">
              <w:rPr>
                <w:rFonts w:cs="Arial"/>
                <w:color w:val="000000"/>
                <w:sz w:val="18"/>
                <w:szCs w:val="18"/>
                <w:lang w:eastAsia="en-AU"/>
              </w:rPr>
              <w:t>ansnap_pw_lso_perdiem</w:t>
            </w:r>
            <w:proofErr w:type="spellEnd"/>
          </w:p>
        </w:tc>
      </w:tr>
      <w:tr w:rsidR="00F51276" w:rsidRPr="00A13645" w:rsidTr="00920356">
        <w:trPr>
          <w:cantSplit/>
          <w:trHeight w:val="225"/>
        </w:trPr>
        <w:tc>
          <w:tcPr>
            <w:tcW w:w="776" w:type="dxa"/>
            <w:tcBorders>
              <w:top w:val="nil"/>
              <w:bottom w:val="nil"/>
            </w:tcBorders>
            <w:shd w:val="clear" w:color="auto" w:fill="auto"/>
            <w:noWrap/>
          </w:tcPr>
          <w:p w:rsidR="00F51276" w:rsidRPr="00D873B6" w:rsidRDefault="00F51276" w:rsidP="00920356">
            <w:pPr>
              <w:tabs>
                <w:tab w:val="left" w:pos="1162"/>
              </w:tabs>
              <w:spacing w:before="80" w:after="80"/>
              <w:rPr>
                <w:rFonts w:cs="Arial"/>
                <w:color w:val="000000"/>
                <w:sz w:val="18"/>
                <w:szCs w:val="18"/>
                <w:lang w:eastAsia="en-AU"/>
              </w:rPr>
            </w:pPr>
          </w:p>
        </w:tc>
        <w:tc>
          <w:tcPr>
            <w:tcW w:w="761" w:type="dxa"/>
            <w:shd w:val="clear" w:color="auto" w:fill="auto"/>
            <w:noWrap/>
            <w:hideMark/>
          </w:tcPr>
          <w:p w:rsidR="00F51276" w:rsidRPr="00D873B6" w:rsidRDefault="00F51276" w:rsidP="00920356">
            <w:pPr>
              <w:tabs>
                <w:tab w:val="left" w:pos="1162"/>
              </w:tabs>
              <w:spacing w:before="80" w:after="80"/>
              <w:jc w:val="center"/>
              <w:rPr>
                <w:rFonts w:cs="Arial"/>
                <w:color w:val="000000"/>
                <w:sz w:val="18"/>
                <w:szCs w:val="18"/>
                <w:lang w:eastAsia="en-AU"/>
              </w:rPr>
            </w:pPr>
            <w:r>
              <w:rPr>
                <w:rFonts w:cs="Arial"/>
                <w:color w:val="000000"/>
                <w:sz w:val="18"/>
                <w:szCs w:val="18"/>
                <w:lang w:eastAsia="en-AU"/>
              </w:rPr>
              <w:t>S28</w:t>
            </w:r>
          </w:p>
        </w:tc>
        <w:tc>
          <w:tcPr>
            <w:tcW w:w="2115" w:type="dxa"/>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Pr>
                <w:rFonts w:cs="Arial"/>
                <w:color w:val="000000"/>
                <w:sz w:val="18"/>
                <w:szCs w:val="18"/>
                <w:lang w:eastAsia="en-AU"/>
              </w:rPr>
              <w:t>GWAU15</w:t>
            </w:r>
          </w:p>
        </w:tc>
        <w:tc>
          <w:tcPr>
            <w:tcW w:w="4253" w:type="dxa"/>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Pr>
                <w:rFonts w:cs="Arial"/>
                <w:color w:val="000000"/>
                <w:sz w:val="18"/>
                <w:szCs w:val="18"/>
                <w:lang w:eastAsia="en-AU"/>
              </w:rPr>
              <w:t>Gross weighted activity Unit</w:t>
            </w:r>
          </w:p>
        </w:tc>
        <w:tc>
          <w:tcPr>
            <w:tcW w:w="6270" w:type="dxa"/>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Pr>
                <w:rFonts w:cs="Arial"/>
                <w:color w:val="000000"/>
                <w:sz w:val="18"/>
                <w:szCs w:val="18"/>
                <w:lang w:eastAsia="en-AU"/>
              </w:rPr>
              <w:t>_w01*(1+adj_indigenous+adj_remoteness)</w:t>
            </w:r>
          </w:p>
        </w:tc>
      </w:tr>
      <w:tr w:rsidR="00F51276" w:rsidRPr="00A13645" w:rsidTr="00920356">
        <w:trPr>
          <w:cantSplit/>
          <w:trHeight w:val="450"/>
        </w:trPr>
        <w:tc>
          <w:tcPr>
            <w:tcW w:w="776" w:type="dxa"/>
            <w:tcBorders>
              <w:top w:val="nil"/>
              <w:bottom w:val="nil"/>
            </w:tcBorders>
            <w:shd w:val="clear" w:color="auto" w:fill="auto"/>
            <w:noWrap/>
          </w:tcPr>
          <w:p w:rsidR="00F51276" w:rsidRPr="00D873B6" w:rsidRDefault="00F51276" w:rsidP="00920356">
            <w:pPr>
              <w:tabs>
                <w:tab w:val="left" w:pos="1162"/>
              </w:tabs>
              <w:spacing w:before="80" w:after="80"/>
              <w:rPr>
                <w:rFonts w:cs="Arial"/>
                <w:color w:val="000000"/>
                <w:sz w:val="18"/>
                <w:szCs w:val="18"/>
                <w:lang w:eastAsia="en-AU"/>
              </w:rPr>
            </w:pPr>
          </w:p>
        </w:tc>
        <w:tc>
          <w:tcPr>
            <w:tcW w:w="761" w:type="dxa"/>
            <w:shd w:val="clear" w:color="auto" w:fill="auto"/>
            <w:noWrap/>
            <w:hideMark/>
          </w:tcPr>
          <w:p w:rsidR="00F51276" w:rsidRPr="00D873B6" w:rsidRDefault="00F51276" w:rsidP="00920356">
            <w:pPr>
              <w:tabs>
                <w:tab w:val="left" w:pos="1162"/>
              </w:tabs>
              <w:spacing w:before="80" w:after="80"/>
              <w:jc w:val="center"/>
              <w:rPr>
                <w:rFonts w:cs="Arial"/>
                <w:color w:val="000000"/>
                <w:sz w:val="18"/>
                <w:szCs w:val="18"/>
                <w:lang w:eastAsia="en-AU"/>
              </w:rPr>
            </w:pPr>
            <w:r w:rsidRPr="00D873B6">
              <w:rPr>
                <w:rFonts w:cs="Arial"/>
                <w:color w:val="000000"/>
                <w:sz w:val="18"/>
                <w:szCs w:val="18"/>
                <w:lang w:eastAsia="en-AU"/>
              </w:rPr>
              <w:t>S</w:t>
            </w:r>
            <w:r>
              <w:rPr>
                <w:rFonts w:cs="Arial"/>
                <w:color w:val="000000"/>
                <w:sz w:val="18"/>
                <w:szCs w:val="18"/>
                <w:lang w:eastAsia="en-AU"/>
              </w:rPr>
              <w:t>29</w:t>
            </w:r>
          </w:p>
        </w:tc>
        <w:tc>
          <w:tcPr>
            <w:tcW w:w="2115" w:type="dxa"/>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_</w:t>
            </w:r>
            <w:proofErr w:type="spellStart"/>
            <w:r w:rsidRPr="00FA3851">
              <w:rPr>
                <w:rFonts w:cs="Arial"/>
                <w:color w:val="000000"/>
                <w:sz w:val="18"/>
                <w:szCs w:val="18"/>
                <w:lang w:eastAsia="en-AU"/>
              </w:rPr>
              <w:t>adj_privpat_serv</w:t>
            </w:r>
            <w:proofErr w:type="spellEnd"/>
          </w:p>
        </w:tc>
        <w:tc>
          <w:tcPr>
            <w:tcW w:w="4253" w:type="dxa"/>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Private Patient Service adjustment</w:t>
            </w:r>
          </w:p>
        </w:tc>
        <w:tc>
          <w:tcPr>
            <w:tcW w:w="6270" w:type="dxa"/>
            <w:shd w:val="clear" w:color="auto" w:fill="auto"/>
            <w:hideMark/>
          </w:tcPr>
          <w:p w:rsidR="00F51276" w:rsidRPr="00D873B6"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_</w:t>
            </w:r>
            <w:proofErr w:type="spellStart"/>
            <w:r w:rsidRPr="00FA3851">
              <w:rPr>
                <w:rFonts w:cs="Arial"/>
                <w:color w:val="000000"/>
                <w:sz w:val="18"/>
                <w:szCs w:val="18"/>
                <w:lang w:eastAsia="en-AU"/>
              </w:rPr>
              <w:t>pat_private_flag</w:t>
            </w:r>
            <w:proofErr w:type="spellEnd"/>
            <w:r w:rsidRPr="00FA3851">
              <w:rPr>
                <w:rFonts w:cs="Arial"/>
                <w:color w:val="000000"/>
                <w:sz w:val="18"/>
                <w:szCs w:val="18"/>
                <w:lang w:eastAsia="en-AU"/>
              </w:rPr>
              <w:t xml:space="preserve"> *</w:t>
            </w:r>
            <w:proofErr w:type="spellStart"/>
            <w:r w:rsidRPr="001729CF">
              <w:rPr>
                <w:rFonts w:cs="Arial"/>
                <w:color w:val="000000"/>
                <w:sz w:val="18"/>
                <w:szCs w:val="18"/>
                <w:lang w:eastAsia="en-AU"/>
              </w:rPr>
              <w:t>caretype_adj_privpat_serv</w:t>
            </w:r>
            <w:proofErr w:type="spellEnd"/>
            <w:r w:rsidRPr="00FA3851">
              <w:rPr>
                <w:rFonts w:cs="Arial"/>
                <w:color w:val="000000"/>
                <w:sz w:val="18"/>
                <w:szCs w:val="18"/>
                <w:lang w:eastAsia="en-AU"/>
              </w:rPr>
              <w:t>*(_w01)</w:t>
            </w:r>
            <w:r w:rsidRPr="00FA3851" w:rsidDel="00712BAD">
              <w:rPr>
                <w:rFonts w:cs="Arial"/>
                <w:color w:val="000000"/>
                <w:sz w:val="18"/>
                <w:szCs w:val="18"/>
                <w:lang w:eastAsia="en-AU"/>
              </w:rPr>
              <w:t xml:space="preserve"> </w:t>
            </w:r>
          </w:p>
        </w:tc>
      </w:tr>
      <w:tr w:rsidR="00F51276" w:rsidRPr="00A13645" w:rsidTr="00920356">
        <w:trPr>
          <w:cantSplit/>
          <w:trHeight w:val="225"/>
        </w:trPr>
        <w:tc>
          <w:tcPr>
            <w:tcW w:w="776" w:type="dxa"/>
            <w:tcBorders>
              <w:top w:val="nil"/>
              <w:bottom w:val="nil"/>
            </w:tcBorders>
            <w:shd w:val="clear" w:color="auto" w:fill="auto"/>
            <w:noWrap/>
          </w:tcPr>
          <w:p w:rsidR="00F51276" w:rsidRPr="00D873B6" w:rsidRDefault="00F51276" w:rsidP="00920356">
            <w:pPr>
              <w:tabs>
                <w:tab w:val="left" w:pos="1162"/>
              </w:tabs>
              <w:spacing w:before="80" w:after="80"/>
              <w:rPr>
                <w:rFonts w:cs="Arial"/>
                <w:color w:val="000000"/>
                <w:sz w:val="18"/>
                <w:szCs w:val="18"/>
                <w:lang w:eastAsia="en-AU"/>
              </w:rPr>
            </w:pPr>
          </w:p>
        </w:tc>
        <w:tc>
          <w:tcPr>
            <w:tcW w:w="761" w:type="dxa"/>
            <w:shd w:val="clear" w:color="auto" w:fill="auto"/>
            <w:noWrap/>
            <w:hideMark/>
          </w:tcPr>
          <w:p w:rsidR="00F51276" w:rsidRPr="00D873B6" w:rsidRDefault="00F51276" w:rsidP="00920356">
            <w:pPr>
              <w:tabs>
                <w:tab w:val="left" w:pos="1162"/>
              </w:tabs>
              <w:spacing w:before="80" w:after="80"/>
              <w:jc w:val="center"/>
              <w:rPr>
                <w:rFonts w:cs="Arial"/>
                <w:color w:val="000000"/>
                <w:sz w:val="18"/>
                <w:szCs w:val="18"/>
                <w:lang w:eastAsia="en-AU"/>
              </w:rPr>
            </w:pPr>
            <w:r w:rsidRPr="00D873B6">
              <w:rPr>
                <w:rFonts w:cs="Arial"/>
                <w:color w:val="000000"/>
                <w:sz w:val="18"/>
                <w:szCs w:val="18"/>
                <w:lang w:eastAsia="en-AU"/>
              </w:rPr>
              <w:t>S</w:t>
            </w:r>
            <w:r>
              <w:rPr>
                <w:rFonts w:cs="Arial"/>
                <w:color w:val="000000"/>
                <w:sz w:val="18"/>
                <w:szCs w:val="18"/>
                <w:lang w:eastAsia="en-AU"/>
              </w:rPr>
              <w:t>30</w:t>
            </w:r>
          </w:p>
        </w:tc>
        <w:tc>
          <w:tcPr>
            <w:tcW w:w="2115" w:type="dxa"/>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_</w:t>
            </w:r>
            <w:proofErr w:type="spellStart"/>
            <w:r w:rsidRPr="00FA3851">
              <w:rPr>
                <w:rFonts w:cs="Arial"/>
                <w:color w:val="000000"/>
                <w:sz w:val="18"/>
                <w:szCs w:val="18"/>
                <w:lang w:eastAsia="en-AU"/>
              </w:rPr>
              <w:t>adj_privpat_accom</w:t>
            </w:r>
            <w:proofErr w:type="spellEnd"/>
          </w:p>
        </w:tc>
        <w:tc>
          <w:tcPr>
            <w:tcW w:w="4253" w:type="dxa"/>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Private Patient Accommodation adjustment</w:t>
            </w:r>
          </w:p>
        </w:tc>
        <w:tc>
          <w:tcPr>
            <w:tcW w:w="6270" w:type="dxa"/>
            <w:shd w:val="clear" w:color="auto" w:fill="auto"/>
            <w:noWrap/>
            <w:hideMark/>
          </w:tcPr>
          <w:p w:rsidR="00F51276" w:rsidRPr="00FA3851"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_</w:t>
            </w:r>
            <w:proofErr w:type="spellStart"/>
            <w:r w:rsidRPr="00FA3851">
              <w:rPr>
                <w:rFonts w:cs="Arial"/>
                <w:color w:val="000000"/>
                <w:sz w:val="18"/>
                <w:szCs w:val="18"/>
                <w:lang w:eastAsia="en-AU"/>
              </w:rPr>
              <w:t>pat_private_flag</w:t>
            </w:r>
            <w:proofErr w:type="spellEnd"/>
            <w:r w:rsidRPr="00FA3851">
              <w:rPr>
                <w:rFonts w:cs="Arial"/>
                <w:color w:val="000000"/>
                <w:sz w:val="18"/>
                <w:szCs w:val="18"/>
                <w:lang w:eastAsia="en-AU"/>
              </w:rPr>
              <w:t>*(_</w:t>
            </w:r>
            <w:proofErr w:type="spellStart"/>
            <w:r w:rsidRPr="00FA3851">
              <w:rPr>
                <w:rFonts w:cs="Arial"/>
                <w:color w:val="000000"/>
                <w:sz w:val="18"/>
                <w:szCs w:val="18"/>
                <w:lang w:eastAsia="en-AU"/>
              </w:rPr>
              <w:t>pat_sameday_flag</w:t>
            </w:r>
            <w:proofErr w:type="spellEnd"/>
            <w:r w:rsidRPr="00FA3851">
              <w:rPr>
                <w:rFonts w:cs="Arial"/>
                <w:color w:val="000000"/>
                <w:sz w:val="18"/>
                <w:szCs w:val="18"/>
                <w:lang w:eastAsia="en-AU"/>
              </w:rPr>
              <w:t>*</w:t>
            </w:r>
            <w:proofErr w:type="spellStart"/>
            <w:r w:rsidRPr="00FA3851">
              <w:rPr>
                <w:rFonts w:cs="Arial"/>
                <w:color w:val="000000"/>
                <w:sz w:val="18"/>
                <w:szCs w:val="18"/>
                <w:lang w:eastAsia="en-AU"/>
              </w:rPr>
              <w:t>state_adj_private_accom_sd</w:t>
            </w:r>
            <w:proofErr w:type="spellEnd"/>
            <w:r w:rsidRPr="00FA3851">
              <w:rPr>
                <w:rFonts w:cs="Arial"/>
                <w:color w:val="000000"/>
                <w:sz w:val="18"/>
                <w:szCs w:val="18"/>
                <w:lang w:eastAsia="en-AU"/>
              </w:rPr>
              <w:t>+</w:t>
            </w:r>
          </w:p>
          <w:p w:rsidR="00F51276" w:rsidRPr="00D873B6" w:rsidRDefault="00F51276" w:rsidP="00920356">
            <w:pPr>
              <w:tabs>
                <w:tab w:val="left" w:pos="1162"/>
              </w:tabs>
              <w:spacing w:before="80" w:after="80"/>
              <w:rPr>
                <w:rFonts w:cs="Arial"/>
                <w:color w:val="000000"/>
                <w:sz w:val="18"/>
                <w:szCs w:val="18"/>
                <w:lang w:eastAsia="en-AU"/>
              </w:rPr>
            </w:pPr>
            <w:r w:rsidRPr="00FA3851">
              <w:rPr>
                <w:rFonts w:cs="Arial"/>
                <w:color w:val="000000"/>
                <w:sz w:val="18"/>
                <w:szCs w:val="18"/>
                <w:lang w:eastAsia="en-AU"/>
              </w:rPr>
              <w:t>(1-_pat_sameday_flag)*_</w:t>
            </w:r>
            <w:proofErr w:type="spellStart"/>
            <w:r w:rsidRPr="00FA3851">
              <w:rPr>
                <w:rFonts w:cs="Arial"/>
                <w:color w:val="000000"/>
                <w:sz w:val="18"/>
                <w:szCs w:val="18"/>
                <w:lang w:eastAsia="en-AU"/>
              </w:rPr>
              <w:t>pat_los</w:t>
            </w:r>
            <w:proofErr w:type="spellEnd"/>
            <w:r w:rsidRPr="00FA3851">
              <w:rPr>
                <w:rFonts w:cs="Arial"/>
                <w:color w:val="000000"/>
                <w:sz w:val="18"/>
                <w:szCs w:val="18"/>
                <w:lang w:eastAsia="en-AU"/>
              </w:rPr>
              <w:t>*</w:t>
            </w:r>
            <w:proofErr w:type="spellStart"/>
            <w:r w:rsidRPr="00FA3851">
              <w:rPr>
                <w:rFonts w:cs="Arial"/>
                <w:color w:val="000000"/>
                <w:sz w:val="18"/>
                <w:szCs w:val="18"/>
                <w:lang w:eastAsia="en-AU"/>
              </w:rPr>
              <w:t>state_adj_privpat_accomm_on</w:t>
            </w:r>
            <w:proofErr w:type="spellEnd"/>
            <w:r w:rsidRPr="00FA3851">
              <w:rPr>
                <w:rFonts w:cs="Arial"/>
                <w:color w:val="000000"/>
                <w:sz w:val="18"/>
                <w:szCs w:val="18"/>
                <w:lang w:eastAsia="en-AU"/>
              </w:rPr>
              <w:t>)</w:t>
            </w:r>
          </w:p>
        </w:tc>
      </w:tr>
      <w:tr w:rsidR="00F51276" w:rsidRPr="00A13645" w:rsidTr="00920356">
        <w:trPr>
          <w:cantSplit/>
          <w:trHeight w:val="450"/>
        </w:trPr>
        <w:tc>
          <w:tcPr>
            <w:tcW w:w="776" w:type="dxa"/>
            <w:tcBorders>
              <w:top w:val="nil"/>
            </w:tcBorders>
            <w:shd w:val="clear" w:color="auto" w:fill="auto"/>
            <w:noWrap/>
          </w:tcPr>
          <w:p w:rsidR="00F51276" w:rsidRPr="00D873B6" w:rsidRDefault="00F51276" w:rsidP="00920356">
            <w:pPr>
              <w:tabs>
                <w:tab w:val="left" w:pos="1162"/>
              </w:tabs>
              <w:spacing w:before="80" w:after="80"/>
              <w:rPr>
                <w:rFonts w:cs="Arial"/>
                <w:color w:val="000000"/>
                <w:sz w:val="18"/>
                <w:szCs w:val="18"/>
                <w:lang w:eastAsia="en-AU"/>
              </w:rPr>
            </w:pPr>
          </w:p>
        </w:tc>
        <w:tc>
          <w:tcPr>
            <w:tcW w:w="761" w:type="dxa"/>
            <w:shd w:val="clear" w:color="auto" w:fill="auto"/>
            <w:noWrap/>
            <w:hideMark/>
          </w:tcPr>
          <w:p w:rsidR="00F51276" w:rsidRPr="00D873B6" w:rsidRDefault="00F51276" w:rsidP="00920356">
            <w:pPr>
              <w:tabs>
                <w:tab w:val="left" w:pos="1162"/>
              </w:tabs>
              <w:spacing w:before="80" w:after="80"/>
              <w:jc w:val="center"/>
              <w:rPr>
                <w:rFonts w:cs="Arial"/>
                <w:color w:val="000000"/>
                <w:sz w:val="18"/>
                <w:szCs w:val="18"/>
                <w:lang w:eastAsia="en-AU"/>
              </w:rPr>
            </w:pPr>
            <w:r w:rsidRPr="00D873B6">
              <w:rPr>
                <w:rFonts w:cs="Arial"/>
                <w:color w:val="000000"/>
                <w:sz w:val="18"/>
                <w:szCs w:val="18"/>
                <w:lang w:eastAsia="en-AU"/>
              </w:rPr>
              <w:t>S</w:t>
            </w:r>
            <w:r>
              <w:rPr>
                <w:rFonts w:cs="Arial"/>
                <w:color w:val="000000"/>
                <w:sz w:val="18"/>
                <w:szCs w:val="18"/>
                <w:lang w:eastAsia="en-AU"/>
              </w:rPr>
              <w:t>31</w:t>
            </w:r>
          </w:p>
        </w:tc>
        <w:tc>
          <w:tcPr>
            <w:tcW w:w="2115" w:type="dxa"/>
            <w:shd w:val="clear" w:color="auto" w:fill="auto"/>
            <w:noWrap/>
            <w:hideMark/>
          </w:tcPr>
          <w:p w:rsidR="00F51276" w:rsidRPr="00D873B6" w:rsidRDefault="00F51276" w:rsidP="00920356">
            <w:pPr>
              <w:tabs>
                <w:tab w:val="left" w:pos="1162"/>
              </w:tabs>
              <w:spacing w:before="80" w:after="80"/>
              <w:rPr>
                <w:rFonts w:cs="Arial"/>
                <w:color w:val="000000"/>
                <w:sz w:val="18"/>
                <w:szCs w:val="18"/>
                <w:lang w:eastAsia="en-AU"/>
              </w:rPr>
            </w:pPr>
            <w:r>
              <w:rPr>
                <w:rFonts w:cs="Arial"/>
                <w:color w:val="000000"/>
                <w:sz w:val="18"/>
                <w:szCs w:val="18"/>
                <w:lang w:eastAsia="en-AU"/>
              </w:rPr>
              <w:t>NWAU15</w:t>
            </w:r>
          </w:p>
        </w:tc>
        <w:tc>
          <w:tcPr>
            <w:tcW w:w="4253" w:type="dxa"/>
            <w:shd w:val="clear" w:color="auto" w:fill="auto"/>
            <w:hideMark/>
          </w:tcPr>
          <w:p w:rsidR="00F51276" w:rsidRPr="00D873B6" w:rsidRDefault="00F51276" w:rsidP="00920356">
            <w:pPr>
              <w:tabs>
                <w:tab w:val="left" w:pos="1162"/>
              </w:tabs>
              <w:spacing w:before="80" w:after="80"/>
              <w:rPr>
                <w:rFonts w:cs="Arial"/>
                <w:color w:val="000000"/>
                <w:sz w:val="18"/>
                <w:szCs w:val="18"/>
                <w:lang w:eastAsia="en-AU"/>
              </w:rPr>
            </w:pPr>
            <w:r>
              <w:rPr>
                <w:rFonts w:cs="Arial"/>
                <w:color w:val="000000"/>
                <w:sz w:val="18"/>
                <w:szCs w:val="18"/>
                <w:lang w:eastAsia="en-AU"/>
              </w:rPr>
              <w:t>National weighted activity unit</w:t>
            </w:r>
          </w:p>
        </w:tc>
        <w:tc>
          <w:tcPr>
            <w:tcW w:w="6270" w:type="dxa"/>
            <w:shd w:val="clear" w:color="auto" w:fill="auto"/>
            <w:hideMark/>
          </w:tcPr>
          <w:p w:rsidR="00F51276" w:rsidRPr="00D873B6" w:rsidRDefault="00F51276" w:rsidP="00920356">
            <w:pPr>
              <w:tabs>
                <w:tab w:val="left" w:pos="1162"/>
              </w:tabs>
              <w:spacing w:before="80" w:after="80"/>
              <w:rPr>
                <w:rFonts w:cs="Arial"/>
                <w:color w:val="000000"/>
                <w:sz w:val="18"/>
                <w:szCs w:val="18"/>
                <w:lang w:eastAsia="en-AU"/>
              </w:rPr>
            </w:pPr>
            <w:r w:rsidRPr="00D873B6">
              <w:rPr>
                <w:rFonts w:cs="Arial"/>
                <w:color w:val="000000"/>
                <w:sz w:val="18"/>
                <w:szCs w:val="18"/>
                <w:lang w:eastAsia="en-AU"/>
              </w:rPr>
              <w:t xml:space="preserve">max( 0, </w:t>
            </w:r>
            <w:r>
              <w:rPr>
                <w:rFonts w:cs="Arial"/>
                <w:color w:val="000000"/>
                <w:sz w:val="18"/>
                <w:szCs w:val="18"/>
                <w:lang w:eastAsia="en-AU"/>
              </w:rPr>
              <w:t>GWAU15 - _adj_privpat_</w:t>
            </w:r>
            <w:proofErr w:type="spellStart"/>
            <w:r>
              <w:rPr>
                <w:rFonts w:cs="Arial"/>
                <w:color w:val="000000"/>
                <w:sz w:val="18"/>
                <w:szCs w:val="18"/>
                <w:lang w:eastAsia="en-AU"/>
              </w:rPr>
              <w:t>serv</w:t>
            </w:r>
            <w:proofErr w:type="spellEnd"/>
            <w:r>
              <w:rPr>
                <w:rFonts w:cs="Arial"/>
                <w:color w:val="000000"/>
                <w:sz w:val="18"/>
                <w:szCs w:val="18"/>
                <w:lang w:eastAsia="en-AU"/>
              </w:rPr>
              <w:t>-_</w:t>
            </w:r>
            <w:proofErr w:type="spellStart"/>
            <w:r>
              <w:rPr>
                <w:rFonts w:cs="Arial"/>
                <w:color w:val="000000"/>
                <w:sz w:val="18"/>
                <w:szCs w:val="18"/>
                <w:lang w:eastAsia="en-AU"/>
              </w:rPr>
              <w:t>adj_privpat_accomm</w:t>
            </w:r>
            <w:proofErr w:type="spellEnd"/>
            <w:r>
              <w:rPr>
                <w:rFonts w:cs="Arial"/>
                <w:color w:val="000000"/>
                <w:sz w:val="18"/>
                <w:szCs w:val="18"/>
                <w:lang w:eastAsia="en-AU"/>
              </w:rPr>
              <w:t xml:space="preserve">) for only </w:t>
            </w:r>
            <w:proofErr w:type="spellStart"/>
            <w:r>
              <w:rPr>
                <w:rFonts w:cs="Arial"/>
                <w:color w:val="000000"/>
                <w:sz w:val="18"/>
                <w:szCs w:val="18"/>
                <w:lang w:eastAsia="en-AU"/>
              </w:rPr>
              <w:t>inscope</w:t>
            </w:r>
            <w:proofErr w:type="spellEnd"/>
            <w:r>
              <w:rPr>
                <w:rFonts w:cs="Arial"/>
                <w:color w:val="000000"/>
                <w:sz w:val="18"/>
                <w:szCs w:val="18"/>
                <w:lang w:eastAsia="en-AU"/>
              </w:rPr>
              <w:t xml:space="preserve"> funding sources</w:t>
            </w:r>
          </w:p>
        </w:tc>
      </w:tr>
    </w:tbl>
    <w:p w:rsidR="00F51276" w:rsidRDefault="00F51276" w:rsidP="00F51276">
      <w:pPr>
        <w:tabs>
          <w:tab w:val="left" w:pos="1162"/>
        </w:tabs>
        <w:rPr>
          <w:szCs w:val="20"/>
        </w:rPr>
      </w:pPr>
    </w:p>
    <w:p w:rsidR="00F51276" w:rsidRDefault="00F51276" w:rsidP="00F51276">
      <w:pPr>
        <w:tabs>
          <w:tab w:val="left" w:pos="1162"/>
        </w:tabs>
        <w:rPr>
          <w:szCs w:val="20"/>
        </w:rPr>
        <w:sectPr w:rsidR="00F51276" w:rsidSect="002049EC">
          <w:pgSz w:w="16839" w:h="11907" w:orient="landscape" w:code="9"/>
          <w:pgMar w:top="1440" w:right="1440" w:bottom="1440" w:left="1440" w:header="709" w:footer="709" w:gutter="0"/>
          <w:cols w:space="708"/>
          <w:docGrid w:linePitch="360"/>
        </w:sectPr>
      </w:pPr>
    </w:p>
    <w:p w:rsidR="00460371" w:rsidRDefault="00460371" w:rsidP="00AD4FFC">
      <w:pPr>
        <w:pStyle w:val="Heading1"/>
        <w:pageBreakBefore/>
        <w:numPr>
          <w:ilvl w:val="0"/>
          <w:numId w:val="35"/>
        </w:numPr>
        <w:spacing w:before="100" w:beforeAutospacing="1" w:after="100" w:afterAutospacing="1"/>
      </w:pPr>
      <w:bookmarkStart w:id="232" w:name="_Toc412550757"/>
      <w:r w:rsidRPr="009E7816">
        <w:lastRenderedPageBreak/>
        <w:t>Emergency care cost model</w:t>
      </w:r>
      <w:bookmarkEnd w:id="166"/>
      <w:bookmarkEnd w:id="167"/>
      <w:bookmarkEnd w:id="232"/>
    </w:p>
    <w:p w:rsidR="00460371" w:rsidRDefault="00460371" w:rsidP="00AD4FFC">
      <w:pPr>
        <w:pStyle w:val="Heading2"/>
        <w:keepLines w:val="0"/>
        <w:numPr>
          <w:ilvl w:val="1"/>
          <w:numId w:val="35"/>
        </w:numPr>
        <w:tabs>
          <w:tab w:val="left" w:pos="1162"/>
        </w:tabs>
        <w:spacing w:after="60"/>
      </w:pPr>
      <w:bookmarkStart w:id="233" w:name="_Toc380754712"/>
      <w:bookmarkStart w:id="234" w:name="_Toc412550758"/>
      <w:r w:rsidRPr="009225AC">
        <w:t>General issues</w:t>
      </w:r>
      <w:bookmarkEnd w:id="233"/>
      <w:bookmarkEnd w:id="234"/>
    </w:p>
    <w:p w:rsidR="00460371" w:rsidRPr="00831C09" w:rsidRDefault="00460371" w:rsidP="00AD4FFC">
      <w:pPr>
        <w:pStyle w:val="Heading3"/>
        <w:keepLines w:val="0"/>
        <w:numPr>
          <w:ilvl w:val="2"/>
          <w:numId w:val="35"/>
        </w:numPr>
        <w:tabs>
          <w:tab w:val="left" w:pos="1162"/>
        </w:tabs>
        <w:spacing w:before="240" w:after="120"/>
      </w:pPr>
      <w:bookmarkStart w:id="235" w:name="_Toc380754713"/>
      <w:bookmarkStart w:id="236" w:name="_Toc412550759"/>
      <w:r>
        <w:t>Cost unit</w:t>
      </w:r>
      <w:bookmarkEnd w:id="235"/>
      <w:bookmarkEnd w:id="236"/>
    </w:p>
    <w:p w:rsidR="00460371" w:rsidRDefault="00460371" w:rsidP="00AD4FFC">
      <w:pPr>
        <w:tabs>
          <w:tab w:val="left" w:pos="1162"/>
        </w:tabs>
        <w:rPr>
          <w:rFonts w:cs="Arial"/>
          <w:szCs w:val="20"/>
        </w:rPr>
      </w:pPr>
      <w:r w:rsidRPr="002909DA">
        <w:rPr>
          <w:rFonts w:cs="Arial"/>
          <w:szCs w:val="20"/>
        </w:rPr>
        <w:t xml:space="preserve">The </w:t>
      </w:r>
      <w:r>
        <w:rPr>
          <w:rFonts w:cs="Arial"/>
          <w:szCs w:val="20"/>
        </w:rPr>
        <w:t xml:space="preserve">cost </w:t>
      </w:r>
      <w:r w:rsidRPr="002909DA">
        <w:rPr>
          <w:rFonts w:cs="Arial"/>
          <w:szCs w:val="20"/>
        </w:rPr>
        <w:t>unit for ABF for emergency care is an ‘emergency department stay’</w:t>
      </w:r>
      <w:r w:rsidRPr="002909DA">
        <w:rPr>
          <w:rStyle w:val="FootnoteReference"/>
          <w:rFonts w:cs="Arial"/>
          <w:szCs w:val="20"/>
        </w:rPr>
        <w:footnoteReference w:id="21"/>
      </w:r>
      <w:r w:rsidRPr="002909DA">
        <w:rPr>
          <w:rFonts w:cs="Arial"/>
          <w:szCs w:val="20"/>
        </w:rPr>
        <w:t xml:space="preserve"> or presentation. It includes stays for patients who are treated and go home, and ones that are subsequently admitted to hospital or transferred to another facility for further care.</w:t>
      </w:r>
    </w:p>
    <w:p w:rsidR="00460371" w:rsidRDefault="00460371" w:rsidP="00AD4FFC">
      <w:pPr>
        <w:pStyle w:val="Heading3"/>
        <w:keepLines w:val="0"/>
        <w:numPr>
          <w:ilvl w:val="2"/>
          <w:numId w:val="35"/>
        </w:numPr>
        <w:tabs>
          <w:tab w:val="left" w:pos="1162"/>
        </w:tabs>
        <w:spacing w:before="240" w:after="120"/>
      </w:pPr>
      <w:bookmarkStart w:id="237" w:name="_Toc380754714"/>
      <w:bookmarkStart w:id="238" w:name="_Toc412550760"/>
      <w:r>
        <w:t>Scope</w:t>
      </w:r>
      <w:bookmarkEnd w:id="237"/>
      <w:bookmarkEnd w:id="238"/>
    </w:p>
    <w:p w:rsidR="00460371" w:rsidRPr="002909DA" w:rsidRDefault="00460371" w:rsidP="00AD4FFC">
      <w:pPr>
        <w:tabs>
          <w:tab w:val="left" w:pos="1162"/>
        </w:tabs>
        <w:rPr>
          <w:rFonts w:cs="Arial"/>
          <w:szCs w:val="20"/>
        </w:rPr>
      </w:pPr>
      <w:r w:rsidRPr="002909DA">
        <w:rPr>
          <w:rFonts w:cs="Arial"/>
          <w:szCs w:val="20"/>
        </w:rPr>
        <w:t xml:space="preserve">Emergency care is that provided to patients registered for care in an emergency department </w:t>
      </w:r>
      <w:r>
        <w:rPr>
          <w:rFonts w:cs="Arial"/>
          <w:szCs w:val="20"/>
        </w:rPr>
        <w:t>with</w:t>
      </w:r>
      <w:r w:rsidRPr="002909DA">
        <w:rPr>
          <w:rFonts w:cs="Arial"/>
          <w:szCs w:val="20"/>
        </w:rPr>
        <w:t xml:space="preserve">in </w:t>
      </w:r>
      <w:r>
        <w:rPr>
          <w:rFonts w:cs="Arial"/>
          <w:szCs w:val="20"/>
        </w:rPr>
        <w:t xml:space="preserve">a </w:t>
      </w:r>
      <w:r w:rsidRPr="002909DA">
        <w:rPr>
          <w:rFonts w:cs="Arial"/>
          <w:szCs w:val="20"/>
        </w:rPr>
        <w:t>selected public hospital</w:t>
      </w:r>
      <w:r>
        <w:rPr>
          <w:rFonts w:cs="Arial"/>
          <w:szCs w:val="20"/>
        </w:rPr>
        <w:t>. P</w:t>
      </w:r>
      <w:r w:rsidRPr="002909DA">
        <w:rPr>
          <w:rFonts w:cs="Arial"/>
          <w:szCs w:val="20"/>
        </w:rPr>
        <w:t xml:space="preserve">atients </w:t>
      </w:r>
      <w:r>
        <w:rPr>
          <w:rFonts w:cs="Arial"/>
          <w:szCs w:val="20"/>
        </w:rPr>
        <w:t>declared</w:t>
      </w:r>
      <w:r w:rsidRPr="002909DA">
        <w:rPr>
          <w:rFonts w:cs="Arial"/>
          <w:szCs w:val="20"/>
        </w:rPr>
        <w:t xml:space="preserve"> dead on arrival are</w:t>
      </w:r>
      <w:r>
        <w:rPr>
          <w:rFonts w:cs="Arial"/>
          <w:szCs w:val="20"/>
        </w:rPr>
        <w:t xml:space="preserve"> considered </w:t>
      </w:r>
      <w:r w:rsidRPr="002909DA">
        <w:rPr>
          <w:rFonts w:cs="Arial"/>
          <w:szCs w:val="20"/>
        </w:rPr>
        <w:t xml:space="preserve">in scope if </w:t>
      </w:r>
      <w:r>
        <w:rPr>
          <w:rFonts w:cs="Arial"/>
          <w:szCs w:val="20"/>
        </w:rPr>
        <w:t xml:space="preserve">the death is certified by </w:t>
      </w:r>
      <w:r w:rsidRPr="002909DA">
        <w:rPr>
          <w:rFonts w:cs="Arial"/>
          <w:szCs w:val="20"/>
        </w:rPr>
        <w:t>an emergency department clinician</w:t>
      </w:r>
      <w:r>
        <w:rPr>
          <w:rFonts w:cs="Arial"/>
          <w:szCs w:val="20"/>
        </w:rPr>
        <w:t xml:space="preserve">. </w:t>
      </w:r>
      <w:r w:rsidR="00C82274" w:rsidRPr="002909DA">
        <w:rPr>
          <w:rFonts w:cs="Arial"/>
          <w:szCs w:val="20"/>
        </w:rPr>
        <w:t>Patients,</w:t>
      </w:r>
      <w:r w:rsidRPr="002909DA">
        <w:rPr>
          <w:rFonts w:cs="Arial"/>
          <w:szCs w:val="20"/>
        </w:rPr>
        <w:t xml:space="preserve"> who leave the emergency department after being triaged and advised of alternative treatment options</w:t>
      </w:r>
      <w:r>
        <w:rPr>
          <w:rFonts w:cs="Arial"/>
          <w:szCs w:val="20"/>
        </w:rPr>
        <w:t>,</w:t>
      </w:r>
      <w:r w:rsidRPr="002909DA">
        <w:rPr>
          <w:rFonts w:cs="Arial"/>
          <w:szCs w:val="20"/>
        </w:rPr>
        <w:t xml:space="preserve"> are also</w:t>
      </w:r>
      <w:r>
        <w:rPr>
          <w:rFonts w:cs="Arial"/>
          <w:szCs w:val="20"/>
        </w:rPr>
        <w:t xml:space="preserve"> considered </w:t>
      </w:r>
      <w:r w:rsidRPr="002909DA">
        <w:rPr>
          <w:rFonts w:cs="Arial"/>
          <w:szCs w:val="20"/>
        </w:rPr>
        <w:t xml:space="preserve">in scope. </w:t>
      </w:r>
    </w:p>
    <w:p w:rsidR="00460371" w:rsidRPr="002909DA" w:rsidRDefault="00460371" w:rsidP="00AD4FFC">
      <w:pPr>
        <w:tabs>
          <w:tab w:val="left" w:pos="1162"/>
        </w:tabs>
        <w:rPr>
          <w:rFonts w:cs="Arial"/>
          <w:szCs w:val="20"/>
        </w:rPr>
      </w:pPr>
      <w:r>
        <w:rPr>
          <w:rFonts w:cs="Arial"/>
          <w:szCs w:val="20"/>
        </w:rPr>
        <w:t xml:space="preserve">All patients in the </w:t>
      </w:r>
      <w:r w:rsidRPr="005B7C15">
        <w:rPr>
          <w:rFonts w:cs="Arial"/>
          <w:szCs w:val="20"/>
        </w:rPr>
        <w:t xml:space="preserve">Emergency Department Care </w:t>
      </w:r>
      <w:r w:rsidR="007B3797">
        <w:rPr>
          <w:rFonts w:cs="Arial"/>
          <w:szCs w:val="20"/>
        </w:rPr>
        <w:t xml:space="preserve">ABF DSS </w:t>
      </w:r>
      <w:r w:rsidR="00463FF1">
        <w:rPr>
          <w:rFonts w:cs="Arial"/>
          <w:szCs w:val="20"/>
        </w:rPr>
        <w:t xml:space="preserve">(EDC ABF DSS) </w:t>
      </w:r>
      <w:r>
        <w:rPr>
          <w:rFonts w:cs="Arial"/>
          <w:szCs w:val="20"/>
        </w:rPr>
        <w:t xml:space="preserve">and </w:t>
      </w:r>
      <w:r w:rsidR="00890E17">
        <w:rPr>
          <w:rFonts w:cs="Arial"/>
          <w:szCs w:val="20"/>
        </w:rPr>
        <w:t xml:space="preserve">ABF </w:t>
      </w:r>
      <w:r w:rsidRPr="005B7C15">
        <w:rPr>
          <w:rFonts w:cs="Arial"/>
          <w:szCs w:val="20"/>
        </w:rPr>
        <w:t xml:space="preserve">Emergency Services </w:t>
      </w:r>
      <w:r w:rsidR="00890E17">
        <w:rPr>
          <w:rFonts w:cs="Arial"/>
          <w:szCs w:val="20"/>
        </w:rPr>
        <w:t xml:space="preserve">Care </w:t>
      </w:r>
      <w:r w:rsidRPr="005B7C15">
        <w:rPr>
          <w:rFonts w:cs="Arial"/>
          <w:szCs w:val="20"/>
        </w:rPr>
        <w:t xml:space="preserve">DSS </w:t>
      </w:r>
      <w:r w:rsidR="00890E17">
        <w:rPr>
          <w:rFonts w:cs="Arial"/>
          <w:szCs w:val="20"/>
        </w:rPr>
        <w:t>(ABF ESC DSS)</w:t>
      </w:r>
      <w:r w:rsidR="008D4B5F">
        <w:rPr>
          <w:rFonts w:cs="Arial"/>
          <w:szCs w:val="20"/>
        </w:rPr>
        <w:t xml:space="preserve"> </w:t>
      </w:r>
      <w:r>
        <w:rPr>
          <w:rFonts w:cs="Arial"/>
          <w:szCs w:val="20"/>
        </w:rPr>
        <w:t>are in scope.</w:t>
      </w:r>
    </w:p>
    <w:p w:rsidR="00460371" w:rsidRDefault="00460371" w:rsidP="00AD4FFC">
      <w:pPr>
        <w:tabs>
          <w:tab w:val="left" w:pos="1162"/>
        </w:tabs>
        <w:rPr>
          <w:rFonts w:cs="Arial"/>
          <w:szCs w:val="20"/>
        </w:rPr>
      </w:pPr>
      <w:r w:rsidRPr="002909DA">
        <w:rPr>
          <w:rFonts w:cs="Arial"/>
          <w:szCs w:val="20"/>
        </w:rPr>
        <w:t xml:space="preserve">Patients being treated in emergency departments may subsequently become </w:t>
      </w:r>
      <w:r>
        <w:rPr>
          <w:rFonts w:cs="Arial"/>
          <w:szCs w:val="20"/>
        </w:rPr>
        <w:t>‘</w:t>
      </w:r>
      <w:r w:rsidRPr="002909DA">
        <w:rPr>
          <w:rFonts w:cs="Arial"/>
          <w:szCs w:val="20"/>
        </w:rPr>
        <w:t>admitted</w:t>
      </w:r>
      <w:r>
        <w:rPr>
          <w:rFonts w:cs="Arial"/>
          <w:szCs w:val="20"/>
        </w:rPr>
        <w:t>’</w:t>
      </w:r>
      <w:r w:rsidRPr="002909DA">
        <w:rPr>
          <w:rFonts w:cs="Arial"/>
          <w:szCs w:val="20"/>
        </w:rPr>
        <w:t>. All patients remain in scope for ABF for emergency care until they are recorded as having physically departed the emergency department, regardless of w</w:t>
      </w:r>
      <w:r>
        <w:rPr>
          <w:rFonts w:cs="Arial"/>
          <w:szCs w:val="20"/>
        </w:rPr>
        <w:t>hether they have been admitted.</w:t>
      </w:r>
    </w:p>
    <w:p w:rsidR="00460371" w:rsidRDefault="00460371" w:rsidP="00AD4FFC">
      <w:pPr>
        <w:pStyle w:val="Heading3"/>
        <w:keepLines w:val="0"/>
        <w:numPr>
          <w:ilvl w:val="2"/>
          <w:numId w:val="35"/>
        </w:numPr>
        <w:tabs>
          <w:tab w:val="left" w:pos="1162"/>
        </w:tabs>
        <w:spacing w:before="240" w:after="120"/>
      </w:pPr>
      <w:bookmarkStart w:id="239" w:name="_Toc380754715"/>
      <w:bookmarkStart w:id="240" w:name="_Toc412550761"/>
      <w:r>
        <w:t>Classification</w:t>
      </w:r>
      <w:bookmarkEnd w:id="239"/>
      <w:bookmarkEnd w:id="240"/>
    </w:p>
    <w:p w:rsidR="00460371" w:rsidRDefault="00460371" w:rsidP="00AD4FFC">
      <w:pPr>
        <w:tabs>
          <w:tab w:val="left" w:pos="1162"/>
        </w:tabs>
        <w:rPr>
          <w:rFonts w:cs="Arial"/>
          <w:szCs w:val="20"/>
        </w:rPr>
      </w:pPr>
      <w:r w:rsidRPr="002909DA">
        <w:rPr>
          <w:rFonts w:cs="Arial"/>
          <w:szCs w:val="20"/>
        </w:rPr>
        <w:t>Two systems are used to classify emergency care for the purposes of ABF of these services from 1 </w:t>
      </w:r>
      <w:r>
        <w:rPr>
          <w:rFonts w:cs="Arial"/>
          <w:szCs w:val="20"/>
        </w:rPr>
        <w:t>July 2014</w:t>
      </w:r>
      <w:r w:rsidRPr="002909DA">
        <w:rPr>
          <w:rFonts w:cs="Arial"/>
          <w:szCs w:val="20"/>
        </w:rPr>
        <w:t>: Urgency Related Groups (URGs) Version 1.</w:t>
      </w:r>
      <w:r>
        <w:rPr>
          <w:rFonts w:cs="Arial"/>
          <w:szCs w:val="20"/>
        </w:rPr>
        <w:t>4</w:t>
      </w:r>
      <w:r w:rsidRPr="002909DA">
        <w:rPr>
          <w:rFonts w:cs="Arial"/>
          <w:szCs w:val="20"/>
        </w:rPr>
        <w:t xml:space="preserve"> and Urgency Disposition Groups (UDGs) </w:t>
      </w:r>
      <w:r>
        <w:rPr>
          <w:rFonts w:cs="Arial"/>
          <w:szCs w:val="20"/>
        </w:rPr>
        <w:t>V</w:t>
      </w:r>
      <w:r w:rsidRPr="002909DA">
        <w:rPr>
          <w:rFonts w:cs="Arial"/>
          <w:szCs w:val="20"/>
        </w:rPr>
        <w:t>ersion 1.3. The former applies to level 3B to 6 emergency departments, and the latter to all others (i.e. levels 1 to 3A)</w:t>
      </w:r>
      <w:r>
        <w:rPr>
          <w:rFonts w:cs="Arial"/>
          <w:szCs w:val="20"/>
        </w:rPr>
        <w:t xml:space="preserve">. </w:t>
      </w:r>
      <w:r w:rsidRPr="002909DA">
        <w:rPr>
          <w:rFonts w:cs="Arial"/>
          <w:szCs w:val="20"/>
        </w:rPr>
        <w:t>The levels are defined i</w:t>
      </w:r>
      <w:r>
        <w:rPr>
          <w:rFonts w:cs="Arial"/>
          <w:szCs w:val="20"/>
        </w:rPr>
        <w:t xml:space="preserve">n the </w:t>
      </w:r>
      <w:r w:rsidR="00822178" w:rsidRPr="000B33D2">
        <w:rPr>
          <w:rFonts w:cs="Arial"/>
          <w:szCs w:val="20"/>
        </w:rPr>
        <w:t>NEP </w:t>
      </w:r>
      <w:r w:rsidRPr="000B33D2">
        <w:rPr>
          <w:rFonts w:cs="Arial"/>
          <w:szCs w:val="20"/>
        </w:rPr>
        <w:t>Determination</w:t>
      </w:r>
      <w:r>
        <w:rPr>
          <w:rFonts w:cs="Arial"/>
          <w:szCs w:val="20"/>
        </w:rPr>
        <w:t xml:space="preserve"> (Glossary).</w:t>
      </w:r>
    </w:p>
    <w:p w:rsidR="00460371" w:rsidRDefault="00460371" w:rsidP="00AD4FFC">
      <w:pPr>
        <w:pStyle w:val="Heading2"/>
        <w:keepLines w:val="0"/>
        <w:numPr>
          <w:ilvl w:val="1"/>
          <w:numId w:val="35"/>
        </w:numPr>
        <w:tabs>
          <w:tab w:val="left" w:pos="1162"/>
        </w:tabs>
        <w:spacing w:after="60"/>
      </w:pPr>
      <w:bookmarkStart w:id="241" w:name="_Toc380754716"/>
      <w:bookmarkStart w:id="242" w:name="_Toc412550762"/>
      <w:r>
        <w:t>Analysis of costs to derive NWAU for emergency care</w:t>
      </w:r>
      <w:bookmarkEnd w:id="241"/>
      <w:bookmarkEnd w:id="242"/>
    </w:p>
    <w:p w:rsidR="00460371" w:rsidRDefault="00460371" w:rsidP="00AD4FFC">
      <w:pPr>
        <w:pStyle w:val="Heading3"/>
        <w:keepLines w:val="0"/>
        <w:numPr>
          <w:ilvl w:val="2"/>
          <w:numId w:val="35"/>
        </w:numPr>
        <w:tabs>
          <w:tab w:val="left" w:pos="1162"/>
        </w:tabs>
        <w:spacing w:before="240" w:after="120"/>
      </w:pPr>
      <w:bookmarkStart w:id="243" w:name="_Toc380754717"/>
      <w:bookmarkStart w:id="244" w:name="_Toc412550763"/>
      <w:r>
        <w:t>Data preparation</w:t>
      </w:r>
      <w:bookmarkEnd w:id="243"/>
      <w:bookmarkEnd w:id="244"/>
    </w:p>
    <w:p w:rsidR="00755DBD" w:rsidRPr="00755DBD" w:rsidRDefault="00755DBD" w:rsidP="00AD4FFC">
      <w:pPr>
        <w:tabs>
          <w:tab w:val="left" w:pos="1162"/>
        </w:tabs>
        <w:rPr>
          <w:rFonts w:cs="Arial"/>
          <w:szCs w:val="20"/>
        </w:rPr>
      </w:pPr>
      <w:r w:rsidRPr="00755DBD">
        <w:rPr>
          <w:rFonts w:cs="Arial"/>
          <w:szCs w:val="20"/>
        </w:rPr>
        <w:t xml:space="preserve">NHCDC Round 17 reported </w:t>
      </w:r>
      <w:r w:rsidR="0045546E" w:rsidRPr="00225003">
        <w:rPr>
          <w:rFonts w:cs="Arial"/>
          <w:szCs w:val="20"/>
        </w:rPr>
        <w:t>6,1</w:t>
      </w:r>
      <w:r w:rsidR="0045546E">
        <w:rPr>
          <w:rFonts w:cs="Arial"/>
          <w:szCs w:val="20"/>
        </w:rPr>
        <w:t>85</w:t>
      </w:r>
      <w:r w:rsidR="0045546E" w:rsidRPr="00225003">
        <w:rPr>
          <w:rFonts w:cs="Arial"/>
          <w:szCs w:val="20"/>
        </w:rPr>
        <w:t>,</w:t>
      </w:r>
      <w:r w:rsidR="0045546E">
        <w:rPr>
          <w:rFonts w:cs="Arial"/>
          <w:szCs w:val="20"/>
        </w:rPr>
        <w:t>012</w:t>
      </w:r>
      <w:r w:rsidR="0045546E" w:rsidRPr="00225003">
        <w:rPr>
          <w:rFonts w:cs="Arial"/>
          <w:szCs w:val="20"/>
        </w:rPr>
        <w:t xml:space="preserve"> </w:t>
      </w:r>
      <w:r w:rsidRPr="00225003">
        <w:rPr>
          <w:rFonts w:cs="Arial"/>
          <w:szCs w:val="20"/>
        </w:rPr>
        <w:t xml:space="preserve">presentations in </w:t>
      </w:r>
      <w:r w:rsidR="0045546E" w:rsidRPr="00225003">
        <w:rPr>
          <w:rFonts w:cs="Arial"/>
          <w:szCs w:val="20"/>
        </w:rPr>
        <w:t>16</w:t>
      </w:r>
      <w:r w:rsidR="0045546E">
        <w:rPr>
          <w:rFonts w:cs="Arial"/>
          <w:szCs w:val="20"/>
        </w:rPr>
        <w:t>6</w:t>
      </w:r>
      <w:r w:rsidR="0045546E" w:rsidRPr="00225003">
        <w:rPr>
          <w:rFonts w:cs="Arial"/>
          <w:szCs w:val="20"/>
        </w:rPr>
        <w:t xml:space="preserve"> </w:t>
      </w:r>
      <w:r w:rsidRPr="00225003">
        <w:rPr>
          <w:rFonts w:cs="Arial"/>
          <w:szCs w:val="20"/>
        </w:rPr>
        <w:t>ABF establishments with patient-level cost data. This represents 9</w:t>
      </w:r>
      <w:r w:rsidR="0045546E">
        <w:rPr>
          <w:rFonts w:cs="Arial"/>
          <w:szCs w:val="20"/>
        </w:rPr>
        <w:t>0</w:t>
      </w:r>
      <w:r w:rsidRPr="00225003">
        <w:rPr>
          <w:rFonts w:cs="Arial"/>
          <w:szCs w:val="20"/>
        </w:rPr>
        <w:t xml:space="preserve"> per</w:t>
      </w:r>
      <w:r w:rsidRPr="00755DBD">
        <w:rPr>
          <w:rFonts w:cs="Arial"/>
          <w:szCs w:val="20"/>
        </w:rPr>
        <w:t xml:space="preserve"> cent of the total </w:t>
      </w:r>
      <w:r w:rsidR="00D22B50">
        <w:rPr>
          <w:rFonts w:cs="Arial"/>
          <w:szCs w:val="20"/>
        </w:rPr>
        <w:t>emergency care</w:t>
      </w:r>
      <w:r w:rsidR="00D22B50" w:rsidRPr="00755DBD">
        <w:rPr>
          <w:rFonts w:cs="Arial"/>
          <w:szCs w:val="20"/>
        </w:rPr>
        <w:t xml:space="preserve"> </w:t>
      </w:r>
      <w:r w:rsidRPr="00755DBD">
        <w:rPr>
          <w:rFonts w:cs="Arial"/>
          <w:szCs w:val="20"/>
        </w:rPr>
        <w:t>population as reported in the ABF DSS dataset</w:t>
      </w:r>
      <w:r w:rsidR="00463FF1">
        <w:rPr>
          <w:rFonts w:cs="Arial"/>
          <w:szCs w:val="20"/>
        </w:rPr>
        <w:t>s</w:t>
      </w:r>
      <w:r w:rsidRPr="00755DBD">
        <w:rPr>
          <w:rFonts w:cs="Arial"/>
          <w:szCs w:val="20"/>
        </w:rPr>
        <w:t xml:space="preserve"> and NPHED.</w:t>
      </w:r>
    </w:p>
    <w:p w:rsidR="00460371" w:rsidRPr="000D5149" w:rsidRDefault="00460371" w:rsidP="00AD4FFC">
      <w:pPr>
        <w:tabs>
          <w:tab w:val="left" w:pos="1162"/>
        </w:tabs>
        <w:rPr>
          <w:rFonts w:cs="Arial"/>
          <w:szCs w:val="20"/>
        </w:rPr>
      </w:pPr>
      <w:r w:rsidRPr="002909DA">
        <w:rPr>
          <w:rFonts w:cs="Arial"/>
          <w:szCs w:val="20"/>
        </w:rPr>
        <w:t xml:space="preserve">The initial data preparation processes were similar to that used </w:t>
      </w:r>
      <w:r>
        <w:rPr>
          <w:rFonts w:cs="Arial"/>
          <w:szCs w:val="20"/>
        </w:rPr>
        <w:t>for NEP1</w:t>
      </w:r>
      <w:r w:rsidR="00AF74E4">
        <w:rPr>
          <w:rFonts w:cs="Arial"/>
          <w:szCs w:val="20"/>
        </w:rPr>
        <w:t>4</w:t>
      </w:r>
      <w:r>
        <w:rPr>
          <w:rFonts w:cs="Arial"/>
          <w:szCs w:val="20"/>
        </w:rPr>
        <w:t xml:space="preserve">. </w:t>
      </w:r>
      <w:r w:rsidRPr="000D5149">
        <w:rPr>
          <w:rFonts w:cs="Arial"/>
          <w:szCs w:val="20"/>
        </w:rPr>
        <w:t xml:space="preserve">The cleansed data </w:t>
      </w:r>
      <w:r w:rsidR="0045546E">
        <w:rPr>
          <w:rFonts w:cs="Arial"/>
          <w:szCs w:val="20"/>
        </w:rPr>
        <w:t>is</w:t>
      </w:r>
      <w:r w:rsidRPr="000D5149">
        <w:rPr>
          <w:rFonts w:cs="Arial"/>
          <w:szCs w:val="20"/>
        </w:rPr>
        <w:t xml:space="preserve"> </w:t>
      </w:r>
      <w:r>
        <w:rPr>
          <w:rFonts w:cs="Arial"/>
          <w:szCs w:val="20"/>
        </w:rPr>
        <w:t xml:space="preserve">episode level data grouped by </w:t>
      </w:r>
      <w:r w:rsidRPr="000D5149">
        <w:rPr>
          <w:rFonts w:cs="Arial"/>
          <w:szCs w:val="20"/>
        </w:rPr>
        <w:t xml:space="preserve">URG </w:t>
      </w:r>
      <w:r>
        <w:rPr>
          <w:rFonts w:cs="Arial"/>
          <w:szCs w:val="20"/>
        </w:rPr>
        <w:t xml:space="preserve">or </w:t>
      </w:r>
      <w:r w:rsidRPr="000D5149">
        <w:rPr>
          <w:rFonts w:cs="Arial"/>
          <w:szCs w:val="20"/>
        </w:rPr>
        <w:t>UDG</w:t>
      </w:r>
      <w:r>
        <w:rPr>
          <w:rFonts w:cs="Arial"/>
          <w:szCs w:val="20"/>
        </w:rPr>
        <w:t>. The following data</w:t>
      </w:r>
      <w:r w:rsidRPr="000D5149">
        <w:rPr>
          <w:rFonts w:cs="Arial"/>
          <w:szCs w:val="20"/>
        </w:rPr>
        <w:t xml:space="preserve"> </w:t>
      </w:r>
      <w:r>
        <w:rPr>
          <w:rFonts w:cs="Arial"/>
          <w:szCs w:val="20"/>
        </w:rPr>
        <w:t>was not used in deriving relativities across URGs and UDGs, but was used to calibrate the overall cost level of the model. This was done in a similar way to the integration of aggregate-level cost data in the acute admitted model</w:t>
      </w:r>
      <w:r w:rsidRPr="000D5149">
        <w:rPr>
          <w:rFonts w:cs="Arial"/>
          <w:szCs w:val="20"/>
        </w:rPr>
        <w:t>:</w:t>
      </w:r>
    </w:p>
    <w:p w:rsidR="00460371" w:rsidRPr="00703353" w:rsidRDefault="00460371" w:rsidP="00AD4FFC">
      <w:pPr>
        <w:pStyle w:val="ListParagraph"/>
        <w:numPr>
          <w:ilvl w:val="0"/>
          <w:numId w:val="25"/>
        </w:numPr>
        <w:tabs>
          <w:tab w:val="left" w:pos="1162"/>
        </w:tabs>
        <w:spacing w:before="80" w:after="0"/>
        <w:ind w:left="714" w:hanging="357"/>
        <w:rPr>
          <w:rFonts w:cs="Arial"/>
          <w:szCs w:val="20"/>
        </w:rPr>
      </w:pPr>
      <w:r w:rsidRPr="00703353">
        <w:rPr>
          <w:rFonts w:cs="Arial"/>
          <w:szCs w:val="20"/>
        </w:rPr>
        <w:t>Aggregate data provided at the establishment level in NHCDC Round 1</w:t>
      </w:r>
      <w:r w:rsidR="00333F76">
        <w:rPr>
          <w:rFonts w:cs="Arial"/>
          <w:szCs w:val="20"/>
        </w:rPr>
        <w:t>7</w:t>
      </w:r>
      <w:r w:rsidRPr="00703353">
        <w:rPr>
          <w:rFonts w:cs="Arial"/>
          <w:szCs w:val="20"/>
        </w:rPr>
        <w:t xml:space="preserve"> such as for cost modelled sites;</w:t>
      </w:r>
    </w:p>
    <w:p w:rsidR="00460371" w:rsidRPr="00703353" w:rsidRDefault="00460371" w:rsidP="00AD4FFC">
      <w:pPr>
        <w:pStyle w:val="ListParagraph"/>
        <w:numPr>
          <w:ilvl w:val="0"/>
          <w:numId w:val="25"/>
        </w:numPr>
        <w:tabs>
          <w:tab w:val="left" w:pos="1162"/>
        </w:tabs>
        <w:spacing w:before="80" w:after="0"/>
        <w:ind w:left="714" w:hanging="357"/>
        <w:rPr>
          <w:rFonts w:cs="Arial"/>
          <w:szCs w:val="20"/>
        </w:rPr>
      </w:pPr>
      <w:r>
        <w:rPr>
          <w:rFonts w:cs="Arial"/>
          <w:szCs w:val="20"/>
        </w:rPr>
        <w:t xml:space="preserve">Presentations that grouped to error URGs and UDGs due to missing or invalid </w:t>
      </w:r>
      <w:r w:rsidRPr="00703353">
        <w:rPr>
          <w:rFonts w:cs="Arial"/>
          <w:szCs w:val="20"/>
        </w:rPr>
        <w:t xml:space="preserve">data </w:t>
      </w:r>
      <w:r>
        <w:rPr>
          <w:rFonts w:cs="Arial"/>
          <w:szCs w:val="20"/>
        </w:rPr>
        <w:t>fields</w:t>
      </w:r>
      <w:r w:rsidRPr="00703353">
        <w:rPr>
          <w:rFonts w:cs="Arial"/>
          <w:szCs w:val="20"/>
        </w:rPr>
        <w:t>;</w:t>
      </w:r>
    </w:p>
    <w:p w:rsidR="00460371" w:rsidRPr="000D5149" w:rsidRDefault="00460371" w:rsidP="00AD4FFC">
      <w:pPr>
        <w:pStyle w:val="ListParagraph"/>
        <w:numPr>
          <w:ilvl w:val="0"/>
          <w:numId w:val="25"/>
        </w:numPr>
        <w:tabs>
          <w:tab w:val="left" w:pos="1162"/>
        </w:tabs>
        <w:spacing w:before="80" w:after="0"/>
        <w:ind w:left="714" w:hanging="357"/>
        <w:rPr>
          <w:rFonts w:cs="Arial"/>
          <w:szCs w:val="20"/>
        </w:rPr>
      </w:pPr>
      <w:r w:rsidRPr="000D5149">
        <w:rPr>
          <w:rFonts w:cs="Arial"/>
          <w:szCs w:val="20"/>
        </w:rPr>
        <w:t xml:space="preserve">Presentations that were less than </w:t>
      </w:r>
      <w:r w:rsidRPr="00D22B6B">
        <w:rPr>
          <w:rFonts w:cs="Arial"/>
          <w:szCs w:val="20"/>
        </w:rPr>
        <w:t>$5</w:t>
      </w:r>
      <w:r w:rsidRPr="000D5149">
        <w:rPr>
          <w:rFonts w:cs="Arial"/>
          <w:szCs w:val="20"/>
        </w:rPr>
        <w:t>; and</w:t>
      </w:r>
    </w:p>
    <w:p w:rsidR="00460371" w:rsidRDefault="00460371" w:rsidP="00AD4FFC">
      <w:pPr>
        <w:pStyle w:val="ListParagraph"/>
        <w:numPr>
          <w:ilvl w:val="0"/>
          <w:numId w:val="25"/>
        </w:numPr>
        <w:tabs>
          <w:tab w:val="left" w:pos="1162"/>
        </w:tabs>
        <w:spacing w:before="80" w:after="0"/>
        <w:ind w:left="714" w:hanging="357"/>
        <w:rPr>
          <w:rFonts w:cs="Arial"/>
          <w:szCs w:val="20"/>
        </w:rPr>
      </w:pPr>
      <w:r>
        <w:rPr>
          <w:rFonts w:cs="Arial"/>
          <w:szCs w:val="20"/>
        </w:rPr>
        <w:lastRenderedPageBreak/>
        <w:t xml:space="preserve">Extreme cost outliers within each </w:t>
      </w:r>
      <w:r w:rsidRPr="000D5149">
        <w:rPr>
          <w:rFonts w:cs="Arial"/>
          <w:szCs w:val="20"/>
        </w:rPr>
        <w:t xml:space="preserve">UDG </w:t>
      </w:r>
      <w:r>
        <w:rPr>
          <w:rFonts w:cs="Arial"/>
          <w:szCs w:val="20"/>
        </w:rPr>
        <w:t>class</w:t>
      </w:r>
      <w:r w:rsidRPr="000D5149">
        <w:rPr>
          <w:rFonts w:cs="Arial"/>
          <w:szCs w:val="20"/>
        </w:rPr>
        <w:t>.</w:t>
      </w:r>
    </w:p>
    <w:p w:rsidR="00460371" w:rsidRDefault="00460371" w:rsidP="00AD4FFC">
      <w:pPr>
        <w:pStyle w:val="Heading3"/>
        <w:keepLines w:val="0"/>
        <w:numPr>
          <w:ilvl w:val="2"/>
          <w:numId w:val="35"/>
        </w:numPr>
        <w:tabs>
          <w:tab w:val="left" w:pos="1162"/>
        </w:tabs>
        <w:spacing w:before="240" w:after="120"/>
      </w:pPr>
      <w:bookmarkStart w:id="245" w:name="_Toc380754718"/>
      <w:bookmarkStart w:id="246" w:name="_Toc412550764"/>
      <w:r>
        <w:t>Sample weights</w:t>
      </w:r>
      <w:bookmarkEnd w:id="245"/>
      <w:bookmarkEnd w:id="246"/>
    </w:p>
    <w:p w:rsidR="00460371" w:rsidRDefault="00460371" w:rsidP="00AD4FFC">
      <w:pPr>
        <w:tabs>
          <w:tab w:val="left" w:pos="1162"/>
        </w:tabs>
        <w:rPr>
          <w:rFonts w:cs="Arial"/>
          <w:szCs w:val="20"/>
        </w:rPr>
      </w:pPr>
      <w:r w:rsidRPr="00D2117F">
        <w:rPr>
          <w:rFonts w:cs="Arial"/>
          <w:szCs w:val="20"/>
        </w:rPr>
        <w:t>The NHCDC provides a sample of emergency care activity in public hospitals</w:t>
      </w:r>
      <w:r>
        <w:rPr>
          <w:rFonts w:cs="Arial"/>
          <w:szCs w:val="20"/>
        </w:rPr>
        <w:t xml:space="preserve">. </w:t>
      </w:r>
      <w:r w:rsidRPr="00D2117F">
        <w:rPr>
          <w:rFonts w:cs="Arial"/>
          <w:szCs w:val="20"/>
        </w:rPr>
        <w:t xml:space="preserve">To ensure the resulting calculations for the NWAU </w:t>
      </w:r>
      <w:r>
        <w:rPr>
          <w:rFonts w:cs="Arial"/>
          <w:szCs w:val="20"/>
        </w:rPr>
        <w:t>are</w:t>
      </w:r>
      <w:r w:rsidRPr="00D2117F">
        <w:rPr>
          <w:rFonts w:cs="Arial"/>
          <w:szCs w:val="20"/>
        </w:rPr>
        <w:t xml:space="preserve"> appropriate for the full population of emergency care activity, observations from the NHCDC </w:t>
      </w:r>
      <w:r>
        <w:rPr>
          <w:rFonts w:cs="Arial"/>
          <w:szCs w:val="20"/>
        </w:rPr>
        <w:t>are</w:t>
      </w:r>
      <w:r w:rsidRPr="00D2117F">
        <w:rPr>
          <w:rFonts w:cs="Arial"/>
          <w:szCs w:val="20"/>
        </w:rPr>
        <w:t xml:space="preserve"> weighted up to reflect the entire population of emergency care activity by state/territory.</w:t>
      </w:r>
    </w:p>
    <w:p w:rsidR="00460371" w:rsidRDefault="00460371" w:rsidP="00AD4FFC">
      <w:pPr>
        <w:pStyle w:val="Heading3"/>
        <w:keepLines w:val="0"/>
        <w:numPr>
          <w:ilvl w:val="2"/>
          <w:numId w:val="35"/>
        </w:numPr>
        <w:tabs>
          <w:tab w:val="left" w:pos="1162"/>
        </w:tabs>
        <w:spacing w:before="240" w:after="120"/>
      </w:pPr>
      <w:bookmarkStart w:id="247" w:name="_Toc380754719"/>
      <w:bookmarkStart w:id="248" w:name="_Toc412550765"/>
      <w:r>
        <w:t>Cost parameters and adjustments</w:t>
      </w:r>
      <w:bookmarkEnd w:id="247"/>
      <w:bookmarkEnd w:id="248"/>
    </w:p>
    <w:p w:rsidR="00460371" w:rsidRDefault="00460371" w:rsidP="00AD4FFC">
      <w:pPr>
        <w:tabs>
          <w:tab w:val="left" w:pos="1162"/>
        </w:tabs>
        <w:rPr>
          <w:rFonts w:cs="Arial"/>
          <w:szCs w:val="20"/>
        </w:rPr>
      </w:pPr>
      <w:r>
        <w:rPr>
          <w:rFonts w:cs="Arial"/>
          <w:szCs w:val="20"/>
        </w:rPr>
        <w:t>Data enters the cost model at one of three levels: by URG, by UDG, or aggregated to an establishment level. URG data was used to derive an initial set of URG cost parameters. The URG and UDG data was combined to obtain cost parameters across UDGs, and the URG parameters were then calibrated against the UDG parameters. Finally, the URG and UDG datasets were combined with the aggregate data (controlled for UDG casemix) to obtain an overall cost level across the entire sample. The URG and UDG cost parameters are calibrated against this cost level.</w:t>
      </w:r>
    </w:p>
    <w:p w:rsidR="00460371" w:rsidRPr="00D2117F" w:rsidRDefault="00460371" w:rsidP="00AD4FFC">
      <w:pPr>
        <w:tabs>
          <w:tab w:val="left" w:pos="1162"/>
        </w:tabs>
        <w:rPr>
          <w:rFonts w:cs="Arial"/>
          <w:szCs w:val="20"/>
        </w:rPr>
      </w:pPr>
      <w:r>
        <w:rPr>
          <w:rFonts w:cs="Arial"/>
          <w:szCs w:val="20"/>
        </w:rPr>
        <w:t xml:space="preserve">This process ensures that the URG and UDG cost parameters are aligned and the overall model costs are </w:t>
      </w:r>
      <w:r w:rsidR="00C82274">
        <w:rPr>
          <w:rFonts w:cs="Arial"/>
          <w:szCs w:val="20"/>
        </w:rPr>
        <w:t>equalled</w:t>
      </w:r>
      <w:r>
        <w:rPr>
          <w:rFonts w:cs="Arial"/>
          <w:szCs w:val="20"/>
        </w:rPr>
        <w:t xml:space="preserve"> to actual costs.</w:t>
      </w:r>
    </w:p>
    <w:p w:rsidR="00460371" w:rsidRDefault="00460371" w:rsidP="00AD4FFC">
      <w:pPr>
        <w:pStyle w:val="Heading3"/>
        <w:keepLines w:val="0"/>
        <w:numPr>
          <w:ilvl w:val="2"/>
          <w:numId w:val="35"/>
        </w:numPr>
        <w:spacing w:before="240" w:after="120"/>
      </w:pPr>
      <w:bookmarkStart w:id="249" w:name="_Toc380754720"/>
      <w:bookmarkStart w:id="250" w:name="_Toc412550766"/>
      <w:r w:rsidRPr="004E7836">
        <w:t>Price weights and NWAU</w:t>
      </w:r>
      <w:bookmarkEnd w:id="249"/>
      <w:bookmarkEnd w:id="250"/>
    </w:p>
    <w:p w:rsidR="00460371" w:rsidRDefault="00460371" w:rsidP="00AD4FFC">
      <w:pPr>
        <w:tabs>
          <w:tab w:val="left" w:pos="1162"/>
        </w:tabs>
        <w:rPr>
          <w:rFonts w:cs="Arial"/>
          <w:szCs w:val="20"/>
        </w:rPr>
      </w:pPr>
      <w:r>
        <w:rPr>
          <w:rFonts w:cs="Arial"/>
          <w:szCs w:val="20"/>
        </w:rPr>
        <w:t xml:space="preserve">The final step of the process involves the conversion of cost parameters to cost weights. This is done by </w:t>
      </w:r>
      <w:r w:rsidRPr="00D2117F">
        <w:rPr>
          <w:rFonts w:cs="Arial"/>
          <w:szCs w:val="20"/>
        </w:rPr>
        <w:t xml:space="preserve">dividing the URG and UDG </w:t>
      </w:r>
      <w:r>
        <w:rPr>
          <w:rFonts w:cs="Arial"/>
          <w:szCs w:val="20"/>
        </w:rPr>
        <w:t>cost parameters</w:t>
      </w:r>
      <w:r w:rsidRPr="00D2117F">
        <w:rPr>
          <w:rFonts w:cs="Arial"/>
          <w:szCs w:val="20"/>
        </w:rPr>
        <w:t xml:space="preserve"> by the </w:t>
      </w:r>
      <w:r>
        <w:rPr>
          <w:rFonts w:cs="Arial"/>
          <w:szCs w:val="20"/>
        </w:rPr>
        <w:t>reference</w:t>
      </w:r>
      <w:r w:rsidRPr="0068154B">
        <w:rPr>
          <w:rFonts w:cs="Arial"/>
          <w:szCs w:val="20"/>
        </w:rPr>
        <w:t xml:space="preserve"> cost for </w:t>
      </w:r>
      <w:r>
        <w:rPr>
          <w:rFonts w:cs="Arial"/>
          <w:szCs w:val="20"/>
        </w:rPr>
        <w:t>the acute admitted cost model</w:t>
      </w:r>
      <w:r w:rsidRPr="00D2117F">
        <w:rPr>
          <w:rFonts w:cs="Arial"/>
          <w:szCs w:val="20"/>
        </w:rPr>
        <w:t>.</w:t>
      </w:r>
      <w:r>
        <w:rPr>
          <w:rFonts w:cs="Arial"/>
          <w:szCs w:val="20"/>
        </w:rPr>
        <w:t xml:space="preserve"> These cost weights are then converted to the price weights used to calculate NWAU</w:t>
      </w:r>
      <w:r w:rsidRPr="00D2117F">
        <w:rPr>
          <w:rFonts w:cs="Arial"/>
          <w:szCs w:val="20"/>
        </w:rPr>
        <w:t>.</w:t>
      </w:r>
    </w:p>
    <w:p w:rsidR="00E74059" w:rsidRDefault="00E74059" w:rsidP="00E74059">
      <w:pPr>
        <w:tabs>
          <w:tab w:val="left" w:pos="1162"/>
        </w:tabs>
        <w:rPr>
          <w:rFonts w:cs="Arial"/>
          <w:szCs w:val="20"/>
        </w:rPr>
      </w:pPr>
      <w:r>
        <w:rPr>
          <w:rFonts w:cs="Arial"/>
          <w:szCs w:val="20"/>
        </w:rPr>
        <w:t>As set out in the NEP15 Determination, the price of an ED ABF activity is calculated using the following formula with adjustments as applicable.</w:t>
      </w:r>
    </w:p>
    <w:p w:rsidR="00E74059" w:rsidRDefault="00E74059" w:rsidP="00E74059">
      <w:pPr>
        <w:spacing w:before="280"/>
        <w:rPr>
          <w:rFonts w:cs="Arial"/>
          <w:color w:val="000000"/>
          <w:szCs w:val="24"/>
        </w:rPr>
      </w:pPr>
      <w:r w:rsidRPr="000306BE">
        <w:rPr>
          <w:rFonts w:cs="Arial"/>
          <w:b/>
          <w:color w:val="000000"/>
          <w:szCs w:val="24"/>
        </w:rPr>
        <w:t xml:space="preserve">Price of an </w:t>
      </w:r>
      <w:r>
        <w:rPr>
          <w:rFonts w:cs="Arial"/>
          <w:b/>
          <w:color w:val="000000"/>
          <w:szCs w:val="24"/>
        </w:rPr>
        <w:t>emergency department or emergency service</w:t>
      </w:r>
      <w:r w:rsidRPr="000306BE">
        <w:rPr>
          <w:rFonts w:cs="Arial"/>
          <w:b/>
          <w:color w:val="000000"/>
          <w:szCs w:val="24"/>
        </w:rPr>
        <w:t xml:space="preserve"> ABF Activity</w:t>
      </w:r>
      <w:r w:rsidRPr="000306BE">
        <w:rPr>
          <w:rFonts w:cs="Arial"/>
          <w:color w:val="000000"/>
          <w:szCs w:val="24"/>
        </w:rPr>
        <w:t xml:space="preserve"> </w:t>
      </w:r>
      <w:r w:rsidRPr="00626E5D">
        <w:rPr>
          <w:rFonts w:cs="Arial"/>
          <w:color w:val="000000"/>
          <w:szCs w:val="24"/>
        </w:rPr>
        <w:t>=</w:t>
      </w:r>
      <w:r>
        <w:rPr>
          <w:rFonts w:cs="Arial"/>
          <w:color w:val="000000"/>
          <w:szCs w:val="24"/>
        </w:rPr>
        <w:t xml:space="preserve"> </w:t>
      </w:r>
    </w:p>
    <w:p w:rsidR="00E74059" w:rsidRPr="00626E5D" w:rsidRDefault="00E74059" w:rsidP="00E74059">
      <w:pPr>
        <w:rPr>
          <w:rFonts w:cs="Arial"/>
          <w:szCs w:val="24"/>
        </w:rPr>
      </w:pPr>
      <w:r w:rsidRPr="001D27D8">
        <w:rPr>
          <w:rFonts w:cstheme="minorHAnsi"/>
          <w:color w:val="000000"/>
          <w:sz w:val="28"/>
          <w:szCs w:val="28"/>
        </w:rPr>
        <w:t>{</w:t>
      </w:r>
      <w:r w:rsidRPr="00626E5D">
        <w:rPr>
          <w:rFonts w:cs="Arial"/>
          <w:color w:val="000000"/>
          <w:szCs w:val="24"/>
        </w:rPr>
        <w:t xml:space="preserve">PW x (1 + </w:t>
      </w:r>
      <w:proofErr w:type="spellStart"/>
      <w:r w:rsidRPr="00626E5D">
        <w:rPr>
          <w:rFonts w:cs="Arial"/>
          <w:color w:val="000000"/>
          <w:szCs w:val="24"/>
        </w:rPr>
        <w:t>A</w:t>
      </w:r>
      <w:r w:rsidRPr="00626E5D">
        <w:rPr>
          <w:rFonts w:cs="Arial"/>
          <w:color w:val="000000"/>
          <w:szCs w:val="24"/>
          <w:vertAlign w:val="subscript"/>
        </w:rPr>
        <w:t>Ind</w:t>
      </w:r>
      <w:proofErr w:type="spellEnd"/>
      <w:r w:rsidRPr="00626E5D">
        <w:rPr>
          <w:rFonts w:cs="Arial"/>
          <w:color w:val="000000"/>
          <w:szCs w:val="24"/>
        </w:rPr>
        <w:t>)</w:t>
      </w:r>
      <w:r w:rsidRPr="001D27D8">
        <w:rPr>
          <w:rFonts w:cstheme="minorHAnsi"/>
          <w:color w:val="000000"/>
          <w:sz w:val="28"/>
          <w:szCs w:val="28"/>
        </w:rPr>
        <w:t>}</w:t>
      </w:r>
      <w:r w:rsidRPr="00626E5D">
        <w:rPr>
          <w:rFonts w:cs="Arial"/>
          <w:color w:val="000000"/>
          <w:szCs w:val="24"/>
        </w:rPr>
        <w:t xml:space="preserve"> x NEP</w:t>
      </w:r>
    </w:p>
    <w:p w:rsidR="00E74059" w:rsidRDefault="00E74059" w:rsidP="00E74059">
      <w:pPr>
        <w:spacing w:after="0"/>
        <w:rPr>
          <w:rFonts w:cs="Arial"/>
          <w:szCs w:val="24"/>
        </w:rPr>
      </w:pPr>
    </w:p>
    <w:p w:rsidR="00E74059" w:rsidRPr="000306BE" w:rsidRDefault="00E74059" w:rsidP="00E74059">
      <w:pPr>
        <w:rPr>
          <w:rFonts w:cs="Arial"/>
          <w:szCs w:val="24"/>
        </w:rPr>
      </w:pPr>
      <w:r w:rsidRPr="000306BE">
        <w:rPr>
          <w:rFonts w:cs="Arial"/>
          <w:szCs w:val="24"/>
        </w:rPr>
        <w:t>Where:</w:t>
      </w:r>
      <w:r w:rsidRPr="002A1927">
        <w:rPr>
          <w:rFonts w:cs="Arial"/>
          <w:noProof/>
          <w:szCs w:val="24"/>
          <w:lang w:eastAsia="en-AU"/>
        </w:rPr>
        <w:t xml:space="preserve"> </w:t>
      </w:r>
    </w:p>
    <w:p w:rsidR="00E74059" w:rsidRDefault="00E74059" w:rsidP="00E74059">
      <w:pPr>
        <w:ind w:left="1985" w:hanging="1985"/>
        <w:rPr>
          <w:rFonts w:cs="Arial"/>
          <w:b/>
          <w:szCs w:val="24"/>
        </w:rPr>
      </w:pPr>
      <w:proofErr w:type="spellStart"/>
      <w:r w:rsidRPr="000306BE">
        <w:rPr>
          <w:rFonts w:cs="Arial"/>
          <w:b/>
          <w:szCs w:val="24"/>
        </w:rPr>
        <w:t>A</w:t>
      </w:r>
      <w:r w:rsidRPr="000306BE">
        <w:rPr>
          <w:rFonts w:cs="Arial"/>
          <w:b/>
          <w:szCs w:val="24"/>
          <w:vertAlign w:val="subscript"/>
        </w:rPr>
        <w:t>Ind</w:t>
      </w:r>
      <w:proofErr w:type="spellEnd"/>
      <w:r w:rsidRPr="000306BE">
        <w:rPr>
          <w:rFonts w:cs="Arial"/>
          <w:szCs w:val="24"/>
          <w:vertAlign w:val="subscript"/>
        </w:rPr>
        <w:tab/>
      </w:r>
      <w:r w:rsidRPr="000306BE">
        <w:rPr>
          <w:rFonts w:cs="Arial"/>
          <w:szCs w:val="24"/>
        </w:rPr>
        <w:t xml:space="preserve">means the </w:t>
      </w:r>
      <w:r w:rsidRPr="000306BE">
        <w:rPr>
          <w:rFonts w:cs="Arial"/>
          <w:i/>
          <w:szCs w:val="24"/>
        </w:rPr>
        <w:t>Indigenous Adjustment</w:t>
      </w:r>
    </w:p>
    <w:p w:rsidR="00E74059" w:rsidRPr="000306BE" w:rsidRDefault="00E74059" w:rsidP="00E74059">
      <w:pPr>
        <w:ind w:left="1985" w:hanging="1985"/>
        <w:rPr>
          <w:rFonts w:cs="Arial"/>
        </w:rPr>
      </w:pPr>
      <w:r w:rsidRPr="000306BE">
        <w:rPr>
          <w:rFonts w:cs="Arial"/>
          <w:b/>
        </w:rPr>
        <w:t>NEP</w:t>
      </w:r>
      <w:r w:rsidRPr="000306BE">
        <w:rPr>
          <w:rFonts w:cs="Arial"/>
        </w:rPr>
        <w:tab/>
        <w:t>National Efficient Price 201</w:t>
      </w:r>
      <w:r>
        <w:rPr>
          <w:rFonts w:cs="Arial"/>
        </w:rPr>
        <w:t>5-16</w:t>
      </w:r>
    </w:p>
    <w:p w:rsidR="00E74059" w:rsidRPr="000306BE" w:rsidRDefault="00E74059" w:rsidP="00E74059">
      <w:pPr>
        <w:ind w:left="1985" w:hanging="1985"/>
        <w:rPr>
          <w:rFonts w:cs="Arial"/>
          <w:b/>
        </w:rPr>
      </w:pPr>
      <w:r w:rsidRPr="000306BE">
        <w:rPr>
          <w:rFonts w:cs="Arial"/>
          <w:b/>
        </w:rPr>
        <w:t>PW</w:t>
      </w:r>
      <w:r w:rsidRPr="000306BE">
        <w:rPr>
          <w:rFonts w:cs="Arial"/>
          <w:b/>
        </w:rPr>
        <w:tab/>
      </w:r>
      <w:r w:rsidRPr="000306BE">
        <w:rPr>
          <w:rFonts w:cs="Arial"/>
        </w:rPr>
        <w:t>means the Price Weight f</w:t>
      </w:r>
      <w:r>
        <w:rPr>
          <w:rFonts w:cs="Arial"/>
        </w:rPr>
        <w:t>or an ABF Activity as set out in</w:t>
      </w:r>
      <w:r w:rsidRPr="000306BE">
        <w:rPr>
          <w:rFonts w:cs="Arial"/>
        </w:rPr>
        <w:t xml:space="preserve"> </w:t>
      </w:r>
      <w:r>
        <w:rPr>
          <w:rFonts w:cs="Arial"/>
        </w:rPr>
        <w:t xml:space="preserve">the NEP15 Determination </w:t>
      </w:r>
      <w:r w:rsidRPr="000306BE">
        <w:rPr>
          <w:rFonts w:cs="Arial"/>
        </w:rPr>
        <w:t xml:space="preserve">Appendix </w:t>
      </w:r>
      <w:r>
        <w:rPr>
          <w:rFonts w:cs="Arial"/>
        </w:rPr>
        <w:t>H (for admitted acute), Appendix I and J (for admitted subacute and non-acute), Appendix K (for non-admitted), Appendix L (for emergency department) or Appendix M (for emergency services)</w:t>
      </w:r>
    </w:p>
    <w:p w:rsidR="00460371" w:rsidRDefault="00460371" w:rsidP="00AD4FFC">
      <w:pPr>
        <w:pStyle w:val="Heading2"/>
        <w:keepLines w:val="0"/>
        <w:numPr>
          <w:ilvl w:val="1"/>
          <w:numId w:val="35"/>
        </w:numPr>
        <w:tabs>
          <w:tab w:val="left" w:pos="1162"/>
        </w:tabs>
        <w:spacing w:after="60"/>
      </w:pPr>
      <w:bookmarkStart w:id="251" w:name="_Toc412123633"/>
      <w:bookmarkStart w:id="252" w:name="_Toc412191141"/>
      <w:bookmarkStart w:id="253" w:name="_Toc412193576"/>
      <w:bookmarkStart w:id="254" w:name="_Toc412193678"/>
      <w:bookmarkStart w:id="255" w:name="_Toc412196572"/>
      <w:bookmarkStart w:id="256" w:name="_Toc412196675"/>
      <w:bookmarkStart w:id="257" w:name="_Toc412196778"/>
      <w:bookmarkStart w:id="258" w:name="_Toc412197078"/>
      <w:bookmarkStart w:id="259" w:name="_Toc412198102"/>
      <w:bookmarkStart w:id="260" w:name="_Toc412204631"/>
      <w:bookmarkStart w:id="261" w:name="_Toc412206023"/>
      <w:bookmarkStart w:id="262" w:name="_Toc412206609"/>
      <w:bookmarkStart w:id="263" w:name="_Toc412206734"/>
      <w:bookmarkStart w:id="264" w:name="_Toc412206836"/>
      <w:bookmarkStart w:id="265" w:name="_Toc412206936"/>
      <w:bookmarkStart w:id="266" w:name="_Toc412207145"/>
      <w:bookmarkStart w:id="267" w:name="_Toc412207408"/>
      <w:bookmarkStart w:id="268" w:name="_Toc380754721"/>
      <w:bookmarkStart w:id="269" w:name="_Toc412550767"/>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t>Assigning NWAU for emergency care</w:t>
      </w:r>
      <w:bookmarkEnd w:id="268"/>
      <w:bookmarkEnd w:id="269"/>
    </w:p>
    <w:p w:rsidR="00460371" w:rsidRDefault="00460371" w:rsidP="00AD4FFC">
      <w:pPr>
        <w:tabs>
          <w:tab w:val="left" w:pos="1162"/>
        </w:tabs>
        <w:spacing w:before="120"/>
        <w:rPr>
          <w:rFonts w:cs="Arial"/>
          <w:szCs w:val="20"/>
        </w:rPr>
      </w:pPr>
      <w:r w:rsidRPr="00D2117F">
        <w:rPr>
          <w:rFonts w:cs="Arial"/>
          <w:szCs w:val="20"/>
        </w:rPr>
        <w:t xml:space="preserve">NWAU </w:t>
      </w:r>
      <w:r>
        <w:rPr>
          <w:rFonts w:cs="Arial"/>
          <w:szCs w:val="20"/>
        </w:rPr>
        <w:t xml:space="preserve">are assigned to </w:t>
      </w:r>
      <w:r w:rsidRPr="00D2117F">
        <w:rPr>
          <w:rFonts w:cs="Arial"/>
          <w:szCs w:val="20"/>
        </w:rPr>
        <w:t xml:space="preserve">emergency care </w:t>
      </w:r>
      <w:r>
        <w:rPr>
          <w:rFonts w:cs="Arial"/>
          <w:szCs w:val="20"/>
        </w:rPr>
        <w:t xml:space="preserve">activity </w:t>
      </w:r>
      <w:r w:rsidRPr="00D2117F">
        <w:rPr>
          <w:rFonts w:cs="Arial"/>
          <w:szCs w:val="20"/>
        </w:rPr>
        <w:t xml:space="preserve">on the basis of a URG or a UDG. The former is applied to level 3B to </w:t>
      </w:r>
      <w:r w:rsidR="004A68DE">
        <w:rPr>
          <w:rFonts w:cs="Arial"/>
          <w:szCs w:val="20"/>
        </w:rPr>
        <w:t>6</w:t>
      </w:r>
      <w:r w:rsidRPr="00D2117F">
        <w:rPr>
          <w:rFonts w:cs="Arial"/>
          <w:szCs w:val="20"/>
        </w:rPr>
        <w:t xml:space="preserve"> emergency departments, and the latter to Level 1 to 3A emergency services</w:t>
      </w:r>
      <w:r>
        <w:rPr>
          <w:rFonts w:cs="Arial"/>
          <w:szCs w:val="20"/>
        </w:rPr>
        <w:t xml:space="preserve">. </w:t>
      </w:r>
    </w:p>
    <w:p w:rsidR="00460371" w:rsidRPr="0056029A" w:rsidRDefault="00460371" w:rsidP="00AD4FFC">
      <w:pPr>
        <w:tabs>
          <w:tab w:val="left" w:pos="1162"/>
        </w:tabs>
        <w:rPr>
          <w:rFonts w:cstheme="majorBidi"/>
        </w:rPr>
      </w:pPr>
      <w:r w:rsidRPr="00D2117F">
        <w:rPr>
          <w:rFonts w:cs="Arial"/>
          <w:szCs w:val="20"/>
        </w:rPr>
        <w:t xml:space="preserve">The steps involved in assigning NWAU to emergency department presentations are </w:t>
      </w:r>
      <w:r>
        <w:rPr>
          <w:rFonts w:cs="Arial"/>
          <w:szCs w:val="20"/>
        </w:rPr>
        <w:t>illustrated in</w:t>
      </w:r>
      <w:r w:rsidR="002F481D">
        <w:rPr>
          <w:rFonts w:cs="Arial"/>
          <w:szCs w:val="20"/>
        </w:rPr>
        <w:t xml:space="preserve"> Figure </w:t>
      </w:r>
      <w:r w:rsidR="006D7C24">
        <w:rPr>
          <w:rFonts w:cs="Arial"/>
          <w:szCs w:val="20"/>
        </w:rPr>
        <w:t>9</w:t>
      </w:r>
      <w:r>
        <w:rPr>
          <w:rFonts w:cs="Arial"/>
          <w:szCs w:val="20"/>
        </w:rPr>
        <w:t xml:space="preserve"> below. The two stages of data preparation and NWAU calculation are combined in the following section.</w:t>
      </w:r>
    </w:p>
    <w:p w:rsidR="00460371" w:rsidRPr="00F45E94" w:rsidRDefault="00460371" w:rsidP="00AD4FFC">
      <w:pPr>
        <w:pStyle w:val="Heading3"/>
        <w:keepLines w:val="0"/>
        <w:numPr>
          <w:ilvl w:val="2"/>
          <w:numId w:val="35"/>
        </w:numPr>
        <w:tabs>
          <w:tab w:val="left" w:pos="1162"/>
        </w:tabs>
        <w:spacing w:before="240" w:after="120"/>
      </w:pPr>
      <w:bookmarkStart w:id="270" w:name="_Toc380754722"/>
      <w:bookmarkStart w:id="271" w:name="_Toc412550768"/>
      <w:r w:rsidRPr="00F45E94">
        <w:lastRenderedPageBreak/>
        <w:t>Data Preparation</w:t>
      </w:r>
      <w:r>
        <w:t xml:space="preserve"> and calculation of NWAU</w:t>
      </w:r>
      <w:bookmarkEnd w:id="270"/>
      <w:bookmarkEnd w:id="271"/>
    </w:p>
    <w:p w:rsidR="00460371" w:rsidRDefault="00460371" w:rsidP="00AD4FFC">
      <w:pPr>
        <w:tabs>
          <w:tab w:val="left" w:pos="1162"/>
        </w:tabs>
        <w:rPr>
          <w:rFonts w:cs="Arial"/>
          <w:szCs w:val="20"/>
        </w:rPr>
      </w:pPr>
      <w:r w:rsidRPr="00AA593E">
        <w:rPr>
          <w:rFonts w:cs="Arial"/>
          <w:szCs w:val="20"/>
        </w:rPr>
        <w:t xml:space="preserve">This section details how to assign NWAU to emergency department patient data. The data preparation and NWAU calculation </w:t>
      </w:r>
      <w:r>
        <w:rPr>
          <w:rFonts w:cs="Arial"/>
          <w:szCs w:val="20"/>
        </w:rPr>
        <w:t xml:space="preserve">stages are </w:t>
      </w:r>
      <w:r w:rsidRPr="00AA593E">
        <w:rPr>
          <w:rFonts w:cs="Arial"/>
          <w:szCs w:val="20"/>
        </w:rPr>
        <w:t>illustrated in</w:t>
      </w:r>
      <w:r w:rsidR="002F481D">
        <w:rPr>
          <w:rFonts w:cs="Arial"/>
          <w:szCs w:val="20"/>
        </w:rPr>
        <w:t xml:space="preserve"> Figure </w:t>
      </w:r>
      <w:r w:rsidR="006D7C24">
        <w:rPr>
          <w:rFonts w:cs="Arial"/>
          <w:szCs w:val="20"/>
        </w:rPr>
        <w:t>9</w:t>
      </w:r>
      <w:r w:rsidRPr="00AA593E">
        <w:rPr>
          <w:rFonts w:cs="Arial"/>
          <w:szCs w:val="20"/>
        </w:rPr>
        <w:t xml:space="preserve">. The process is broken into </w:t>
      </w:r>
      <w:r w:rsidR="00297D16">
        <w:rPr>
          <w:rFonts w:cs="Arial"/>
          <w:szCs w:val="20"/>
        </w:rPr>
        <w:t>five</w:t>
      </w:r>
      <w:r w:rsidR="00297D16" w:rsidRPr="00AA593E">
        <w:rPr>
          <w:rFonts w:cs="Arial"/>
          <w:szCs w:val="20"/>
        </w:rPr>
        <w:t xml:space="preserve"> </w:t>
      </w:r>
      <w:r w:rsidRPr="00AA593E">
        <w:rPr>
          <w:rFonts w:cs="Arial"/>
          <w:szCs w:val="20"/>
        </w:rPr>
        <w:t>steps, each requiring variables created in previous steps, with the final step (Step</w:t>
      </w:r>
      <w:r w:rsidR="00034E0F">
        <w:rPr>
          <w:rFonts w:cs="Arial"/>
          <w:szCs w:val="20"/>
        </w:rPr>
        <w:t> </w:t>
      </w:r>
      <w:r w:rsidR="00297D16">
        <w:rPr>
          <w:rFonts w:cs="Arial"/>
          <w:szCs w:val="20"/>
        </w:rPr>
        <w:t>5</w:t>
      </w:r>
      <w:r w:rsidRPr="00AA593E">
        <w:rPr>
          <w:rFonts w:cs="Arial"/>
          <w:szCs w:val="20"/>
        </w:rPr>
        <w:t xml:space="preserve">) resulting in a variable containing the </w:t>
      </w:r>
      <w:r w:rsidR="00B94FB5">
        <w:rPr>
          <w:rFonts w:cs="Arial"/>
          <w:szCs w:val="20"/>
        </w:rPr>
        <w:t>2015-16</w:t>
      </w:r>
      <w:r w:rsidRPr="00AA593E">
        <w:rPr>
          <w:rFonts w:cs="Arial"/>
          <w:szCs w:val="20"/>
        </w:rPr>
        <w:t xml:space="preserve"> NWAU.</w:t>
      </w:r>
    </w:p>
    <w:p w:rsidR="00591754" w:rsidRDefault="00591754" w:rsidP="00AD4FFC">
      <w:pPr>
        <w:tabs>
          <w:tab w:val="left" w:pos="1162"/>
        </w:tabs>
        <w:rPr>
          <w:rFonts w:cs="Arial"/>
          <w:szCs w:val="20"/>
        </w:rPr>
      </w:pPr>
      <w:r w:rsidRPr="00C83F6F">
        <w:rPr>
          <w:rFonts w:cs="Arial"/>
          <w:szCs w:val="20"/>
        </w:rPr>
        <w:t>The process requires the three input datasets or tables referred to in</w:t>
      </w:r>
      <w:r>
        <w:rPr>
          <w:rFonts w:cs="Arial"/>
          <w:szCs w:val="20"/>
        </w:rPr>
        <w:t xml:space="preserve"> Table </w:t>
      </w:r>
      <w:r w:rsidR="00693CC5">
        <w:rPr>
          <w:rFonts w:cs="Arial"/>
          <w:szCs w:val="20"/>
        </w:rPr>
        <w:t>14</w:t>
      </w:r>
      <w:r w:rsidRPr="00C83F6F">
        <w:rPr>
          <w:rFonts w:cs="Arial"/>
          <w:szCs w:val="20"/>
        </w:rPr>
        <w:t>.</w:t>
      </w:r>
    </w:p>
    <w:p w:rsidR="00591754" w:rsidRDefault="00591754" w:rsidP="00AD4FFC">
      <w:pPr>
        <w:tabs>
          <w:tab w:val="left" w:pos="1162"/>
        </w:tabs>
        <w:rPr>
          <w:rFonts w:cs="Arial"/>
          <w:szCs w:val="20"/>
        </w:rPr>
      </w:pPr>
      <w:r w:rsidRPr="00C83F6F">
        <w:rPr>
          <w:rFonts w:cs="Arial"/>
          <w:szCs w:val="20"/>
        </w:rPr>
        <w:t>Six variables are required to form the input ED dataset</w:t>
      </w:r>
      <w:r>
        <w:rPr>
          <w:rFonts w:cs="Arial"/>
          <w:szCs w:val="20"/>
        </w:rPr>
        <w:t>:</w:t>
      </w:r>
    </w:p>
    <w:p w:rsidR="00591754" w:rsidRPr="00591754" w:rsidRDefault="00591754" w:rsidP="00C245E0">
      <w:pPr>
        <w:pStyle w:val="ListParagraph"/>
        <w:numPr>
          <w:ilvl w:val="0"/>
          <w:numId w:val="54"/>
        </w:numPr>
        <w:tabs>
          <w:tab w:val="left" w:pos="1162"/>
        </w:tabs>
        <w:spacing w:before="80" w:after="80"/>
        <w:ind w:left="714" w:hanging="357"/>
        <w:rPr>
          <w:rFonts w:cs="Arial"/>
          <w:szCs w:val="20"/>
        </w:rPr>
      </w:pPr>
      <w:r w:rsidRPr="00591754">
        <w:rPr>
          <w:rFonts w:cs="Arial"/>
          <w:szCs w:val="20"/>
        </w:rPr>
        <w:t>Establishment Identifier</w:t>
      </w:r>
      <w:r w:rsidR="005169A3">
        <w:rPr>
          <w:rFonts w:cs="Arial"/>
          <w:szCs w:val="20"/>
        </w:rPr>
        <w:t>;</w:t>
      </w:r>
    </w:p>
    <w:p w:rsidR="00591754" w:rsidRPr="00591754" w:rsidRDefault="00591754" w:rsidP="00C245E0">
      <w:pPr>
        <w:pStyle w:val="ListParagraph"/>
        <w:numPr>
          <w:ilvl w:val="0"/>
          <w:numId w:val="54"/>
        </w:numPr>
        <w:tabs>
          <w:tab w:val="left" w:pos="1162"/>
        </w:tabs>
        <w:spacing w:before="80" w:after="80"/>
        <w:ind w:left="714" w:hanging="357"/>
        <w:rPr>
          <w:rFonts w:cs="Arial"/>
          <w:szCs w:val="20"/>
        </w:rPr>
      </w:pPr>
      <w:r w:rsidRPr="00591754">
        <w:rPr>
          <w:rFonts w:cs="Arial"/>
          <w:szCs w:val="20"/>
        </w:rPr>
        <w:t>Indigenous status</w:t>
      </w:r>
      <w:r w:rsidR="005169A3">
        <w:rPr>
          <w:rFonts w:cs="Arial"/>
          <w:szCs w:val="20"/>
        </w:rPr>
        <w:t>;</w:t>
      </w:r>
    </w:p>
    <w:p w:rsidR="00591754" w:rsidRPr="00591754" w:rsidRDefault="00591754" w:rsidP="00C245E0">
      <w:pPr>
        <w:pStyle w:val="ListParagraph"/>
        <w:numPr>
          <w:ilvl w:val="0"/>
          <w:numId w:val="54"/>
        </w:numPr>
        <w:tabs>
          <w:tab w:val="left" w:pos="1162"/>
        </w:tabs>
        <w:spacing w:before="80" w:after="80"/>
        <w:ind w:left="714" w:hanging="357"/>
        <w:rPr>
          <w:rFonts w:cs="Arial"/>
          <w:szCs w:val="20"/>
        </w:rPr>
      </w:pPr>
      <w:r w:rsidRPr="00591754">
        <w:rPr>
          <w:rFonts w:cs="Arial"/>
          <w:szCs w:val="20"/>
        </w:rPr>
        <w:t>Episode end status</w:t>
      </w:r>
      <w:r w:rsidR="005169A3">
        <w:rPr>
          <w:rFonts w:cs="Arial"/>
          <w:szCs w:val="20"/>
        </w:rPr>
        <w:t>;</w:t>
      </w:r>
    </w:p>
    <w:p w:rsidR="00591754" w:rsidRPr="00591754" w:rsidRDefault="00591754" w:rsidP="00C245E0">
      <w:pPr>
        <w:pStyle w:val="ListParagraph"/>
        <w:numPr>
          <w:ilvl w:val="0"/>
          <w:numId w:val="54"/>
        </w:numPr>
        <w:tabs>
          <w:tab w:val="left" w:pos="1162"/>
        </w:tabs>
        <w:spacing w:before="80" w:after="80"/>
        <w:ind w:left="714" w:hanging="357"/>
        <w:rPr>
          <w:rFonts w:cs="Arial"/>
          <w:szCs w:val="20"/>
        </w:rPr>
      </w:pPr>
      <w:r w:rsidRPr="00591754">
        <w:rPr>
          <w:rFonts w:cs="Arial"/>
          <w:szCs w:val="20"/>
        </w:rPr>
        <w:t>Type of visit to Emergency Department</w:t>
      </w:r>
      <w:r w:rsidR="005169A3">
        <w:rPr>
          <w:rFonts w:cs="Arial"/>
          <w:szCs w:val="20"/>
        </w:rPr>
        <w:t>;</w:t>
      </w:r>
    </w:p>
    <w:p w:rsidR="00591754" w:rsidRPr="00591754" w:rsidRDefault="00591754" w:rsidP="00C245E0">
      <w:pPr>
        <w:pStyle w:val="ListParagraph"/>
        <w:numPr>
          <w:ilvl w:val="0"/>
          <w:numId w:val="54"/>
        </w:numPr>
        <w:tabs>
          <w:tab w:val="left" w:pos="1162"/>
        </w:tabs>
        <w:spacing w:before="80" w:after="80"/>
        <w:ind w:left="714" w:hanging="357"/>
        <w:rPr>
          <w:rFonts w:cs="Arial"/>
          <w:szCs w:val="20"/>
        </w:rPr>
      </w:pPr>
      <w:r w:rsidRPr="00591754">
        <w:rPr>
          <w:rFonts w:cs="Arial"/>
          <w:szCs w:val="20"/>
        </w:rPr>
        <w:t>Triage category</w:t>
      </w:r>
      <w:r w:rsidR="005169A3">
        <w:rPr>
          <w:rFonts w:cs="Arial"/>
          <w:szCs w:val="20"/>
        </w:rPr>
        <w:t xml:space="preserve">; and </w:t>
      </w:r>
    </w:p>
    <w:p w:rsidR="00591754" w:rsidRPr="00591754" w:rsidRDefault="00591754" w:rsidP="00C245E0">
      <w:pPr>
        <w:pStyle w:val="ListParagraph"/>
        <w:numPr>
          <w:ilvl w:val="0"/>
          <w:numId w:val="54"/>
        </w:numPr>
        <w:tabs>
          <w:tab w:val="left" w:pos="1162"/>
        </w:tabs>
        <w:spacing w:before="80" w:after="80"/>
        <w:ind w:left="714" w:hanging="357"/>
        <w:rPr>
          <w:rFonts w:cs="Arial"/>
          <w:szCs w:val="20"/>
        </w:rPr>
      </w:pPr>
      <w:r w:rsidRPr="00591754">
        <w:rPr>
          <w:rFonts w:cs="Arial"/>
          <w:szCs w:val="20"/>
        </w:rPr>
        <w:t>URG (</w:t>
      </w:r>
      <w:r w:rsidR="00D22B50">
        <w:rPr>
          <w:rFonts w:cs="Arial"/>
          <w:szCs w:val="20"/>
        </w:rPr>
        <w:t>v</w:t>
      </w:r>
      <w:r w:rsidRPr="00591754">
        <w:rPr>
          <w:rFonts w:cs="Arial"/>
          <w:szCs w:val="20"/>
        </w:rPr>
        <w:t>er</w:t>
      </w:r>
      <w:r>
        <w:rPr>
          <w:rFonts w:cs="Arial"/>
          <w:szCs w:val="20"/>
        </w:rPr>
        <w:t>sion 1.4) or UDG (</w:t>
      </w:r>
      <w:r w:rsidR="00D22B50">
        <w:rPr>
          <w:rFonts w:cs="Arial"/>
          <w:szCs w:val="20"/>
        </w:rPr>
        <w:t>v</w:t>
      </w:r>
      <w:r>
        <w:rPr>
          <w:rFonts w:cs="Arial"/>
          <w:szCs w:val="20"/>
        </w:rPr>
        <w:t>ersion 1.3)</w:t>
      </w:r>
      <w:r w:rsidR="001206E7">
        <w:rPr>
          <w:rFonts w:cs="Arial"/>
          <w:szCs w:val="20"/>
        </w:rPr>
        <w:t xml:space="preserve">. </w:t>
      </w:r>
    </w:p>
    <w:p w:rsidR="00A471D4" w:rsidRDefault="00591754" w:rsidP="00AD4FFC">
      <w:pPr>
        <w:tabs>
          <w:tab w:val="left" w:pos="1162"/>
        </w:tabs>
        <w:spacing w:before="240"/>
        <w:rPr>
          <w:rFonts w:cs="Arial"/>
          <w:szCs w:val="20"/>
        </w:rPr>
      </w:pPr>
      <w:r w:rsidRPr="00C83F6F">
        <w:rPr>
          <w:rFonts w:cs="Arial"/>
          <w:szCs w:val="20"/>
        </w:rPr>
        <w:t>These variables form part of the Emergency Department Care ABF DSS on the IHPA website</w:t>
      </w:r>
      <w:r w:rsidR="00C41416">
        <w:rPr>
          <w:rFonts w:cs="Arial"/>
          <w:szCs w:val="20"/>
        </w:rPr>
        <w:t xml:space="preserve">. </w:t>
      </w:r>
    </w:p>
    <w:p w:rsidR="00591754" w:rsidRPr="00034E0F" w:rsidRDefault="00591754" w:rsidP="00AD4FFC">
      <w:pPr>
        <w:tabs>
          <w:tab w:val="left" w:pos="1162"/>
        </w:tabs>
      </w:pPr>
      <w:r>
        <w:rPr>
          <w:rFonts w:cs="Arial"/>
          <w:szCs w:val="20"/>
        </w:rPr>
        <w:t xml:space="preserve">Table </w:t>
      </w:r>
      <w:r w:rsidR="001D25A0">
        <w:rPr>
          <w:rFonts w:cs="Arial"/>
          <w:szCs w:val="20"/>
        </w:rPr>
        <w:t>15</w:t>
      </w:r>
      <w:r w:rsidRPr="00C83F6F">
        <w:rPr>
          <w:rFonts w:cs="Arial"/>
          <w:szCs w:val="20"/>
        </w:rPr>
        <w:t xml:space="preserve"> details the variables created in the process of assigning NWAU to emergency department patient data</w:t>
      </w:r>
      <w:r w:rsidRPr="00C86B41">
        <w:rPr>
          <w:rFonts w:cs="Arial"/>
        </w:rPr>
        <w:t>.</w:t>
      </w:r>
    </w:p>
    <w:p w:rsidR="00F839E8" w:rsidRDefault="00460371">
      <w:pPr>
        <w:pStyle w:val="table"/>
      </w:pPr>
      <w:bookmarkStart w:id="272" w:name="_Ref342306734"/>
      <w:r>
        <w:t>Figure</w:t>
      </w:r>
      <w:bookmarkEnd w:id="272"/>
      <w:r w:rsidR="004A68DE">
        <w:t xml:space="preserve"> </w:t>
      </w:r>
      <w:r w:rsidR="006D7C24">
        <w:t>9</w:t>
      </w:r>
      <w:r>
        <w:t xml:space="preserve">: </w:t>
      </w:r>
      <w:r w:rsidRPr="00C71D23">
        <w:t>Assigning NWAU to emergency department patient d</w:t>
      </w:r>
      <w:r>
        <w:t>ata</w:t>
      </w:r>
    </w:p>
    <w:p w:rsidR="00F839E8" w:rsidRPr="00F839E8" w:rsidRDefault="00D4695E" w:rsidP="009B622C">
      <w:pPr>
        <w:pStyle w:val="table"/>
      </w:pPr>
      <w:r>
        <w:rPr>
          <w:noProof/>
        </w:rPr>
        <w:drawing>
          <wp:inline distT="0" distB="0" distL="0" distR="0" wp14:anchorId="3B3D7860" wp14:editId="403FDFF4">
            <wp:extent cx="3716977" cy="4825159"/>
            <wp:effectExtent l="0" t="0" r="0" b="0"/>
            <wp:docPr id="144" name="Picture 144" descr="Figure nine is a flow chart assigning National Weighted Activity Unit (NWAU) to emergency department patient data. &#10;&#10;First tier: Emergency Department (ED) care Activity Based Funding Data Set Specification (DSS) dataset. &#10;&#10;Step one: Create variable E01.&#10;Step two: Create variable E02.&#10;Step three: Left join with Urgency Related Groups (URG) and Urgency Disposition Groups (UDG) price weight tables and left join with 2015-16 National Weighted Activity Unit (NWAU) adjustments to create variables E03 to E05.&#10;Step four: Create variable E06. &#10;Step five: Create variables E07 to E09. &#10;Final tier: Emergency Department (ED) dataset with 2015-16 National Weighted Activity Unit (NWA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1236" cy="4830688"/>
                    </a:xfrm>
                    <a:prstGeom prst="rect">
                      <a:avLst/>
                    </a:prstGeom>
                    <a:noFill/>
                    <a:ln>
                      <a:noFill/>
                    </a:ln>
                  </pic:spPr>
                </pic:pic>
              </a:graphicData>
            </a:graphic>
          </wp:inline>
        </w:drawing>
      </w:r>
    </w:p>
    <w:p w:rsidR="00A64DA2" w:rsidRDefault="00A64DA2">
      <w:pPr>
        <w:pStyle w:val="table"/>
        <w:sectPr w:rsidR="00A64DA2" w:rsidSect="002049EC">
          <w:pgSz w:w="11907" w:h="16839" w:code="9"/>
          <w:pgMar w:top="1440" w:right="1440" w:bottom="1440" w:left="1440" w:header="709" w:footer="709" w:gutter="0"/>
          <w:cols w:space="708"/>
          <w:docGrid w:linePitch="360"/>
        </w:sectPr>
      </w:pPr>
      <w:bookmarkStart w:id="273" w:name="_Ref342307994"/>
    </w:p>
    <w:p w:rsidR="00591754" w:rsidRDefault="00591754">
      <w:pPr>
        <w:pStyle w:val="table"/>
      </w:pPr>
      <w:bookmarkStart w:id="274" w:name="_Ref342308141"/>
      <w:bookmarkEnd w:id="273"/>
      <w:r>
        <w:lastRenderedPageBreak/>
        <w:t>Table</w:t>
      </w:r>
      <w:r w:rsidR="004A68DE">
        <w:t xml:space="preserve"> </w:t>
      </w:r>
      <w:r w:rsidR="00693CC5">
        <w:t>14</w:t>
      </w:r>
      <w:r>
        <w:t xml:space="preserve">: </w:t>
      </w:r>
      <w:r w:rsidRPr="00E2163C">
        <w:t>Dataset and tables required for assignment of NWAU to emergency department patient data</w:t>
      </w:r>
    </w:p>
    <w:tbl>
      <w:tblPr>
        <w:tblStyle w:val="TableGrid"/>
        <w:tblW w:w="9639"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Description w:val="A summary of table 8 is outlined in the text prior to this table."/>
      </w:tblPr>
      <w:tblGrid>
        <w:gridCol w:w="3544"/>
        <w:gridCol w:w="6095"/>
      </w:tblGrid>
      <w:tr w:rsidR="00591754" w:rsidRPr="004B0213" w:rsidTr="001D16F6">
        <w:trPr>
          <w:cantSplit/>
          <w:tblHeader/>
          <w:jc w:val="center"/>
        </w:trPr>
        <w:tc>
          <w:tcPr>
            <w:tcW w:w="3544" w:type="dxa"/>
            <w:shd w:val="clear" w:color="auto" w:fill="BFBFBF" w:themeFill="background1" w:themeFillShade="BF"/>
          </w:tcPr>
          <w:p w:rsidR="00591754" w:rsidRPr="009B707F" w:rsidRDefault="00591754" w:rsidP="00AD4FFC">
            <w:pPr>
              <w:tabs>
                <w:tab w:val="left" w:pos="1162"/>
              </w:tabs>
              <w:spacing w:before="80" w:after="80"/>
              <w:rPr>
                <w:rFonts w:cs="Arial"/>
                <w:b/>
                <w:sz w:val="20"/>
                <w:szCs w:val="20"/>
              </w:rPr>
            </w:pPr>
            <w:r w:rsidRPr="009B707F">
              <w:rPr>
                <w:rFonts w:cs="Arial"/>
                <w:b/>
                <w:sz w:val="20"/>
                <w:szCs w:val="20"/>
              </w:rPr>
              <w:t>Input dataset or table</w:t>
            </w:r>
          </w:p>
        </w:tc>
        <w:tc>
          <w:tcPr>
            <w:tcW w:w="6095" w:type="dxa"/>
            <w:shd w:val="clear" w:color="auto" w:fill="BFBFBF" w:themeFill="background1" w:themeFillShade="BF"/>
          </w:tcPr>
          <w:p w:rsidR="00591754" w:rsidRPr="009B707F" w:rsidRDefault="00591754" w:rsidP="00AD4FFC">
            <w:pPr>
              <w:tabs>
                <w:tab w:val="left" w:pos="1162"/>
              </w:tabs>
              <w:spacing w:before="80" w:after="80"/>
              <w:rPr>
                <w:rFonts w:cs="Arial"/>
                <w:b/>
                <w:sz w:val="20"/>
                <w:szCs w:val="20"/>
              </w:rPr>
            </w:pPr>
            <w:r w:rsidRPr="009B707F">
              <w:rPr>
                <w:rFonts w:cs="Arial"/>
                <w:b/>
                <w:sz w:val="20"/>
                <w:szCs w:val="20"/>
              </w:rPr>
              <w:t>Description</w:t>
            </w:r>
          </w:p>
        </w:tc>
      </w:tr>
      <w:tr w:rsidR="00591754" w:rsidRPr="004B0213" w:rsidTr="001D16F6">
        <w:trPr>
          <w:cantSplit/>
          <w:jc w:val="center"/>
        </w:trPr>
        <w:tc>
          <w:tcPr>
            <w:tcW w:w="3544" w:type="dxa"/>
          </w:tcPr>
          <w:p w:rsidR="00591754" w:rsidRPr="009B707F" w:rsidRDefault="00890E17" w:rsidP="00890E17">
            <w:pPr>
              <w:tabs>
                <w:tab w:val="left" w:pos="1162"/>
              </w:tabs>
              <w:spacing w:before="120"/>
              <w:rPr>
                <w:rFonts w:cs="Arial"/>
                <w:sz w:val="20"/>
                <w:szCs w:val="20"/>
              </w:rPr>
            </w:pPr>
            <w:r>
              <w:rPr>
                <w:rFonts w:cs="Arial"/>
                <w:sz w:val="20"/>
                <w:szCs w:val="20"/>
              </w:rPr>
              <w:t>NAP EDC NMDS</w:t>
            </w:r>
          </w:p>
        </w:tc>
        <w:tc>
          <w:tcPr>
            <w:tcW w:w="6095" w:type="dxa"/>
          </w:tcPr>
          <w:p w:rsidR="00591754" w:rsidRPr="009B707F" w:rsidRDefault="00591754" w:rsidP="00AD4FFC">
            <w:pPr>
              <w:tabs>
                <w:tab w:val="left" w:pos="1162"/>
              </w:tabs>
              <w:spacing w:before="120"/>
              <w:rPr>
                <w:rFonts w:cs="Arial"/>
                <w:sz w:val="20"/>
                <w:szCs w:val="20"/>
              </w:rPr>
            </w:pPr>
            <w:r w:rsidRPr="009B707F">
              <w:rPr>
                <w:rFonts w:cs="Arial"/>
                <w:sz w:val="20"/>
                <w:szCs w:val="20"/>
              </w:rPr>
              <w:t xml:space="preserve">Dataset based on the </w:t>
            </w:r>
            <w:r w:rsidR="00B94FB5">
              <w:rPr>
                <w:rFonts w:cs="Arial"/>
                <w:sz w:val="20"/>
                <w:szCs w:val="20"/>
              </w:rPr>
              <w:t>2015-16</w:t>
            </w:r>
            <w:r w:rsidRPr="009B707F">
              <w:rPr>
                <w:rFonts w:cs="Arial"/>
                <w:sz w:val="20"/>
                <w:szCs w:val="20"/>
              </w:rPr>
              <w:t xml:space="preserve"> </w:t>
            </w:r>
            <w:r w:rsidR="00890E17">
              <w:rPr>
                <w:rFonts w:cs="Arial"/>
                <w:sz w:val="20"/>
                <w:szCs w:val="20"/>
              </w:rPr>
              <w:t>No</w:t>
            </w:r>
            <w:r w:rsidR="00387E6D">
              <w:rPr>
                <w:rFonts w:cs="Arial"/>
                <w:sz w:val="20"/>
                <w:szCs w:val="20"/>
              </w:rPr>
              <w:t>n-A</w:t>
            </w:r>
            <w:r w:rsidR="00890E17">
              <w:rPr>
                <w:rFonts w:cs="Arial"/>
                <w:sz w:val="20"/>
                <w:szCs w:val="20"/>
              </w:rPr>
              <w:t xml:space="preserve">dmitted </w:t>
            </w:r>
            <w:proofErr w:type="gramStart"/>
            <w:r w:rsidR="00890E17">
              <w:rPr>
                <w:rFonts w:cs="Arial"/>
                <w:sz w:val="20"/>
                <w:szCs w:val="20"/>
              </w:rPr>
              <w:t xml:space="preserve">Patient  </w:t>
            </w:r>
            <w:r w:rsidR="00890E17" w:rsidRPr="009B707F">
              <w:rPr>
                <w:rFonts w:cs="Arial"/>
                <w:sz w:val="20"/>
                <w:szCs w:val="20"/>
              </w:rPr>
              <w:t>Emergency</w:t>
            </w:r>
            <w:proofErr w:type="gramEnd"/>
            <w:r w:rsidR="00890E17" w:rsidRPr="009B707F">
              <w:rPr>
                <w:rFonts w:cs="Arial"/>
                <w:sz w:val="20"/>
                <w:szCs w:val="20"/>
              </w:rPr>
              <w:t xml:space="preserve"> Department Care </w:t>
            </w:r>
            <w:r w:rsidR="00890E17">
              <w:rPr>
                <w:rFonts w:cs="Arial"/>
                <w:sz w:val="20"/>
                <w:szCs w:val="20"/>
              </w:rPr>
              <w:t xml:space="preserve">National Minimum Data Set (NAP EDC NMDS) </w:t>
            </w:r>
            <w:r w:rsidRPr="009B707F">
              <w:rPr>
                <w:rFonts w:cs="Arial"/>
                <w:sz w:val="20"/>
                <w:szCs w:val="20"/>
              </w:rPr>
              <w:t>located on the IHPA website.</w:t>
            </w:r>
          </w:p>
        </w:tc>
      </w:tr>
      <w:tr w:rsidR="00591754" w:rsidRPr="004B0213" w:rsidTr="001D16F6">
        <w:trPr>
          <w:cantSplit/>
          <w:jc w:val="center"/>
        </w:trPr>
        <w:tc>
          <w:tcPr>
            <w:tcW w:w="3544" w:type="dxa"/>
          </w:tcPr>
          <w:p w:rsidR="00591754" w:rsidRPr="009B707F" w:rsidRDefault="00B94FB5" w:rsidP="00AD4FFC">
            <w:pPr>
              <w:tabs>
                <w:tab w:val="left" w:pos="1162"/>
              </w:tabs>
              <w:spacing w:before="120"/>
              <w:rPr>
                <w:rFonts w:cs="Arial"/>
                <w:sz w:val="20"/>
                <w:szCs w:val="20"/>
              </w:rPr>
            </w:pPr>
            <w:r>
              <w:rPr>
                <w:rFonts w:cs="Arial"/>
                <w:sz w:val="20"/>
                <w:szCs w:val="20"/>
              </w:rPr>
              <w:t>2015-16</w:t>
            </w:r>
            <w:r w:rsidR="00591754" w:rsidRPr="009B707F">
              <w:rPr>
                <w:rFonts w:cs="Arial"/>
                <w:sz w:val="20"/>
                <w:szCs w:val="20"/>
              </w:rPr>
              <w:t xml:space="preserve"> NWAU Price Weight tables</w:t>
            </w:r>
          </w:p>
        </w:tc>
        <w:tc>
          <w:tcPr>
            <w:tcW w:w="6095" w:type="dxa"/>
          </w:tcPr>
          <w:p w:rsidR="00591754" w:rsidRPr="000B33D2" w:rsidRDefault="00B94FB5" w:rsidP="00AD4FFC">
            <w:pPr>
              <w:tabs>
                <w:tab w:val="left" w:pos="1162"/>
              </w:tabs>
              <w:spacing w:before="120"/>
              <w:rPr>
                <w:rFonts w:cs="Arial"/>
                <w:sz w:val="20"/>
                <w:szCs w:val="20"/>
              </w:rPr>
            </w:pPr>
            <w:r w:rsidRPr="000B33D2">
              <w:rPr>
                <w:rFonts w:cs="Arial"/>
                <w:sz w:val="20"/>
                <w:szCs w:val="20"/>
              </w:rPr>
              <w:t>2015-16</w:t>
            </w:r>
            <w:r w:rsidR="00591754" w:rsidRPr="000B33D2">
              <w:rPr>
                <w:rFonts w:cs="Arial"/>
                <w:sz w:val="20"/>
                <w:szCs w:val="20"/>
              </w:rPr>
              <w:t xml:space="preserve"> Emergency Department NWAU URG and UDG Price Weight tables, found in the NEP</w:t>
            </w:r>
            <w:r w:rsidR="00284A73" w:rsidRPr="000B33D2">
              <w:rPr>
                <w:rFonts w:cs="Arial"/>
                <w:sz w:val="20"/>
                <w:szCs w:val="20"/>
              </w:rPr>
              <w:t>15</w:t>
            </w:r>
            <w:r w:rsidR="00591754" w:rsidRPr="000B33D2">
              <w:rPr>
                <w:rFonts w:cs="Arial"/>
                <w:sz w:val="20"/>
                <w:szCs w:val="20"/>
              </w:rPr>
              <w:t xml:space="preserve"> Determination.</w:t>
            </w:r>
          </w:p>
        </w:tc>
      </w:tr>
      <w:tr w:rsidR="00591754" w:rsidRPr="004B0213" w:rsidTr="001D16F6">
        <w:trPr>
          <w:cantSplit/>
          <w:jc w:val="center"/>
        </w:trPr>
        <w:tc>
          <w:tcPr>
            <w:tcW w:w="3544" w:type="dxa"/>
          </w:tcPr>
          <w:p w:rsidR="00591754" w:rsidRPr="009B707F" w:rsidRDefault="00B94FB5" w:rsidP="00AD4FFC">
            <w:pPr>
              <w:tabs>
                <w:tab w:val="left" w:pos="1162"/>
              </w:tabs>
              <w:spacing w:before="120"/>
              <w:rPr>
                <w:rFonts w:cs="Arial"/>
                <w:sz w:val="20"/>
                <w:szCs w:val="20"/>
              </w:rPr>
            </w:pPr>
            <w:r>
              <w:rPr>
                <w:rFonts w:cs="Arial"/>
                <w:sz w:val="20"/>
                <w:szCs w:val="20"/>
              </w:rPr>
              <w:t>2015-16</w:t>
            </w:r>
            <w:r w:rsidR="00591754" w:rsidRPr="009B707F">
              <w:rPr>
                <w:rFonts w:cs="Arial"/>
                <w:sz w:val="20"/>
                <w:szCs w:val="20"/>
              </w:rPr>
              <w:t xml:space="preserve"> NWAU Adjustments</w:t>
            </w:r>
          </w:p>
        </w:tc>
        <w:tc>
          <w:tcPr>
            <w:tcW w:w="6095" w:type="dxa"/>
          </w:tcPr>
          <w:p w:rsidR="00591754" w:rsidRPr="000B33D2" w:rsidRDefault="00B94FB5" w:rsidP="00AD4FFC">
            <w:pPr>
              <w:tabs>
                <w:tab w:val="left" w:pos="1162"/>
              </w:tabs>
              <w:spacing w:before="120"/>
              <w:rPr>
                <w:rFonts w:cs="Arial"/>
                <w:sz w:val="20"/>
                <w:szCs w:val="20"/>
              </w:rPr>
            </w:pPr>
            <w:r w:rsidRPr="000B33D2">
              <w:rPr>
                <w:rFonts w:cs="Arial"/>
                <w:sz w:val="20"/>
                <w:szCs w:val="20"/>
              </w:rPr>
              <w:t>2015-16</w:t>
            </w:r>
            <w:r w:rsidR="00591754" w:rsidRPr="000B33D2">
              <w:rPr>
                <w:rFonts w:cs="Arial"/>
                <w:sz w:val="20"/>
                <w:szCs w:val="20"/>
              </w:rPr>
              <w:t xml:space="preserve"> Emergency Department NWAU Adjustments, found in the NEP</w:t>
            </w:r>
            <w:r w:rsidR="00284A73" w:rsidRPr="000B33D2">
              <w:rPr>
                <w:rFonts w:cs="Arial"/>
                <w:sz w:val="20"/>
                <w:szCs w:val="20"/>
              </w:rPr>
              <w:t>15</w:t>
            </w:r>
            <w:r w:rsidR="00591754" w:rsidRPr="000B33D2">
              <w:rPr>
                <w:rFonts w:cs="Arial"/>
                <w:sz w:val="20"/>
                <w:szCs w:val="20"/>
              </w:rPr>
              <w:t xml:space="preserve"> Determination.</w:t>
            </w:r>
          </w:p>
        </w:tc>
      </w:tr>
    </w:tbl>
    <w:p w:rsidR="00460371" w:rsidRDefault="00460371">
      <w:pPr>
        <w:pStyle w:val="table"/>
      </w:pPr>
      <w:r>
        <w:t>Table</w:t>
      </w:r>
      <w:bookmarkEnd w:id="274"/>
      <w:r w:rsidR="00591754">
        <w:t xml:space="preserve"> </w:t>
      </w:r>
      <w:r w:rsidR="001D25A0">
        <w:t>15</w:t>
      </w:r>
      <w:r>
        <w:t xml:space="preserve">: </w:t>
      </w:r>
      <w:r w:rsidRPr="00544F5A">
        <w:t>Assigning NWAU to emergency department patient data – variable definitions</w:t>
      </w:r>
    </w:p>
    <w:tbl>
      <w:tblPr>
        <w:tblW w:w="9587"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73"/>
        <w:gridCol w:w="1070"/>
        <w:gridCol w:w="1559"/>
        <w:gridCol w:w="2043"/>
        <w:gridCol w:w="4142"/>
      </w:tblGrid>
      <w:tr w:rsidR="00297D16" w:rsidRPr="00587976" w:rsidTr="00865674">
        <w:trPr>
          <w:cantSplit/>
          <w:trHeight w:val="245"/>
          <w:tblHeader/>
          <w:jc w:val="center"/>
        </w:trPr>
        <w:tc>
          <w:tcPr>
            <w:tcW w:w="773" w:type="dxa"/>
            <w:shd w:val="clear" w:color="auto" w:fill="BFBFBF" w:themeFill="background1" w:themeFillShade="BF"/>
            <w:noWrap/>
            <w:hideMark/>
          </w:tcPr>
          <w:p w:rsidR="00297D16" w:rsidRPr="009B707F" w:rsidRDefault="00297D16" w:rsidP="00865674">
            <w:pPr>
              <w:tabs>
                <w:tab w:val="left" w:pos="1162"/>
              </w:tabs>
              <w:spacing w:before="80" w:after="80"/>
              <w:rPr>
                <w:rFonts w:cs="Arial"/>
                <w:b/>
                <w:bCs/>
                <w:color w:val="000000"/>
                <w:sz w:val="20"/>
                <w:szCs w:val="20"/>
                <w:lang w:eastAsia="en-AU"/>
              </w:rPr>
            </w:pPr>
            <w:r w:rsidRPr="009B707F">
              <w:rPr>
                <w:rFonts w:cs="Arial"/>
                <w:b/>
                <w:bCs/>
                <w:color w:val="000000"/>
                <w:sz w:val="20"/>
                <w:szCs w:val="20"/>
                <w:lang w:eastAsia="en-AU"/>
              </w:rPr>
              <w:t>Step</w:t>
            </w:r>
          </w:p>
        </w:tc>
        <w:tc>
          <w:tcPr>
            <w:tcW w:w="1070" w:type="dxa"/>
            <w:shd w:val="clear" w:color="auto" w:fill="BFBFBF" w:themeFill="background1" w:themeFillShade="BF"/>
            <w:noWrap/>
            <w:vAlign w:val="center"/>
            <w:hideMark/>
          </w:tcPr>
          <w:p w:rsidR="00297D16" w:rsidRPr="009B707F" w:rsidRDefault="00297D16" w:rsidP="00865674">
            <w:pPr>
              <w:tabs>
                <w:tab w:val="left" w:pos="1162"/>
              </w:tabs>
              <w:spacing w:before="80" w:after="80"/>
              <w:jc w:val="center"/>
              <w:rPr>
                <w:rFonts w:cs="Arial"/>
                <w:b/>
                <w:bCs/>
                <w:color w:val="000000"/>
                <w:sz w:val="20"/>
                <w:szCs w:val="20"/>
                <w:lang w:eastAsia="en-AU"/>
              </w:rPr>
            </w:pPr>
            <w:r w:rsidRPr="009B707F">
              <w:rPr>
                <w:rFonts w:cs="Arial"/>
                <w:b/>
                <w:bCs/>
                <w:color w:val="000000"/>
                <w:sz w:val="20"/>
                <w:szCs w:val="20"/>
                <w:lang w:eastAsia="en-AU"/>
              </w:rPr>
              <w:t>Variable</w:t>
            </w:r>
          </w:p>
        </w:tc>
        <w:tc>
          <w:tcPr>
            <w:tcW w:w="1559" w:type="dxa"/>
            <w:shd w:val="clear" w:color="auto" w:fill="BFBFBF" w:themeFill="background1" w:themeFillShade="BF"/>
            <w:noWrap/>
            <w:vAlign w:val="center"/>
            <w:hideMark/>
          </w:tcPr>
          <w:p w:rsidR="00297D16" w:rsidRPr="009B707F" w:rsidRDefault="00297D16" w:rsidP="00865674">
            <w:pPr>
              <w:tabs>
                <w:tab w:val="left" w:pos="1162"/>
              </w:tabs>
              <w:spacing w:before="80" w:after="80"/>
              <w:rPr>
                <w:rFonts w:cs="Arial"/>
                <w:b/>
                <w:bCs/>
                <w:color w:val="000000"/>
                <w:sz w:val="20"/>
                <w:szCs w:val="20"/>
                <w:lang w:eastAsia="en-AU"/>
              </w:rPr>
            </w:pPr>
            <w:r w:rsidRPr="009B707F">
              <w:rPr>
                <w:rFonts w:cs="Arial"/>
                <w:b/>
                <w:bCs/>
                <w:color w:val="000000"/>
                <w:sz w:val="20"/>
                <w:szCs w:val="20"/>
                <w:lang w:eastAsia="en-AU"/>
              </w:rPr>
              <w:t>Name</w:t>
            </w:r>
          </w:p>
        </w:tc>
        <w:tc>
          <w:tcPr>
            <w:tcW w:w="2043" w:type="dxa"/>
            <w:shd w:val="clear" w:color="auto" w:fill="BFBFBF" w:themeFill="background1" w:themeFillShade="BF"/>
            <w:vAlign w:val="center"/>
            <w:hideMark/>
          </w:tcPr>
          <w:p w:rsidR="00297D16" w:rsidRPr="009B707F" w:rsidRDefault="00297D16" w:rsidP="00865674">
            <w:pPr>
              <w:tabs>
                <w:tab w:val="left" w:pos="1162"/>
              </w:tabs>
              <w:spacing w:before="80" w:after="80"/>
              <w:rPr>
                <w:rFonts w:cs="Arial"/>
                <w:b/>
                <w:bCs/>
                <w:color w:val="000000"/>
                <w:sz w:val="20"/>
                <w:szCs w:val="20"/>
                <w:lang w:eastAsia="en-AU"/>
              </w:rPr>
            </w:pPr>
            <w:r w:rsidRPr="009B707F">
              <w:rPr>
                <w:rFonts w:cs="Arial"/>
                <w:b/>
                <w:bCs/>
                <w:color w:val="000000"/>
                <w:sz w:val="20"/>
                <w:szCs w:val="20"/>
                <w:lang w:eastAsia="en-AU"/>
              </w:rPr>
              <w:t>Description</w:t>
            </w:r>
          </w:p>
        </w:tc>
        <w:tc>
          <w:tcPr>
            <w:tcW w:w="4142" w:type="dxa"/>
            <w:shd w:val="clear" w:color="auto" w:fill="BFBFBF" w:themeFill="background1" w:themeFillShade="BF"/>
            <w:vAlign w:val="center"/>
            <w:hideMark/>
          </w:tcPr>
          <w:p w:rsidR="00297D16" w:rsidRPr="009B707F" w:rsidRDefault="00297D16" w:rsidP="00865674">
            <w:pPr>
              <w:tabs>
                <w:tab w:val="left" w:pos="1162"/>
              </w:tabs>
              <w:spacing w:before="80" w:after="80"/>
              <w:rPr>
                <w:rFonts w:cs="Arial"/>
                <w:b/>
                <w:bCs/>
                <w:color w:val="000000"/>
                <w:sz w:val="20"/>
                <w:szCs w:val="20"/>
                <w:lang w:eastAsia="en-AU"/>
              </w:rPr>
            </w:pPr>
            <w:r w:rsidRPr="009B707F">
              <w:rPr>
                <w:rFonts w:cs="Arial"/>
                <w:b/>
                <w:bCs/>
                <w:color w:val="000000"/>
                <w:sz w:val="20"/>
                <w:szCs w:val="20"/>
                <w:lang w:eastAsia="en-AU"/>
              </w:rPr>
              <w:t>Definition</w:t>
            </w:r>
          </w:p>
        </w:tc>
      </w:tr>
      <w:tr w:rsidR="00297D16" w:rsidRPr="00587976" w:rsidTr="00865674">
        <w:trPr>
          <w:cantSplit/>
          <w:trHeight w:val="490"/>
          <w:jc w:val="center"/>
        </w:trPr>
        <w:tc>
          <w:tcPr>
            <w:tcW w:w="773" w:type="dxa"/>
            <w:tcBorders>
              <w:bottom w:val="single" w:sz="4" w:space="0" w:color="auto"/>
            </w:tcBorders>
            <w:shd w:val="clear" w:color="auto" w:fill="auto"/>
            <w:noWrap/>
            <w:hideMark/>
          </w:tcPr>
          <w:p w:rsidR="00297D16" w:rsidRPr="008E4B0D" w:rsidRDefault="00297D16" w:rsidP="00865674">
            <w:pPr>
              <w:tabs>
                <w:tab w:val="left" w:pos="1162"/>
              </w:tabs>
              <w:spacing w:before="80" w:after="80"/>
              <w:rPr>
                <w:rFonts w:cs="Arial"/>
                <w:color w:val="000000"/>
                <w:sz w:val="18"/>
                <w:szCs w:val="18"/>
                <w:lang w:eastAsia="en-AU"/>
              </w:rPr>
            </w:pPr>
            <w:r w:rsidRPr="008E4B0D">
              <w:rPr>
                <w:rFonts w:cs="Arial"/>
                <w:color w:val="000000"/>
                <w:sz w:val="18"/>
                <w:szCs w:val="18"/>
                <w:lang w:eastAsia="en-AU"/>
              </w:rPr>
              <w:t>Step 1</w:t>
            </w:r>
          </w:p>
        </w:tc>
        <w:tc>
          <w:tcPr>
            <w:tcW w:w="1070" w:type="dxa"/>
            <w:tcBorders>
              <w:bottom w:val="single" w:sz="4" w:space="0" w:color="auto"/>
            </w:tcBorders>
            <w:shd w:val="clear" w:color="auto" w:fill="auto"/>
            <w:noWrap/>
            <w:hideMark/>
          </w:tcPr>
          <w:p w:rsidR="00297D16" w:rsidRPr="009B707F" w:rsidRDefault="00297D16" w:rsidP="00865674">
            <w:pPr>
              <w:tabs>
                <w:tab w:val="left" w:pos="1162"/>
              </w:tabs>
              <w:spacing w:before="80" w:after="80"/>
              <w:jc w:val="center"/>
              <w:rPr>
                <w:rFonts w:cs="Arial"/>
                <w:color w:val="000000"/>
                <w:sz w:val="18"/>
                <w:szCs w:val="18"/>
                <w:lang w:eastAsia="en-AU"/>
              </w:rPr>
            </w:pPr>
            <w:r w:rsidRPr="009B707F">
              <w:rPr>
                <w:rFonts w:cs="Arial"/>
                <w:color w:val="000000"/>
                <w:sz w:val="18"/>
                <w:szCs w:val="18"/>
                <w:lang w:eastAsia="en-AU"/>
              </w:rPr>
              <w:t>E01</w:t>
            </w:r>
          </w:p>
        </w:tc>
        <w:tc>
          <w:tcPr>
            <w:tcW w:w="1559"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_UDG</w:t>
            </w:r>
          </w:p>
        </w:tc>
        <w:tc>
          <w:tcPr>
            <w:tcW w:w="2043" w:type="dxa"/>
            <w:shd w:val="clear" w:color="auto" w:fill="auto"/>
            <w:hideMark/>
          </w:tcPr>
          <w:p w:rsidR="00297D16" w:rsidRPr="009B707F" w:rsidRDefault="00297D16" w:rsidP="00865674">
            <w:pPr>
              <w:tabs>
                <w:tab w:val="left" w:pos="1162"/>
              </w:tabs>
              <w:spacing w:before="80" w:after="80"/>
              <w:rPr>
                <w:rFonts w:cs="Arial"/>
                <w:color w:val="000000"/>
                <w:sz w:val="18"/>
                <w:szCs w:val="18"/>
                <w:lang w:eastAsia="en-AU"/>
              </w:rPr>
            </w:pPr>
            <w:r w:rsidRPr="009B707F">
              <w:rPr>
                <w:rFonts w:cs="Arial"/>
                <w:color w:val="000000"/>
                <w:sz w:val="18"/>
                <w:szCs w:val="18"/>
                <w:lang w:eastAsia="en-AU"/>
              </w:rPr>
              <w:t>UDG v1.3</w:t>
            </w:r>
          </w:p>
        </w:tc>
        <w:tc>
          <w:tcPr>
            <w:tcW w:w="4142" w:type="dxa"/>
            <w:shd w:val="clear" w:color="auto" w:fill="auto"/>
            <w:hideMark/>
          </w:tcPr>
          <w:p w:rsidR="00297D16" w:rsidRPr="009B707F"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Either supplied directly or d</w:t>
            </w:r>
            <w:r w:rsidRPr="009B707F">
              <w:rPr>
                <w:rFonts w:cs="Arial"/>
                <w:color w:val="000000"/>
                <w:sz w:val="18"/>
                <w:szCs w:val="18"/>
                <w:lang w:eastAsia="en-AU"/>
              </w:rPr>
              <w:t>erived from DSS variables: type of visit to Emergency Department, triage category, and episode end status. See IHPA website for details.</w:t>
            </w:r>
          </w:p>
        </w:tc>
      </w:tr>
      <w:tr w:rsidR="00297D16" w:rsidRPr="00587976" w:rsidTr="00865674">
        <w:trPr>
          <w:cantSplit/>
          <w:trHeight w:val="490"/>
          <w:jc w:val="center"/>
        </w:trPr>
        <w:tc>
          <w:tcPr>
            <w:tcW w:w="773" w:type="dxa"/>
            <w:tcBorders>
              <w:top w:val="single" w:sz="4" w:space="0" w:color="auto"/>
              <w:bottom w:val="single" w:sz="4" w:space="0" w:color="auto"/>
            </w:tcBorders>
            <w:hideMark/>
          </w:tcPr>
          <w:p w:rsidR="00297D16" w:rsidRPr="008E4B0D"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Step 2</w:t>
            </w:r>
          </w:p>
        </w:tc>
        <w:tc>
          <w:tcPr>
            <w:tcW w:w="1070" w:type="dxa"/>
            <w:tcBorders>
              <w:top w:val="single" w:sz="4" w:space="0" w:color="auto"/>
              <w:bottom w:val="single" w:sz="4" w:space="0" w:color="auto"/>
            </w:tcBorders>
            <w:shd w:val="clear" w:color="auto" w:fill="auto"/>
            <w:noWrap/>
            <w:hideMark/>
          </w:tcPr>
          <w:p w:rsidR="00297D16" w:rsidRPr="009B707F" w:rsidRDefault="00297D16" w:rsidP="00865674">
            <w:pPr>
              <w:tabs>
                <w:tab w:val="left" w:pos="1162"/>
              </w:tabs>
              <w:spacing w:before="80" w:after="80"/>
              <w:jc w:val="center"/>
              <w:rPr>
                <w:rFonts w:cs="Arial"/>
                <w:color w:val="000000"/>
                <w:sz w:val="18"/>
                <w:szCs w:val="18"/>
                <w:lang w:eastAsia="en-AU"/>
              </w:rPr>
            </w:pPr>
            <w:r w:rsidRPr="009B707F">
              <w:rPr>
                <w:rFonts w:cs="Arial"/>
                <w:color w:val="000000"/>
                <w:sz w:val="18"/>
                <w:szCs w:val="18"/>
                <w:lang w:eastAsia="en-AU"/>
              </w:rPr>
              <w:t>E02</w:t>
            </w:r>
          </w:p>
        </w:tc>
        <w:tc>
          <w:tcPr>
            <w:tcW w:w="1559"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_</w:t>
            </w:r>
            <w:proofErr w:type="spellStart"/>
            <w:r w:rsidRPr="009B707F">
              <w:rPr>
                <w:rFonts w:cs="Arial"/>
                <w:color w:val="000000"/>
                <w:sz w:val="18"/>
                <w:szCs w:val="18"/>
                <w:lang w:eastAsia="en-AU"/>
              </w:rPr>
              <w:t>pat_ind_flag</w:t>
            </w:r>
            <w:proofErr w:type="spellEnd"/>
          </w:p>
        </w:tc>
        <w:tc>
          <w:tcPr>
            <w:tcW w:w="2043"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r w:rsidRPr="009B707F">
              <w:rPr>
                <w:rFonts w:cs="Arial"/>
                <w:color w:val="000000"/>
                <w:sz w:val="18"/>
                <w:szCs w:val="18"/>
                <w:lang w:eastAsia="en-AU"/>
              </w:rPr>
              <w:t>Indigenous patient flag</w:t>
            </w:r>
          </w:p>
        </w:tc>
        <w:tc>
          <w:tcPr>
            <w:tcW w:w="4142" w:type="dxa"/>
            <w:shd w:val="clear" w:color="auto" w:fill="auto"/>
            <w:hideMark/>
          </w:tcPr>
          <w:p w:rsidR="00297D16" w:rsidRPr="009B707F" w:rsidRDefault="00297D16" w:rsidP="00865674">
            <w:pPr>
              <w:tabs>
                <w:tab w:val="left" w:pos="1162"/>
              </w:tabs>
              <w:spacing w:before="80" w:after="80"/>
              <w:rPr>
                <w:rFonts w:cs="Arial"/>
                <w:color w:val="000000"/>
                <w:sz w:val="18"/>
                <w:szCs w:val="18"/>
                <w:lang w:eastAsia="en-AU"/>
              </w:rPr>
            </w:pPr>
            <w:r w:rsidRPr="009B707F">
              <w:rPr>
                <w:rFonts w:cs="Arial"/>
                <w:color w:val="000000"/>
                <w:sz w:val="18"/>
                <w:szCs w:val="18"/>
                <w:lang w:eastAsia="en-AU"/>
              </w:rPr>
              <w:t>1 if Patient Indigenous Status = 1, 2 or 3; else</w:t>
            </w:r>
            <w:r w:rsidRPr="009B707F">
              <w:rPr>
                <w:rFonts w:cs="Arial"/>
                <w:color w:val="000000"/>
                <w:sz w:val="18"/>
                <w:szCs w:val="18"/>
                <w:lang w:eastAsia="en-AU"/>
              </w:rPr>
              <w:br/>
              <w:t>0.</w:t>
            </w:r>
          </w:p>
        </w:tc>
      </w:tr>
      <w:tr w:rsidR="00297D16" w:rsidRPr="00587976" w:rsidTr="00865674">
        <w:trPr>
          <w:cantSplit/>
          <w:trHeight w:val="490"/>
          <w:jc w:val="center"/>
        </w:trPr>
        <w:tc>
          <w:tcPr>
            <w:tcW w:w="773" w:type="dxa"/>
            <w:vMerge w:val="restart"/>
            <w:tcBorders>
              <w:top w:val="single" w:sz="4" w:space="0" w:color="auto"/>
            </w:tcBorders>
            <w:hideMark/>
          </w:tcPr>
          <w:p w:rsidR="00297D16" w:rsidRPr="008E4B0D"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Step 3</w:t>
            </w:r>
          </w:p>
          <w:p w:rsidR="00297D16" w:rsidRPr="008E4B0D" w:rsidRDefault="00297D16" w:rsidP="00865674">
            <w:pPr>
              <w:tabs>
                <w:tab w:val="left" w:pos="1162"/>
              </w:tabs>
              <w:spacing w:before="80" w:after="80"/>
              <w:rPr>
                <w:rFonts w:cs="Arial"/>
                <w:color w:val="000000"/>
                <w:sz w:val="18"/>
                <w:szCs w:val="18"/>
                <w:lang w:eastAsia="en-AU"/>
              </w:rPr>
            </w:pPr>
          </w:p>
          <w:p w:rsidR="00297D16" w:rsidRPr="008E4B0D" w:rsidRDefault="00297D16" w:rsidP="00865674">
            <w:pPr>
              <w:tabs>
                <w:tab w:val="left" w:pos="1162"/>
              </w:tabs>
              <w:spacing w:before="80" w:after="80"/>
              <w:rPr>
                <w:rFonts w:cs="Arial"/>
                <w:color w:val="000000"/>
                <w:sz w:val="18"/>
                <w:szCs w:val="18"/>
                <w:lang w:eastAsia="en-AU"/>
              </w:rPr>
            </w:pPr>
          </w:p>
        </w:tc>
        <w:tc>
          <w:tcPr>
            <w:tcW w:w="1070" w:type="dxa"/>
            <w:tcBorders>
              <w:top w:val="single" w:sz="4" w:space="0" w:color="auto"/>
            </w:tcBorders>
            <w:shd w:val="clear" w:color="auto" w:fill="auto"/>
            <w:noWrap/>
            <w:hideMark/>
          </w:tcPr>
          <w:p w:rsidR="00297D16" w:rsidRPr="009B707F" w:rsidRDefault="00297D16" w:rsidP="00865674">
            <w:pPr>
              <w:tabs>
                <w:tab w:val="left" w:pos="1162"/>
              </w:tabs>
              <w:spacing w:before="80" w:after="80"/>
              <w:jc w:val="center"/>
              <w:rPr>
                <w:rFonts w:cs="Arial"/>
                <w:color w:val="000000"/>
                <w:sz w:val="18"/>
                <w:szCs w:val="18"/>
                <w:lang w:eastAsia="en-AU"/>
              </w:rPr>
            </w:pPr>
            <w:r w:rsidRPr="009B707F">
              <w:rPr>
                <w:rFonts w:cs="Arial"/>
                <w:color w:val="000000"/>
                <w:sz w:val="18"/>
                <w:szCs w:val="18"/>
                <w:lang w:eastAsia="en-AU"/>
              </w:rPr>
              <w:t>E03</w:t>
            </w:r>
          </w:p>
        </w:tc>
        <w:tc>
          <w:tcPr>
            <w:tcW w:w="1559"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UDG_PW</w:t>
            </w:r>
          </w:p>
        </w:tc>
        <w:tc>
          <w:tcPr>
            <w:tcW w:w="2043"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r w:rsidRPr="009B707F">
              <w:rPr>
                <w:rFonts w:cs="Arial"/>
                <w:color w:val="000000"/>
                <w:sz w:val="18"/>
                <w:szCs w:val="18"/>
                <w:lang w:eastAsia="en-AU"/>
              </w:rPr>
              <w:t xml:space="preserve"> See definition</w:t>
            </w:r>
          </w:p>
        </w:tc>
        <w:tc>
          <w:tcPr>
            <w:tcW w:w="4142" w:type="dxa"/>
            <w:shd w:val="clear" w:color="auto" w:fill="auto"/>
            <w:hideMark/>
          </w:tcPr>
          <w:p w:rsidR="00297D16" w:rsidRPr="009B707F" w:rsidRDefault="00297D16" w:rsidP="00865674">
            <w:pPr>
              <w:tabs>
                <w:tab w:val="left" w:pos="1162"/>
              </w:tabs>
              <w:spacing w:before="80" w:after="80"/>
              <w:rPr>
                <w:rFonts w:cs="Arial"/>
                <w:color w:val="000000"/>
                <w:sz w:val="18"/>
                <w:szCs w:val="18"/>
                <w:lang w:eastAsia="en-AU"/>
              </w:rPr>
            </w:pPr>
            <w:r w:rsidRPr="009B707F">
              <w:rPr>
                <w:rFonts w:cs="Arial"/>
                <w:color w:val="000000"/>
                <w:sz w:val="18"/>
                <w:szCs w:val="18"/>
                <w:lang w:eastAsia="en-AU"/>
              </w:rPr>
              <w:t>UDG price weight, taken from NWAU Price Weight table.</w:t>
            </w:r>
          </w:p>
        </w:tc>
      </w:tr>
      <w:tr w:rsidR="00297D16" w:rsidRPr="00587976" w:rsidTr="00865674">
        <w:trPr>
          <w:cantSplit/>
          <w:trHeight w:val="245"/>
          <w:jc w:val="center"/>
        </w:trPr>
        <w:tc>
          <w:tcPr>
            <w:tcW w:w="773" w:type="dxa"/>
            <w:vMerge/>
            <w:shd w:val="clear" w:color="auto" w:fill="auto"/>
            <w:noWrap/>
          </w:tcPr>
          <w:p w:rsidR="00297D16" w:rsidRPr="008E4B0D" w:rsidRDefault="00297D16" w:rsidP="00865674">
            <w:pPr>
              <w:tabs>
                <w:tab w:val="left" w:pos="1162"/>
              </w:tabs>
              <w:spacing w:before="80" w:after="80"/>
              <w:rPr>
                <w:rFonts w:cs="Arial"/>
                <w:color w:val="000000"/>
                <w:sz w:val="18"/>
                <w:szCs w:val="18"/>
                <w:lang w:eastAsia="en-AU"/>
              </w:rPr>
            </w:pPr>
          </w:p>
        </w:tc>
        <w:tc>
          <w:tcPr>
            <w:tcW w:w="1070" w:type="dxa"/>
            <w:shd w:val="clear" w:color="auto" w:fill="auto"/>
            <w:noWrap/>
            <w:hideMark/>
          </w:tcPr>
          <w:p w:rsidR="00297D16" w:rsidRPr="009B707F" w:rsidRDefault="00297D16"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E04</w:t>
            </w:r>
          </w:p>
        </w:tc>
        <w:tc>
          <w:tcPr>
            <w:tcW w:w="1559"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URG_PW</w:t>
            </w:r>
          </w:p>
        </w:tc>
        <w:tc>
          <w:tcPr>
            <w:tcW w:w="2043"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r w:rsidRPr="009B707F">
              <w:rPr>
                <w:rFonts w:cs="Arial"/>
                <w:color w:val="000000"/>
                <w:sz w:val="18"/>
                <w:szCs w:val="18"/>
                <w:lang w:eastAsia="en-AU"/>
              </w:rPr>
              <w:t>See definition</w:t>
            </w:r>
          </w:p>
        </w:tc>
        <w:tc>
          <w:tcPr>
            <w:tcW w:w="4142"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r w:rsidRPr="009B707F">
              <w:rPr>
                <w:rFonts w:cs="Arial"/>
                <w:color w:val="000000"/>
                <w:sz w:val="18"/>
                <w:szCs w:val="18"/>
                <w:lang w:eastAsia="en-AU"/>
              </w:rPr>
              <w:t>URG price weight, taken from NWAU Price Weight table.</w:t>
            </w:r>
          </w:p>
        </w:tc>
      </w:tr>
      <w:tr w:rsidR="00297D16" w:rsidRPr="00587976" w:rsidTr="00865674">
        <w:trPr>
          <w:cantSplit/>
          <w:trHeight w:val="245"/>
          <w:jc w:val="center"/>
        </w:trPr>
        <w:tc>
          <w:tcPr>
            <w:tcW w:w="773" w:type="dxa"/>
            <w:vMerge/>
            <w:shd w:val="clear" w:color="auto" w:fill="auto"/>
            <w:noWrap/>
            <w:hideMark/>
          </w:tcPr>
          <w:p w:rsidR="00297D16" w:rsidRPr="008E4B0D" w:rsidRDefault="00297D16" w:rsidP="00865674">
            <w:pPr>
              <w:tabs>
                <w:tab w:val="left" w:pos="1162"/>
              </w:tabs>
              <w:spacing w:before="80" w:after="80"/>
              <w:rPr>
                <w:rFonts w:cs="Arial"/>
                <w:color w:val="000000"/>
                <w:sz w:val="18"/>
                <w:szCs w:val="18"/>
                <w:lang w:eastAsia="en-AU"/>
              </w:rPr>
            </w:pPr>
          </w:p>
        </w:tc>
        <w:tc>
          <w:tcPr>
            <w:tcW w:w="1070" w:type="dxa"/>
            <w:shd w:val="clear" w:color="auto" w:fill="auto"/>
            <w:noWrap/>
            <w:hideMark/>
          </w:tcPr>
          <w:p w:rsidR="00297D16" w:rsidRPr="009B707F" w:rsidRDefault="00297D16" w:rsidP="00865674">
            <w:pPr>
              <w:tabs>
                <w:tab w:val="left" w:pos="1162"/>
              </w:tabs>
              <w:spacing w:before="80" w:after="80"/>
              <w:jc w:val="center"/>
              <w:rPr>
                <w:rFonts w:cs="Arial"/>
                <w:color w:val="000000"/>
                <w:sz w:val="18"/>
                <w:szCs w:val="18"/>
                <w:lang w:eastAsia="en-AU"/>
              </w:rPr>
            </w:pPr>
            <w:r w:rsidRPr="009B707F">
              <w:rPr>
                <w:rFonts w:cs="Arial"/>
                <w:color w:val="000000"/>
                <w:sz w:val="18"/>
                <w:szCs w:val="18"/>
                <w:lang w:eastAsia="en-AU"/>
              </w:rPr>
              <w:t>E05</w:t>
            </w:r>
          </w:p>
        </w:tc>
        <w:tc>
          <w:tcPr>
            <w:tcW w:w="1559"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proofErr w:type="spellStart"/>
            <w:r>
              <w:rPr>
                <w:rFonts w:cs="Arial"/>
                <w:color w:val="000000"/>
                <w:sz w:val="18"/>
                <w:szCs w:val="18"/>
                <w:lang w:eastAsia="en-AU"/>
              </w:rPr>
              <w:t>adj_</w:t>
            </w:r>
            <w:r w:rsidRPr="009B707F">
              <w:rPr>
                <w:rFonts w:cs="Arial"/>
                <w:color w:val="000000"/>
                <w:sz w:val="18"/>
                <w:szCs w:val="18"/>
                <w:lang w:eastAsia="en-AU"/>
              </w:rPr>
              <w:t>indigenous</w:t>
            </w:r>
            <w:proofErr w:type="spellEnd"/>
            <w:r w:rsidRPr="009B707F" w:rsidDel="00AC6897">
              <w:rPr>
                <w:rFonts w:cs="Arial"/>
                <w:color w:val="000000"/>
                <w:sz w:val="18"/>
                <w:szCs w:val="18"/>
                <w:lang w:eastAsia="en-AU"/>
              </w:rPr>
              <w:t xml:space="preserve"> </w:t>
            </w:r>
          </w:p>
        </w:tc>
        <w:tc>
          <w:tcPr>
            <w:tcW w:w="2043" w:type="dxa"/>
            <w:shd w:val="clear" w:color="auto" w:fill="auto"/>
            <w:noWrap/>
          </w:tcPr>
          <w:p w:rsidR="00297D16" w:rsidRPr="009B707F" w:rsidRDefault="00297D16" w:rsidP="00865674">
            <w:pPr>
              <w:tabs>
                <w:tab w:val="left" w:pos="1162"/>
              </w:tabs>
              <w:spacing w:before="80" w:after="80"/>
              <w:rPr>
                <w:rFonts w:cs="Arial"/>
                <w:color w:val="000000"/>
                <w:sz w:val="18"/>
                <w:szCs w:val="18"/>
                <w:lang w:eastAsia="en-AU"/>
              </w:rPr>
            </w:pPr>
            <w:r w:rsidRPr="009B707F">
              <w:rPr>
                <w:rFonts w:cs="Arial"/>
                <w:color w:val="000000"/>
                <w:sz w:val="18"/>
                <w:szCs w:val="18"/>
                <w:lang w:eastAsia="en-AU"/>
              </w:rPr>
              <w:t>See definition</w:t>
            </w:r>
          </w:p>
        </w:tc>
        <w:tc>
          <w:tcPr>
            <w:tcW w:w="4142" w:type="dxa"/>
            <w:shd w:val="clear" w:color="auto" w:fill="auto"/>
            <w:noWrap/>
          </w:tcPr>
          <w:p w:rsidR="00297D16" w:rsidRPr="009B707F" w:rsidRDefault="00297D16" w:rsidP="00865674">
            <w:pPr>
              <w:tabs>
                <w:tab w:val="left" w:pos="1162"/>
              </w:tabs>
              <w:spacing w:before="80" w:after="80"/>
              <w:rPr>
                <w:rFonts w:cs="Arial"/>
                <w:color w:val="000000"/>
                <w:sz w:val="18"/>
                <w:szCs w:val="18"/>
                <w:lang w:eastAsia="en-AU"/>
              </w:rPr>
            </w:pPr>
            <w:r w:rsidRPr="009B707F">
              <w:rPr>
                <w:rFonts w:cs="Arial"/>
                <w:color w:val="000000"/>
                <w:sz w:val="18"/>
                <w:szCs w:val="18"/>
                <w:lang w:eastAsia="en-AU"/>
              </w:rPr>
              <w:t>Indigenous adjustment from NWAU Adjustment table.</w:t>
            </w:r>
          </w:p>
        </w:tc>
      </w:tr>
      <w:tr w:rsidR="00297D16" w:rsidRPr="00587976" w:rsidTr="00865674">
        <w:trPr>
          <w:cantSplit/>
          <w:trHeight w:val="490"/>
          <w:jc w:val="center"/>
        </w:trPr>
        <w:tc>
          <w:tcPr>
            <w:tcW w:w="773" w:type="dxa"/>
            <w:shd w:val="clear" w:color="auto" w:fill="auto"/>
            <w:noWrap/>
            <w:hideMark/>
          </w:tcPr>
          <w:p w:rsidR="00297D16" w:rsidRPr="008E4B0D" w:rsidRDefault="00297D16" w:rsidP="00865674">
            <w:pPr>
              <w:tabs>
                <w:tab w:val="left" w:pos="1162"/>
              </w:tabs>
              <w:spacing w:before="80" w:after="80"/>
              <w:rPr>
                <w:rFonts w:cs="Arial"/>
                <w:color w:val="000000"/>
                <w:sz w:val="18"/>
                <w:szCs w:val="18"/>
                <w:lang w:eastAsia="en-AU"/>
              </w:rPr>
            </w:pPr>
            <w:r w:rsidRPr="008E4B0D">
              <w:rPr>
                <w:rFonts w:cs="Arial"/>
                <w:color w:val="000000"/>
                <w:sz w:val="18"/>
                <w:szCs w:val="18"/>
                <w:lang w:eastAsia="en-AU"/>
              </w:rPr>
              <w:t xml:space="preserve">Step </w:t>
            </w:r>
            <w:r>
              <w:rPr>
                <w:rFonts w:cs="Arial"/>
                <w:color w:val="000000"/>
                <w:sz w:val="18"/>
                <w:szCs w:val="18"/>
                <w:lang w:eastAsia="en-AU"/>
              </w:rPr>
              <w:t>4</w:t>
            </w:r>
          </w:p>
        </w:tc>
        <w:tc>
          <w:tcPr>
            <w:tcW w:w="1070" w:type="dxa"/>
            <w:shd w:val="clear" w:color="auto" w:fill="auto"/>
            <w:noWrap/>
            <w:hideMark/>
          </w:tcPr>
          <w:p w:rsidR="00297D16" w:rsidRPr="009B707F" w:rsidRDefault="00297D16" w:rsidP="00865674">
            <w:pPr>
              <w:tabs>
                <w:tab w:val="left" w:pos="1162"/>
              </w:tabs>
              <w:spacing w:before="80" w:after="80"/>
              <w:jc w:val="center"/>
              <w:rPr>
                <w:rFonts w:cs="Arial"/>
                <w:color w:val="000000"/>
                <w:sz w:val="18"/>
                <w:szCs w:val="18"/>
                <w:lang w:eastAsia="en-AU"/>
              </w:rPr>
            </w:pPr>
            <w:r w:rsidRPr="009B707F">
              <w:rPr>
                <w:rFonts w:cs="Arial"/>
                <w:color w:val="000000"/>
                <w:sz w:val="18"/>
                <w:szCs w:val="18"/>
                <w:lang w:eastAsia="en-AU"/>
              </w:rPr>
              <w:t>E0</w:t>
            </w:r>
            <w:r>
              <w:rPr>
                <w:rFonts w:cs="Arial"/>
                <w:color w:val="000000"/>
                <w:sz w:val="18"/>
                <w:szCs w:val="18"/>
                <w:lang w:eastAsia="en-AU"/>
              </w:rPr>
              <w:t>6</w:t>
            </w:r>
          </w:p>
        </w:tc>
        <w:tc>
          <w:tcPr>
            <w:tcW w:w="1559"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proofErr w:type="spellStart"/>
            <w:r>
              <w:rPr>
                <w:rFonts w:cs="Arial"/>
                <w:color w:val="000000"/>
                <w:sz w:val="18"/>
                <w:szCs w:val="18"/>
                <w:lang w:eastAsia="en-AU"/>
              </w:rPr>
              <w:t>Error_Code</w:t>
            </w:r>
            <w:proofErr w:type="spellEnd"/>
          </w:p>
        </w:tc>
        <w:tc>
          <w:tcPr>
            <w:tcW w:w="2043" w:type="dxa"/>
            <w:shd w:val="clear" w:color="auto" w:fill="auto"/>
            <w:noWrap/>
            <w:hideMark/>
          </w:tcPr>
          <w:p w:rsidR="00297D16" w:rsidRPr="009B707F"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See definition</w:t>
            </w:r>
          </w:p>
        </w:tc>
        <w:tc>
          <w:tcPr>
            <w:tcW w:w="4142" w:type="dxa"/>
            <w:shd w:val="clear" w:color="auto" w:fill="auto"/>
            <w:hideMark/>
          </w:tcPr>
          <w:p w:rsidR="00297D16" w:rsidRPr="009B707F"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Outlines Errors in calculations</w:t>
            </w:r>
          </w:p>
        </w:tc>
      </w:tr>
      <w:tr w:rsidR="00297D16" w:rsidRPr="00587976" w:rsidTr="00865674">
        <w:trPr>
          <w:cantSplit/>
          <w:trHeight w:val="490"/>
          <w:jc w:val="center"/>
        </w:trPr>
        <w:tc>
          <w:tcPr>
            <w:tcW w:w="773" w:type="dxa"/>
            <w:vMerge w:val="restart"/>
            <w:shd w:val="clear" w:color="auto" w:fill="auto"/>
            <w:noWrap/>
          </w:tcPr>
          <w:p w:rsidR="00297D16" w:rsidRPr="008E4B0D"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Step 5</w:t>
            </w:r>
          </w:p>
        </w:tc>
        <w:tc>
          <w:tcPr>
            <w:tcW w:w="1070" w:type="dxa"/>
            <w:shd w:val="clear" w:color="auto" w:fill="auto"/>
            <w:noWrap/>
          </w:tcPr>
          <w:p w:rsidR="00297D16" w:rsidRPr="009B707F" w:rsidRDefault="00297D16"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E07</w:t>
            </w:r>
          </w:p>
        </w:tc>
        <w:tc>
          <w:tcPr>
            <w:tcW w:w="1559" w:type="dxa"/>
            <w:shd w:val="clear" w:color="auto" w:fill="auto"/>
            <w:noWrap/>
          </w:tcPr>
          <w:p w:rsidR="00297D16"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_w01</w:t>
            </w:r>
          </w:p>
        </w:tc>
        <w:tc>
          <w:tcPr>
            <w:tcW w:w="2043" w:type="dxa"/>
            <w:shd w:val="clear" w:color="auto" w:fill="auto"/>
            <w:noWrap/>
          </w:tcPr>
          <w:p w:rsidR="00297D16" w:rsidRDefault="00297D16" w:rsidP="00865674">
            <w:pPr>
              <w:tabs>
                <w:tab w:val="left" w:pos="1162"/>
              </w:tabs>
              <w:spacing w:before="80" w:after="80"/>
              <w:rPr>
                <w:rFonts w:cs="Arial"/>
                <w:color w:val="000000"/>
                <w:sz w:val="18"/>
                <w:szCs w:val="18"/>
                <w:lang w:eastAsia="en-AU"/>
              </w:rPr>
            </w:pPr>
            <w:r>
              <w:rPr>
                <w:rFonts w:cs="Arial"/>
                <w:color w:val="000000"/>
                <w:sz w:val="20"/>
                <w:szCs w:val="20"/>
                <w:lang w:eastAsia="en-AU"/>
              </w:rPr>
              <w:t>Base predicted</w:t>
            </w:r>
          </w:p>
        </w:tc>
        <w:tc>
          <w:tcPr>
            <w:tcW w:w="4142" w:type="dxa"/>
            <w:shd w:val="clear" w:color="auto" w:fill="auto"/>
          </w:tcPr>
          <w:p w:rsidR="00297D16"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Ad</w:t>
            </w:r>
            <w:r w:rsidR="0073435B">
              <w:rPr>
                <w:rFonts w:cs="Arial"/>
                <w:color w:val="000000"/>
                <w:sz w:val="18"/>
                <w:szCs w:val="18"/>
                <w:lang w:eastAsia="en-AU"/>
              </w:rPr>
              <w:t>opt URG_PW if available else UD</w:t>
            </w:r>
            <w:r w:rsidR="0045546E">
              <w:rPr>
                <w:rFonts w:cs="Arial"/>
                <w:color w:val="000000"/>
                <w:sz w:val="18"/>
                <w:szCs w:val="18"/>
                <w:lang w:eastAsia="en-AU"/>
              </w:rPr>
              <w:t>G</w:t>
            </w:r>
            <w:r>
              <w:rPr>
                <w:rFonts w:cs="Arial"/>
                <w:color w:val="000000"/>
                <w:sz w:val="18"/>
                <w:szCs w:val="18"/>
                <w:lang w:eastAsia="en-AU"/>
              </w:rPr>
              <w:t>_PW</w:t>
            </w:r>
          </w:p>
        </w:tc>
      </w:tr>
      <w:tr w:rsidR="00297D16" w:rsidRPr="00587976" w:rsidTr="00865674">
        <w:trPr>
          <w:cantSplit/>
          <w:trHeight w:val="490"/>
          <w:jc w:val="center"/>
        </w:trPr>
        <w:tc>
          <w:tcPr>
            <w:tcW w:w="773" w:type="dxa"/>
            <w:vMerge/>
            <w:shd w:val="clear" w:color="auto" w:fill="auto"/>
            <w:noWrap/>
          </w:tcPr>
          <w:p w:rsidR="00297D16" w:rsidRDefault="00297D16" w:rsidP="00865674">
            <w:pPr>
              <w:tabs>
                <w:tab w:val="left" w:pos="1162"/>
              </w:tabs>
              <w:spacing w:before="80" w:after="80"/>
              <w:rPr>
                <w:rFonts w:cs="Arial"/>
                <w:color w:val="000000"/>
                <w:sz w:val="18"/>
                <w:szCs w:val="18"/>
                <w:lang w:eastAsia="en-AU"/>
              </w:rPr>
            </w:pPr>
          </w:p>
        </w:tc>
        <w:tc>
          <w:tcPr>
            <w:tcW w:w="1070" w:type="dxa"/>
            <w:shd w:val="clear" w:color="auto" w:fill="auto"/>
            <w:noWrap/>
          </w:tcPr>
          <w:p w:rsidR="00297D16" w:rsidRDefault="00297D16"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E08</w:t>
            </w:r>
          </w:p>
        </w:tc>
        <w:tc>
          <w:tcPr>
            <w:tcW w:w="1559" w:type="dxa"/>
            <w:shd w:val="clear" w:color="auto" w:fill="auto"/>
            <w:noWrap/>
          </w:tcPr>
          <w:p w:rsidR="00297D16"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GWAU15</w:t>
            </w:r>
          </w:p>
        </w:tc>
        <w:tc>
          <w:tcPr>
            <w:tcW w:w="2043" w:type="dxa"/>
            <w:shd w:val="clear" w:color="auto" w:fill="auto"/>
            <w:noWrap/>
          </w:tcPr>
          <w:p w:rsidR="00297D16" w:rsidRDefault="00297D16" w:rsidP="00865674">
            <w:pPr>
              <w:tabs>
                <w:tab w:val="left" w:pos="1162"/>
              </w:tabs>
              <w:spacing w:before="80" w:after="80"/>
              <w:rPr>
                <w:rFonts w:cs="Arial"/>
                <w:color w:val="000000"/>
                <w:sz w:val="20"/>
                <w:szCs w:val="20"/>
                <w:lang w:eastAsia="en-AU"/>
              </w:rPr>
            </w:pPr>
            <w:r>
              <w:rPr>
                <w:rFonts w:cs="Arial"/>
                <w:color w:val="000000"/>
                <w:sz w:val="20"/>
                <w:szCs w:val="20"/>
                <w:lang w:eastAsia="en-AU"/>
              </w:rPr>
              <w:t>Gross Weighted Activity Unit</w:t>
            </w:r>
          </w:p>
        </w:tc>
        <w:tc>
          <w:tcPr>
            <w:tcW w:w="4142" w:type="dxa"/>
            <w:shd w:val="clear" w:color="auto" w:fill="auto"/>
          </w:tcPr>
          <w:p w:rsidR="00297D16"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_w01*(1+adj_indigenous)</w:t>
            </w:r>
          </w:p>
        </w:tc>
      </w:tr>
      <w:tr w:rsidR="00297D16" w:rsidRPr="00587976" w:rsidTr="00865674">
        <w:trPr>
          <w:cantSplit/>
          <w:trHeight w:val="490"/>
          <w:jc w:val="center"/>
        </w:trPr>
        <w:tc>
          <w:tcPr>
            <w:tcW w:w="773" w:type="dxa"/>
            <w:vMerge/>
            <w:shd w:val="clear" w:color="auto" w:fill="auto"/>
            <w:noWrap/>
          </w:tcPr>
          <w:p w:rsidR="00297D16" w:rsidRDefault="00297D16" w:rsidP="00865674">
            <w:pPr>
              <w:tabs>
                <w:tab w:val="left" w:pos="1162"/>
              </w:tabs>
              <w:spacing w:before="80" w:after="80"/>
              <w:rPr>
                <w:rFonts w:cs="Arial"/>
                <w:color w:val="000000"/>
                <w:sz w:val="18"/>
                <w:szCs w:val="18"/>
                <w:lang w:eastAsia="en-AU"/>
              </w:rPr>
            </w:pPr>
          </w:p>
        </w:tc>
        <w:tc>
          <w:tcPr>
            <w:tcW w:w="1070" w:type="dxa"/>
            <w:shd w:val="clear" w:color="auto" w:fill="auto"/>
            <w:noWrap/>
          </w:tcPr>
          <w:p w:rsidR="00297D16" w:rsidRDefault="00297D16" w:rsidP="00865674">
            <w:pPr>
              <w:tabs>
                <w:tab w:val="left" w:pos="1162"/>
              </w:tabs>
              <w:spacing w:before="80" w:after="80"/>
              <w:jc w:val="center"/>
              <w:rPr>
                <w:rFonts w:cs="Arial"/>
                <w:color w:val="000000"/>
                <w:sz w:val="18"/>
                <w:szCs w:val="18"/>
                <w:lang w:eastAsia="en-AU"/>
              </w:rPr>
            </w:pPr>
            <w:r>
              <w:rPr>
                <w:rFonts w:cs="Arial"/>
                <w:color w:val="000000"/>
                <w:sz w:val="18"/>
                <w:szCs w:val="18"/>
                <w:lang w:eastAsia="en-AU"/>
              </w:rPr>
              <w:t>E09</w:t>
            </w:r>
          </w:p>
        </w:tc>
        <w:tc>
          <w:tcPr>
            <w:tcW w:w="1559" w:type="dxa"/>
            <w:shd w:val="clear" w:color="auto" w:fill="auto"/>
            <w:noWrap/>
          </w:tcPr>
          <w:p w:rsidR="00297D16"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NWAU15</w:t>
            </w:r>
          </w:p>
        </w:tc>
        <w:tc>
          <w:tcPr>
            <w:tcW w:w="2043" w:type="dxa"/>
            <w:shd w:val="clear" w:color="auto" w:fill="auto"/>
            <w:noWrap/>
          </w:tcPr>
          <w:p w:rsidR="00297D16" w:rsidRDefault="0073435B" w:rsidP="00865674">
            <w:pPr>
              <w:tabs>
                <w:tab w:val="left" w:pos="1162"/>
              </w:tabs>
              <w:spacing w:before="80" w:after="80"/>
              <w:rPr>
                <w:rFonts w:cs="Arial"/>
                <w:color w:val="000000"/>
                <w:sz w:val="20"/>
                <w:szCs w:val="20"/>
                <w:lang w:eastAsia="en-AU"/>
              </w:rPr>
            </w:pPr>
            <w:r>
              <w:rPr>
                <w:rFonts w:cs="Arial"/>
                <w:color w:val="000000"/>
                <w:sz w:val="20"/>
                <w:szCs w:val="20"/>
                <w:lang w:eastAsia="en-AU"/>
              </w:rPr>
              <w:t>National Weighted Activity U</w:t>
            </w:r>
            <w:r w:rsidR="00297D16">
              <w:rPr>
                <w:rFonts w:cs="Arial"/>
                <w:color w:val="000000"/>
                <w:sz w:val="20"/>
                <w:szCs w:val="20"/>
                <w:lang w:eastAsia="en-AU"/>
              </w:rPr>
              <w:t>nit</w:t>
            </w:r>
          </w:p>
        </w:tc>
        <w:tc>
          <w:tcPr>
            <w:tcW w:w="4142" w:type="dxa"/>
            <w:shd w:val="clear" w:color="auto" w:fill="auto"/>
          </w:tcPr>
          <w:p w:rsidR="00297D16" w:rsidRDefault="00297D16" w:rsidP="00865674">
            <w:pPr>
              <w:tabs>
                <w:tab w:val="left" w:pos="1162"/>
              </w:tabs>
              <w:spacing w:before="80" w:after="80"/>
              <w:rPr>
                <w:rFonts w:cs="Arial"/>
                <w:color w:val="000000"/>
                <w:sz w:val="18"/>
                <w:szCs w:val="18"/>
                <w:lang w:eastAsia="en-AU"/>
              </w:rPr>
            </w:pPr>
            <w:r>
              <w:rPr>
                <w:rFonts w:cs="Arial"/>
                <w:color w:val="000000"/>
                <w:sz w:val="18"/>
                <w:szCs w:val="18"/>
                <w:lang w:eastAsia="en-AU"/>
              </w:rPr>
              <w:t>GWAU15 for inscope patients only (i.e. non DVA and Compensable patients)</w:t>
            </w:r>
          </w:p>
        </w:tc>
      </w:tr>
    </w:tbl>
    <w:p w:rsidR="00460371" w:rsidRDefault="00460371" w:rsidP="00AD4FFC">
      <w:pPr>
        <w:tabs>
          <w:tab w:val="left" w:pos="1162"/>
        </w:tabs>
      </w:pPr>
    </w:p>
    <w:p w:rsidR="00460371" w:rsidRDefault="00460371" w:rsidP="00C245E0">
      <w:pPr>
        <w:pStyle w:val="ListParagraph"/>
        <w:numPr>
          <w:ilvl w:val="0"/>
          <w:numId w:val="54"/>
        </w:numPr>
        <w:tabs>
          <w:tab w:val="left" w:pos="1162"/>
        </w:tabs>
        <w:spacing w:before="80" w:after="80"/>
        <w:ind w:left="714" w:hanging="357"/>
        <w:sectPr w:rsidR="00460371" w:rsidSect="002049EC">
          <w:pgSz w:w="11907" w:h="16839" w:code="9"/>
          <w:pgMar w:top="1440" w:right="1440" w:bottom="1440" w:left="1440" w:header="709" w:footer="709" w:gutter="0"/>
          <w:cols w:space="708"/>
          <w:docGrid w:linePitch="360"/>
        </w:sectPr>
      </w:pPr>
    </w:p>
    <w:p w:rsidR="00460371" w:rsidRDefault="00460371" w:rsidP="00AD4FFC">
      <w:pPr>
        <w:pStyle w:val="Heading1"/>
        <w:pageBreakBefore/>
        <w:numPr>
          <w:ilvl w:val="0"/>
          <w:numId w:val="35"/>
        </w:numPr>
        <w:spacing w:before="100" w:beforeAutospacing="1" w:after="100" w:afterAutospacing="1"/>
      </w:pPr>
      <w:bookmarkStart w:id="275" w:name="_Toc319673309"/>
      <w:bookmarkStart w:id="276" w:name="_Toc380754723"/>
      <w:bookmarkStart w:id="277" w:name="_Toc412550769"/>
      <w:r>
        <w:lastRenderedPageBreak/>
        <w:t>Non-admitted care cost model</w:t>
      </w:r>
      <w:bookmarkEnd w:id="275"/>
      <w:bookmarkEnd w:id="276"/>
      <w:bookmarkEnd w:id="277"/>
    </w:p>
    <w:p w:rsidR="00460371" w:rsidRDefault="00460371" w:rsidP="00AD4FFC">
      <w:pPr>
        <w:pStyle w:val="Heading2"/>
        <w:keepLines w:val="0"/>
        <w:numPr>
          <w:ilvl w:val="1"/>
          <w:numId w:val="35"/>
        </w:numPr>
        <w:tabs>
          <w:tab w:val="left" w:pos="1162"/>
        </w:tabs>
        <w:spacing w:after="60"/>
      </w:pPr>
      <w:bookmarkStart w:id="278" w:name="_Toc380754724"/>
      <w:bookmarkStart w:id="279" w:name="_Toc412550770"/>
      <w:r>
        <w:t>General issues</w:t>
      </w:r>
      <w:bookmarkEnd w:id="278"/>
      <w:bookmarkEnd w:id="279"/>
    </w:p>
    <w:p w:rsidR="00460371" w:rsidRDefault="00460371" w:rsidP="00AD4FFC">
      <w:pPr>
        <w:pStyle w:val="Heading3"/>
        <w:keepLines w:val="0"/>
        <w:numPr>
          <w:ilvl w:val="2"/>
          <w:numId w:val="35"/>
        </w:numPr>
        <w:tabs>
          <w:tab w:val="left" w:pos="1162"/>
        </w:tabs>
        <w:spacing w:before="240" w:after="120"/>
      </w:pPr>
      <w:bookmarkStart w:id="280" w:name="_Toc380754725"/>
      <w:bookmarkStart w:id="281" w:name="_Toc412550771"/>
      <w:r>
        <w:t>Cost unit</w:t>
      </w:r>
      <w:bookmarkEnd w:id="280"/>
      <w:bookmarkEnd w:id="281"/>
    </w:p>
    <w:p w:rsidR="00460371" w:rsidRDefault="00460371" w:rsidP="00AD4FFC">
      <w:pPr>
        <w:tabs>
          <w:tab w:val="left" w:pos="1162"/>
        </w:tabs>
        <w:rPr>
          <w:rFonts w:cs="Arial"/>
          <w:szCs w:val="20"/>
        </w:rPr>
      </w:pPr>
      <w:r w:rsidRPr="00D04E5E">
        <w:rPr>
          <w:rFonts w:cs="Arial"/>
          <w:szCs w:val="20"/>
        </w:rPr>
        <w:t xml:space="preserve">The </w:t>
      </w:r>
      <w:r>
        <w:rPr>
          <w:rFonts w:cs="Arial"/>
          <w:szCs w:val="20"/>
        </w:rPr>
        <w:t xml:space="preserve">cost </w:t>
      </w:r>
      <w:r w:rsidRPr="00D04E5E">
        <w:rPr>
          <w:rFonts w:cs="Arial"/>
          <w:szCs w:val="20"/>
        </w:rPr>
        <w:t>unit for non-admitted care is a Non-Admitted Patient Service Event. This is “</w:t>
      </w:r>
      <w:r w:rsidRPr="00D04E5E">
        <w:rPr>
          <w:rFonts w:cs="Arial"/>
          <w:i/>
          <w:szCs w:val="20"/>
        </w:rPr>
        <w:t>An interaction between one or more healthcare provider(s) with one non-admitted patient, which must contain therapeutic/clinical content and result in a dated entry in the patient's medical record</w:t>
      </w:r>
      <w:r w:rsidRPr="00D04E5E">
        <w:rPr>
          <w:rFonts w:cs="Arial"/>
          <w:szCs w:val="20"/>
        </w:rPr>
        <w:t>”</w:t>
      </w:r>
      <w:r w:rsidRPr="00D04E5E">
        <w:rPr>
          <w:rStyle w:val="FootnoteReference"/>
          <w:rFonts w:cs="Arial"/>
          <w:szCs w:val="20"/>
        </w:rPr>
        <w:t xml:space="preserve"> </w:t>
      </w:r>
      <w:r w:rsidRPr="00D04E5E">
        <w:rPr>
          <w:rStyle w:val="FootnoteReference"/>
          <w:rFonts w:cs="Arial"/>
          <w:szCs w:val="20"/>
        </w:rPr>
        <w:footnoteReference w:id="22"/>
      </w:r>
      <w:r w:rsidRPr="00D04E5E">
        <w:rPr>
          <w:rFonts w:cs="Arial"/>
          <w:szCs w:val="20"/>
        </w:rPr>
        <w:t>.</w:t>
      </w:r>
    </w:p>
    <w:p w:rsidR="00460371" w:rsidRDefault="00460371" w:rsidP="00AD4FFC">
      <w:pPr>
        <w:pStyle w:val="Heading3"/>
        <w:keepLines w:val="0"/>
        <w:numPr>
          <w:ilvl w:val="2"/>
          <w:numId w:val="35"/>
        </w:numPr>
        <w:tabs>
          <w:tab w:val="left" w:pos="1162"/>
        </w:tabs>
        <w:spacing w:before="240" w:after="120"/>
      </w:pPr>
      <w:bookmarkStart w:id="282" w:name="_Toc380754726"/>
      <w:bookmarkStart w:id="283" w:name="_Toc412550772"/>
      <w:r>
        <w:t>Scope</w:t>
      </w:r>
      <w:bookmarkEnd w:id="282"/>
      <w:bookmarkEnd w:id="283"/>
    </w:p>
    <w:p w:rsidR="00460371" w:rsidRDefault="00460371" w:rsidP="00AD4FFC">
      <w:pPr>
        <w:tabs>
          <w:tab w:val="left" w:pos="1162"/>
        </w:tabs>
        <w:rPr>
          <w:rFonts w:cs="Arial"/>
          <w:szCs w:val="20"/>
        </w:rPr>
      </w:pPr>
      <w:r w:rsidRPr="00D04E5E">
        <w:rPr>
          <w:rFonts w:cs="Arial"/>
          <w:szCs w:val="20"/>
        </w:rPr>
        <w:t>The scope of non-admitted care includes service events occurring in outpatient clinics in ABF hospitals</w:t>
      </w:r>
      <w:r>
        <w:rPr>
          <w:rFonts w:cs="Arial"/>
          <w:szCs w:val="20"/>
        </w:rPr>
        <w:t xml:space="preserve"> and in the community, as explained in the Pricing Framework</w:t>
      </w:r>
      <w:r w:rsidRPr="00D04E5E">
        <w:rPr>
          <w:rFonts w:cs="Arial"/>
          <w:szCs w:val="20"/>
        </w:rPr>
        <w:t>.</w:t>
      </w:r>
    </w:p>
    <w:p w:rsidR="00460371" w:rsidRDefault="00460371" w:rsidP="00AD4FFC">
      <w:pPr>
        <w:pStyle w:val="Heading3"/>
        <w:keepLines w:val="0"/>
        <w:numPr>
          <w:ilvl w:val="2"/>
          <w:numId w:val="35"/>
        </w:numPr>
        <w:tabs>
          <w:tab w:val="left" w:pos="1162"/>
        </w:tabs>
        <w:spacing w:before="240" w:after="120"/>
      </w:pPr>
      <w:bookmarkStart w:id="284" w:name="_Toc380754727"/>
      <w:bookmarkStart w:id="285" w:name="_Toc412550773"/>
      <w:r>
        <w:t>Classification</w:t>
      </w:r>
      <w:bookmarkEnd w:id="284"/>
      <w:bookmarkEnd w:id="285"/>
    </w:p>
    <w:p w:rsidR="00460371" w:rsidRDefault="00460371" w:rsidP="00AD4FFC">
      <w:pPr>
        <w:tabs>
          <w:tab w:val="left" w:pos="1162"/>
        </w:tabs>
        <w:rPr>
          <w:rFonts w:cs="Arial"/>
          <w:szCs w:val="20"/>
        </w:rPr>
      </w:pPr>
      <w:r w:rsidRPr="00D04E5E">
        <w:rPr>
          <w:rFonts w:cs="Arial"/>
          <w:szCs w:val="20"/>
        </w:rPr>
        <w:t xml:space="preserve">The NHCDC Tier 2 clinics </w:t>
      </w:r>
      <w:r>
        <w:rPr>
          <w:rFonts w:cs="Arial"/>
          <w:szCs w:val="20"/>
        </w:rPr>
        <w:t>v</w:t>
      </w:r>
      <w:r w:rsidR="009D79AF">
        <w:rPr>
          <w:rFonts w:cs="Arial"/>
          <w:szCs w:val="20"/>
        </w:rPr>
        <w:t>4</w:t>
      </w:r>
      <w:r w:rsidRPr="00D04E5E">
        <w:rPr>
          <w:rFonts w:cs="Arial"/>
          <w:szCs w:val="20"/>
        </w:rPr>
        <w:t>.0 is used to classify non-admitted care for the purposes of ABF</w:t>
      </w:r>
      <w:r>
        <w:rPr>
          <w:rFonts w:cs="Arial"/>
          <w:szCs w:val="20"/>
        </w:rPr>
        <w:t xml:space="preserve"> as explained in the Pricing Framework and set out in the </w:t>
      </w:r>
      <w:r w:rsidR="00B94FB5">
        <w:rPr>
          <w:rFonts w:cs="Arial"/>
          <w:i/>
          <w:szCs w:val="20"/>
        </w:rPr>
        <w:t>NEP15</w:t>
      </w:r>
      <w:r w:rsidRPr="003F6BA6">
        <w:rPr>
          <w:rFonts w:cs="Arial"/>
          <w:i/>
          <w:szCs w:val="20"/>
        </w:rPr>
        <w:t xml:space="preserve"> Determination</w:t>
      </w:r>
      <w:r w:rsidRPr="00D04E5E">
        <w:rPr>
          <w:rFonts w:cs="Arial"/>
          <w:szCs w:val="20"/>
        </w:rPr>
        <w:t>.</w:t>
      </w:r>
    </w:p>
    <w:p w:rsidR="00460371" w:rsidRDefault="00460371" w:rsidP="00AD4FFC">
      <w:pPr>
        <w:pStyle w:val="Heading2"/>
        <w:keepLines w:val="0"/>
        <w:numPr>
          <w:ilvl w:val="1"/>
          <w:numId w:val="35"/>
        </w:numPr>
        <w:tabs>
          <w:tab w:val="left" w:pos="1162"/>
        </w:tabs>
        <w:spacing w:after="60"/>
      </w:pPr>
      <w:bookmarkStart w:id="286" w:name="_Toc380754728"/>
      <w:bookmarkStart w:id="287" w:name="_Toc412550774"/>
      <w:r>
        <w:t>Analysis of costs to derive NWAU for non-admitted outpatient care</w:t>
      </w:r>
      <w:bookmarkEnd w:id="286"/>
      <w:bookmarkEnd w:id="287"/>
    </w:p>
    <w:p w:rsidR="00460371" w:rsidRPr="00831C09" w:rsidRDefault="00460371" w:rsidP="00AD4FFC">
      <w:pPr>
        <w:pStyle w:val="Heading3"/>
        <w:keepLines w:val="0"/>
        <w:numPr>
          <w:ilvl w:val="2"/>
          <w:numId w:val="35"/>
        </w:numPr>
        <w:tabs>
          <w:tab w:val="left" w:pos="1162"/>
        </w:tabs>
        <w:spacing w:before="240" w:after="120"/>
      </w:pPr>
      <w:bookmarkStart w:id="288" w:name="_Toc380754729"/>
      <w:bookmarkStart w:id="289" w:name="_Toc412550775"/>
      <w:r>
        <w:t>Data preparation</w:t>
      </w:r>
      <w:bookmarkEnd w:id="288"/>
      <w:bookmarkEnd w:id="289"/>
    </w:p>
    <w:p w:rsidR="00460371" w:rsidRPr="007441E5" w:rsidRDefault="00460371" w:rsidP="00AD4FFC">
      <w:pPr>
        <w:tabs>
          <w:tab w:val="left" w:pos="1162"/>
        </w:tabs>
        <w:rPr>
          <w:rFonts w:cs="Arial"/>
          <w:szCs w:val="20"/>
        </w:rPr>
      </w:pPr>
      <w:r w:rsidRPr="00C35A0D">
        <w:rPr>
          <w:rFonts w:cs="Arial"/>
          <w:szCs w:val="20"/>
        </w:rPr>
        <w:t xml:space="preserve">Non-admitted patient </w:t>
      </w:r>
      <w:r w:rsidR="00E2794F" w:rsidRPr="00C35A0D">
        <w:rPr>
          <w:rFonts w:cs="Arial"/>
          <w:szCs w:val="20"/>
        </w:rPr>
        <w:t xml:space="preserve">cost </w:t>
      </w:r>
      <w:r w:rsidRPr="00C35A0D">
        <w:rPr>
          <w:rFonts w:cs="Arial"/>
          <w:szCs w:val="20"/>
        </w:rPr>
        <w:t xml:space="preserve">data was received for </w:t>
      </w:r>
      <w:r w:rsidR="009D79AF">
        <w:rPr>
          <w:rFonts w:cs="Arial"/>
          <w:szCs w:val="20"/>
        </w:rPr>
        <w:t>seven</w:t>
      </w:r>
      <w:r w:rsidRPr="00C35A0D">
        <w:rPr>
          <w:rFonts w:cs="Arial"/>
          <w:szCs w:val="20"/>
        </w:rPr>
        <w:t xml:space="preserve"> jurisdictions. NHCDC Round 1</w:t>
      </w:r>
      <w:r w:rsidR="00E2794F" w:rsidRPr="00C35A0D">
        <w:rPr>
          <w:rFonts w:cs="Arial"/>
          <w:szCs w:val="20"/>
        </w:rPr>
        <w:t>7</w:t>
      </w:r>
      <w:r w:rsidRPr="00C35A0D">
        <w:rPr>
          <w:rFonts w:cs="Arial"/>
          <w:szCs w:val="20"/>
        </w:rPr>
        <w:t xml:space="preserve"> included non-admitted data for </w:t>
      </w:r>
      <w:r w:rsidR="00C46AF8">
        <w:rPr>
          <w:rFonts w:cs="Arial"/>
          <w:szCs w:val="20"/>
        </w:rPr>
        <w:t xml:space="preserve">161 </w:t>
      </w:r>
      <w:r w:rsidR="009D79AF">
        <w:rPr>
          <w:rFonts w:cs="Arial"/>
          <w:szCs w:val="20"/>
        </w:rPr>
        <w:t xml:space="preserve">ABF establishments and </w:t>
      </w:r>
      <w:r w:rsidR="00C46AF8">
        <w:rPr>
          <w:rFonts w:cs="Arial"/>
          <w:szCs w:val="20"/>
        </w:rPr>
        <w:t>136</w:t>
      </w:r>
      <w:r w:rsidR="00C46AF8" w:rsidRPr="00C35A0D">
        <w:rPr>
          <w:rFonts w:cs="Arial"/>
          <w:szCs w:val="20"/>
        </w:rPr>
        <w:t xml:space="preserve"> </w:t>
      </w:r>
      <w:r w:rsidRPr="00C35A0D">
        <w:rPr>
          <w:rFonts w:cs="Arial"/>
          <w:szCs w:val="20"/>
        </w:rPr>
        <w:t xml:space="preserve">Tier 2 Clinics. This compares to </w:t>
      </w:r>
      <w:r w:rsidR="009D79AF">
        <w:rPr>
          <w:rFonts w:cs="Arial"/>
          <w:szCs w:val="20"/>
        </w:rPr>
        <w:t>78</w:t>
      </w:r>
      <w:r w:rsidR="00815635">
        <w:rPr>
          <w:rFonts w:cs="Arial"/>
          <w:szCs w:val="20"/>
        </w:rPr>
        <w:t> </w:t>
      </w:r>
      <w:r w:rsidRPr="00C35A0D">
        <w:rPr>
          <w:rFonts w:cs="Arial"/>
          <w:szCs w:val="20"/>
        </w:rPr>
        <w:t xml:space="preserve">ABF establishments and </w:t>
      </w:r>
      <w:r w:rsidR="009D79AF" w:rsidRPr="009D79AF">
        <w:rPr>
          <w:rFonts w:cs="Arial"/>
          <w:szCs w:val="20"/>
        </w:rPr>
        <w:t>106</w:t>
      </w:r>
      <w:r w:rsidR="009D79AF">
        <w:rPr>
          <w:rFonts w:cs="Arial"/>
          <w:szCs w:val="20"/>
        </w:rPr>
        <w:t xml:space="preserve"> Tier 2 Clinics in 2011-12</w:t>
      </w:r>
      <w:r w:rsidRPr="00C35A0D">
        <w:rPr>
          <w:rFonts w:cs="Arial"/>
          <w:szCs w:val="20"/>
        </w:rPr>
        <w:t xml:space="preserve">. </w:t>
      </w:r>
    </w:p>
    <w:p w:rsidR="00E2794F" w:rsidRDefault="00E2794F" w:rsidP="00AD4FFC">
      <w:pPr>
        <w:tabs>
          <w:tab w:val="left" w:pos="1162"/>
        </w:tabs>
        <w:rPr>
          <w:rFonts w:cs="Arial"/>
          <w:szCs w:val="20"/>
        </w:rPr>
      </w:pPr>
      <w:r>
        <w:rPr>
          <w:rFonts w:cs="Arial"/>
          <w:szCs w:val="20"/>
        </w:rPr>
        <w:t>In NEP14</w:t>
      </w:r>
      <w:r w:rsidR="00460371">
        <w:rPr>
          <w:rFonts w:cs="Arial"/>
          <w:szCs w:val="20"/>
        </w:rPr>
        <w:t xml:space="preserve">, </w:t>
      </w:r>
      <w:r>
        <w:rPr>
          <w:rFonts w:cs="Arial"/>
          <w:szCs w:val="20"/>
        </w:rPr>
        <w:t xml:space="preserve">the cost weights were largely determined using the IHPA 2013 Costing Study for non-admitted patient care. The cost weights for NEP 15 </w:t>
      </w:r>
      <w:r w:rsidR="00B0652A">
        <w:rPr>
          <w:rFonts w:cs="Arial"/>
          <w:szCs w:val="20"/>
        </w:rPr>
        <w:t>a</w:t>
      </w:r>
      <w:r>
        <w:rPr>
          <w:rFonts w:cs="Arial"/>
          <w:szCs w:val="20"/>
        </w:rPr>
        <w:t>r</w:t>
      </w:r>
      <w:r w:rsidR="00B0652A">
        <w:rPr>
          <w:rFonts w:cs="Arial"/>
          <w:szCs w:val="20"/>
        </w:rPr>
        <w:t>e based on the same data but</w:t>
      </w:r>
      <w:r>
        <w:rPr>
          <w:rFonts w:cs="Arial"/>
          <w:szCs w:val="20"/>
        </w:rPr>
        <w:t xml:space="preserve"> </w:t>
      </w:r>
      <w:r w:rsidR="00B0652A">
        <w:rPr>
          <w:rFonts w:cs="Arial"/>
          <w:szCs w:val="20"/>
        </w:rPr>
        <w:t xml:space="preserve">were </w:t>
      </w:r>
      <w:r>
        <w:rPr>
          <w:rFonts w:cs="Arial"/>
          <w:szCs w:val="20"/>
        </w:rPr>
        <w:t>calibrated against NHCDC Round 17 costs in the same way that NEP14 cost weights were calibrated against Round 16 data.</w:t>
      </w:r>
    </w:p>
    <w:p w:rsidR="00F21F5B" w:rsidRDefault="00F21F5B" w:rsidP="00F21F5B">
      <w:pPr>
        <w:tabs>
          <w:tab w:val="left" w:pos="1162"/>
        </w:tabs>
        <w:rPr>
          <w:rFonts w:cs="Arial"/>
          <w:szCs w:val="20"/>
        </w:rPr>
      </w:pPr>
      <w:r>
        <w:rPr>
          <w:rFonts w:cs="Arial"/>
          <w:szCs w:val="20"/>
        </w:rPr>
        <w:t xml:space="preserve">This year, the results of the 2014 costing studies were used to derive the cost weights for home-delivered dialysis, enteral nutrition, total parenteral nutrition and home ventilation. The cost weights were based on only the direct costs reported in these costing studies excluding the extreme costs of a few hospitals. The direct costs were calibrated to the overall NHCDC cost level in the same manner as was done to derive the cost weights from the 2013 costing study. </w:t>
      </w:r>
    </w:p>
    <w:p w:rsidR="00460371" w:rsidRDefault="00460371" w:rsidP="00AD4FFC">
      <w:pPr>
        <w:tabs>
          <w:tab w:val="left" w:pos="1162"/>
        </w:tabs>
        <w:rPr>
          <w:rFonts w:cs="Arial"/>
          <w:szCs w:val="20"/>
        </w:rPr>
      </w:pPr>
      <w:r>
        <w:rPr>
          <w:rFonts w:cs="Arial"/>
          <w:szCs w:val="20"/>
        </w:rPr>
        <w:t xml:space="preserve">The main purpose </w:t>
      </w:r>
      <w:r w:rsidR="00E2794F">
        <w:rPr>
          <w:rFonts w:cs="Arial"/>
          <w:szCs w:val="20"/>
        </w:rPr>
        <w:t xml:space="preserve">therefore </w:t>
      </w:r>
      <w:r>
        <w:rPr>
          <w:rFonts w:cs="Arial"/>
          <w:szCs w:val="20"/>
        </w:rPr>
        <w:t>of the NHCDC Round 1</w:t>
      </w:r>
      <w:r w:rsidR="00E2794F">
        <w:rPr>
          <w:rFonts w:cs="Arial"/>
          <w:szCs w:val="20"/>
        </w:rPr>
        <w:t>7</w:t>
      </w:r>
      <w:r>
        <w:rPr>
          <w:rFonts w:cs="Arial"/>
          <w:szCs w:val="20"/>
        </w:rPr>
        <w:t xml:space="preserve"> data was to serve as a benchmark for calibration. Specifically, the total spend based on parameters from varying sources was calibrated to the total spend in the trimmed NHCDC. </w:t>
      </w:r>
      <w:r w:rsidR="00E2794F">
        <w:rPr>
          <w:rFonts w:cs="Arial"/>
          <w:szCs w:val="20"/>
        </w:rPr>
        <w:t xml:space="preserve">The </w:t>
      </w:r>
      <w:r w:rsidR="00FA05F9">
        <w:rPr>
          <w:rFonts w:cs="Arial"/>
          <w:szCs w:val="20"/>
        </w:rPr>
        <w:t xml:space="preserve">data preparation </w:t>
      </w:r>
      <w:r w:rsidR="00E2794F">
        <w:rPr>
          <w:rFonts w:cs="Arial"/>
          <w:szCs w:val="20"/>
        </w:rPr>
        <w:t xml:space="preserve">of Round 17 </w:t>
      </w:r>
      <w:r w:rsidR="00FA05F9">
        <w:rPr>
          <w:rFonts w:cs="Arial"/>
          <w:szCs w:val="20"/>
        </w:rPr>
        <w:t xml:space="preserve">cost data was carried out in a similar way to NEP14. </w:t>
      </w:r>
    </w:p>
    <w:p w:rsidR="00FA05F9" w:rsidRDefault="00FA05F9" w:rsidP="00AD4FFC">
      <w:pPr>
        <w:tabs>
          <w:tab w:val="left" w:pos="1162"/>
        </w:tabs>
        <w:rPr>
          <w:rFonts w:cs="Arial"/>
          <w:szCs w:val="20"/>
        </w:rPr>
      </w:pPr>
      <w:r>
        <w:rPr>
          <w:rFonts w:cs="Arial"/>
          <w:szCs w:val="20"/>
        </w:rPr>
        <w:t xml:space="preserve">Conservative outlier exclusion was carried out using statistical methods at both the establishment/clinic level and at record level. Establishment/clinic combinations were excluded if they had (1) too few records, (2) very high influence on calculation of the overall clinic mean, (3) a mean considerably higher or lower than other establishments for that clinic, or (4) a cost ratio statistically different from other establishments within that clinic. Clinic specific outlier exclusion rules developed in 2013 were also applied. Whole establishments were then excluded if their cost ratios across clinics remained consistently </w:t>
      </w:r>
      <w:r>
        <w:rPr>
          <w:rFonts w:cs="Arial"/>
          <w:szCs w:val="20"/>
        </w:rPr>
        <w:lastRenderedPageBreak/>
        <w:t>high. Conservative record level trimming within clinics followed</w:t>
      </w:r>
      <w:r w:rsidR="00C46AF8">
        <w:rPr>
          <w:rFonts w:cs="Arial"/>
          <w:szCs w:val="20"/>
        </w:rPr>
        <w:t xml:space="preserve"> to</w:t>
      </w:r>
      <w:r>
        <w:rPr>
          <w:rFonts w:cs="Arial"/>
          <w:szCs w:val="20"/>
        </w:rPr>
        <w:t xml:space="preserve"> exclud</w:t>
      </w:r>
      <w:r w:rsidR="00C46AF8">
        <w:rPr>
          <w:rFonts w:cs="Arial"/>
          <w:szCs w:val="20"/>
        </w:rPr>
        <w:t>e</w:t>
      </w:r>
      <w:r>
        <w:rPr>
          <w:rFonts w:cs="Arial"/>
          <w:szCs w:val="20"/>
        </w:rPr>
        <w:t xml:space="preserve"> records </w:t>
      </w:r>
      <w:r w:rsidR="00C46AF8">
        <w:rPr>
          <w:rFonts w:cs="Arial"/>
          <w:szCs w:val="20"/>
        </w:rPr>
        <w:t xml:space="preserve">with costs less than $5 or </w:t>
      </w:r>
      <w:r>
        <w:rPr>
          <w:rFonts w:cs="Arial"/>
          <w:szCs w:val="20"/>
        </w:rPr>
        <w:t>statistically different from the majority.</w:t>
      </w:r>
    </w:p>
    <w:p w:rsidR="00460371" w:rsidRDefault="00460371" w:rsidP="00AD4FFC">
      <w:pPr>
        <w:pStyle w:val="Heading3"/>
        <w:keepLines w:val="0"/>
        <w:numPr>
          <w:ilvl w:val="2"/>
          <w:numId w:val="35"/>
        </w:numPr>
        <w:tabs>
          <w:tab w:val="left" w:pos="1162"/>
        </w:tabs>
        <w:spacing w:before="240" w:after="120"/>
      </w:pPr>
      <w:bookmarkStart w:id="290" w:name="_Toc380754730"/>
      <w:bookmarkStart w:id="291" w:name="_Toc412550776"/>
      <w:r>
        <w:t>Sample weights</w:t>
      </w:r>
      <w:bookmarkEnd w:id="290"/>
      <w:bookmarkEnd w:id="291"/>
    </w:p>
    <w:p w:rsidR="00460371" w:rsidRDefault="00460371" w:rsidP="00AD4FFC">
      <w:pPr>
        <w:tabs>
          <w:tab w:val="left" w:pos="1162"/>
        </w:tabs>
        <w:rPr>
          <w:rFonts w:cs="Arial"/>
          <w:szCs w:val="20"/>
        </w:rPr>
      </w:pPr>
      <w:r>
        <w:rPr>
          <w:rFonts w:cs="Arial"/>
          <w:szCs w:val="20"/>
        </w:rPr>
        <w:t>The cost weights calculated from the non-admitted costing study were calibrated against the trimmed</w:t>
      </w:r>
      <w:r w:rsidR="009D79AF">
        <w:rPr>
          <w:rFonts w:cs="Arial"/>
          <w:szCs w:val="20"/>
        </w:rPr>
        <w:t xml:space="preserve"> data sample from NHCDC Round 17</w:t>
      </w:r>
      <w:r>
        <w:rPr>
          <w:rFonts w:cs="Arial"/>
          <w:szCs w:val="20"/>
        </w:rPr>
        <w:t>. The majority of cost parameters were created using costing study data where it was sufficient, followed in order of preference by (1) logical links to other clinics, (2) NHCDC data (3) logical links to acute data, and finally (4) the average of the relevant s</w:t>
      </w:r>
      <w:r w:rsidR="00E22117">
        <w:rPr>
          <w:rFonts w:cs="Arial"/>
          <w:szCs w:val="20"/>
        </w:rPr>
        <w:t>eries. Table 1</w:t>
      </w:r>
      <w:r w:rsidR="001D25A0">
        <w:rPr>
          <w:rFonts w:cs="Arial"/>
          <w:szCs w:val="20"/>
        </w:rPr>
        <w:t>6</w:t>
      </w:r>
      <w:r>
        <w:rPr>
          <w:rFonts w:cs="Arial"/>
          <w:szCs w:val="20"/>
        </w:rPr>
        <w:t xml:space="preserve"> gives the number of clinics costed by each method. New clinics introduced </w:t>
      </w:r>
      <w:r w:rsidR="009D79AF">
        <w:rPr>
          <w:rFonts w:cs="Arial"/>
          <w:szCs w:val="20"/>
        </w:rPr>
        <w:t>via the Tier 2 classification v4</w:t>
      </w:r>
      <w:r>
        <w:rPr>
          <w:rFonts w:cs="Arial"/>
          <w:szCs w:val="20"/>
        </w:rPr>
        <w:t xml:space="preserve">.0 were either costed via linkage with similar clinics or block funded. </w:t>
      </w:r>
    </w:p>
    <w:p w:rsidR="00460371" w:rsidRPr="0040190A" w:rsidRDefault="00E22117">
      <w:pPr>
        <w:pStyle w:val="table"/>
      </w:pPr>
      <w:r>
        <w:t>Table 1</w:t>
      </w:r>
      <w:r w:rsidR="001D25A0">
        <w:t>6</w:t>
      </w:r>
      <w:r w:rsidR="002122CC">
        <w:t>:</w:t>
      </w:r>
      <w:r w:rsidR="00460371" w:rsidRPr="0040190A">
        <w:t xml:space="preserve"> Summary of data sources used to determine </w:t>
      </w:r>
      <w:r w:rsidR="00B94FB5">
        <w:t>2012-13</w:t>
      </w:r>
      <w:r w:rsidR="00460371" w:rsidRPr="0040190A">
        <w:t xml:space="preserve"> Non-Admitted Price Weights</w:t>
      </w:r>
    </w:p>
    <w:tbl>
      <w:tblPr>
        <w:tblStyle w:val="TableGrid"/>
        <w:tblW w:w="0" w:type="auto"/>
        <w:jc w:val="center"/>
        <w:tblLook w:val="04A0" w:firstRow="1" w:lastRow="0" w:firstColumn="1" w:lastColumn="0" w:noHBand="0" w:noVBand="1"/>
        <w:tblDescription w:val="A summary of table 11 is outlined in the text prior to this table."/>
      </w:tblPr>
      <w:tblGrid>
        <w:gridCol w:w="3510"/>
        <w:gridCol w:w="1843"/>
      </w:tblGrid>
      <w:tr w:rsidR="00460371" w:rsidRPr="005478C5" w:rsidTr="007F2F65">
        <w:trPr>
          <w:tblHeader/>
          <w:jc w:val="center"/>
        </w:trPr>
        <w:tc>
          <w:tcPr>
            <w:tcW w:w="3510" w:type="dxa"/>
            <w:shd w:val="clear" w:color="auto" w:fill="BFBFBF" w:themeFill="background1" w:themeFillShade="BF"/>
            <w:vAlign w:val="center"/>
          </w:tcPr>
          <w:p w:rsidR="00460371" w:rsidRPr="008C551F" w:rsidRDefault="00460371" w:rsidP="00AD4FFC">
            <w:pPr>
              <w:spacing w:before="80" w:after="80"/>
              <w:rPr>
                <w:b/>
                <w:sz w:val="20"/>
                <w:szCs w:val="20"/>
              </w:rPr>
            </w:pPr>
            <w:r w:rsidRPr="008C551F">
              <w:rPr>
                <w:b/>
                <w:sz w:val="20"/>
                <w:szCs w:val="20"/>
              </w:rPr>
              <w:t>Source</w:t>
            </w:r>
          </w:p>
        </w:tc>
        <w:tc>
          <w:tcPr>
            <w:tcW w:w="1843" w:type="dxa"/>
            <w:shd w:val="clear" w:color="auto" w:fill="BFBFBF" w:themeFill="background1" w:themeFillShade="BF"/>
            <w:vAlign w:val="center"/>
          </w:tcPr>
          <w:p w:rsidR="00460371" w:rsidRPr="008C551F" w:rsidRDefault="00460371" w:rsidP="00AD4FFC">
            <w:pPr>
              <w:spacing w:before="80" w:after="80"/>
              <w:rPr>
                <w:b/>
                <w:sz w:val="20"/>
                <w:szCs w:val="20"/>
              </w:rPr>
            </w:pPr>
            <w:r w:rsidRPr="008C551F">
              <w:rPr>
                <w:b/>
                <w:sz w:val="20"/>
                <w:szCs w:val="20"/>
              </w:rPr>
              <w:t>No</w:t>
            </w:r>
            <w:r w:rsidR="001D41B7">
              <w:rPr>
                <w:b/>
                <w:sz w:val="20"/>
                <w:szCs w:val="20"/>
              </w:rPr>
              <w:t>.</w:t>
            </w:r>
            <w:r w:rsidRPr="008C551F">
              <w:rPr>
                <w:b/>
                <w:sz w:val="20"/>
                <w:szCs w:val="20"/>
              </w:rPr>
              <w:t xml:space="preserve"> of Clinics</w:t>
            </w:r>
          </w:p>
        </w:tc>
      </w:tr>
      <w:tr w:rsidR="00460371" w:rsidTr="007F2F65">
        <w:trPr>
          <w:jc w:val="center"/>
        </w:trPr>
        <w:tc>
          <w:tcPr>
            <w:tcW w:w="3510" w:type="dxa"/>
          </w:tcPr>
          <w:p w:rsidR="00460371" w:rsidRPr="008C551F" w:rsidRDefault="00460371" w:rsidP="00AD4FFC">
            <w:pPr>
              <w:spacing w:before="80" w:after="80"/>
              <w:rPr>
                <w:sz w:val="20"/>
                <w:szCs w:val="20"/>
              </w:rPr>
            </w:pPr>
            <w:r w:rsidRPr="008C551F">
              <w:rPr>
                <w:sz w:val="20"/>
                <w:szCs w:val="20"/>
              </w:rPr>
              <w:t>Victorian Radiotherapy Costs</w:t>
            </w:r>
          </w:p>
        </w:tc>
        <w:tc>
          <w:tcPr>
            <w:tcW w:w="1843" w:type="dxa"/>
            <w:vAlign w:val="center"/>
          </w:tcPr>
          <w:p w:rsidR="00460371" w:rsidRPr="00FA05F9" w:rsidRDefault="00460371" w:rsidP="00AD4FFC">
            <w:pPr>
              <w:spacing w:before="80" w:after="80"/>
              <w:jc w:val="center"/>
              <w:rPr>
                <w:sz w:val="20"/>
                <w:szCs w:val="20"/>
                <w:highlight w:val="yellow"/>
              </w:rPr>
            </w:pPr>
            <w:r w:rsidRPr="009D79AF">
              <w:rPr>
                <w:sz w:val="20"/>
                <w:szCs w:val="20"/>
              </w:rPr>
              <w:t>2</w:t>
            </w:r>
          </w:p>
        </w:tc>
      </w:tr>
      <w:tr w:rsidR="00460371" w:rsidTr="007F2F65">
        <w:trPr>
          <w:jc w:val="center"/>
        </w:trPr>
        <w:tc>
          <w:tcPr>
            <w:tcW w:w="3510" w:type="dxa"/>
          </w:tcPr>
          <w:p w:rsidR="00460371" w:rsidRPr="008C551F" w:rsidRDefault="00460371" w:rsidP="00AD4FFC">
            <w:pPr>
              <w:spacing w:before="80" w:after="80"/>
              <w:rPr>
                <w:sz w:val="20"/>
                <w:szCs w:val="20"/>
              </w:rPr>
            </w:pPr>
            <w:r w:rsidRPr="008C551F">
              <w:rPr>
                <w:sz w:val="20"/>
                <w:szCs w:val="20"/>
              </w:rPr>
              <w:t>Costing Study</w:t>
            </w:r>
            <w:r w:rsidR="00333F76">
              <w:rPr>
                <w:sz w:val="20"/>
                <w:szCs w:val="20"/>
              </w:rPr>
              <w:t xml:space="preserve"> 2013</w:t>
            </w:r>
          </w:p>
        </w:tc>
        <w:tc>
          <w:tcPr>
            <w:tcW w:w="1843" w:type="dxa"/>
            <w:vAlign w:val="center"/>
          </w:tcPr>
          <w:p w:rsidR="00460371" w:rsidRPr="00FA05F9" w:rsidRDefault="009D79AF" w:rsidP="00333F76">
            <w:pPr>
              <w:spacing w:before="80" w:after="80"/>
              <w:jc w:val="center"/>
              <w:rPr>
                <w:sz w:val="20"/>
                <w:szCs w:val="20"/>
                <w:highlight w:val="yellow"/>
              </w:rPr>
            </w:pPr>
            <w:r w:rsidRPr="009D79AF">
              <w:rPr>
                <w:sz w:val="20"/>
                <w:szCs w:val="20"/>
              </w:rPr>
              <w:t>10</w:t>
            </w:r>
            <w:r w:rsidR="00333F76">
              <w:rPr>
                <w:sz w:val="20"/>
                <w:szCs w:val="20"/>
              </w:rPr>
              <w:t>4</w:t>
            </w:r>
          </w:p>
        </w:tc>
      </w:tr>
      <w:tr w:rsidR="00333F76" w:rsidTr="007F2F65">
        <w:trPr>
          <w:jc w:val="center"/>
        </w:trPr>
        <w:tc>
          <w:tcPr>
            <w:tcW w:w="3510" w:type="dxa"/>
          </w:tcPr>
          <w:p w:rsidR="00333F76" w:rsidRPr="008C551F" w:rsidRDefault="00333F76" w:rsidP="00333F76">
            <w:pPr>
              <w:spacing w:before="80" w:after="80"/>
              <w:rPr>
                <w:sz w:val="20"/>
                <w:szCs w:val="20"/>
              </w:rPr>
            </w:pPr>
            <w:r w:rsidRPr="008C551F">
              <w:rPr>
                <w:sz w:val="20"/>
                <w:szCs w:val="20"/>
              </w:rPr>
              <w:t>Costing Study</w:t>
            </w:r>
            <w:r>
              <w:rPr>
                <w:sz w:val="20"/>
                <w:szCs w:val="20"/>
              </w:rPr>
              <w:t xml:space="preserve"> 2014</w:t>
            </w:r>
          </w:p>
        </w:tc>
        <w:tc>
          <w:tcPr>
            <w:tcW w:w="1843" w:type="dxa"/>
            <w:vAlign w:val="center"/>
          </w:tcPr>
          <w:p w:rsidR="00333F76" w:rsidRPr="009D79AF" w:rsidRDefault="00333F76" w:rsidP="00AD4FFC">
            <w:pPr>
              <w:spacing w:before="80" w:after="80"/>
              <w:jc w:val="center"/>
              <w:rPr>
                <w:sz w:val="20"/>
                <w:szCs w:val="20"/>
              </w:rPr>
            </w:pPr>
            <w:r>
              <w:rPr>
                <w:sz w:val="20"/>
                <w:szCs w:val="20"/>
              </w:rPr>
              <w:t>5</w:t>
            </w:r>
          </w:p>
        </w:tc>
      </w:tr>
      <w:tr w:rsidR="00460371" w:rsidTr="007F2F65">
        <w:trPr>
          <w:jc w:val="center"/>
        </w:trPr>
        <w:tc>
          <w:tcPr>
            <w:tcW w:w="3510" w:type="dxa"/>
          </w:tcPr>
          <w:p w:rsidR="00460371" w:rsidRPr="008C551F" w:rsidRDefault="00460371" w:rsidP="00333F76">
            <w:pPr>
              <w:spacing w:before="80" w:after="80"/>
              <w:rPr>
                <w:sz w:val="20"/>
                <w:szCs w:val="20"/>
              </w:rPr>
            </w:pPr>
            <w:r w:rsidRPr="008C551F">
              <w:rPr>
                <w:sz w:val="20"/>
                <w:szCs w:val="20"/>
              </w:rPr>
              <w:t>NHCDC Round 1</w:t>
            </w:r>
            <w:r w:rsidR="00333F76">
              <w:rPr>
                <w:sz w:val="20"/>
                <w:szCs w:val="20"/>
              </w:rPr>
              <w:t>7</w:t>
            </w:r>
          </w:p>
        </w:tc>
        <w:tc>
          <w:tcPr>
            <w:tcW w:w="1843" w:type="dxa"/>
            <w:vAlign w:val="center"/>
          </w:tcPr>
          <w:p w:rsidR="00460371" w:rsidRPr="00FA05F9" w:rsidRDefault="009D79AF" w:rsidP="00AD4FFC">
            <w:pPr>
              <w:spacing w:before="80" w:after="80"/>
              <w:jc w:val="center"/>
              <w:rPr>
                <w:sz w:val="20"/>
                <w:szCs w:val="20"/>
                <w:highlight w:val="yellow"/>
              </w:rPr>
            </w:pPr>
            <w:r w:rsidRPr="009D79AF">
              <w:rPr>
                <w:sz w:val="20"/>
                <w:szCs w:val="20"/>
              </w:rPr>
              <w:t>13</w:t>
            </w:r>
          </w:p>
        </w:tc>
      </w:tr>
      <w:tr w:rsidR="00460371" w:rsidTr="007F2F65">
        <w:trPr>
          <w:jc w:val="center"/>
        </w:trPr>
        <w:tc>
          <w:tcPr>
            <w:tcW w:w="3510" w:type="dxa"/>
          </w:tcPr>
          <w:p w:rsidR="00460371" w:rsidRPr="008C551F" w:rsidRDefault="00460371" w:rsidP="00AD4FFC">
            <w:pPr>
              <w:spacing w:before="80" w:after="80"/>
              <w:rPr>
                <w:sz w:val="20"/>
                <w:szCs w:val="20"/>
              </w:rPr>
            </w:pPr>
            <w:r w:rsidRPr="008C551F">
              <w:rPr>
                <w:sz w:val="20"/>
                <w:szCs w:val="20"/>
              </w:rPr>
              <w:t>Acute Admitted</w:t>
            </w:r>
          </w:p>
        </w:tc>
        <w:tc>
          <w:tcPr>
            <w:tcW w:w="1843" w:type="dxa"/>
            <w:vAlign w:val="center"/>
          </w:tcPr>
          <w:p w:rsidR="00460371" w:rsidRPr="00FA05F9" w:rsidRDefault="00460371" w:rsidP="00AD4FFC">
            <w:pPr>
              <w:spacing w:before="80" w:after="80"/>
              <w:jc w:val="center"/>
              <w:rPr>
                <w:sz w:val="20"/>
                <w:szCs w:val="20"/>
                <w:highlight w:val="yellow"/>
              </w:rPr>
            </w:pPr>
            <w:r w:rsidRPr="009D79AF">
              <w:rPr>
                <w:sz w:val="20"/>
                <w:szCs w:val="20"/>
              </w:rPr>
              <w:t>1</w:t>
            </w:r>
          </w:p>
        </w:tc>
      </w:tr>
      <w:tr w:rsidR="00460371" w:rsidTr="007F2F65">
        <w:trPr>
          <w:jc w:val="center"/>
        </w:trPr>
        <w:tc>
          <w:tcPr>
            <w:tcW w:w="3510" w:type="dxa"/>
          </w:tcPr>
          <w:p w:rsidR="00460371" w:rsidRPr="008C551F" w:rsidRDefault="00460371" w:rsidP="00AD4FFC">
            <w:pPr>
              <w:spacing w:before="80" w:after="80"/>
              <w:rPr>
                <w:sz w:val="20"/>
                <w:szCs w:val="20"/>
              </w:rPr>
            </w:pPr>
            <w:r w:rsidRPr="008C551F">
              <w:rPr>
                <w:sz w:val="20"/>
                <w:szCs w:val="20"/>
              </w:rPr>
              <w:t>Average of series</w:t>
            </w:r>
          </w:p>
        </w:tc>
        <w:tc>
          <w:tcPr>
            <w:tcW w:w="1843" w:type="dxa"/>
            <w:vAlign w:val="center"/>
          </w:tcPr>
          <w:p w:rsidR="00460371" w:rsidRPr="00FA05F9" w:rsidRDefault="009D79AF" w:rsidP="00AD4FFC">
            <w:pPr>
              <w:spacing w:before="80" w:after="80"/>
              <w:jc w:val="center"/>
              <w:rPr>
                <w:sz w:val="20"/>
                <w:szCs w:val="20"/>
                <w:highlight w:val="yellow"/>
              </w:rPr>
            </w:pPr>
            <w:r w:rsidRPr="009D79AF">
              <w:rPr>
                <w:sz w:val="20"/>
                <w:szCs w:val="20"/>
              </w:rPr>
              <w:t>1</w:t>
            </w:r>
          </w:p>
        </w:tc>
      </w:tr>
      <w:tr w:rsidR="00460371" w:rsidTr="007F2F65">
        <w:trPr>
          <w:jc w:val="center"/>
        </w:trPr>
        <w:tc>
          <w:tcPr>
            <w:tcW w:w="3510" w:type="dxa"/>
          </w:tcPr>
          <w:p w:rsidR="00460371" w:rsidRPr="008C551F" w:rsidRDefault="00460371" w:rsidP="00AD4FFC">
            <w:pPr>
              <w:spacing w:before="80" w:after="80"/>
              <w:rPr>
                <w:b/>
                <w:sz w:val="20"/>
                <w:szCs w:val="20"/>
              </w:rPr>
            </w:pPr>
            <w:r w:rsidRPr="008C551F">
              <w:rPr>
                <w:b/>
                <w:sz w:val="20"/>
                <w:szCs w:val="20"/>
              </w:rPr>
              <w:t>Total</w:t>
            </w:r>
          </w:p>
        </w:tc>
        <w:tc>
          <w:tcPr>
            <w:tcW w:w="1843" w:type="dxa"/>
            <w:vAlign w:val="center"/>
          </w:tcPr>
          <w:p w:rsidR="00460371" w:rsidRPr="00FA05F9" w:rsidRDefault="006D780C" w:rsidP="00AD4FFC">
            <w:pPr>
              <w:spacing w:before="80" w:after="80"/>
              <w:jc w:val="center"/>
              <w:rPr>
                <w:b/>
                <w:sz w:val="20"/>
                <w:szCs w:val="20"/>
                <w:highlight w:val="yellow"/>
              </w:rPr>
            </w:pPr>
            <w:r>
              <w:rPr>
                <w:b/>
                <w:sz w:val="20"/>
                <w:szCs w:val="20"/>
              </w:rPr>
              <w:t>126</w:t>
            </w:r>
          </w:p>
        </w:tc>
      </w:tr>
    </w:tbl>
    <w:p w:rsidR="00460371" w:rsidRDefault="00460371" w:rsidP="00AD4FFC">
      <w:pPr>
        <w:pStyle w:val="Heading3"/>
        <w:keepLines w:val="0"/>
        <w:numPr>
          <w:ilvl w:val="2"/>
          <w:numId w:val="35"/>
        </w:numPr>
        <w:tabs>
          <w:tab w:val="left" w:pos="1162"/>
        </w:tabs>
        <w:spacing w:before="240" w:after="120"/>
      </w:pPr>
      <w:bookmarkStart w:id="292" w:name="_Toc380754731"/>
      <w:bookmarkStart w:id="293" w:name="_Toc412550777"/>
      <w:r>
        <w:t>Cost parameters and adjustments</w:t>
      </w:r>
      <w:bookmarkEnd w:id="292"/>
      <w:bookmarkEnd w:id="293"/>
    </w:p>
    <w:p w:rsidR="00460371" w:rsidRDefault="00460371" w:rsidP="00AD4FFC">
      <w:pPr>
        <w:tabs>
          <w:tab w:val="left" w:pos="1162"/>
        </w:tabs>
      </w:pPr>
      <w:r>
        <w:t xml:space="preserve">The non-admitted care model calculates the mean </w:t>
      </w:r>
      <w:r w:rsidR="003F67F1">
        <w:t xml:space="preserve">direct </w:t>
      </w:r>
      <w:r>
        <w:t xml:space="preserve">cost for the relevant data in each Tier 2 clinic sourced from the costing study or Victorian radiotherapy data. These means </w:t>
      </w:r>
      <w:r w:rsidR="003F67F1">
        <w:t xml:space="preserve">for the direct costs for each clinic </w:t>
      </w:r>
      <w:r>
        <w:t xml:space="preserve">are then calibrated </w:t>
      </w:r>
      <w:r w:rsidR="003F67F1">
        <w:t xml:space="preserve">along with the few clinics being costed from the NHCDC Round 17 data </w:t>
      </w:r>
      <w:r>
        <w:t>to ensure the total predicted costs for the NHCDC Round 1</w:t>
      </w:r>
      <w:r w:rsidR="00FA05F9">
        <w:t>7</w:t>
      </w:r>
      <w:r>
        <w:t xml:space="preserve"> non-admitted data adds up to the total actual costs.</w:t>
      </w:r>
      <w:r w:rsidR="003F67F1">
        <w:t xml:space="preserve"> </w:t>
      </w:r>
    </w:p>
    <w:p w:rsidR="00CD72F6" w:rsidRDefault="00281574" w:rsidP="00AD4FFC">
      <w:pPr>
        <w:tabs>
          <w:tab w:val="left" w:pos="1162"/>
        </w:tabs>
      </w:pPr>
      <w:r>
        <w:t xml:space="preserve">The following adjustments and changes </w:t>
      </w:r>
      <w:r w:rsidR="0099182F">
        <w:t>in the approach to</w:t>
      </w:r>
      <w:r>
        <w:t xml:space="preserve"> pricing </w:t>
      </w:r>
      <w:r w:rsidR="0099182F">
        <w:t>non-admitted services for NEP15 are outlined as follows:</w:t>
      </w:r>
    </w:p>
    <w:p w:rsidR="00E11584" w:rsidRDefault="00E417D3" w:rsidP="00C245E0">
      <w:pPr>
        <w:pStyle w:val="ListParagraph"/>
        <w:numPr>
          <w:ilvl w:val="0"/>
          <w:numId w:val="56"/>
        </w:numPr>
        <w:tabs>
          <w:tab w:val="left" w:pos="1162"/>
        </w:tabs>
      </w:pPr>
      <w:r w:rsidRPr="0087188A">
        <w:rPr>
          <w:i/>
        </w:rPr>
        <w:t>New women’s health clinics</w:t>
      </w:r>
      <w:r>
        <w:t xml:space="preserve">: </w:t>
      </w:r>
      <w:r w:rsidR="00E11584">
        <w:t xml:space="preserve">Two new women’s health Tier 2 clinics have been created for NEP15: </w:t>
      </w:r>
    </w:p>
    <w:p w:rsidR="00E11584" w:rsidRDefault="00E11584" w:rsidP="00C245E0">
      <w:pPr>
        <w:pStyle w:val="ListParagraph"/>
        <w:numPr>
          <w:ilvl w:val="0"/>
          <w:numId w:val="57"/>
        </w:numPr>
        <w:tabs>
          <w:tab w:val="left" w:pos="1162"/>
        </w:tabs>
      </w:pPr>
      <w:r>
        <w:t>Obstetrics – management of complex pregnancy (Clinic 20.53); and</w:t>
      </w:r>
    </w:p>
    <w:p w:rsidR="00E11584" w:rsidRDefault="00E11584" w:rsidP="00C245E0">
      <w:pPr>
        <w:pStyle w:val="ListParagraph"/>
        <w:numPr>
          <w:ilvl w:val="0"/>
          <w:numId w:val="57"/>
        </w:numPr>
        <w:tabs>
          <w:tab w:val="left" w:pos="1162"/>
        </w:tabs>
        <w:spacing w:before="120"/>
      </w:pPr>
      <w:r>
        <w:t xml:space="preserve">Maternal </w:t>
      </w:r>
      <w:proofErr w:type="spellStart"/>
      <w:r>
        <w:t>fetal</w:t>
      </w:r>
      <w:proofErr w:type="spellEnd"/>
      <w:r>
        <w:t xml:space="preserve"> medicine (Clinic 20.54).</w:t>
      </w:r>
    </w:p>
    <w:p w:rsidR="00E11584" w:rsidRDefault="00E11584" w:rsidP="00AD4FFC">
      <w:pPr>
        <w:tabs>
          <w:tab w:val="left" w:pos="1162"/>
        </w:tabs>
        <w:ind w:left="720"/>
      </w:pPr>
      <w:r>
        <w:t xml:space="preserve">In addition, Clinic 20.40 is renamed as Obstetrics – management of pregnancy without complications. </w:t>
      </w:r>
      <w:r w:rsidRPr="00E11584">
        <w:t>Clinic 20.40 contains both complex and uncomplicated obstetric patients</w:t>
      </w:r>
      <w:r>
        <w:t xml:space="preserve">. </w:t>
      </w:r>
    </w:p>
    <w:p w:rsidR="00823240" w:rsidRDefault="00E11584" w:rsidP="00AD4FFC">
      <w:pPr>
        <w:tabs>
          <w:tab w:val="left" w:pos="1162"/>
        </w:tabs>
        <w:ind w:left="720"/>
      </w:pPr>
      <w:r>
        <w:t xml:space="preserve">The </w:t>
      </w:r>
      <w:r w:rsidR="003F67F1">
        <w:t xml:space="preserve">direct </w:t>
      </w:r>
      <w:r>
        <w:t xml:space="preserve">costs for Clinic 20.53 </w:t>
      </w:r>
      <w:r w:rsidR="00F73088">
        <w:t xml:space="preserve">and 20.54 </w:t>
      </w:r>
      <w:r w:rsidR="0087188A">
        <w:t>are</w:t>
      </w:r>
      <w:r>
        <w:t xml:space="preserve"> based on patients in the costing study with a consultation duration of 30 minutes or more</w:t>
      </w:r>
      <w:r w:rsidRPr="00E11584">
        <w:t xml:space="preserve"> </w:t>
      </w:r>
      <w:r>
        <w:t xml:space="preserve">which represents the top 10% of costs in this clinic. The remaining 90% of costs are then used to calculate the </w:t>
      </w:r>
      <w:r w:rsidR="003F67F1">
        <w:t xml:space="preserve">direct </w:t>
      </w:r>
      <w:r>
        <w:t>cost of the uncomplicated clinic (20.40).</w:t>
      </w:r>
    </w:p>
    <w:p w:rsidR="003F67F1" w:rsidRDefault="003F67F1" w:rsidP="00AD4FFC">
      <w:pPr>
        <w:tabs>
          <w:tab w:val="left" w:pos="1162"/>
        </w:tabs>
        <w:ind w:left="720"/>
      </w:pPr>
      <w:r>
        <w:t>The direct costs are then included in the calibration with the direct costs from all the other clinics based on the 2013 costing study.</w:t>
      </w:r>
    </w:p>
    <w:p w:rsidR="00B11403" w:rsidRPr="0087188A" w:rsidRDefault="00B11403" w:rsidP="00C245E0">
      <w:pPr>
        <w:pStyle w:val="ListParagraph"/>
        <w:numPr>
          <w:ilvl w:val="0"/>
          <w:numId w:val="56"/>
        </w:numPr>
        <w:tabs>
          <w:tab w:val="left" w:pos="1162"/>
        </w:tabs>
        <w:rPr>
          <w:rFonts w:cs="Arial"/>
          <w:i/>
          <w:szCs w:val="20"/>
        </w:rPr>
      </w:pPr>
      <w:r w:rsidRPr="0087188A">
        <w:rPr>
          <w:rFonts w:cs="Arial"/>
          <w:i/>
          <w:szCs w:val="20"/>
        </w:rPr>
        <w:lastRenderedPageBreak/>
        <w:t>Telehealth clinics</w:t>
      </w:r>
      <w:r>
        <w:rPr>
          <w:rFonts w:cs="Arial"/>
          <w:i/>
          <w:szCs w:val="20"/>
        </w:rPr>
        <w:t xml:space="preserve">: </w:t>
      </w:r>
      <w:r w:rsidR="00B62926" w:rsidRPr="0087188A">
        <w:rPr>
          <w:rFonts w:cs="Arial"/>
          <w:szCs w:val="20"/>
        </w:rPr>
        <w:t>T</w:t>
      </w:r>
      <w:r w:rsidR="00B62926">
        <w:rPr>
          <w:rFonts w:cs="Arial"/>
          <w:szCs w:val="20"/>
        </w:rPr>
        <w:t xml:space="preserve">he patient end of a non-admitted telehealth service will be priced in NEP15. The price weights will be determined using the following steps: </w:t>
      </w:r>
    </w:p>
    <w:p w:rsidR="00B62926" w:rsidRPr="0087188A" w:rsidRDefault="00B62926" w:rsidP="00C245E0">
      <w:pPr>
        <w:pStyle w:val="ListParagraph"/>
        <w:numPr>
          <w:ilvl w:val="0"/>
          <w:numId w:val="57"/>
        </w:numPr>
        <w:tabs>
          <w:tab w:val="left" w:pos="1162"/>
        </w:tabs>
        <w:ind w:left="1077" w:hanging="357"/>
        <w:rPr>
          <w:rFonts w:cs="Arial"/>
          <w:szCs w:val="20"/>
        </w:rPr>
      </w:pPr>
      <w:r w:rsidRPr="0087188A">
        <w:rPr>
          <w:rFonts w:cs="Arial"/>
          <w:szCs w:val="20"/>
        </w:rPr>
        <w:t>The average amount of time</w:t>
      </w:r>
      <w:r w:rsidRPr="00B62926">
        <w:rPr>
          <w:rFonts w:cs="Arial"/>
          <w:szCs w:val="20"/>
        </w:rPr>
        <w:t xml:space="preserve"> spent on telehealth services </w:t>
      </w:r>
      <w:r>
        <w:rPr>
          <w:rFonts w:cs="Arial"/>
          <w:szCs w:val="20"/>
        </w:rPr>
        <w:t>i</w:t>
      </w:r>
      <w:r w:rsidRPr="0087188A">
        <w:rPr>
          <w:rFonts w:cs="Arial"/>
          <w:szCs w:val="20"/>
        </w:rPr>
        <w:t>s calculated</w:t>
      </w:r>
      <w:r>
        <w:rPr>
          <w:rFonts w:cs="Arial"/>
          <w:szCs w:val="20"/>
        </w:rPr>
        <w:t xml:space="preserve"> </w:t>
      </w:r>
      <w:r w:rsidRPr="0087188A">
        <w:rPr>
          <w:rFonts w:cs="Arial"/>
          <w:szCs w:val="20"/>
        </w:rPr>
        <w:t>separately for those service events involving doctors and those involving</w:t>
      </w:r>
      <w:r>
        <w:rPr>
          <w:rFonts w:cs="Arial"/>
          <w:szCs w:val="20"/>
        </w:rPr>
        <w:t xml:space="preserve"> </w:t>
      </w:r>
      <w:r w:rsidRPr="0087188A">
        <w:rPr>
          <w:rFonts w:cs="Arial"/>
          <w:szCs w:val="20"/>
        </w:rPr>
        <w:t>nurses.</w:t>
      </w:r>
    </w:p>
    <w:p w:rsidR="00B62926" w:rsidRPr="0087188A" w:rsidRDefault="00B62926" w:rsidP="00C245E0">
      <w:pPr>
        <w:pStyle w:val="ListParagraph"/>
        <w:numPr>
          <w:ilvl w:val="0"/>
          <w:numId w:val="57"/>
        </w:numPr>
        <w:tabs>
          <w:tab w:val="left" w:pos="1162"/>
        </w:tabs>
        <w:spacing w:before="120"/>
        <w:ind w:left="1077" w:hanging="357"/>
        <w:rPr>
          <w:rFonts w:cs="Arial"/>
          <w:szCs w:val="20"/>
        </w:rPr>
      </w:pPr>
      <w:r w:rsidRPr="00B62926">
        <w:rPr>
          <w:rFonts w:cs="Arial"/>
          <w:szCs w:val="20"/>
        </w:rPr>
        <w:t xml:space="preserve">These average times </w:t>
      </w:r>
      <w:r>
        <w:rPr>
          <w:rFonts w:cs="Arial"/>
          <w:szCs w:val="20"/>
        </w:rPr>
        <w:t>a</w:t>
      </w:r>
      <w:r w:rsidRPr="0087188A">
        <w:rPr>
          <w:rFonts w:cs="Arial"/>
          <w:szCs w:val="20"/>
        </w:rPr>
        <w:t>re multiplied respectively by the senior medical</w:t>
      </w:r>
      <w:r>
        <w:rPr>
          <w:rFonts w:cs="Arial"/>
          <w:szCs w:val="20"/>
        </w:rPr>
        <w:t xml:space="preserve"> </w:t>
      </w:r>
      <w:r w:rsidRPr="0087188A">
        <w:rPr>
          <w:rFonts w:cs="Arial"/>
          <w:szCs w:val="20"/>
        </w:rPr>
        <w:t>practitioner and registered nurse cost rates used in the costing study.</w:t>
      </w:r>
    </w:p>
    <w:p w:rsidR="00B62926" w:rsidRPr="0087188A" w:rsidRDefault="00B62926" w:rsidP="00C245E0">
      <w:pPr>
        <w:pStyle w:val="ListParagraph"/>
        <w:numPr>
          <w:ilvl w:val="0"/>
          <w:numId w:val="57"/>
        </w:numPr>
        <w:tabs>
          <w:tab w:val="left" w:pos="1162"/>
        </w:tabs>
        <w:spacing w:before="120"/>
        <w:ind w:left="1077" w:hanging="357"/>
        <w:rPr>
          <w:rFonts w:cs="Arial"/>
          <w:szCs w:val="20"/>
        </w:rPr>
      </w:pPr>
      <w:r w:rsidRPr="0087188A">
        <w:rPr>
          <w:rFonts w:cs="Arial"/>
          <w:szCs w:val="20"/>
        </w:rPr>
        <w:t xml:space="preserve">The resulting average </w:t>
      </w:r>
      <w:r w:rsidR="003F67F1">
        <w:rPr>
          <w:rFonts w:cs="Arial"/>
          <w:szCs w:val="20"/>
        </w:rPr>
        <w:t xml:space="preserve">direct </w:t>
      </w:r>
      <w:r w:rsidRPr="0087188A">
        <w:rPr>
          <w:rFonts w:cs="Arial"/>
          <w:szCs w:val="20"/>
        </w:rPr>
        <w:t xml:space="preserve">costs </w:t>
      </w:r>
      <w:r>
        <w:rPr>
          <w:rFonts w:cs="Arial"/>
          <w:szCs w:val="20"/>
        </w:rPr>
        <w:t>a</w:t>
      </w:r>
      <w:r w:rsidRPr="0087188A">
        <w:rPr>
          <w:rFonts w:cs="Arial"/>
          <w:szCs w:val="20"/>
        </w:rPr>
        <w:t>re then calibrated to NHCDC Round 17 cost</w:t>
      </w:r>
      <w:r>
        <w:rPr>
          <w:rFonts w:cs="Arial"/>
          <w:szCs w:val="20"/>
        </w:rPr>
        <w:t xml:space="preserve"> </w:t>
      </w:r>
      <w:r w:rsidRPr="0087188A">
        <w:rPr>
          <w:rFonts w:cs="Arial"/>
          <w:szCs w:val="20"/>
        </w:rPr>
        <w:t>levels in the same manner as the rest of the clinics based on the costing</w:t>
      </w:r>
      <w:r>
        <w:rPr>
          <w:rFonts w:cs="Arial"/>
          <w:szCs w:val="20"/>
        </w:rPr>
        <w:t xml:space="preserve"> </w:t>
      </w:r>
      <w:r w:rsidRPr="0087188A">
        <w:rPr>
          <w:rFonts w:cs="Arial"/>
          <w:szCs w:val="20"/>
        </w:rPr>
        <w:t>study.</w:t>
      </w:r>
    </w:p>
    <w:p w:rsidR="00B62926" w:rsidRPr="0087188A" w:rsidRDefault="00B62926" w:rsidP="00C245E0">
      <w:pPr>
        <w:pStyle w:val="ListParagraph"/>
        <w:numPr>
          <w:ilvl w:val="0"/>
          <w:numId w:val="57"/>
        </w:numPr>
        <w:tabs>
          <w:tab w:val="left" w:pos="1162"/>
        </w:tabs>
        <w:spacing w:before="120"/>
        <w:ind w:left="1077" w:hanging="357"/>
        <w:rPr>
          <w:rFonts w:cs="Arial"/>
          <w:szCs w:val="20"/>
        </w:rPr>
      </w:pPr>
      <w:r w:rsidRPr="0087188A">
        <w:rPr>
          <w:rFonts w:cs="Arial"/>
          <w:szCs w:val="20"/>
        </w:rPr>
        <w:t xml:space="preserve">The resulting average cost </w:t>
      </w:r>
      <w:r w:rsidR="0019724E">
        <w:rPr>
          <w:rFonts w:cs="Arial"/>
          <w:szCs w:val="20"/>
        </w:rPr>
        <w:t xml:space="preserve">(in 2012-13) </w:t>
      </w:r>
      <w:r w:rsidRPr="0087188A">
        <w:rPr>
          <w:rFonts w:cs="Arial"/>
          <w:szCs w:val="20"/>
        </w:rPr>
        <w:t xml:space="preserve">for the two telehealth services </w:t>
      </w:r>
      <w:r>
        <w:rPr>
          <w:rFonts w:cs="Arial"/>
          <w:szCs w:val="20"/>
        </w:rPr>
        <w:t>a</w:t>
      </w:r>
      <w:r w:rsidRPr="0087188A">
        <w:rPr>
          <w:rFonts w:cs="Arial"/>
          <w:szCs w:val="20"/>
        </w:rPr>
        <w:t>re:</w:t>
      </w:r>
    </w:p>
    <w:p w:rsidR="00B62926" w:rsidRPr="0087188A" w:rsidRDefault="00B62926" w:rsidP="00C245E0">
      <w:pPr>
        <w:pStyle w:val="ListParagraph"/>
        <w:numPr>
          <w:ilvl w:val="1"/>
          <w:numId w:val="57"/>
        </w:numPr>
        <w:tabs>
          <w:tab w:val="left" w:pos="1162"/>
        </w:tabs>
        <w:rPr>
          <w:rFonts w:cs="Arial"/>
          <w:szCs w:val="20"/>
        </w:rPr>
      </w:pPr>
      <w:r w:rsidRPr="0087188A">
        <w:rPr>
          <w:rFonts w:cs="Arial"/>
          <w:szCs w:val="20"/>
        </w:rPr>
        <w:t>$</w:t>
      </w:r>
      <w:r w:rsidR="00F73088">
        <w:rPr>
          <w:rFonts w:cs="Arial"/>
          <w:szCs w:val="20"/>
        </w:rPr>
        <w:t>112</w:t>
      </w:r>
      <w:r w:rsidR="00F73088" w:rsidRPr="0087188A">
        <w:rPr>
          <w:rFonts w:cs="Arial"/>
          <w:szCs w:val="20"/>
        </w:rPr>
        <w:t xml:space="preserve"> </w:t>
      </w:r>
      <w:r w:rsidRPr="0087188A">
        <w:rPr>
          <w:rFonts w:cs="Arial"/>
          <w:szCs w:val="20"/>
        </w:rPr>
        <w:t>(based on 34 minutes on average) for telehealth services involving medical</w:t>
      </w:r>
      <w:r>
        <w:rPr>
          <w:rFonts w:cs="Arial"/>
          <w:szCs w:val="20"/>
        </w:rPr>
        <w:t xml:space="preserve"> </w:t>
      </w:r>
      <w:r w:rsidRPr="0087188A">
        <w:rPr>
          <w:rFonts w:cs="Arial"/>
          <w:szCs w:val="20"/>
        </w:rPr>
        <w:t>practitioners at the patient end (i.e. Series 20 clinic); and</w:t>
      </w:r>
    </w:p>
    <w:p w:rsidR="00B62926" w:rsidRPr="0087188A" w:rsidRDefault="00B62926" w:rsidP="00C245E0">
      <w:pPr>
        <w:pStyle w:val="ListParagraph"/>
        <w:numPr>
          <w:ilvl w:val="1"/>
          <w:numId w:val="57"/>
        </w:numPr>
        <w:tabs>
          <w:tab w:val="left" w:pos="1162"/>
        </w:tabs>
        <w:spacing w:before="120"/>
        <w:ind w:left="1797" w:hanging="357"/>
        <w:rPr>
          <w:rFonts w:cs="Arial"/>
          <w:szCs w:val="20"/>
        </w:rPr>
      </w:pPr>
      <w:r w:rsidRPr="0087188A">
        <w:rPr>
          <w:rFonts w:cs="Arial"/>
          <w:szCs w:val="20"/>
        </w:rPr>
        <w:t>$5</w:t>
      </w:r>
      <w:r w:rsidR="00F73088">
        <w:rPr>
          <w:rFonts w:cs="Arial"/>
          <w:szCs w:val="20"/>
        </w:rPr>
        <w:t>3</w:t>
      </w:r>
      <w:r w:rsidRPr="0087188A">
        <w:rPr>
          <w:rFonts w:cs="Arial"/>
          <w:szCs w:val="20"/>
        </w:rPr>
        <w:t xml:space="preserve"> (based on 44 minutes on average) for telehealth services involving nurses at</w:t>
      </w:r>
      <w:r>
        <w:rPr>
          <w:rFonts w:cs="Arial"/>
          <w:szCs w:val="20"/>
        </w:rPr>
        <w:t xml:space="preserve"> </w:t>
      </w:r>
      <w:r w:rsidRPr="0087188A">
        <w:rPr>
          <w:rFonts w:cs="Arial"/>
          <w:szCs w:val="20"/>
        </w:rPr>
        <w:t>the patient end.</w:t>
      </w:r>
    </w:p>
    <w:p w:rsidR="00853C26" w:rsidRPr="00724136" w:rsidRDefault="00643BA3" w:rsidP="00C245E0">
      <w:pPr>
        <w:pStyle w:val="ListParagraph"/>
        <w:numPr>
          <w:ilvl w:val="0"/>
          <w:numId w:val="56"/>
        </w:numPr>
        <w:tabs>
          <w:tab w:val="left" w:pos="1162"/>
        </w:tabs>
        <w:spacing w:before="120"/>
        <w:ind w:left="714" w:hanging="357"/>
        <w:rPr>
          <w:rFonts w:cs="Arial"/>
          <w:szCs w:val="20"/>
        </w:rPr>
      </w:pPr>
      <w:r>
        <w:rPr>
          <w:rFonts w:cs="Arial"/>
          <w:i/>
          <w:szCs w:val="20"/>
        </w:rPr>
        <w:t>Multi-</w:t>
      </w:r>
      <w:r w:rsidR="00F21F5B">
        <w:rPr>
          <w:rFonts w:cs="Arial"/>
          <w:i/>
          <w:szCs w:val="20"/>
        </w:rPr>
        <w:t xml:space="preserve">disciplinary Clinic </w:t>
      </w:r>
      <w:r w:rsidR="00C34429" w:rsidRPr="00724136">
        <w:rPr>
          <w:rFonts w:cs="Arial"/>
          <w:i/>
          <w:szCs w:val="20"/>
        </w:rPr>
        <w:t>adjustment</w:t>
      </w:r>
      <w:r w:rsidR="00C34429" w:rsidRPr="00724136">
        <w:rPr>
          <w:rFonts w:cs="Arial"/>
          <w:szCs w:val="20"/>
        </w:rPr>
        <w:t xml:space="preserve">: </w:t>
      </w:r>
      <w:r w:rsidR="00501980" w:rsidRPr="00724136">
        <w:rPr>
          <w:rFonts w:cs="Arial"/>
          <w:szCs w:val="20"/>
        </w:rPr>
        <w:t xml:space="preserve">An adjustment </w:t>
      </w:r>
      <w:r w:rsidR="00AB63CE">
        <w:rPr>
          <w:rFonts w:cs="Arial"/>
          <w:szCs w:val="20"/>
        </w:rPr>
        <w:t>has been</w:t>
      </w:r>
      <w:r w:rsidR="00501980" w:rsidRPr="00420107">
        <w:rPr>
          <w:rFonts w:cs="Arial"/>
          <w:szCs w:val="20"/>
        </w:rPr>
        <w:t xml:space="preserve"> introduced for</w:t>
      </w:r>
      <w:r w:rsidR="00501980" w:rsidRPr="00724136">
        <w:rPr>
          <w:rFonts w:cs="Arial"/>
          <w:szCs w:val="20"/>
        </w:rPr>
        <w:t xml:space="preserve"> multi</w:t>
      </w:r>
      <w:r>
        <w:rPr>
          <w:rFonts w:cs="Arial"/>
          <w:szCs w:val="20"/>
        </w:rPr>
        <w:t>-provider</w:t>
      </w:r>
      <w:r w:rsidR="00501980" w:rsidRPr="00724136">
        <w:rPr>
          <w:rFonts w:cs="Arial"/>
          <w:szCs w:val="20"/>
        </w:rPr>
        <w:t xml:space="preserve"> </w:t>
      </w:r>
      <w:r>
        <w:rPr>
          <w:rFonts w:cs="Arial"/>
          <w:szCs w:val="20"/>
        </w:rPr>
        <w:t>service events</w:t>
      </w:r>
      <w:r w:rsidR="00501980" w:rsidRPr="00724136">
        <w:rPr>
          <w:rFonts w:cs="Arial"/>
          <w:szCs w:val="20"/>
        </w:rPr>
        <w:t xml:space="preserve"> in NEP15. The adjustment </w:t>
      </w:r>
      <w:r w:rsidR="00AB63CE">
        <w:rPr>
          <w:rFonts w:cs="Arial"/>
          <w:szCs w:val="20"/>
        </w:rPr>
        <w:t>is to be</w:t>
      </w:r>
      <w:r w:rsidR="00501980" w:rsidRPr="00724136">
        <w:rPr>
          <w:rFonts w:cs="Arial"/>
          <w:szCs w:val="20"/>
        </w:rPr>
        <w:t xml:space="preserve"> applied to all </w:t>
      </w:r>
      <w:r w:rsidR="00625D16" w:rsidRPr="00724136">
        <w:rPr>
          <w:rFonts w:cs="Arial"/>
          <w:szCs w:val="20"/>
        </w:rPr>
        <w:t xml:space="preserve">non-admitted service events where </w:t>
      </w:r>
      <w:r w:rsidR="00501980" w:rsidRPr="00724136">
        <w:rPr>
          <w:rFonts w:cs="Arial"/>
          <w:szCs w:val="20"/>
        </w:rPr>
        <w:t xml:space="preserve">three </w:t>
      </w:r>
      <w:r w:rsidR="00625D16" w:rsidRPr="00724136">
        <w:rPr>
          <w:rFonts w:cs="Arial"/>
          <w:szCs w:val="20"/>
        </w:rPr>
        <w:t xml:space="preserve">or more health care </w:t>
      </w:r>
      <w:r w:rsidR="005923CF" w:rsidRPr="00724136">
        <w:rPr>
          <w:rFonts w:cs="Arial"/>
          <w:szCs w:val="20"/>
        </w:rPr>
        <w:t>specialities</w:t>
      </w:r>
      <w:r w:rsidR="00625D16" w:rsidRPr="00724136">
        <w:rPr>
          <w:rFonts w:cs="Arial"/>
          <w:szCs w:val="20"/>
        </w:rPr>
        <w:t xml:space="preserve"> are present in a single service event</w:t>
      </w:r>
      <w:r w:rsidR="00501980" w:rsidRPr="00724136">
        <w:rPr>
          <w:rFonts w:cs="Arial"/>
          <w:szCs w:val="20"/>
        </w:rPr>
        <w:t xml:space="preserve"> (such as </w:t>
      </w:r>
      <w:r w:rsidR="00F21F5B">
        <w:rPr>
          <w:rFonts w:cs="Arial"/>
          <w:szCs w:val="20"/>
        </w:rPr>
        <w:t xml:space="preserve">different speciality </w:t>
      </w:r>
      <w:r w:rsidR="00387E6D">
        <w:rPr>
          <w:rFonts w:cs="Arial"/>
          <w:szCs w:val="20"/>
        </w:rPr>
        <w:t>doctor</w:t>
      </w:r>
      <w:r w:rsidR="00387E6D" w:rsidRPr="00724136">
        <w:rPr>
          <w:rFonts w:cs="Arial"/>
          <w:szCs w:val="20"/>
        </w:rPr>
        <w:t>s</w:t>
      </w:r>
      <w:r w:rsidR="00501980" w:rsidRPr="00724136">
        <w:rPr>
          <w:rFonts w:cs="Arial"/>
          <w:szCs w:val="20"/>
        </w:rPr>
        <w:t>, nurses o</w:t>
      </w:r>
      <w:r w:rsidR="005923CF" w:rsidRPr="00724136">
        <w:rPr>
          <w:rFonts w:cs="Arial"/>
          <w:szCs w:val="20"/>
        </w:rPr>
        <w:t xml:space="preserve">r allied health professionals). </w:t>
      </w:r>
      <w:r w:rsidR="0087188A">
        <w:rPr>
          <w:rFonts w:cs="Arial"/>
          <w:szCs w:val="20"/>
        </w:rPr>
        <w:t xml:space="preserve">The calculation of the adjustment was based on the </w:t>
      </w:r>
      <w:r w:rsidR="003F67F1">
        <w:rPr>
          <w:rFonts w:cs="Arial"/>
          <w:szCs w:val="20"/>
        </w:rPr>
        <w:t xml:space="preserve">direct </w:t>
      </w:r>
      <w:r w:rsidR="0087188A">
        <w:rPr>
          <w:rFonts w:cs="Arial"/>
          <w:szCs w:val="20"/>
        </w:rPr>
        <w:t xml:space="preserve">cost of the episodes in the 2013 study that reported three different disciplines. </w:t>
      </w:r>
      <w:r w:rsidR="003F67F1">
        <w:rPr>
          <w:rFonts w:cs="Arial"/>
          <w:szCs w:val="20"/>
        </w:rPr>
        <w:t xml:space="preserve">The direct costs were then included in the calibration to the </w:t>
      </w:r>
      <w:r w:rsidR="003F67F1" w:rsidRPr="0087188A">
        <w:rPr>
          <w:rFonts w:cs="Arial"/>
          <w:szCs w:val="20"/>
        </w:rPr>
        <w:t>NHCDC Round 17 cost</w:t>
      </w:r>
      <w:r w:rsidR="003F67F1">
        <w:rPr>
          <w:rFonts w:cs="Arial"/>
          <w:szCs w:val="20"/>
        </w:rPr>
        <w:t xml:space="preserve"> </w:t>
      </w:r>
      <w:r w:rsidR="003F67F1" w:rsidRPr="0087188A">
        <w:rPr>
          <w:rFonts w:cs="Arial"/>
          <w:szCs w:val="20"/>
        </w:rPr>
        <w:t>levels</w:t>
      </w:r>
      <w:r w:rsidR="003F67F1">
        <w:rPr>
          <w:rFonts w:cs="Arial"/>
          <w:szCs w:val="20"/>
        </w:rPr>
        <w:t>.</w:t>
      </w:r>
    </w:p>
    <w:p w:rsidR="00FE2312" w:rsidRDefault="00501980" w:rsidP="00FF7184">
      <w:pPr>
        <w:pStyle w:val="ListParagraph"/>
        <w:numPr>
          <w:ilvl w:val="0"/>
          <w:numId w:val="56"/>
        </w:numPr>
        <w:tabs>
          <w:tab w:val="left" w:pos="1162"/>
        </w:tabs>
        <w:spacing w:before="120"/>
        <w:ind w:left="714" w:hanging="357"/>
        <w:rPr>
          <w:rFonts w:cs="Arial"/>
          <w:szCs w:val="20"/>
        </w:rPr>
      </w:pPr>
      <w:r w:rsidRPr="00FF7184">
        <w:rPr>
          <w:rFonts w:cs="Arial"/>
          <w:i/>
          <w:szCs w:val="20"/>
        </w:rPr>
        <w:t xml:space="preserve">Temporal care bundling of home delivered chronic disease services: </w:t>
      </w:r>
      <w:r w:rsidR="00625D16" w:rsidRPr="00FF7184">
        <w:rPr>
          <w:rFonts w:cs="Arial"/>
          <w:szCs w:val="20"/>
        </w:rPr>
        <w:t xml:space="preserve">temporal care bundled </w:t>
      </w:r>
      <w:r w:rsidR="003F67F1" w:rsidRPr="00FF7184">
        <w:rPr>
          <w:rFonts w:cs="Arial"/>
          <w:szCs w:val="20"/>
        </w:rPr>
        <w:t>direct costs</w:t>
      </w:r>
      <w:r w:rsidR="00625D16" w:rsidRPr="00FF7184">
        <w:rPr>
          <w:rFonts w:cs="Arial"/>
          <w:szCs w:val="20"/>
        </w:rPr>
        <w:t xml:space="preserve"> for Home Enteral Nutrition (HEN), Total Parenteral Nutrition (TPN), home-delivered dialysis and home ventilation have been developed for NEP15.</w:t>
      </w:r>
      <w:r w:rsidR="00A95FF2">
        <w:rPr>
          <w:rStyle w:val="FootnoteReference"/>
          <w:rFonts w:cs="Arial"/>
          <w:szCs w:val="20"/>
        </w:rPr>
        <w:footnoteReference w:id="23"/>
      </w:r>
      <w:r w:rsidR="00F21F5B" w:rsidRPr="00FF7184">
        <w:rPr>
          <w:rFonts w:cs="Arial"/>
          <w:szCs w:val="20"/>
        </w:rPr>
        <w:t xml:space="preserve"> </w:t>
      </w:r>
      <w:r w:rsidR="003F67F1" w:rsidRPr="00FF7184">
        <w:rPr>
          <w:rFonts w:cs="Arial"/>
          <w:szCs w:val="20"/>
        </w:rPr>
        <w:t xml:space="preserve">In using the direct costs as reported in the costing study </w:t>
      </w:r>
      <w:r w:rsidR="006E21CA">
        <w:rPr>
          <w:rFonts w:cs="Arial"/>
          <w:szCs w:val="20"/>
        </w:rPr>
        <w:t xml:space="preserve">four (three for HEN and one for HV) </w:t>
      </w:r>
      <w:r w:rsidR="003F67F1" w:rsidRPr="00FF7184">
        <w:rPr>
          <w:rFonts w:cs="Arial"/>
          <w:szCs w:val="20"/>
        </w:rPr>
        <w:t>hospital</w:t>
      </w:r>
      <w:r w:rsidR="00F902F6">
        <w:rPr>
          <w:rFonts w:cs="Arial"/>
          <w:szCs w:val="20"/>
        </w:rPr>
        <w:t>s</w:t>
      </w:r>
      <w:r w:rsidR="003F67F1" w:rsidRPr="00FF7184">
        <w:rPr>
          <w:rFonts w:cs="Arial"/>
          <w:szCs w:val="20"/>
        </w:rPr>
        <w:t xml:space="preserve"> with extreme values were trimmed before calculating the average direct cost for each clinic. These direct costs were then included in the calibration to the NHCDC Round 17 cost levels.</w:t>
      </w:r>
    </w:p>
    <w:p w:rsidR="00B15521" w:rsidRPr="00FE2312" w:rsidRDefault="00B15521" w:rsidP="00FE2312">
      <w:pPr>
        <w:tabs>
          <w:tab w:val="left" w:pos="1162"/>
        </w:tabs>
        <w:spacing w:before="240"/>
        <w:ind w:left="357"/>
        <w:rPr>
          <w:rFonts w:cs="Arial"/>
          <w:szCs w:val="20"/>
        </w:rPr>
      </w:pPr>
      <w:r w:rsidRPr="00FE2312">
        <w:rPr>
          <w:rFonts w:cs="Arial"/>
          <w:szCs w:val="20"/>
        </w:rPr>
        <w:t>For example, the price weight for HEN was calculated as follows:</w:t>
      </w:r>
    </w:p>
    <w:p w:rsidR="00673486" w:rsidRDefault="00FE2312" w:rsidP="00673486">
      <w:pPr>
        <w:pStyle w:val="ListParagraph"/>
        <w:numPr>
          <w:ilvl w:val="0"/>
          <w:numId w:val="76"/>
        </w:numPr>
        <w:tabs>
          <w:tab w:val="left" w:pos="1162"/>
        </w:tabs>
        <w:spacing w:before="120"/>
        <w:rPr>
          <w:rFonts w:cs="Arial"/>
          <w:szCs w:val="20"/>
        </w:rPr>
      </w:pPr>
      <w:r>
        <w:rPr>
          <w:rFonts w:cs="Arial"/>
          <w:szCs w:val="20"/>
        </w:rPr>
        <w:t xml:space="preserve"> </w:t>
      </w:r>
      <w:r w:rsidR="00673486">
        <w:rPr>
          <w:rFonts w:cs="Arial"/>
          <w:szCs w:val="20"/>
        </w:rPr>
        <w:t>Costing study mean total cost per 28 days - $817</w:t>
      </w:r>
      <w:r w:rsidR="00673486">
        <w:rPr>
          <w:rFonts w:cs="Arial"/>
          <w:szCs w:val="20"/>
        </w:rPr>
        <w:br/>
        <w:t>(excluding patient contributions)</w:t>
      </w:r>
    </w:p>
    <w:p w:rsidR="00673486" w:rsidRPr="006C4AF4" w:rsidRDefault="00673486" w:rsidP="00673486">
      <w:pPr>
        <w:pStyle w:val="ListParagraph"/>
        <w:numPr>
          <w:ilvl w:val="0"/>
          <w:numId w:val="76"/>
        </w:numPr>
        <w:tabs>
          <w:tab w:val="left" w:pos="1162"/>
        </w:tabs>
        <w:spacing w:before="120"/>
        <w:rPr>
          <w:rFonts w:cs="Arial"/>
          <w:szCs w:val="20"/>
        </w:rPr>
      </w:pPr>
      <w:r w:rsidRPr="006C4AF4">
        <w:rPr>
          <w:rFonts w:cs="Arial"/>
          <w:szCs w:val="20"/>
        </w:rPr>
        <w:t>Costing study</w:t>
      </w:r>
      <w:r>
        <w:rPr>
          <w:rFonts w:cs="Arial"/>
          <w:szCs w:val="20"/>
        </w:rPr>
        <w:t xml:space="preserve"> mean total cost per 28 days - </w:t>
      </w:r>
      <w:r w:rsidRPr="006C4AF4">
        <w:rPr>
          <w:rFonts w:cs="Arial"/>
          <w:szCs w:val="20"/>
        </w:rPr>
        <w:t>$1148</w:t>
      </w:r>
      <w:r w:rsidRPr="006C4AF4">
        <w:rPr>
          <w:rFonts w:cs="Arial"/>
          <w:szCs w:val="20"/>
        </w:rPr>
        <w:br/>
        <w:t>(</w:t>
      </w:r>
      <w:r>
        <w:rPr>
          <w:rFonts w:cs="Arial"/>
          <w:szCs w:val="20"/>
        </w:rPr>
        <w:t>in</w:t>
      </w:r>
      <w:r w:rsidRPr="006C4AF4">
        <w:rPr>
          <w:rFonts w:cs="Arial"/>
          <w:szCs w:val="20"/>
        </w:rPr>
        <w:t>cluding patient contributions)</w:t>
      </w:r>
    </w:p>
    <w:p w:rsidR="00673486" w:rsidRDefault="00673486" w:rsidP="00673486">
      <w:pPr>
        <w:pStyle w:val="ListParagraph"/>
        <w:numPr>
          <w:ilvl w:val="0"/>
          <w:numId w:val="76"/>
        </w:numPr>
        <w:tabs>
          <w:tab w:val="left" w:pos="1162"/>
        </w:tabs>
        <w:spacing w:before="120"/>
        <w:rPr>
          <w:rFonts w:cs="Arial"/>
          <w:szCs w:val="20"/>
        </w:rPr>
      </w:pPr>
      <w:r>
        <w:rPr>
          <w:rFonts w:cs="Arial"/>
          <w:szCs w:val="20"/>
        </w:rPr>
        <w:t xml:space="preserve"> Costing study mean direct cost per 28 days - $1,009</w:t>
      </w:r>
      <w:r>
        <w:rPr>
          <w:rFonts w:cs="Arial"/>
          <w:szCs w:val="20"/>
        </w:rPr>
        <w:tab/>
      </w:r>
      <w:r>
        <w:rPr>
          <w:rFonts w:cs="Arial"/>
          <w:szCs w:val="20"/>
        </w:rPr>
        <w:br/>
        <w:t>(including patient contributions)</w:t>
      </w:r>
    </w:p>
    <w:p w:rsidR="00673486" w:rsidRDefault="00673486" w:rsidP="00673486">
      <w:pPr>
        <w:pStyle w:val="ListParagraph"/>
        <w:numPr>
          <w:ilvl w:val="0"/>
          <w:numId w:val="76"/>
        </w:numPr>
        <w:tabs>
          <w:tab w:val="left" w:pos="1162"/>
        </w:tabs>
        <w:spacing w:before="120"/>
        <w:rPr>
          <w:rFonts w:cs="Arial"/>
          <w:szCs w:val="20"/>
        </w:rPr>
      </w:pPr>
      <w:r>
        <w:rPr>
          <w:rFonts w:cs="Arial"/>
          <w:szCs w:val="20"/>
        </w:rPr>
        <w:t xml:space="preserve"> Trimmed direct cost per 28 days - $630</w:t>
      </w:r>
    </w:p>
    <w:p w:rsidR="00673486" w:rsidRDefault="00673486" w:rsidP="00673486">
      <w:pPr>
        <w:pStyle w:val="ListParagraph"/>
        <w:numPr>
          <w:ilvl w:val="0"/>
          <w:numId w:val="76"/>
        </w:numPr>
        <w:tabs>
          <w:tab w:val="left" w:pos="1162"/>
        </w:tabs>
        <w:spacing w:before="120"/>
        <w:rPr>
          <w:rFonts w:cs="Arial"/>
          <w:szCs w:val="20"/>
        </w:rPr>
      </w:pPr>
      <w:r>
        <w:rPr>
          <w:rFonts w:cs="Arial"/>
          <w:szCs w:val="20"/>
        </w:rPr>
        <w:t xml:space="preserve"> Trimmed direct cost per calendar month in 2012-13 prices - $661</w:t>
      </w:r>
    </w:p>
    <w:p w:rsidR="00673486" w:rsidRDefault="00673486" w:rsidP="00673486">
      <w:pPr>
        <w:pStyle w:val="ListParagraph"/>
        <w:numPr>
          <w:ilvl w:val="0"/>
          <w:numId w:val="76"/>
        </w:numPr>
        <w:tabs>
          <w:tab w:val="left" w:pos="1162"/>
        </w:tabs>
        <w:spacing w:before="120"/>
        <w:rPr>
          <w:rFonts w:cs="Arial"/>
          <w:szCs w:val="20"/>
        </w:rPr>
      </w:pPr>
      <w:r>
        <w:rPr>
          <w:rFonts w:cs="Arial"/>
          <w:szCs w:val="20"/>
        </w:rPr>
        <w:t xml:space="preserve"> Calibrated total cost per calendar month in 2012-13 prices - $1,081</w:t>
      </w:r>
      <w:r>
        <w:rPr>
          <w:rFonts w:cs="Arial"/>
          <w:szCs w:val="20"/>
        </w:rPr>
        <w:br/>
        <w:t xml:space="preserve">(including equalisation of total actual and predicted costs ) </w:t>
      </w:r>
    </w:p>
    <w:p w:rsidR="00673486" w:rsidRDefault="00673486" w:rsidP="00673486">
      <w:pPr>
        <w:pStyle w:val="ListParagraph"/>
        <w:numPr>
          <w:ilvl w:val="0"/>
          <w:numId w:val="76"/>
        </w:numPr>
        <w:tabs>
          <w:tab w:val="left" w:pos="1162"/>
        </w:tabs>
        <w:spacing w:before="120"/>
        <w:rPr>
          <w:rFonts w:cs="Arial"/>
          <w:szCs w:val="20"/>
        </w:rPr>
      </w:pPr>
      <w:r>
        <w:rPr>
          <w:rFonts w:cs="Arial"/>
          <w:szCs w:val="20"/>
        </w:rPr>
        <w:t xml:space="preserve"> Adjusted mean cost parameter (after adjustments) - $1,061</w:t>
      </w:r>
      <w:r>
        <w:rPr>
          <w:rFonts w:cs="Arial"/>
          <w:szCs w:val="20"/>
        </w:rPr>
        <w:br/>
        <w:t>(i.e. Indigenous and Multidisciplinary adjustments)</w:t>
      </w:r>
    </w:p>
    <w:p w:rsidR="00673486" w:rsidRDefault="00673486" w:rsidP="00673486">
      <w:pPr>
        <w:pStyle w:val="ListParagraph"/>
        <w:numPr>
          <w:ilvl w:val="0"/>
          <w:numId w:val="76"/>
        </w:numPr>
        <w:tabs>
          <w:tab w:val="left" w:pos="1162"/>
        </w:tabs>
        <w:spacing w:before="120"/>
        <w:rPr>
          <w:rFonts w:cs="Arial"/>
          <w:szCs w:val="20"/>
        </w:rPr>
      </w:pPr>
      <w:r>
        <w:rPr>
          <w:rFonts w:cs="Arial"/>
          <w:szCs w:val="20"/>
        </w:rPr>
        <w:t xml:space="preserve"> 2012-13 cost  weight per calendar month -  0.23313</w:t>
      </w:r>
      <w:r>
        <w:rPr>
          <w:rFonts w:cs="Arial"/>
          <w:szCs w:val="20"/>
        </w:rPr>
        <w:br/>
        <w:t>(divided by Reference cost)</w:t>
      </w:r>
    </w:p>
    <w:p w:rsidR="00F21F5B" w:rsidRPr="00B15521" w:rsidRDefault="00B15521" w:rsidP="00673486">
      <w:pPr>
        <w:pStyle w:val="ListParagraph"/>
        <w:numPr>
          <w:ilvl w:val="0"/>
          <w:numId w:val="76"/>
        </w:numPr>
        <w:tabs>
          <w:tab w:val="left" w:pos="1162"/>
        </w:tabs>
        <w:spacing w:before="120"/>
        <w:rPr>
          <w:rFonts w:cs="Arial"/>
          <w:szCs w:val="20"/>
        </w:rPr>
      </w:pPr>
      <w:r>
        <w:rPr>
          <w:rFonts w:cs="Arial"/>
          <w:szCs w:val="20"/>
        </w:rPr>
        <w:lastRenderedPageBreak/>
        <w:t>Note: the main calibration factor to calibrate the cost study direct costs to the NHCDC Round 17 cost leve</w:t>
      </w:r>
      <w:r w:rsidR="00FE2312">
        <w:rPr>
          <w:rFonts w:cs="Arial"/>
          <w:szCs w:val="20"/>
        </w:rPr>
        <w:t>ls was 1.63, which comprised 26 per cent for NHCDC overheads and 30 per cent</w:t>
      </w:r>
      <w:r>
        <w:rPr>
          <w:rFonts w:cs="Arial"/>
          <w:szCs w:val="20"/>
        </w:rPr>
        <w:t xml:space="preserve"> to reflect the higher cost levels (i</w:t>
      </w:r>
      <w:r w:rsidR="00FE2312">
        <w:rPr>
          <w:rFonts w:cs="Arial"/>
          <w:szCs w:val="20"/>
        </w:rPr>
        <w:t>.</w:t>
      </w:r>
      <w:r>
        <w:rPr>
          <w:rFonts w:cs="Arial"/>
          <w:szCs w:val="20"/>
        </w:rPr>
        <w:t>e</w:t>
      </w:r>
      <w:r w:rsidR="00FE2312">
        <w:rPr>
          <w:rFonts w:cs="Arial"/>
          <w:szCs w:val="20"/>
        </w:rPr>
        <w:t>.</w:t>
      </w:r>
      <w:r>
        <w:rPr>
          <w:rFonts w:cs="Arial"/>
          <w:szCs w:val="20"/>
        </w:rPr>
        <w:t xml:space="preserve"> more costs) in the NHCDC compared to the costing studies.</w:t>
      </w:r>
    </w:p>
    <w:p w:rsidR="00460371" w:rsidRDefault="00460371" w:rsidP="00FE2312">
      <w:pPr>
        <w:tabs>
          <w:tab w:val="left" w:pos="1162"/>
        </w:tabs>
        <w:spacing w:before="240"/>
        <w:rPr>
          <w:rFonts w:cs="Arial"/>
          <w:szCs w:val="20"/>
        </w:rPr>
      </w:pPr>
      <w:r>
        <w:rPr>
          <w:rFonts w:cs="Arial"/>
          <w:szCs w:val="20"/>
        </w:rPr>
        <w:t>The resulting cost parameters were then calibrated to national figures using the NHCDC Round 1</w:t>
      </w:r>
      <w:r w:rsidR="004715A4">
        <w:rPr>
          <w:rFonts w:cs="Arial"/>
          <w:szCs w:val="20"/>
        </w:rPr>
        <w:t>7</w:t>
      </w:r>
      <w:r>
        <w:rPr>
          <w:rFonts w:cs="Arial"/>
          <w:szCs w:val="20"/>
        </w:rPr>
        <w:t xml:space="preserve"> cost data. </w:t>
      </w:r>
      <w:r w:rsidRPr="00301C4C">
        <w:rPr>
          <w:rFonts w:cs="Arial"/>
          <w:szCs w:val="20"/>
        </w:rPr>
        <w:t>In this calibration</w:t>
      </w:r>
      <w:r>
        <w:rPr>
          <w:rFonts w:cs="Arial"/>
          <w:szCs w:val="20"/>
        </w:rPr>
        <w:t>,</w:t>
      </w:r>
      <w:r w:rsidRPr="00301C4C">
        <w:rPr>
          <w:rFonts w:cs="Arial"/>
          <w:szCs w:val="20"/>
        </w:rPr>
        <w:t xml:space="preserve"> all cost weights moved together maintaining relativities between clinic</w:t>
      </w:r>
      <w:r>
        <w:rPr>
          <w:rFonts w:cs="Arial"/>
          <w:szCs w:val="20"/>
        </w:rPr>
        <w:t xml:space="preserve"> cost weight</w:t>
      </w:r>
      <w:r w:rsidRPr="00301C4C">
        <w:rPr>
          <w:rFonts w:cs="Arial"/>
          <w:szCs w:val="20"/>
        </w:rPr>
        <w:t>s.</w:t>
      </w:r>
      <w:r>
        <w:rPr>
          <w:rFonts w:cs="Arial"/>
          <w:szCs w:val="20"/>
        </w:rPr>
        <w:t xml:space="preserve"> </w:t>
      </w:r>
      <w:r w:rsidRPr="0068154B">
        <w:rPr>
          <w:rFonts w:cs="Arial"/>
          <w:szCs w:val="20"/>
        </w:rPr>
        <w:t xml:space="preserve">As there was no comprehensive cost </w:t>
      </w:r>
      <w:r>
        <w:rPr>
          <w:rFonts w:cs="Arial"/>
          <w:szCs w:val="20"/>
        </w:rPr>
        <w:t>dataset</w:t>
      </w:r>
      <w:r w:rsidRPr="0068154B">
        <w:rPr>
          <w:rFonts w:cs="Arial"/>
          <w:szCs w:val="20"/>
        </w:rPr>
        <w:t xml:space="preserve"> on non-admitted activity in </w:t>
      </w:r>
      <w:r w:rsidR="00B94FB5">
        <w:rPr>
          <w:rFonts w:cs="Arial"/>
          <w:szCs w:val="20"/>
        </w:rPr>
        <w:t>2012-13</w:t>
      </w:r>
      <w:r w:rsidRPr="0068154B">
        <w:rPr>
          <w:rFonts w:cs="Arial"/>
          <w:szCs w:val="20"/>
        </w:rPr>
        <w:t xml:space="preserve">, it was not possible to do a weighting of the cost sample in the </w:t>
      </w:r>
      <w:r>
        <w:rPr>
          <w:rFonts w:cs="Arial"/>
          <w:szCs w:val="20"/>
        </w:rPr>
        <w:t xml:space="preserve">same </w:t>
      </w:r>
      <w:r w:rsidRPr="0068154B">
        <w:rPr>
          <w:rFonts w:cs="Arial"/>
          <w:szCs w:val="20"/>
        </w:rPr>
        <w:t>way that was done for acute separations and ED presentations.</w:t>
      </w:r>
    </w:p>
    <w:p w:rsidR="00460371" w:rsidRDefault="00460371" w:rsidP="00AD4FFC">
      <w:pPr>
        <w:tabs>
          <w:tab w:val="left" w:pos="1162"/>
        </w:tabs>
        <w:rPr>
          <w:rFonts w:cs="Arial"/>
          <w:szCs w:val="20"/>
        </w:rPr>
      </w:pPr>
      <w:r>
        <w:rPr>
          <w:rFonts w:cs="Arial"/>
          <w:szCs w:val="20"/>
        </w:rPr>
        <w:t xml:space="preserve">The non-admitted cost parameters for </w:t>
      </w:r>
      <w:r w:rsidR="00B94FB5">
        <w:rPr>
          <w:rFonts w:cs="Arial"/>
          <w:szCs w:val="20"/>
        </w:rPr>
        <w:t>2012-13</w:t>
      </w:r>
      <w:r>
        <w:rPr>
          <w:rFonts w:cs="Arial"/>
          <w:szCs w:val="20"/>
        </w:rPr>
        <w:t xml:space="preserve"> </w:t>
      </w:r>
      <w:r w:rsidR="004715A4">
        <w:rPr>
          <w:rFonts w:cs="Arial"/>
          <w:szCs w:val="20"/>
        </w:rPr>
        <w:t xml:space="preserve">are very similar and highly correlated to the NEP14 </w:t>
      </w:r>
      <w:r w:rsidR="00AB63CE">
        <w:rPr>
          <w:rFonts w:cs="Arial"/>
          <w:szCs w:val="20"/>
        </w:rPr>
        <w:t>price</w:t>
      </w:r>
      <w:r w:rsidR="004715A4">
        <w:rPr>
          <w:rFonts w:cs="Arial"/>
          <w:szCs w:val="20"/>
        </w:rPr>
        <w:t xml:space="preserve"> weights. </w:t>
      </w:r>
      <w:r>
        <w:rPr>
          <w:rFonts w:cs="Arial"/>
          <w:szCs w:val="20"/>
        </w:rPr>
        <w:t xml:space="preserve">The </w:t>
      </w:r>
      <w:r w:rsidR="004715A4">
        <w:rPr>
          <w:rFonts w:cs="Arial"/>
          <w:szCs w:val="20"/>
        </w:rPr>
        <w:t xml:space="preserve">2011-12 and </w:t>
      </w:r>
      <w:r w:rsidR="00B94FB5">
        <w:rPr>
          <w:rFonts w:cs="Arial"/>
          <w:szCs w:val="20"/>
        </w:rPr>
        <w:t>2012-13</w:t>
      </w:r>
      <w:r>
        <w:rPr>
          <w:rFonts w:cs="Arial"/>
          <w:szCs w:val="20"/>
        </w:rPr>
        <w:t xml:space="preserve"> cost parameters are considered to be more representative of the actual costs and variability of costs of the Tier 2 Clinics because their measurement is based on empirical data of time and resources actually expended to provide the services.</w:t>
      </w:r>
    </w:p>
    <w:p w:rsidR="008D4C15" w:rsidRDefault="00460371" w:rsidP="00AD4FFC">
      <w:pPr>
        <w:tabs>
          <w:tab w:val="left" w:pos="1162"/>
        </w:tabs>
        <w:rPr>
          <w:rFonts w:cs="Arial"/>
          <w:szCs w:val="20"/>
        </w:rPr>
      </w:pPr>
      <w:r w:rsidRPr="0068154B">
        <w:rPr>
          <w:rFonts w:cs="Arial"/>
          <w:szCs w:val="20"/>
        </w:rPr>
        <w:t>The fit of the</w:t>
      </w:r>
      <w:r>
        <w:rPr>
          <w:rFonts w:cs="Arial"/>
          <w:szCs w:val="20"/>
        </w:rPr>
        <w:t xml:space="preserve"> </w:t>
      </w:r>
      <w:r w:rsidR="00B94FB5">
        <w:rPr>
          <w:rFonts w:cs="Arial"/>
          <w:szCs w:val="20"/>
        </w:rPr>
        <w:t>2012-13</w:t>
      </w:r>
      <w:r w:rsidRPr="0068154B">
        <w:rPr>
          <w:rFonts w:cs="Arial"/>
          <w:szCs w:val="20"/>
        </w:rPr>
        <w:t xml:space="preserve"> non-admitted cost </w:t>
      </w:r>
      <w:proofErr w:type="gramStart"/>
      <w:r w:rsidRPr="0068154B">
        <w:rPr>
          <w:rFonts w:cs="Arial"/>
          <w:szCs w:val="20"/>
        </w:rPr>
        <w:t>model</w:t>
      </w:r>
      <w:proofErr w:type="gramEnd"/>
      <w:r w:rsidRPr="0068154B">
        <w:rPr>
          <w:rFonts w:cs="Arial"/>
          <w:szCs w:val="20"/>
        </w:rPr>
        <w:t xml:space="preserve"> </w:t>
      </w:r>
      <w:r w:rsidR="004715A4">
        <w:rPr>
          <w:rFonts w:cs="Arial"/>
          <w:szCs w:val="20"/>
        </w:rPr>
        <w:t>to the NHCDC data cost weights is</w:t>
      </w:r>
      <w:r>
        <w:rPr>
          <w:rFonts w:cs="Arial"/>
          <w:szCs w:val="20"/>
        </w:rPr>
        <w:t xml:space="preserve"> still low. </w:t>
      </w:r>
      <w:r w:rsidRPr="0068154B">
        <w:rPr>
          <w:rFonts w:cs="Arial"/>
          <w:szCs w:val="20"/>
        </w:rPr>
        <w:t xml:space="preserve">That is, the </w:t>
      </w:r>
      <w:r>
        <w:rPr>
          <w:rFonts w:cs="Arial"/>
          <w:szCs w:val="20"/>
        </w:rPr>
        <w:t>r-squared</w:t>
      </w:r>
      <w:r w:rsidRPr="0068154B">
        <w:rPr>
          <w:rFonts w:cs="Arial"/>
          <w:szCs w:val="20"/>
        </w:rPr>
        <w:t xml:space="preserve"> </w:t>
      </w:r>
      <w:r>
        <w:rPr>
          <w:rFonts w:cs="Arial"/>
          <w:szCs w:val="20"/>
        </w:rPr>
        <w:t>statistic</w:t>
      </w:r>
      <w:r w:rsidRPr="0068154B">
        <w:rPr>
          <w:rFonts w:cs="Arial"/>
          <w:szCs w:val="20"/>
        </w:rPr>
        <w:t xml:space="preserve"> is low and reflects the considerable variation in the NHCDC </w:t>
      </w:r>
      <w:r>
        <w:rPr>
          <w:rFonts w:cs="Arial"/>
          <w:szCs w:val="20"/>
        </w:rPr>
        <w:t>n</w:t>
      </w:r>
      <w:r w:rsidRPr="0068154B">
        <w:rPr>
          <w:rFonts w:cs="Arial"/>
          <w:szCs w:val="20"/>
        </w:rPr>
        <w:t>on-admitted cost data.</w:t>
      </w:r>
      <w:r>
        <w:rPr>
          <w:rFonts w:cs="Arial"/>
          <w:szCs w:val="20"/>
        </w:rPr>
        <w:t xml:space="preserve"> </w:t>
      </w:r>
    </w:p>
    <w:p w:rsidR="00460371" w:rsidRDefault="00460371" w:rsidP="00AD4FFC">
      <w:pPr>
        <w:tabs>
          <w:tab w:val="left" w:pos="1162"/>
        </w:tabs>
        <w:rPr>
          <w:rFonts w:cs="Arial"/>
          <w:szCs w:val="20"/>
        </w:rPr>
      </w:pPr>
      <w:r>
        <w:rPr>
          <w:rFonts w:cs="Arial"/>
          <w:szCs w:val="20"/>
        </w:rPr>
        <w:t>T</w:t>
      </w:r>
      <w:r w:rsidRPr="0068154B">
        <w:rPr>
          <w:rFonts w:cs="Arial"/>
          <w:szCs w:val="20"/>
        </w:rPr>
        <w:t>he NEP1</w:t>
      </w:r>
      <w:r w:rsidR="00AB63CE">
        <w:rPr>
          <w:rFonts w:cs="Arial"/>
          <w:szCs w:val="20"/>
        </w:rPr>
        <w:t>5</w:t>
      </w:r>
      <w:r w:rsidRPr="0068154B">
        <w:rPr>
          <w:rFonts w:cs="Arial"/>
          <w:szCs w:val="20"/>
        </w:rPr>
        <w:t xml:space="preserve"> </w:t>
      </w:r>
      <w:r>
        <w:rPr>
          <w:rFonts w:cs="Arial"/>
          <w:szCs w:val="20"/>
        </w:rPr>
        <w:t>i</w:t>
      </w:r>
      <w:r w:rsidRPr="0068154B">
        <w:rPr>
          <w:rFonts w:cs="Arial"/>
          <w:szCs w:val="20"/>
        </w:rPr>
        <w:t>ndigenous a</w:t>
      </w:r>
      <w:r>
        <w:rPr>
          <w:rFonts w:cs="Arial"/>
          <w:szCs w:val="20"/>
        </w:rPr>
        <w:t>djustment</w:t>
      </w:r>
      <w:r w:rsidRPr="0068154B">
        <w:rPr>
          <w:rFonts w:cs="Arial"/>
          <w:szCs w:val="20"/>
        </w:rPr>
        <w:t xml:space="preserve"> w</w:t>
      </w:r>
      <w:r>
        <w:rPr>
          <w:rFonts w:cs="Arial"/>
          <w:szCs w:val="20"/>
        </w:rPr>
        <w:t>as</w:t>
      </w:r>
      <w:r w:rsidRPr="0068154B">
        <w:rPr>
          <w:rFonts w:cs="Arial"/>
          <w:szCs w:val="20"/>
        </w:rPr>
        <w:t xml:space="preserve"> applied to non-admitted episodes in the same way as for ED presentations.</w:t>
      </w:r>
      <w:r w:rsidR="008D4C15">
        <w:rPr>
          <w:rFonts w:cs="Arial"/>
          <w:szCs w:val="20"/>
        </w:rPr>
        <w:t xml:space="preserve"> The NEP15 Multi-disciplinary clinic adjustment is applied together with, and is additive to, the Indigenous adjustment.</w:t>
      </w:r>
    </w:p>
    <w:p w:rsidR="00460371" w:rsidRDefault="00460371" w:rsidP="00AD4FFC">
      <w:pPr>
        <w:pStyle w:val="Heading3"/>
        <w:keepLines w:val="0"/>
        <w:numPr>
          <w:ilvl w:val="2"/>
          <w:numId w:val="35"/>
        </w:numPr>
        <w:tabs>
          <w:tab w:val="left" w:pos="1162"/>
        </w:tabs>
        <w:spacing w:before="240" w:after="120"/>
      </w:pPr>
      <w:bookmarkStart w:id="294" w:name="_Toc380754732"/>
      <w:bookmarkStart w:id="295" w:name="_Toc412550778"/>
      <w:r>
        <w:t>Price weights and NWAU</w:t>
      </w:r>
      <w:bookmarkEnd w:id="294"/>
      <w:bookmarkEnd w:id="295"/>
    </w:p>
    <w:p w:rsidR="0070055C" w:rsidRDefault="00460371" w:rsidP="009B622C">
      <w:pPr>
        <w:tabs>
          <w:tab w:val="left" w:pos="1162"/>
        </w:tabs>
        <w:rPr>
          <w:rFonts w:cs="Arial"/>
          <w:szCs w:val="20"/>
        </w:rPr>
      </w:pPr>
      <w:r>
        <w:rPr>
          <w:rFonts w:cs="Arial"/>
          <w:szCs w:val="20"/>
        </w:rPr>
        <w:t xml:space="preserve">The cost parameters are converted to cost weights by </w:t>
      </w:r>
      <w:r w:rsidRPr="0068154B">
        <w:rPr>
          <w:rFonts w:cs="Arial"/>
          <w:szCs w:val="20"/>
        </w:rPr>
        <w:t xml:space="preserve">dividing </w:t>
      </w:r>
      <w:r>
        <w:rPr>
          <w:rFonts w:cs="Arial"/>
          <w:szCs w:val="20"/>
        </w:rPr>
        <w:t>each by the reference</w:t>
      </w:r>
      <w:r w:rsidRPr="0068154B">
        <w:rPr>
          <w:rFonts w:cs="Arial"/>
          <w:szCs w:val="20"/>
        </w:rPr>
        <w:t xml:space="preserve"> cost for </w:t>
      </w:r>
      <w:r>
        <w:rPr>
          <w:rFonts w:cs="Arial"/>
          <w:szCs w:val="20"/>
        </w:rPr>
        <w:t>the acute admitted cost model. These cost weights are then converted to the price weights used to assign NWAU.</w:t>
      </w:r>
    </w:p>
    <w:p w:rsidR="008D4C15" w:rsidRDefault="008D4C15" w:rsidP="008D4C15">
      <w:pPr>
        <w:tabs>
          <w:tab w:val="left" w:pos="1162"/>
        </w:tabs>
        <w:rPr>
          <w:rFonts w:cs="Arial"/>
          <w:szCs w:val="20"/>
        </w:rPr>
      </w:pPr>
      <w:r>
        <w:rPr>
          <w:rFonts w:cs="Arial"/>
          <w:szCs w:val="20"/>
        </w:rPr>
        <w:t>As set out in the NEP15 Determination, the price of an ABF non-admitted activity is calculated using the following formula with adjustments as applicable.</w:t>
      </w:r>
    </w:p>
    <w:p w:rsidR="008D4C15" w:rsidRDefault="008D4C15" w:rsidP="008D4C15">
      <w:pPr>
        <w:spacing w:before="280"/>
        <w:rPr>
          <w:rFonts w:cs="Arial"/>
          <w:color w:val="000000"/>
          <w:szCs w:val="24"/>
        </w:rPr>
      </w:pPr>
      <w:r>
        <w:rPr>
          <w:rFonts w:cs="Arial"/>
          <w:b/>
          <w:color w:val="000000"/>
          <w:szCs w:val="24"/>
        </w:rPr>
        <w:t xml:space="preserve">Price of a non-admitted </w:t>
      </w:r>
      <w:r w:rsidRPr="000306BE">
        <w:rPr>
          <w:rFonts w:cs="Arial"/>
          <w:b/>
          <w:color w:val="000000"/>
          <w:szCs w:val="24"/>
        </w:rPr>
        <w:t>ABF Activity</w:t>
      </w:r>
      <w:r w:rsidRPr="000306BE">
        <w:rPr>
          <w:rFonts w:cs="Arial"/>
          <w:color w:val="000000"/>
          <w:szCs w:val="24"/>
        </w:rPr>
        <w:t xml:space="preserve"> </w:t>
      </w:r>
      <w:r w:rsidRPr="00626E5D">
        <w:rPr>
          <w:rFonts w:cs="Arial"/>
          <w:color w:val="000000"/>
          <w:szCs w:val="24"/>
        </w:rPr>
        <w:t>=</w:t>
      </w:r>
      <w:r>
        <w:rPr>
          <w:rFonts w:cs="Arial"/>
          <w:color w:val="000000"/>
          <w:szCs w:val="24"/>
        </w:rPr>
        <w:t xml:space="preserve"> </w:t>
      </w:r>
    </w:p>
    <w:p w:rsidR="008D4C15" w:rsidRPr="00626E5D" w:rsidRDefault="008D4C15" w:rsidP="008D4C15">
      <w:pPr>
        <w:rPr>
          <w:rFonts w:cs="Arial"/>
          <w:szCs w:val="24"/>
        </w:rPr>
      </w:pPr>
      <w:r w:rsidRPr="001D27D8">
        <w:rPr>
          <w:rFonts w:cstheme="minorHAnsi"/>
          <w:color w:val="000000"/>
          <w:sz w:val="28"/>
          <w:szCs w:val="28"/>
        </w:rPr>
        <w:t>{</w:t>
      </w:r>
      <w:r w:rsidRPr="00626E5D">
        <w:rPr>
          <w:rFonts w:cs="Arial"/>
          <w:color w:val="000000"/>
          <w:szCs w:val="24"/>
        </w:rPr>
        <w:t xml:space="preserve">PW x (1 + </w:t>
      </w:r>
      <w:proofErr w:type="spellStart"/>
      <w:r w:rsidRPr="00626E5D">
        <w:rPr>
          <w:rFonts w:cs="Arial"/>
          <w:color w:val="000000"/>
          <w:szCs w:val="24"/>
        </w:rPr>
        <w:t>A</w:t>
      </w:r>
      <w:r w:rsidRPr="00626E5D">
        <w:rPr>
          <w:rFonts w:cs="Arial"/>
          <w:color w:val="000000"/>
          <w:szCs w:val="24"/>
          <w:vertAlign w:val="subscript"/>
        </w:rPr>
        <w:t>Ind</w:t>
      </w:r>
      <w:proofErr w:type="spellEnd"/>
      <w:r w:rsidRPr="00626E5D">
        <w:rPr>
          <w:rFonts w:cs="Arial"/>
          <w:color w:val="000000"/>
          <w:szCs w:val="24"/>
        </w:rPr>
        <w:t xml:space="preserve"> + A</w:t>
      </w:r>
      <w:r>
        <w:rPr>
          <w:rFonts w:cs="Arial"/>
          <w:color w:val="000000"/>
          <w:szCs w:val="24"/>
          <w:vertAlign w:val="subscript"/>
        </w:rPr>
        <w:t>NMC</w:t>
      </w:r>
      <w:r w:rsidRPr="00626E5D">
        <w:rPr>
          <w:rFonts w:cs="Arial"/>
          <w:color w:val="000000"/>
          <w:szCs w:val="24"/>
        </w:rPr>
        <w:t>)</w:t>
      </w:r>
      <w:r w:rsidRPr="001D27D8">
        <w:rPr>
          <w:rFonts w:cstheme="minorHAnsi"/>
          <w:color w:val="000000"/>
          <w:sz w:val="28"/>
          <w:szCs w:val="28"/>
        </w:rPr>
        <w:t>}</w:t>
      </w:r>
      <w:r w:rsidRPr="00626E5D">
        <w:rPr>
          <w:rFonts w:cs="Arial"/>
          <w:color w:val="000000"/>
          <w:szCs w:val="24"/>
        </w:rPr>
        <w:t xml:space="preserve"> x NEP</w:t>
      </w:r>
    </w:p>
    <w:p w:rsidR="008D4C15" w:rsidRDefault="008D4C15" w:rsidP="008D4C15">
      <w:pPr>
        <w:spacing w:after="0"/>
        <w:rPr>
          <w:rFonts w:cs="Arial"/>
          <w:szCs w:val="24"/>
        </w:rPr>
      </w:pPr>
    </w:p>
    <w:p w:rsidR="008D4C15" w:rsidRPr="000306BE" w:rsidRDefault="008D4C15" w:rsidP="008D4C15">
      <w:pPr>
        <w:rPr>
          <w:rFonts w:cs="Arial"/>
          <w:szCs w:val="24"/>
        </w:rPr>
      </w:pPr>
      <w:r w:rsidRPr="000306BE">
        <w:rPr>
          <w:rFonts w:cs="Arial"/>
          <w:szCs w:val="24"/>
        </w:rPr>
        <w:t>Where:</w:t>
      </w:r>
      <w:r w:rsidRPr="002A1927">
        <w:rPr>
          <w:rFonts w:cs="Arial"/>
          <w:noProof/>
          <w:szCs w:val="24"/>
          <w:lang w:eastAsia="en-AU"/>
        </w:rPr>
        <w:t xml:space="preserve"> </w:t>
      </w:r>
    </w:p>
    <w:p w:rsidR="008D4C15" w:rsidRDefault="008D4C15" w:rsidP="008D4C15">
      <w:pPr>
        <w:ind w:left="1985" w:hanging="1985"/>
        <w:rPr>
          <w:rFonts w:cs="Arial"/>
          <w:b/>
          <w:szCs w:val="24"/>
        </w:rPr>
      </w:pPr>
      <w:proofErr w:type="spellStart"/>
      <w:r w:rsidRPr="000306BE">
        <w:rPr>
          <w:rFonts w:cs="Arial"/>
          <w:b/>
          <w:szCs w:val="24"/>
        </w:rPr>
        <w:t>A</w:t>
      </w:r>
      <w:r w:rsidRPr="000306BE">
        <w:rPr>
          <w:rFonts w:cs="Arial"/>
          <w:b/>
          <w:szCs w:val="24"/>
          <w:vertAlign w:val="subscript"/>
        </w:rPr>
        <w:t>Ind</w:t>
      </w:r>
      <w:proofErr w:type="spellEnd"/>
      <w:r w:rsidRPr="000306BE">
        <w:rPr>
          <w:rFonts w:cs="Arial"/>
          <w:szCs w:val="24"/>
          <w:vertAlign w:val="subscript"/>
        </w:rPr>
        <w:tab/>
      </w:r>
      <w:r w:rsidRPr="000306BE">
        <w:rPr>
          <w:rFonts w:cs="Arial"/>
          <w:szCs w:val="24"/>
        </w:rPr>
        <w:t xml:space="preserve">means the </w:t>
      </w:r>
      <w:r w:rsidRPr="000306BE">
        <w:rPr>
          <w:rFonts w:cs="Arial"/>
          <w:i/>
          <w:szCs w:val="24"/>
        </w:rPr>
        <w:t>Indigenous Adjustment</w:t>
      </w:r>
    </w:p>
    <w:p w:rsidR="008D4C15" w:rsidRPr="000306BE" w:rsidRDefault="008D4C15" w:rsidP="008D4C15">
      <w:pPr>
        <w:ind w:left="1985" w:hanging="1985"/>
        <w:rPr>
          <w:rFonts w:cs="Arial"/>
          <w:szCs w:val="24"/>
        </w:rPr>
      </w:pPr>
      <w:r w:rsidRPr="000306BE">
        <w:rPr>
          <w:rFonts w:cs="Arial"/>
          <w:b/>
          <w:szCs w:val="24"/>
        </w:rPr>
        <w:t>A</w:t>
      </w:r>
      <w:r>
        <w:rPr>
          <w:rFonts w:cs="Arial"/>
          <w:b/>
          <w:szCs w:val="24"/>
          <w:vertAlign w:val="subscript"/>
        </w:rPr>
        <w:t>NMC</w:t>
      </w:r>
      <w:r w:rsidRPr="000306BE">
        <w:rPr>
          <w:rFonts w:cs="Arial"/>
          <w:szCs w:val="24"/>
          <w:vertAlign w:val="subscript"/>
        </w:rPr>
        <w:tab/>
      </w:r>
      <w:r w:rsidRPr="000306BE">
        <w:rPr>
          <w:rFonts w:cs="Arial"/>
          <w:szCs w:val="24"/>
        </w:rPr>
        <w:t xml:space="preserve">means the </w:t>
      </w:r>
      <w:r>
        <w:rPr>
          <w:rFonts w:cs="Arial"/>
          <w:szCs w:val="24"/>
        </w:rPr>
        <w:t xml:space="preserve">non-admitted </w:t>
      </w:r>
      <w:r>
        <w:rPr>
          <w:rFonts w:cs="Arial"/>
          <w:i/>
          <w:szCs w:val="24"/>
        </w:rPr>
        <w:t>Multidisciplinary Clinic Adjustment</w:t>
      </w:r>
    </w:p>
    <w:p w:rsidR="008D4C15" w:rsidRPr="000306BE" w:rsidRDefault="008D4C15" w:rsidP="008D4C15">
      <w:pPr>
        <w:ind w:left="1985" w:hanging="1985"/>
        <w:rPr>
          <w:rFonts w:cs="Arial"/>
        </w:rPr>
      </w:pPr>
      <w:r w:rsidRPr="000306BE">
        <w:rPr>
          <w:rFonts w:cs="Arial"/>
          <w:b/>
        </w:rPr>
        <w:t>NEP</w:t>
      </w:r>
      <w:r w:rsidRPr="000306BE">
        <w:rPr>
          <w:rFonts w:cs="Arial"/>
        </w:rPr>
        <w:tab/>
        <w:t>National Efficient Price 201</w:t>
      </w:r>
      <w:r>
        <w:rPr>
          <w:rFonts w:cs="Arial"/>
        </w:rPr>
        <w:t>5-16</w:t>
      </w:r>
    </w:p>
    <w:p w:rsidR="008D4C15" w:rsidRPr="000306BE" w:rsidRDefault="008D4C15" w:rsidP="008D4C15">
      <w:pPr>
        <w:ind w:left="1985" w:hanging="1985"/>
        <w:rPr>
          <w:rFonts w:cs="Arial"/>
          <w:b/>
        </w:rPr>
      </w:pPr>
      <w:r w:rsidRPr="000306BE">
        <w:rPr>
          <w:rFonts w:cs="Arial"/>
          <w:b/>
        </w:rPr>
        <w:t>PW</w:t>
      </w:r>
      <w:r w:rsidRPr="000306BE">
        <w:rPr>
          <w:rFonts w:cs="Arial"/>
          <w:b/>
        </w:rPr>
        <w:tab/>
      </w:r>
      <w:r w:rsidRPr="000306BE">
        <w:rPr>
          <w:rFonts w:cs="Arial"/>
        </w:rPr>
        <w:t>means the Price Weight f</w:t>
      </w:r>
      <w:r>
        <w:rPr>
          <w:rFonts w:cs="Arial"/>
        </w:rPr>
        <w:t>or an ABF Activity as set out in</w:t>
      </w:r>
      <w:r w:rsidRPr="000306BE">
        <w:rPr>
          <w:rFonts w:cs="Arial"/>
        </w:rPr>
        <w:t xml:space="preserve"> </w:t>
      </w:r>
      <w:r>
        <w:rPr>
          <w:rFonts w:cs="Arial"/>
        </w:rPr>
        <w:t xml:space="preserve">the </w:t>
      </w:r>
      <w:r w:rsidRPr="000306BE">
        <w:rPr>
          <w:rFonts w:cs="Arial"/>
        </w:rPr>
        <w:t xml:space="preserve">Appendix </w:t>
      </w:r>
      <w:r>
        <w:rPr>
          <w:rFonts w:cs="Arial"/>
        </w:rPr>
        <w:t>H (for admitted acute), Appendix I and J (for admitted subacute and non-acute), Appendix K (for non-admitted), Appendix L (for emergency department) or Appendix M (for emergency services)</w:t>
      </w:r>
    </w:p>
    <w:p w:rsidR="00460371" w:rsidRDefault="00460371" w:rsidP="00AD4FFC">
      <w:pPr>
        <w:pStyle w:val="Heading2"/>
        <w:keepLines w:val="0"/>
        <w:numPr>
          <w:ilvl w:val="1"/>
          <w:numId w:val="35"/>
        </w:numPr>
        <w:tabs>
          <w:tab w:val="left" w:pos="1162"/>
        </w:tabs>
        <w:spacing w:after="60"/>
      </w:pPr>
      <w:bookmarkStart w:id="296" w:name="_Toc412123646"/>
      <w:bookmarkStart w:id="297" w:name="_Toc412191154"/>
      <w:bookmarkStart w:id="298" w:name="_Toc412193589"/>
      <w:bookmarkStart w:id="299" w:name="_Toc412193691"/>
      <w:bookmarkStart w:id="300" w:name="_Toc412196585"/>
      <w:bookmarkStart w:id="301" w:name="_Toc412196688"/>
      <w:bookmarkStart w:id="302" w:name="_Toc412196791"/>
      <w:bookmarkStart w:id="303" w:name="_Toc412197091"/>
      <w:bookmarkStart w:id="304" w:name="_Toc412198115"/>
      <w:bookmarkStart w:id="305" w:name="_Toc412204644"/>
      <w:bookmarkStart w:id="306" w:name="_Toc412206036"/>
      <w:bookmarkStart w:id="307" w:name="_Toc412206622"/>
      <w:bookmarkStart w:id="308" w:name="_Toc412206747"/>
      <w:bookmarkStart w:id="309" w:name="_Toc412206849"/>
      <w:bookmarkStart w:id="310" w:name="_Toc412206949"/>
      <w:bookmarkStart w:id="311" w:name="_Toc412207158"/>
      <w:bookmarkStart w:id="312" w:name="_Toc412207421"/>
      <w:bookmarkStart w:id="313" w:name="_Toc380754733"/>
      <w:bookmarkStart w:id="314" w:name="_Toc412550779"/>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t>Assigning NWAU for non-admitted care</w:t>
      </w:r>
      <w:bookmarkEnd w:id="313"/>
      <w:bookmarkEnd w:id="314"/>
    </w:p>
    <w:p w:rsidR="00460371" w:rsidRDefault="00460371" w:rsidP="00AD4FFC">
      <w:pPr>
        <w:tabs>
          <w:tab w:val="left" w:pos="1162"/>
        </w:tabs>
        <w:spacing w:before="120"/>
        <w:rPr>
          <w:rFonts w:cs="Arial"/>
          <w:szCs w:val="20"/>
        </w:rPr>
      </w:pPr>
      <w:r w:rsidRPr="00D2117F">
        <w:rPr>
          <w:rFonts w:cs="Arial"/>
          <w:szCs w:val="20"/>
        </w:rPr>
        <w:t xml:space="preserve">NWAU </w:t>
      </w:r>
      <w:r>
        <w:rPr>
          <w:rFonts w:cs="Arial"/>
          <w:szCs w:val="20"/>
        </w:rPr>
        <w:t>are assigned to non-admitted</w:t>
      </w:r>
      <w:r w:rsidRPr="00D2117F">
        <w:rPr>
          <w:rFonts w:cs="Arial"/>
          <w:szCs w:val="20"/>
        </w:rPr>
        <w:t xml:space="preserve"> care on the basis of </w:t>
      </w:r>
      <w:r>
        <w:rPr>
          <w:rFonts w:cs="Arial"/>
          <w:szCs w:val="20"/>
        </w:rPr>
        <w:t>the Tier 2 clinic providing the care.</w:t>
      </w:r>
    </w:p>
    <w:p w:rsidR="00460371" w:rsidRPr="00F45E94" w:rsidRDefault="00460371" w:rsidP="00AD4FFC">
      <w:pPr>
        <w:tabs>
          <w:tab w:val="left" w:pos="1162"/>
        </w:tabs>
        <w:rPr>
          <w:rFonts w:cs="Arial"/>
          <w:szCs w:val="20"/>
        </w:rPr>
      </w:pPr>
      <w:r w:rsidRPr="00D2117F">
        <w:rPr>
          <w:rFonts w:cs="Arial"/>
          <w:szCs w:val="20"/>
        </w:rPr>
        <w:t xml:space="preserve">The steps involved in assigning NWAU to </w:t>
      </w:r>
      <w:r>
        <w:rPr>
          <w:rFonts w:cs="Arial"/>
          <w:szCs w:val="20"/>
        </w:rPr>
        <w:t>non-admitted activity</w:t>
      </w:r>
      <w:r w:rsidRPr="00D2117F">
        <w:rPr>
          <w:rFonts w:cs="Arial"/>
          <w:szCs w:val="20"/>
        </w:rPr>
        <w:t xml:space="preserve"> are </w:t>
      </w:r>
      <w:r>
        <w:rPr>
          <w:rFonts w:cs="Arial"/>
          <w:szCs w:val="20"/>
        </w:rPr>
        <w:t>illustrated</w:t>
      </w:r>
      <w:r w:rsidRPr="00D2117F">
        <w:rPr>
          <w:rFonts w:cs="Arial"/>
          <w:szCs w:val="20"/>
        </w:rPr>
        <w:t xml:space="preserve"> in</w:t>
      </w:r>
      <w:r>
        <w:rPr>
          <w:rFonts w:cs="Arial"/>
          <w:szCs w:val="20"/>
        </w:rPr>
        <w:t xml:space="preserve"> </w:t>
      </w:r>
      <w:r w:rsidR="00EA6015">
        <w:rPr>
          <w:rFonts w:cs="Arial"/>
          <w:szCs w:val="20"/>
        </w:rPr>
        <w:t xml:space="preserve">Figure </w:t>
      </w:r>
      <w:r w:rsidR="006D7C24">
        <w:rPr>
          <w:rFonts w:cs="Arial"/>
          <w:szCs w:val="20"/>
        </w:rPr>
        <w:t>10</w:t>
      </w:r>
      <w:r>
        <w:rPr>
          <w:rFonts w:cs="Arial"/>
          <w:szCs w:val="20"/>
        </w:rPr>
        <w:t xml:space="preserve">. </w:t>
      </w:r>
      <w:r w:rsidRPr="00922B83">
        <w:rPr>
          <w:rFonts w:cs="Arial"/>
          <w:szCs w:val="20"/>
        </w:rPr>
        <w:t xml:space="preserve">The </w:t>
      </w:r>
      <w:r>
        <w:rPr>
          <w:rFonts w:cs="Arial"/>
          <w:szCs w:val="20"/>
        </w:rPr>
        <w:t>data preparation and NWAU calculation stages are combined together in the following section.</w:t>
      </w:r>
    </w:p>
    <w:p w:rsidR="00460371" w:rsidRPr="00F45E94" w:rsidRDefault="00460371" w:rsidP="00AD4FFC">
      <w:pPr>
        <w:pStyle w:val="Heading3"/>
        <w:keepLines w:val="0"/>
        <w:numPr>
          <w:ilvl w:val="2"/>
          <w:numId w:val="35"/>
        </w:numPr>
        <w:tabs>
          <w:tab w:val="left" w:pos="1162"/>
        </w:tabs>
        <w:spacing w:before="240" w:after="120"/>
      </w:pPr>
      <w:bookmarkStart w:id="315" w:name="_Toc380754734"/>
      <w:bookmarkStart w:id="316" w:name="_Toc412550780"/>
      <w:r w:rsidRPr="00F45E94">
        <w:lastRenderedPageBreak/>
        <w:t xml:space="preserve">Data </w:t>
      </w:r>
      <w:r>
        <w:t>p</w:t>
      </w:r>
      <w:r w:rsidRPr="00F45E94">
        <w:t>reparation</w:t>
      </w:r>
      <w:r>
        <w:t xml:space="preserve"> and calculation of NWAU</w:t>
      </w:r>
      <w:bookmarkEnd w:id="315"/>
      <w:bookmarkEnd w:id="316"/>
    </w:p>
    <w:p w:rsidR="00460371" w:rsidRDefault="00460371" w:rsidP="00AD4FFC">
      <w:pPr>
        <w:tabs>
          <w:tab w:val="left" w:pos="1162"/>
        </w:tabs>
        <w:rPr>
          <w:rFonts w:cs="Arial"/>
          <w:szCs w:val="20"/>
        </w:rPr>
      </w:pPr>
      <w:r w:rsidRPr="00F52F13">
        <w:rPr>
          <w:rFonts w:cs="Arial"/>
          <w:szCs w:val="20"/>
        </w:rPr>
        <w:t>This section details how to assign NWAU to in-scope non-admitted patient data. The data preparation and NWAU calculation process is illustrated in</w:t>
      </w:r>
      <w:r w:rsidR="00EA6015">
        <w:rPr>
          <w:rFonts w:cs="Arial"/>
          <w:szCs w:val="20"/>
        </w:rPr>
        <w:t xml:space="preserve"> Figure </w:t>
      </w:r>
      <w:r w:rsidR="006D7C24">
        <w:rPr>
          <w:rFonts w:cs="Arial"/>
          <w:szCs w:val="20"/>
        </w:rPr>
        <w:t>10</w:t>
      </w:r>
      <w:r w:rsidR="00EA6015">
        <w:rPr>
          <w:rFonts w:cs="Arial"/>
          <w:szCs w:val="20"/>
        </w:rPr>
        <w:t>.</w:t>
      </w:r>
    </w:p>
    <w:p w:rsidR="00460371" w:rsidRDefault="00460371" w:rsidP="00AD4FFC">
      <w:pPr>
        <w:tabs>
          <w:tab w:val="left" w:pos="1162"/>
        </w:tabs>
        <w:rPr>
          <w:rFonts w:cs="Arial"/>
          <w:szCs w:val="20"/>
        </w:rPr>
      </w:pPr>
      <w:r w:rsidRPr="00F52F13">
        <w:rPr>
          <w:rFonts w:cs="Arial"/>
          <w:szCs w:val="20"/>
        </w:rPr>
        <w:t>The process is broken into four steps, each requiring variables created in previous steps, with the final step resulting i</w:t>
      </w:r>
      <w:r>
        <w:rPr>
          <w:rFonts w:cs="Arial"/>
          <w:szCs w:val="20"/>
        </w:rPr>
        <w:t xml:space="preserve">n a variable containing the </w:t>
      </w:r>
      <w:r w:rsidR="00B94FB5">
        <w:rPr>
          <w:rFonts w:cs="Arial"/>
          <w:szCs w:val="20"/>
        </w:rPr>
        <w:t>2015-16</w:t>
      </w:r>
      <w:r w:rsidR="004D2E3A">
        <w:rPr>
          <w:rFonts w:cs="Arial"/>
          <w:szCs w:val="20"/>
        </w:rPr>
        <w:t xml:space="preserve"> NWAU.</w:t>
      </w:r>
      <w:r w:rsidR="00BD63B9">
        <w:rPr>
          <w:rFonts w:cs="Arial"/>
          <w:szCs w:val="20"/>
        </w:rPr>
        <w:t xml:space="preserve"> </w:t>
      </w:r>
      <w:r w:rsidRPr="00F52F13">
        <w:rPr>
          <w:rFonts w:cs="Arial"/>
          <w:szCs w:val="20"/>
        </w:rPr>
        <w:t>The process requires the three input datasets or tables referred to in</w:t>
      </w:r>
      <w:r w:rsidR="004A2D22">
        <w:rPr>
          <w:rFonts w:cs="Arial"/>
          <w:szCs w:val="20"/>
        </w:rPr>
        <w:t xml:space="preserve"> Table 1</w:t>
      </w:r>
      <w:r w:rsidR="001D25A0">
        <w:rPr>
          <w:rFonts w:cs="Arial"/>
          <w:szCs w:val="20"/>
        </w:rPr>
        <w:t>7</w:t>
      </w:r>
      <w:r>
        <w:rPr>
          <w:rFonts w:cs="Arial"/>
          <w:szCs w:val="20"/>
        </w:rPr>
        <w:t>.</w:t>
      </w:r>
    </w:p>
    <w:p w:rsidR="00647634" w:rsidRDefault="00647634">
      <w:pPr>
        <w:pStyle w:val="table"/>
      </w:pPr>
      <w:r>
        <w:t>Figure</w:t>
      </w:r>
      <w:r w:rsidR="004D1764">
        <w:t xml:space="preserve"> </w:t>
      </w:r>
      <w:r w:rsidR="006D7C24">
        <w:t>10</w:t>
      </w:r>
      <w:r>
        <w:t xml:space="preserve">: </w:t>
      </w:r>
      <w:r w:rsidRPr="00DB5C26">
        <w:t>Assigning NWAU to non-admitted patient data</w:t>
      </w:r>
    </w:p>
    <w:p w:rsidR="00647634" w:rsidRPr="00051B10" w:rsidRDefault="00B4049D" w:rsidP="003156D1">
      <w:pPr>
        <w:spacing w:before="240" w:after="360"/>
        <w:jc w:val="center"/>
      </w:pPr>
      <w:r w:rsidRPr="00B4049D">
        <w:rPr>
          <w:noProof/>
          <w:lang w:eastAsia="en-AU"/>
        </w:rPr>
        <w:drawing>
          <wp:inline distT="0" distB="0" distL="0" distR="0" wp14:anchorId="6D7F6EC0" wp14:editId="4CC8B728">
            <wp:extent cx="3905250" cy="4333875"/>
            <wp:effectExtent l="0" t="0" r="0" b="9525"/>
            <wp:docPr id="141" name="Picture 141" descr="Figure ten is a flow chart assigning National Weighted Activity Unit (NWAU) to non-admitted patient data.&#10;&#10;First tier: Non-admitted Activity Based Funding Data Set Specification (DSS) Dataset.&#10;Step one: Create variable N01.&#10;Step two: Left join with National Weighted Activity Unit (NWAU) tier 2 clinic price weight tables and 2015-16 National Weighted Activity Unit (NWAU) adjustments and create variables N02 to N03. &#10;Step three: Create variable N04. &#10;Step four: Create variables N05 to N06.&#10;Final tier: Non-Admitted Dataset with 2015-16 National Weighted Activity Unit (NW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0" cy="4333875"/>
                    </a:xfrm>
                    <a:prstGeom prst="rect">
                      <a:avLst/>
                    </a:prstGeom>
                    <a:noFill/>
                    <a:ln>
                      <a:noFill/>
                    </a:ln>
                  </pic:spPr>
                </pic:pic>
              </a:graphicData>
            </a:graphic>
          </wp:inline>
        </w:drawing>
      </w:r>
    </w:p>
    <w:p w:rsidR="001016A1" w:rsidRDefault="001016A1">
      <w:pPr>
        <w:pStyle w:val="table"/>
      </w:pPr>
      <w:r>
        <w:t>Table 1</w:t>
      </w:r>
      <w:r w:rsidR="001D25A0">
        <w:t>7</w:t>
      </w:r>
      <w:r>
        <w:t xml:space="preserve">: </w:t>
      </w:r>
      <w:r w:rsidRPr="00C61ED0">
        <w:t>Dataset and tables required for assignment of NWAU to non-admitted patient data</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Description w:val="A summary of table 11 is outlined in the text prior to this table."/>
      </w:tblPr>
      <w:tblGrid>
        <w:gridCol w:w="3478"/>
        <w:gridCol w:w="6020"/>
      </w:tblGrid>
      <w:tr w:rsidR="001016A1" w:rsidRPr="00587976" w:rsidTr="001016A1">
        <w:trPr>
          <w:cantSplit/>
          <w:tblHeader/>
        </w:trPr>
        <w:tc>
          <w:tcPr>
            <w:tcW w:w="3478" w:type="dxa"/>
            <w:shd w:val="clear" w:color="auto" w:fill="BFBFBF" w:themeFill="background1" w:themeFillShade="BF"/>
          </w:tcPr>
          <w:p w:rsidR="001016A1" w:rsidRPr="00F14BA6" w:rsidRDefault="001016A1" w:rsidP="00AD4FFC">
            <w:pPr>
              <w:tabs>
                <w:tab w:val="left" w:pos="1162"/>
              </w:tabs>
              <w:spacing w:before="80" w:after="80"/>
              <w:rPr>
                <w:rFonts w:cs="Arial"/>
                <w:b/>
                <w:sz w:val="20"/>
                <w:szCs w:val="20"/>
              </w:rPr>
            </w:pPr>
            <w:r w:rsidRPr="00F14BA6">
              <w:rPr>
                <w:rFonts w:cs="Arial"/>
                <w:b/>
                <w:sz w:val="20"/>
                <w:szCs w:val="20"/>
              </w:rPr>
              <w:t>Input dataset or table</w:t>
            </w:r>
          </w:p>
        </w:tc>
        <w:tc>
          <w:tcPr>
            <w:tcW w:w="6020" w:type="dxa"/>
            <w:shd w:val="clear" w:color="auto" w:fill="BFBFBF" w:themeFill="background1" w:themeFillShade="BF"/>
          </w:tcPr>
          <w:p w:rsidR="001016A1" w:rsidRPr="00F14BA6" w:rsidRDefault="001016A1" w:rsidP="00AD4FFC">
            <w:pPr>
              <w:tabs>
                <w:tab w:val="left" w:pos="1162"/>
              </w:tabs>
              <w:spacing w:before="80" w:after="80"/>
              <w:rPr>
                <w:rFonts w:cs="Arial"/>
                <w:b/>
                <w:sz w:val="20"/>
                <w:szCs w:val="20"/>
              </w:rPr>
            </w:pPr>
            <w:r w:rsidRPr="00F14BA6">
              <w:rPr>
                <w:rFonts w:cs="Arial"/>
                <w:b/>
                <w:sz w:val="20"/>
                <w:szCs w:val="20"/>
              </w:rPr>
              <w:t>Description</w:t>
            </w:r>
          </w:p>
        </w:tc>
      </w:tr>
      <w:tr w:rsidR="001016A1" w:rsidRPr="00587976" w:rsidTr="001016A1">
        <w:trPr>
          <w:cantSplit/>
        </w:trPr>
        <w:tc>
          <w:tcPr>
            <w:tcW w:w="3478" w:type="dxa"/>
          </w:tcPr>
          <w:p w:rsidR="001016A1" w:rsidRPr="00F14BA6" w:rsidRDefault="001016A1" w:rsidP="00AD4FFC">
            <w:pPr>
              <w:tabs>
                <w:tab w:val="left" w:pos="1162"/>
              </w:tabs>
              <w:spacing w:before="40" w:after="40"/>
              <w:rPr>
                <w:rFonts w:cs="Arial"/>
                <w:sz w:val="20"/>
                <w:szCs w:val="20"/>
              </w:rPr>
            </w:pPr>
            <w:r w:rsidRPr="00F14BA6">
              <w:rPr>
                <w:rFonts w:cs="Arial"/>
                <w:sz w:val="20"/>
                <w:szCs w:val="20"/>
              </w:rPr>
              <w:t>Non-admitted patient ABF DSS Dataset</w:t>
            </w:r>
          </w:p>
        </w:tc>
        <w:tc>
          <w:tcPr>
            <w:tcW w:w="6020" w:type="dxa"/>
          </w:tcPr>
          <w:p w:rsidR="001016A1" w:rsidRPr="00F14BA6" w:rsidRDefault="001016A1" w:rsidP="00AD4FFC">
            <w:pPr>
              <w:tabs>
                <w:tab w:val="left" w:pos="1162"/>
              </w:tabs>
              <w:spacing w:before="40" w:after="40"/>
              <w:rPr>
                <w:rFonts w:cs="Arial"/>
                <w:sz w:val="20"/>
                <w:szCs w:val="20"/>
              </w:rPr>
            </w:pPr>
            <w:r w:rsidRPr="00F14BA6">
              <w:rPr>
                <w:rFonts w:cs="Arial"/>
                <w:sz w:val="20"/>
                <w:szCs w:val="20"/>
              </w:rPr>
              <w:t xml:space="preserve">Dataset based on the </w:t>
            </w:r>
            <w:r w:rsidR="00B94FB5">
              <w:rPr>
                <w:rFonts w:cs="Arial"/>
                <w:sz w:val="20"/>
                <w:szCs w:val="20"/>
              </w:rPr>
              <w:t>2015-16</w:t>
            </w:r>
            <w:r w:rsidRPr="00F14BA6">
              <w:rPr>
                <w:rFonts w:cs="Arial"/>
                <w:sz w:val="20"/>
                <w:szCs w:val="20"/>
              </w:rPr>
              <w:t xml:space="preserve"> Non-admitted patient ABF Data Set Specifications located on the IHPA website.</w:t>
            </w:r>
          </w:p>
        </w:tc>
      </w:tr>
      <w:tr w:rsidR="001016A1" w:rsidRPr="000B33D2" w:rsidTr="001016A1">
        <w:trPr>
          <w:cantSplit/>
        </w:trPr>
        <w:tc>
          <w:tcPr>
            <w:tcW w:w="3478" w:type="dxa"/>
          </w:tcPr>
          <w:p w:rsidR="001016A1" w:rsidRPr="000B33D2" w:rsidRDefault="00B94FB5" w:rsidP="00AD4FFC">
            <w:pPr>
              <w:tabs>
                <w:tab w:val="left" w:pos="1162"/>
              </w:tabs>
              <w:spacing w:before="40" w:after="40"/>
              <w:rPr>
                <w:rFonts w:cs="Arial"/>
                <w:sz w:val="20"/>
                <w:szCs w:val="20"/>
              </w:rPr>
            </w:pPr>
            <w:r w:rsidRPr="000B33D2">
              <w:rPr>
                <w:rFonts w:cs="Arial"/>
                <w:sz w:val="20"/>
                <w:szCs w:val="20"/>
              </w:rPr>
              <w:t>2015-16</w:t>
            </w:r>
            <w:r w:rsidR="001016A1" w:rsidRPr="000B33D2">
              <w:rPr>
                <w:rFonts w:cs="Arial"/>
                <w:sz w:val="20"/>
                <w:szCs w:val="20"/>
              </w:rPr>
              <w:t xml:space="preserve"> NWAU Price Weight table</w:t>
            </w:r>
          </w:p>
        </w:tc>
        <w:tc>
          <w:tcPr>
            <w:tcW w:w="6020" w:type="dxa"/>
          </w:tcPr>
          <w:p w:rsidR="001016A1" w:rsidRPr="000B33D2" w:rsidRDefault="00B94FB5" w:rsidP="00AD4FFC">
            <w:pPr>
              <w:tabs>
                <w:tab w:val="left" w:pos="1162"/>
              </w:tabs>
              <w:spacing w:before="40" w:after="40"/>
              <w:rPr>
                <w:rFonts w:cs="Arial"/>
                <w:sz w:val="20"/>
                <w:szCs w:val="20"/>
              </w:rPr>
            </w:pPr>
            <w:r w:rsidRPr="000B33D2">
              <w:rPr>
                <w:rFonts w:cs="Arial"/>
                <w:sz w:val="20"/>
                <w:szCs w:val="20"/>
              </w:rPr>
              <w:t>2015-16</w:t>
            </w:r>
            <w:r w:rsidR="001016A1" w:rsidRPr="000B33D2">
              <w:rPr>
                <w:rFonts w:cs="Arial"/>
                <w:sz w:val="20"/>
                <w:szCs w:val="20"/>
              </w:rPr>
              <w:t xml:space="preserve"> Non-Admitted NWAU Price Weight table, found in the NEP</w:t>
            </w:r>
            <w:r w:rsidR="004715A4" w:rsidRPr="000B33D2">
              <w:rPr>
                <w:rFonts w:cs="Arial"/>
                <w:sz w:val="20"/>
                <w:szCs w:val="20"/>
              </w:rPr>
              <w:t>15</w:t>
            </w:r>
            <w:r w:rsidR="001016A1" w:rsidRPr="000B33D2">
              <w:rPr>
                <w:rFonts w:cs="Arial"/>
                <w:sz w:val="20"/>
                <w:szCs w:val="20"/>
              </w:rPr>
              <w:t xml:space="preserve"> Determination.</w:t>
            </w:r>
          </w:p>
        </w:tc>
      </w:tr>
      <w:tr w:rsidR="001016A1" w:rsidRPr="000B33D2" w:rsidTr="001016A1">
        <w:trPr>
          <w:cantSplit/>
        </w:trPr>
        <w:tc>
          <w:tcPr>
            <w:tcW w:w="3478" w:type="dxa"/>
          </w:tcPr>
          <w:p w:rsidR="001016A1" w:rsidRPr="000B33D2" w:rsidRDefault="00B94FB5" w:rsidP="00AD4FFC">
            <w:pPr>
              <w:tabs>
                <w:tab w:val="left" w:pos="1162"/>
              </w:tabs>
              <w:spacing w:before="40" w:after="40"/>
              <w:rPr>
                <w:rFonts w:cs="Arial"/>
                <w:sz w:val="20"/>
                <w:szCs w:val="20"/>
              </w:rPr>
            </w:pPr>
            <w:r w:rsidRPr="000B33D2">
              <w:rPr>
                <w:rFonts w:cs="Arial"/>
                <w:sz w:val="20"/>
                <w:szCs w:val="20"/>
              </w:rPr>
              <w:t>2015-16</w:t>
            </w:r>
            <w:r w:rsidR="001016A1" w:rsidRPr="000B33D2">
              <w:rPr>
                <w:rFonts w:cs="Arial"/>
                <w:sz w:val="20"/>
                <w:szCs w:val="20"/>
              </w:rPr>
              <w:t xml:space="preserve"> NWAU Adjustment</w:t>
            </w:r>
            <w:r w:rsidR="00333F76" w:rsidRPr="000B33D2">
              <w:rPr>
                <w:rFonts w:cs="Arial"/>
                <w:sz w:val="20"/>
                <w:szCs w:val="20"/>
              </w:rPr>
              <w:t>s</w:t>
            </w:r>
          </w:p>
        </w:tc>
        <w:tc>
          <w:tcPr>
            <w:tcW w:w="6020" w:type="dxa"/>
          </w:tcPr>
          <w:p w:rsidR="001016A1" w:rsidRPr="000B33D2" w:rsidRDefault="00B94FB5" w:rsidP="00AD4FFC">
            <w:pPr>
              <w:tabs>
                <w:tab w:val="left" w:pos="1162"/>
              </w:tabs>
              <w:spacing w:before="40" w:after="40"/>
              <w:rPr>
                <w:rFonts w:cs="Arial"/>
                <w:sz w:val="20"/>
                <w:szCs w:val="20"/>
              </w:rPr>
            </w:pPr>
            <w:r w:rsidRPr="000B33D2">
              <w:rPr>
                <w:rFonts w:cs="Arial"/>
                <w:sz w:val="20"/>
                <w:szCs w:val="20"/>
              </w:rPr>
              <w:t>2015-16</w:t>
            </w:r>
            <w:r w:rsidR="00667F5B" w:rsidRPr="000B33D2">
              <w:rPr>
                <w:rFonts w:cs="Arial"/>
                <w:sz w:val="20"/>
                <w:szCs w:val="20"/>
              </w:rPr>
              <w:t xml:space="preserve"> Non-Admitted NWAU Adjustment</w:t>
            </w:r>
            <w:r w:rsidR="00333F76" w:rsidRPr="000B33D2">
              <w:rPr>
                <w:rFonts w:cs="Arial"/>
                <w:sz w:val="20"/>
                <w:szCs w:val="20"/>
              </w:rPr>
              <w:t>s</w:t>
            </w:r>
            <w:r w:rsidR="00667F5B" w:rsidRPr="000B33D2">
              <w:rPr>
                <w:rFonts w:cs="Arial"/>
                <w:sz w:val="20"/>
                <w:szCs w:val="20"/>
              </w:rPr>
              <w:t xml:space="preserve">, </w:t>
            </w:r>
            <w:r w:rsidR="001016A1" w:rsidRPr="000B33D2">
              <w:rPr>
                <w:rFonts w:cs="Arial"/>
                <w:sz w:val="20"/>
                <w:szCs w:val="20"/>
              </w:rPr>
              <w:t>found in the NEP</w:t>
            </w:r>
            <w:r w:rsidR="004715A4" w:rsidRPr="000B33D2">
              <w:rPr>
                <w:rFonts w:cs="Arial"/>
                <w:sz w:val="20"/>
                <w:szCs w:val="20"/>
              </w:rPr>
              <w:t>15</w:t>
            </w:r>
            <w:r w:rsidR="00667F5B" w:rsidRPr="000B33D2">
              <w:rPr>
                <w:rFonts w:cs="Arial"/>
                <w:sz w:val="20"/>
                <w:szCs w:val="20"/>
              </w:rPr>
              <w:t> </w:t>
            </w:r>
            <w:r w:rsidR="001016A1" w:rsidRPr="000B33D2">
              <w:rPr>
                <w:rFonts w:cs="Arial"/>
                <w:sz w:val="20"/>
                <w:szCs w:val="20"/>
              </w:rPr>
              <w:t>Determination.</w:t>
            </w:r>
          </w:p>
        </w:tc>
      </w:tr>
    </w:tbl>
    <w:p w:rsidR="00A43FCA" w:rsidRPr="000B33D2" w:rsidRDefault="003156D1" w:rsidP="00AD4FFC">
      <w:pPr>
        <w:spacing w:before="240"/>
      </w:pPr>
      <w:bookmarkStart w:id="317" w:name="_Ref342308248"/>
      <w:bookmarkStart w:id="318" w:name="_Ref373494090"/>
      <w:bookmarkStart w:id="319" w:name="_Ref342306765"/>
      <w:r w:rsidRPr="000B33D2">
        <w:rPr>
          <w:rFonts w:cs="Arial"/>
          <w:szCs w:val="20"/>
        </w:rPr>
        <w:t>Five</w:t>
      </w:r>
      <w:r w:rsidR="00A43FCA" w:rsidRPr="000B33D2">
        <w:rPr>
          <w:rFonts w:cs="Arial"/>
          <w:szCs w:val="20"/>
        </w:rPr>
        <w:t xml:space="preserve"> variables are required to form the input non-admitted dataset:</w:t>
      </w:r>
    </w:p>
    <w:p w:rsidR="00A43FCA" w:rsidRPr="000B33D2" w:rsidRDefault="00A43FCA" w:rsidP="00C245E0">
      <w:pPr>
        <w:pStyle w:val="ListParagraph"/>
        <w:numPr>
          <w:ilvl w:val="0"/>
          <w:numId w:val="53"/>
        </w:numPr>
        <w:tabs>
          <w:tab w:val="left" w:pos="1162"/>
        </w:tabs>
        <w:spacing w:before="80" w:after="80"/>
        <w:ind w:left="714" w:hanging="357"/>
        <w:rPr>
          <w:rFonts w:cs="Arial"/>
        </w:rPr>
      </w:pPr>
      <w:r w:rsidRPr="000B33D2">
        <w:rPr>
          <w:rFonts w:cs="Arial"/>
          <w:color w:val="000000"/>
          <w:lang w:eastAsia="en-AU"/>
        </w:rPr>
        <w:t>Establishment Identifier;</w:t>
      </w:r>
    </w:p>
    <w:p w:rsidR="00A43FCA" w:rsidRPr="000B33D2" w:rsidRDefault="00A43FCA" w:rsidP="00C245E0">
      <w:pPr>
        <w:pStyle w:val="ListParagraph"/>
        <w:numPr>
          <w:ilvl w:val="0"/>
          <w:numId w:val="53"/>
        </w:numPr>
        <w:tabs>
          <w:tab w:val="left" w:pos="1162"/>
        </w:tabs>
        <w:spacing w:before="80" w:after="80"/>
        <w:ind w:left="714" w:hanging="357"/>
        <w:rPr>
          <w:rFonts w:cs="Arial"/>
        </w:rPr>
      </w:pPr>
      <w:r w:rsidRPr="000B33D2">
        <w:rPr>
          <w:rFonts w:cs="Arial"/>
          <w:color w:val="000000"/>
          <w:lang w:eastAsia="en-AU"/>
        </w:rPr>
        <w:t>Indigenous status;</w:t>
      </w:r>
    </w:p>
    <w:p w:rsidR="003156D1" w:rsidRPr="000B33D2" w:rsidRDefault="003156D1" w:rsidP="003156D1">
      <w:pPr>
        <w:pStyle w:val="ListParagraph"/>
        <w:numPr>
          <w:ilvl w:val="0"/>
          <w:numId w:val="53"/>
        </w:numPr>
        <w:tabs>
          <w:tab w:val="left" w:pos="1162"/>
        </w:tabs>
        <w:spacing w:before="80" w:after="80"/>
        <w:ind w:left="714" w:hanging="357"/>
        <w:rPr>
          <w:rFonts w:cs="Arial"/>
        </w:rPr>
      </w:pPr>
      <w:r w:rsidRPr="000B33D2">
        <w:rPr>
          <w:rFonts w:cs="Arial"/>
        </w:rPr>
        <w:t>Multiple health care provider indicator (see NEP</w:t>
      </w:r>
      <w:r w:rsidR="002122CC" w:rsidRPr="000B33D2">
        <w:rPr>
          <w:rFonts w:cs="Arial"/>
        </w:rPr>
        <w:t>15</w:t>
      </w:r>
      <w:r w:rsidRPr="000B33D2">
        <w:rPr>
          <w:rFonts w:cs="Arial"/>
        </w:rPr>
        <w:t xml:space="preserve"> Determination);</w:t>
      </w:r>
    </w:p>
    <w:p w:rsidR="00A43FCA" w:rsidRPr="002F0DD1" w:rsidRDefault="00A43FCA" w:rsidP="00C245E0">
      <w:pPr>
        <w:pStyle w:val="ListParagraph"/>
        <w:numPr>
          <w:ilvl w:val="0"/>
          <w:numId w:val="53"/>
        </w:numPr>
        <w:tabs>
          <w:tab w:val="left" w:pos="1162"/>
        </w:tabs>
        <w:spacing w:before="80" w:after="80"/>
        <w:ind w:left="714" w:hanging="357"/>
        <w:rPr>
          <w:rFonts w:cs="Arial"/>
        </w:rPr>
      </w:pPr>
      <w:r w:rsidRPr="002F0DD1">
        <w:rPr>
          <w:rFonts w:cs="Arial"/>
          <w:color w:val="000000"/>
          <w:lang w:eastAsia="en-AU"/>
        </w:rPr>
        <w:lastRenderedPageBreak/>
        <w:t>Outpatie</w:t>
      </w:r>
      <w:r w:rsidR="009D79AF">
        <w:rPr>
          <w:rFonts w:cs="Arial"/>
          <w:color w:val="000000"/>
          <w:lang w:eastAsia="en-AU"/>
        </w:rPr>
        <w:t>nt clinic type Tier 2 (Version 4</w:t>
      </w:r>
      <w:r w:rsidRPr="002F0DD1">
        <w:rPr>
          <w:rFonts w:cs="Arial"/>
          <w:color w:val="000000"/>
          <w:lang w:eastAsia="en-AU"/>
        </w:rPr>
        <w:t>.0)</w:t>
      </w:r>
      <w:r>
        <w:rPr>
          <w:rFonts w:cs="Arial"/>
          <w:color w:val="000000"/>
          <w:lang w:eastAsia="en-AU"/>
        </w:rPr>
        <w:t>; and the</w:t>
      </w:r>
    </w:p>
    <w:p w:rsidR="00A43FCA" w:rsidRPr="002F0DD1" w:rsidRDefault="00A43FCA" w:rsidP="00C245E0">
      <w:pPr>
        <w:pStyle w:val="ListParagraph"/>
        <w:numPr>
          <w:ilvl w:val="0"/>
          <w:numId w:val="53"/>
        </w:numPr>
        <w:tabs>
          <w:tab w:val="left" w:pos="1162"/>
        </w:tabs>
        <w:spacing w:before="80" w:after="80"/>
        <w:ind w:left="714" w:hanging="357"/>
        <w:rPr>
          <w:rFonts w:cs="Arial"/>
          <w:szCs w:val="20"/>
        </w:rPr>
      </w:pPr>
      <w:r w:rsidRPr="002F0DD1">
        <w:rPr>
          <w:rFonts w:cs="Arial"/>
          <w:color w:val="000000"/>
          <w:lang w:eastAsia="en-AU"/>
        </w:rPr>
        <w:t>Funding source</w:t>
      </w:r>
      <w:r>
        <w:rPr>
          <w:rFonts w:cs="Arial"/>
          <w:color w:val="000000"/>
          <w:lang w:eastAsia="en-AU"/>
        </w:rPr>
        <w:t xml:space="preserve">. </w:t>
      </w:r>
    </w:p>
    <w:p w:rsidR="00A43FCA" w:rsidRDefault="00A43FCA" w:rsidP="00AD4FFC">
      <w:pPr>
        <w:spacing w:before="240"/>
        <w:rPr>
          <w:rFonts w:cs="Arial"/>
          <w:szCs w:val="20"/>
        </w:rPr>
      </w:pPr>
      <w:r w:rsidRPr="00F52F13">
        <w:rPr>
          <w:rFonts w:cs="Arial"/>
          <w:szCs w:val="20"/>
        </w:rPr>
        <w:t>These variables form part of the Non-</w:t>
      </w:r>
      <w:r>
        <w:rPr>
          <w:rFonts w:cs="Arial"/>
          <w:szCs w:val="20"/>
        </w:rPr>
        <w:t>A</w:t>
      </w:r>
      <w:r w:rsidRPr="00F52F13">
        <w:rPr>
          <w:rFonts w:cs="Arial"/>
          <w:szCs w:val="20"/>
        </w:rPr>
        <w:t xml:space="preserve">dmitted </w:t>
      </w:r>
      <w:r>
        <w:rPr>
          <w:rFonts w:cs="Arial"/>
          <w:szCs w:val="20"/>
        </w:rPr>
        <w:t>P</w:t>
      </w:r>
      <w:r w:rsidRPr="00F52F13">
        <w:rPr>
          <w:rFonts w:cs="Arial"/>
          <w:szCs w:val="20"/>
        </w:rPr>
        <w:t>atient ABF Data Set Specifications on the IHPA website.</w:t>
      </w:r>
    </w:p>
    <w:p w:rsidR="00A43FCA" w:rsidRDefault="00A43FCA" w:rsidP="00AD4FFC">
      <w:r>
        <w:t>Table 1</w:t>
      </w:r>
      <w:r w:rsidR="001D25A0">
        <w:t>8</w:t>
      </w:r>
      <w:r>
        <w:t xml:space="preserve"> </w:t>
      </w:r>
      <w:r w:rsidRPr="00C86B41">
        <w:t xml:space="preserve">details the </w:t>
      </w:r>
      <w:r>
        <w:t xml:space="preserve">variables created in the process of </w:t>
      </w:r>
      <w:r w:rsidRPr="00C86B41">
        <w:t xml:space="preserve">assigning NWAU to </w:t>
      </w:r>
      <w:r>
        <w:t>non-admitted</w:t>
      </w:r>
      <w:r w:rsidRPr="00C86B41">
        <w:t xml:space="preserve"> patient</w:t>
      </w:r>
      <w:r>
        <w:t xml:space="preserve"> data.</w:t>
      </w:r>
    </w:p>
    <w:p w:rsidR="00A43FCA" w:rsidRDefault="00A43FCA">
      <w:pPr>
        <w:pStyle w:val="table"/>
      </w:pPr>
      <w:bookmarkStart w:id="320" w:name="_Ref342308317"/>
      <w:bookmarkEnd w:id="317"/>
      <w:bookmarkEnd w:id="318"/>
      <w:r>
        <w:t>Table 1</w:t>
      </w:r>
      <w:bookmarkEnd w:id="320"/>
      <w:r w:rsidR="001D25A0">
        <w:t>8</w:t>
      </w:r>
      <w:r>
        <w:t xml:space="preserve">: </w:t>
      </w:r>
      <w:r w:rsidRPr="0071490D">
        <w:t>Assigning NWAU to non-admitted patient data – variable definitions</w:t>
      </w:r>
    </w:p>
    <w:tbl>
      <w:tblPr>
        <w:tblW w:w="9796" w:type="dxa"/>
        <w:tblInd w:w="93"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Description w:val="A summary of table 12  is outlined in the text prior to this table."/>
      </w:tblPr>
      <w:tblGrid>
        <w:gridCol w:w="866"/>
        <w:gridCol w:w="992"/>
        <w:gridCol w:w="1843"/>
        <w:gridCol w:w="1843"/>
        <w:gridCol w:w="4252"/>
      </w:tblGrid>
      <w:tr w:rsidR="003156D1" w:rsidRPr="00587976" w:rsidTr="00DF31C8">
        <w:trPr>
          <w:cantSplit/>
          <w:trHeight w:val="225"/>
          <w:tblHeader/>
        </w:trPr>
        <w:tc>
          <w:tcPr>
            <w:tcW w:w="866" w:type="dxa"/>
            <w:shd w:val="clear" w:color="auto" w:fill="BFBFBF" w:themeFill="background1" w:themeFillShade="BF"/>
            <w:noWrap/>
            <w:hideMark/>
          </w:tcPr>
          <w:p w:rsidR="003156D1" w:rsidRPr="001016A1" w:rsidRDefault="003156D1" w:rsidP="00DF31C8">
            <w:pPr>
              <w:tabs>
                <w:tab w:val="left" w:pos="1162"/>
              </w:tabs>
              <w:spacing w:before="80" w:after="80"/>
              <w:rPr>
                <w:rFonts w:cs="Arial"/>
                <w:b/>
                <w:bCs/>
                <w:color w:val="000000"/>
                <w:sz w:val="18"/>
                <w:szCs w:val="18"/>
                <w:lang w:eastAsia="en-AU"/>
              </w:rPr>
            </w:pPr>
            <w:r w:rsidRPr="001016A1">
              <w:rPr>
                <w:rFonts w:cs="Arial"/>
                <w:b/>
                <w:bCs/>
                <w:color w:val="000000"/>
                <w:sz w:val="18"/>
                <w:szCs w:val="18"/>
                <w:lang w:eastAsia="en-AU"/>
              </w:rPr>
              <w:t>Step</w:t>
            </w:r>
          </w:p>
        </w:tc>
        <w:tc>
          <w:tcPr>
            <w:tcW w:w="992" w:type="dxa"/>
            <w:shd w:val="clear" w:color="auto" w:fill="BFBFBF" w:themeFill="background1" w:themeFillShade="BF"/>
            <w:noWrap/>
            <w:vAlign w:val="center"/>
            <w:hideMark/>
          </w:tcPr>
          <w:p w:rsidR="003156D1" w:rsidRPr="001016A1" w:rsidRDefault="003156D1" w:rsidP="00DF31C8">
            <w:pPr>
              <w:tabs>
                <w:tab w:val="left" w:pos="1162"/>
              </w:tabs>
              <w:spacing w:before="80" w:after="80"/>
              <w:jc w:val="center"/>
              <w:rPr>
                <w:rFonts w:cs="Arial"/>
                <w:b/>
                <w:bCs/>
                <w:color w:val="000000"/>
                <w:sz w:val="18"/>
                <w:szCs w:val="18"/>
                <w:lang w:eastAsia="en-AU"/>
              </w:rPr>
            </w:pPr>
            <w:r w:rsidRPr="001016A1">
              <w:rPr>
                <w:rFonts w:cs="Arial"/>
                <w:b/>
                <w:bCs/>
                <w:color w:val="000000"/>
                <w:sz w:val="18"/>
                <w:szCs w:val="18"/>
                <w:lang w:eastAsia="en-AU"/>
              </w:rPr>
              <w:t>Variable</w:t>
            </w:r>
          </w:p>
        </w:tc>
        <w:tc>
          <w:tcPr>
            <w:tcW w:w="1843" w:type="dxa"/>
            <w:shd w:val="clear" w:color="auto" w:fill="BFBFBF" w:themeFill="background1" w:themeFillShade="BF"/>
            <w:noWrap/>
            <w:vAlign w:val="center"/>
            <w:hideMark/>
          </w:tcPr>
          <w:p w:rsidR="003156D1" w:rsidRPr="001016A1" w:rsidRDefault="003156D1" w:rsidP="00DF31C8">
            <w:pPr>
              <w:tabs>
                <w:tab w:val="left" w:pos="1162"/>
              </w:tabs>
              <w:spacing w:before="80" w:after="80"/>
              <w:rPr>
                <w:rFonts w:cs="Arial"/>
                <w:b/>
                <w:bCs/>
                <w:color w:val="000000"/>
                <w:sz w:val="18"/>
                <w:szCs w:val="18"/>
                <w:lang w:eastAsia="en-AU"/>
              </w:rPr>
            </w:pPr>
            <w:r w:rsidRPr="001016A1">
              <w:rPr>
                <w:rFonts w:cs="Arial"/>
                <w:b/>
                <w:bCs/>
                <w:color w:val="000000"/>
                <w:sz w:val="18"/>
                <w:szCs w:val="18"/>
                <w:lang w:eastAsia="en-AU"/>
              </w:rPr>
              <w:t>Name</w:t>
            </w:r>
          </w:p>
        </w:tc>
        <w:tc>
          <w:tcPr>
            <w:tcW w:w="1843" w:type="dxa"/>
            <w:shd w:val="clear" w:color="auto" w:fill="BFBFBF" w:themeFill="background1" w:themeFillShade="BF"/>
            <w:vAlign w:val="center"/>
            <w:hideMark/>
          </w:tcPr>
          <w:p w:rsidR="003156D1" w:rsidRPr="001016A1" w:rsidRDefault="003156D1" w:rsidP="00DF31C8">
            <w:pPr>
              <w:tabs>
                <w:tab w:val="left" w:pos="1162"/>
              </w:tabs>
              <w:spacing w:before="80" w:after="80"/>
              <w:rPr>
                <w:rFonts w:cs="Arial"/>
                <w:b/>
                <w:bCs/>
                <w:color w:val="000000"/>
                <w:sz w:val="18"/>
                <w:szCs w:val="18"/>
                <w:lang w:eastAsia="en-AU"/>
              </w:rPr>
            </w:pPr>
            <w:r w:rsidRPr="001016A1">
              <w:rPr>
                <w:rFonts w:cs="Arial"/>
                <w:b/>
                <w:bCs/>
                <w:color w:val="000000"/>
                <w:sz w:val="18"/>
                <w:szCs w:val="18"/>
                <w:lang w:eastAsia="en-AU"/>
              </w:rPr>
              <w:t>Description</w:t>
            </w:r>
          </w:p>
        </w:tc>
        <w:tc>
          <w:tcPr>
            <w:tcW w:w="4252" w:type="dxa"/>
            <w:shd w:val="clear" w:color="auto" w:fill="BFBFBF" w:themeFill="background1" w:themeFillShade="BF"/>
            <w:vAlign w:val="center"/>
            <w:hideMark/>
          </w:tcPr>
          <w:p w:rsidR="003156D1" w:rsidRPr="001016A1" w:rsidRDefault="003156D1" w:rsidP="00DF31C8">
            <w:pPr>
              <w:tabs>
                <w:tab w:val="left" w:pos="1162"/>
              </w:tabs>
              <w:spacing w:before="80" w:after="80"/>
              <w:rPr>
                <w:rFonts w:cs="Arial"/>
                <w:b/>
                <w:bCs/>
                <w:color w:val="000000"/>
                <w:sz w:val="18"/>
                <w:szCs w:val="18"/>
                <w:lang w:eastAsia="en-AU"/>
              </w:rPr>
            </w:pPr>
            <w:r w:rsidRPr="001016A1">
              <w:rPr>
                <w:rFonts w:cs="Arial"/>
                <w:b/>
                <w:bCs/>
                <w:color w:val="000000"/>
                <w:sz w:val="18"/>
                <w:szCs w:val="18"/>
                <w:lang w:eastAsia="en-AU"/>
              </w:rPr>
              <w:t>Definition</w:t>
            </w:r>
          </w:p>
        </w:tc>
      </w:tr>
      <w:tr w:rsidR="003156D1" w:rsidRPr="00587976" w:rsidTr="00DF31C8">
        <w:trPr>
          <w:cantSplit/>
          <w:trHeight w:val="450"/>
        </w:trPr>
        <w:tc>
          <w:tcPr>
            <w:tcW w:w="866" w:type="dxa"/>
            <w:tcBorders>
              <w:bottom w:val="single" w:sz="4" w:space="0" w:color="595959" w:themeColor="text1" w:themeTint="A6"/>
            </w:tcBorders>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r w:rsidRPr="001016A1">
              <w:rPr>
                <w:rFonts w:cs="Arial"/>
                <w:color w:val="000000"/>
                <w:sz w:val="18"/>
                <w:szCs w:val="18"/>
                <w:lang w:eastAsia="en-AU"/>
              </w:rPr>
              <w:t>Step 1</w:t>
            </w:r>
          </w:p>
        </w:tc>
        <w:tc>
          <w:tcPr>
            <w:tcW w:w="992" w:type="dxa"/>
            <w:shd w:val="clear" w:color="auto" w:fill="auto"/>
            <w:noWrap/>
            <w:hideMark/>
          </w:tcPr>
          <w:p w:rsidR="003156D1" w:rsidRPr="001016A1" w:rsidRDefault="003156D1" w:rsidP="00DF31C8">
            <w:pPr>
              <w:tabs>
                <w:tab w:val="left" w:pos="1162"/>
              </w:tabs>
              <w:spacing w:before="80" w:after="80"/>
              <w:jc w:val="center"/>
              <w:rPr>
                <w:rFonts w:cs="Arial"/>
                <w:color w:val="000000"/>
                <w:sz w:val="18"/>
                <w:szCs w:val="18"/>
                <w:lang w:eastAsia="en-AU"/>
              </w:rPr>
            </w:pPr>
            <w:r w:rsidRPr="001016A1">
              <w:rPr>
                <w:rFonts w:cs="Arial"/>
                <w:color w:val="000000"/>
                <w:sz w:val="18"/>
                <w:szCs w:val="18"/>
                <w:lang w:eastAsia="en-AU"/>
              </w:rPr>
              <w:t>N01</w:t>
            </w:r>
          </w:p>
        </w:tc>
        <w:tc>
          <w:tcPr>
            <w:tcW w:w="1843" w:type="dxa"/>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r>
              <w:rPr>
                <w:rFonts w:cs="Arial"/>
                <w:color w:val="000000"/>
                <w:sz w:val="18"/>
                <w:szCs w:val="18"/>
                <w:lang w:eastAsia="en-AU"/>
              </w:rPr>
              <w:t>_</w:t>
            </w:r>
            <w:proofErr w:type="spellStart"/>
            <w:r w:rsidRPr="001016A1">
              <w:rPr>
                <w:rFonts w:cs="Arial"/>
                <w:color w:val="000000"/>
                <w:sz w:val="18"/>
                <w:szCs w:val="18"/>
                <w:lang w:eastAsia="en-AU"/>
              </w:rPr>
              <w:t>pat_ind_flag</w:t>
            </w:r>
            <w:proofErr w:type="spellEnd"/>
          </w:p>
        </w:tc>
        <w:tc>
          <w:tcPr>
            <w:tcW w:w="1843" w:type="dxa"/>
            <w:shd w:val="clear" w:color="auto" w:fill="auto"/>
            <w:hideMark/>
          </w:tcPr>
          <w:p w:rsidR="003156D1" w:rsidRPr="001016A1" w:rsidRDefault="003156D1" w:rsidP="00DF31C8">
            <w:pPr>
              <w:tabs>
                <w:tab w:val="left" w:pos="1162"/>
              </w:tabs>
              <w:spacing w:before="80" w:after="80"/>
              <w:rPr>
                <w:rFonts w:cs="Arial"/>
                <w:color w:val="000000"/>
                <w:sz w:val="18"/>
                <w:szCs w:val="18"/>
                <w:lang w:eastAsia="en-AU"/>
              </w:rPr>
            </w:pPr>
            <w:r w:rsidRPr="001016A1">
              <w:rPr>
                <w:rFonts w:cs="Arial"/>
                <w:color w:val="000000"/>
                <w:sz w:val="18"/>
                <w:szCs w:val="18"/>
                <w:lang w:eastAsia="en-AU"/>
              </w:rPr>
              <w:t>Indigenous patient flag</w:t>
            </w:r>
          </w:p>
        </w:tc>
        <w:tc>
          <w:tcPr>
            <w:tcW w:w="4252" w:type="dxa"/>
            <w:shd w:val="clear" w:color="auto" w:fill="auto"/>
            <w:hideMark/>
          </w:tcPr>
          <w:p w:rsidR="003156D1" w:rsidRPr="001016A1" w:rsidRDefault="003156D1" w:rsidP="00DF31C8">
            <w:pPr>
              <w:tabs>
                <w:tab w:val="left" w:pos="1162"/>
              </w:tabs>
              <w:spacing w:before="80" w:after="80"/>
              <w:rPr>
                <w:rFonts w:cs="Arial"/>
                <w:color w:val="000000"/>
                <w:sz w:val="18"/>
                <w:szCs w:val="18"/>
                <w:lang w:eastAsia="en-AU"/>
              </w:rPr>
            </w:pPr>
            <w:r w:rsidRPr="001016A1">
              <w:rPr>
                <w:rFonts w:cs="Arial"/>
                <w:color w:val="000000"/>
                <w:sz w:val="18"/>
                <w:szCs w:val="18"/>
                <w:lang w:eastAsia="en-AU"/>
              </w:rPr>
              <w:t>1 if Patient Indigenous Status = 1, 2 or 3; else</w:t>
            </w:r>
            <w:r w:rsidRPr="001016A1">
              <w:rPr>
                <w:rFonts w:cs="Arial"/>
                <w:color w:val="000000"/>
                <w:sz w:val="18"/>
                <w:szCs w:val="18"/>
                <w:lang w:eastAsia="en-AU"/>
              </w:rPr>
              <w:br/>
              <w:t>0.</w:t>
            </w:r>
          </w:p>
        </w:tc>
      </w:tr>
      <w:tr w:rsidR="003156D1" w:rsidRPr="00587976" w:rsidTr="00DF31C8">
        <w:trPr>
          <w:cantSplit/>
          <w:trHeight w:val="225"/>
        </w:trPr>
        <w:tc>
          <w:tcPr>
            <w:tcW w:w="866" w:type="dxa"/>
            <w:vMerge w:val="restart"/>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r w:rsidRPr="001016A1">
              <w:rPr>
                <w:rFonts w:cs="Arial"/>
                <w:color w:val="000000"/>
                <w:sz w:val="18"/>
                <w:szCs w:val="18"/>
                <w:lang w:eastAsia="en-AU"/>
              </w:rPr>
              <w:t>Step 2</w:t>
            </w:r>
          </w:p>
        </w:tc>
        <w:tc>
          <w:tcPr>
            <w:tcW w:w="992" w:type="dxa"/>
            <w:shd w:val="clear" w:color="auto" w:fill="auto"/>
            <w:noWrap/>
            <w:hideMark/>
          </w:tcPr>
          <w:p w:rsidR="003156D1" w:rsidRPr="001016A1" w:rsidRDefault="003156D1" w:rsidP="00DF31C8">
            <w:pPr>
              <w:tabs>
                <w:tab w:val="left" w:pos="1162"/>
              </w:tabs>
              <w:spacing w:before="80" w:after="80"/>
              <w:jc w:val="center"/>
              <w:rPr>
                <w:rFonts w:cs="Arial"/>
                <w:color w:val="000000"/>
                <w:sz w:val="18"/>
                <w:szCs w:val="18"/>
                <w:lang w:eastAsia="en-AU"/>
              </w:rPr>
            </w:pPr>
            <w:r w:rsidRPr="001016A1">
              <w:rPr>
                <w:rFonts w:cs="Arial"/>
                <w:color w:val="000000"/>
                <w:sz w:val="18"/>
                <w:szCs w:val="18"/>
                <w:lang w:eastAsia="en-AU"/>
              </w:rPr>
              <w:t>N0</w:t>
            </w:r>
            <w:r>
              <w:rPr>
                <w:rFonts w:cs="Arial"/>
                <w:color w:val="000000"/>
                <w:sz w:val="18"/>
                <w:szCs w:val="18"/>
                <w:lang w:eastAsia="en-AU"/>
              </w:rPr>
              <w:t>2</w:t>
            </w:r>
          </w:p>
        </w:tc>
        <w:tc>
          <w:tcPr>
            <w:tcW w:w="1843" w:type="dxa"/>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proofErr w:type="spellStart"/>
            <w:r>
              <w:rPr>
                <w:rFonts w:cs="Arial"/>
                <w:color w:val="000000"/>
                <w:sz w:val="18"/>
                <w:szCs w:val="18"/>
                <w:lang w:eastAsia="en-AU"/>
              </w:rPr>
              <w:t>clinic_pw</w:t>
            </w:r>
            <w:proofErr w:type="spellEnd"/>
          </w:p>
        </w:tc>
        <w:tc>
          <w:tcPr>
            <w:tcW w:w="1843" w:type="dxa"/>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r w:rsidRPr="001016A1">
              <w:rPr>
                <w:rFonts w:cs="Arial"/>
                <w:color w:val="000000"/>
                <w:sz w:val="18"/>
                <w:szCs w:val="18"/>
                <w:lang w:eastAsia="en-AU"/>
              </w:rPr>
              <w:t>See definition</w:t>
            </w:r>
          </w:p>
        </w:tc>
        <w:tc>
          <w:tcPr>
            <w:tcW w:w="4252" w:type="dxa"/>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r w:rsidRPr="001016A1">
              <w:rPr>
                <w:rFonts w:cs="Arial"/>
                <w:color w:val="000000"/>
                <w:sz w:val="18"/>
                <w:szCs w:val="18"/>
                <w:lang w:eastAsia="en-AU"/>
              </w:rPr>
              <w:t>Tier 2 Clinic price weight, taken from NWAU Price Weight table.</w:t>
            </w:r>
          </w:p>
        </w:tc>
      </w:tr>
      <w:tr w:rsidR="003156D1" w:rsidRPr="00587976" w:rsidTr="00DF31C8">
        <w:trPr>
          <w:cantSplit/>
          <w:trHeight w:val="225"/>
        </w:trPr>
        <w:tc>
          <w:tcPr>
            <w:tcW w:w="866" w:type="dxa"/>
            <w:vMerge/>
            <w:tcBorders>
              <w:bottom w:val="nil"/>
            </w:tcBorders>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p>
        </w:tc>
        <w:tc>
          <w:tcPr>
            <w:tcW w:w="992" w:type="dxa"/>
            <w:tcBorders>
              <w:bottom w:val="single" w:sz="4" w:space="0" w:color="595959" w:themeColor="text1" w:themeTint="A6"/>
            </w:tcBorders>
            <w:shd w:val="clear" w:color="auto" w:fill="auto"/>
            <w:noWrap/>
            <w:hideMark/>
          </w:tcPr>
          <w:p w:rsidR="003156D1" w:rsidRPr="001016A1" w:rsidRDefault="003156D1" w:rsidP="00DF31C8">
            <w:pPr>
              <w:tabs>
                <w:tab w:val="left" w:pos="1162"/>
              </w:tabs>
              <w:spacing w:before="80" w:after="80"/>
              <w:jc w:val="center"/>
              <w:rPr>
                <w:rFonts w:cs="Arial"/>
                <w:color w:val="000000"/>
                <w:sz w:val="18"/>
                <w:szCs w:val="18"/>
                <w:lang w:eastAsia="en-AU"/>
              </w:rPr>
            </w:pPr>
            <w:r w:rsidRPr="001016A1">
              <w:rPr>
                <w:rFonts w:cs="Arial"/>
                <w:color w:val="000000"/>
                <w:sz w:val="18"/>
                <w:szCs w:val="18"/>
                <w:lang w:eastAsia="en-AU"/>
              </w:rPr>
              <w:t>N0</w:t>
            </w:r>
            <w:r>
              <w:rPr>
                <w:rFonts w:cs="Arial"/>
                <w:color w:val="000000"/>
                <w:sz w:val="18"/>
                <w:szCs w:val="18"/>
                <w:lang w:eastAsia="en-AU"/>
              </w:rPr>
              <w:t>3</w:t>
            </w:r>
          </w:p>
        </w:tc>
        <w:tc>
          <w:tcPr>
            <w:tcW w:w="1843" w:type="dxa"/>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proofErr w:type="spellStart"/>
            <w:r w:rsidRPr="001016A1">
              <w:rPr>
                <w:rFonts w:cs="Arial"/>
                <w:color w:val="000000"/>
                <w:sz w:val="18"/>
                <w:szCs w:val="18"/>
                <w:lang w:eastAsia="en-AU"/>
              </w:rPr>
              <w:t>adj_indigenous</w:t>
            </w:r>
            <w:proofErr w:type="spellEnd"/>
          </w:p>
        </w:tc>
        <w:tc>
          <w:tcPr>
            <w:tcW w:w="1843" w:type="dxa"/>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r w:rsidRPr="001016A1">
              <w:rPr>
                <w:rFonts w:cs="Arial"/>
                <w:color w:val="000000"/>
                <w:sz w:val="18"/>
                <w:szCs w:val="18"/>
                <w:lang w:eastAsia="en-AU"/>
              </w:rPr>
              <w:t>See definition</w:t>
            </w:r>
          </w:p>
        </w:tc>
        <w:tc>
          <w:tcPr>
            <w:tcW w:w="4252" w:type="dxa"/>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r w:rsidRPr="001016A1">
              <w:rPr>
                <w:rFonts w:cs="Arial"/>
                <w:color w:val="000000"/>
                <w:sz w:val="18"/>
                <w:szCs w:val="18"/>
                <w:lang w:eastAsia="en-AU"/>
              </w:rPr>
              <w:t>Indigenous adjustment from NWAU Adjustment table.</w:t>
            </w:r>
          </w:p>
        </w:tc>
      </w:tr>
      <w:tr w:rsidR="003156D1" w:rsidRPr="00587976" w:rsidTr="00DF31C8">
        <w:trPr>
          <w:cantSplit/>
          <w:trHeight w:val="225"/>
        </w:trPr>
        <w:tc>
          <w:tcPr>
            <w:tcW w:w="866" w:type="dxa"/>
            <w:tcBorders>
              <w:top w:val="single" w:sz="4" w:space="0" w:color="auto"/>
              <w:bottom w:val="single" w:sz="4" w:space="0" w:color="595959" w:themeColor="text1" w:themeTint="A6"/>
            </w:tcBorders>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r w:rsidRPr="001016A1">
              <w:rPr>
                <w:rFonts w:cs="Arial"/>
                <w:color w:val="000000"/>
                <w:sz w:val="18"/>
                <w:szCs w:val="18"/>
                <w:lang w:eastAsia="en-AU"/>
              </w:rPr>
              <w:t xml:space="preserve">Step </w:t>
            </w:r>
            <w:r>
              <w:rPr>
                <w:rFonts w:cs="Arial"/>
                <w:color w:val="000000"/>
                <w:sz w:val="18"/>
                <w:szCs w:val="18"/>
                <w:lang w:eastAsia="en-AU"/>
              </w:rPr>
              <w:t>3</w:t>
            </w:r>
          </w:p>
        </w:tc>
        <w:tc>
          <w:tcPr>
            <w:tcW w:w="992" w:type="dxa"/>
            <w:tcBorders>
              <w:bottom w:val="single" w:sz="4" w:space="0" w:color="auto"/>
            </w:tcBorders>
            <w:shd w:val="clear" w:color="auto" w:fill="auto"/>
            <w:noWrap/>
            <w:hideMark/>
          </w:tcPr>
          <w:p w:rsidR="003156D1" w:rsidRPr="001016A1" w:rsidRDefault="003156D1" w:rsidP="00DF31C8">
            <w:pPr>
              <w:tabs>
                <w:tab w:val="left" w:pos="1162"/>
              </w:tabs>
              <w:spacing w:before="80" w:after="80"/>
              <w:jc w:val="center"/>
              <w:rPr>
                <w:rFonts w:cs="Arial"/>
                <w:color w:val="000000"/>
                <w:sz w:val="18"/>
                <w:szCs w:val="18"/>
                <w:lang w:eastAsia="en-AU"/>
              </w:rPr>
            </w:pPr>
            <w:r>
              <w:rPr>
                <w:rFonts w:cs="Arial"/>
                <w:color w:val="000000"/>
                <w:sz w:val="18"/>
                <w:szCs w:val="18"/>
                <w:lang w:eastAsia="en-AU"/>
              </w:rPr>
              <w:t>N04</w:t>
            </w:r>
          </w:p>
        </w:tc>
        <w:tc>
          <w:tcPr>
            <w:tcW w:w="1843" w:type="dxa"/>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proofErr w:type="spellStart"/>
            <w:r>
              <w:rPr>
                <w:rFonts w:cs="Arial"/>
                <w:color w:val="000000"/>
                <w:sz w:val="18"/>
                <w:szCs w:val="18"/>
                <w:lang w:eastAsia="en-AU"/>
              </w:rPr>
              <w:t>Error_Code</w:t>
            </w:r>
            <w:proofErr w:type="spellEnd"/>
          </w:p>
        </w:tc>
        <w:tc>
          <w:tcPr>
            <w:tcW w:w="1843" w:type="dxa"/>
            <w:shd w:val="clear" w:color="auto" w:fill="auto"/>
            <w:noWrap/>
            <w:hideMark/>
          </w:tcPr>
          <w:p w:rsidR="003156D1" w:rsidRPr="001016A1" w:rsidRDefault="003156D1" w:rsidP="00DF31C8">
            <w:pPr>
              <w:tabs>
                <w:tab w:val="left" w:pos="1162"/>
              </w:tabs>
              <w:spacing w:before="80" w:after="80"/>
              <w:rPr>
                <w:rFonts w:cs="Arial"/>
                <w:color w:val="000000"/>
                <w:sz w:val="18"/>
                <w:szCs w:val="18"/>
                <w:lang w:eastAsia="en-AU"/>
              </w:rPr>
            </w:pPr>
            <w:r>
              <w:rPr>
                <w:rFonts w:cs="Arial"/>
                <w:color w:val="000000"/>
                <w:sz w:val="18"/>
                <w:szCs w:val="18"/>
                <w:lang w:eastAsia="en-AU"/>
              </w:rPr>
              <w:t>See definition</w:t>
            </w:r>
          </w:p>
        </w:tc>
        <w:tc>
          <w:tcPr>
            <w:tcW w:w="4252" w:type="dxa"/>
            <w:shd w:val="clear" w:color="auto" w:fill="auto"/>
            <w:hideMark/>
          </w:tcPr>
          <w:p w:rsidR="003156D1" w:rsidRPr="001016A1" w:rsidRDefault="003156D1" w:rsidP="00DF31C8">
            <w:pPr>
              <w:tabs>
                <w:tab w:val="left" w:pos="1162"/>
              </w:tabs>
              <w:spacing w:before="80" w:after="80"/>
              <w:rPr>
                <w:rFonts w:cs="Arial"/>
                <w:color w:val="000000"/>
                <w:sz w:val="18"/>
                <w:szCs w:val="18"/>
                <w:lang w:eastAsia="en-AU"/>
              </w:rPr>
            </w:pPr>
            <w:r>
              <w:rPr>
                <w:rFonts w:cs="Arial"/>
                <w:color w:val="000000"/>
                <w:sz w:val="18"/>
                <w:szCs w:val="18"/>
                <w:lang w:eastAsia="en-AU"/>
              </w:rPr>
              <w:t>Outlines Errors in calculations</w:t>
            </w:r>
          </w:p>
        </w:tc>
      </w:tr>
      <w:tr w:rsidR="003156D1" w:rsidRPr="00587976" w:rsidTr="00DF31C8">
        <w:trPr>
          <w:cantSplit/>
          <w:trHeight w:val="225"/>
        </w:trPr>
        <w:tc>
          <w:tcPr>
            <w:tcW w:w="866" w:type="dxa"/>
            <w:vMerge w:val="restart"/>
            <w:shd w:val="clear" w:color="auto" w:fill="auto"/>
            <w:noWrap/>
          </w:tcPr>
          <w:p w:rsidR="003156D1" w:rsidRPr="001016A1" w:rsidRDefault="003156D1" w:rsidP="00DF31C8">
            <w:pPr>
              <w:tabs>
                <w:tab w:val="left" w:pos="1162"/>
              </w:tabs>
              <w:spacing w:before="80" w:after="80"/>
              <w:rPr>
                <w:rFonts w:cs="Arial"/>
                <w:color w:val="000000"/>
                <w:sz w:val="18"/>
                <w:szCs w:val="18"/>
                <w:lang w:eastAsia="en-AU"/>
              </w:rPr>
            </w:pPr>
            <w:r>
              <w:rPr>
                <w:rFonts w:cs="Arial"/>
                <w:color w:val="000000"/>
                <w:sz w:val="18"/>
                <w:szCs w:val="18"/>
                <w:lang w:eastAsia="en-AU"/>
              </w:rPr>
              <w:t>Step 4</w:t>
            </w:r>
          </w:p>
        </w:tc>
        <w:tc>
          <w:tcPr>
            <w:tcW w:w="992" w:type="dxa"/>
            <w:tcBorders>
              <w:top w:val="single" w:sz="4" w:space="0" w:color="auto"/>
              <w:bottom w:val="single" w:sz="4" w:space="0" w:color="auto"/>
            </w:tcBorders>
            <w:shd w:val="clear" w:color="auto" w:fill="auto"/>
            <w:noWrap/>
          </w:tcPr>
          <w:p w:rsidR="003156D1" w:rsidRDefault="003156D1" w:rsidP="00DF31C8">
            <w:pPr>
              <w:tabs>
                <w:tab w:val="left" w:pos="1162"/>
              </w:tabs>
              <w:spacing w:before="80" w:after="80"/>
              <w:jc w:val="center"/>
              <w:rPr>
                <w:rFonts w:cs="Arial"/>
                <w:color w:val="000000"/>
                <w:sz w:val="18"/>
                <w:szCs w:val="18"/>
                <w:lang w:eastAsia="en-AU"/>
              </w:rPr>
            </w:pPr>
            <w:r>
              <w:rPr>
                <w:rFonts w:cs="Arial"/>
                <w:color w:val="000000"/>
                <w:sz w:val="18"/>
                <w:szCs w:val="18"/>
                <w:lang w:eastAsia="en-AU"/>
              </w:rPr>
              <w:t>N05</w:t>
            </w:r>
          </w:p>
        </w:tc>
        <w:tc>
          <w:tcPr>
            <w:tcW w:w="1843" w:type="dxa"/>
            <w:shd w:val="clear" w:color="auto" w:fill="auto"/>
            <w:noWrap/>
          </w:tcPr>
          <w:p w:rsidR="003156D1" w:rsidRDefault="003156D1" w:rsidP="00DF31C8">
            <w:pPr>
              <w:tabs>
                <w:tab w:val="left" w:pos="1162"/>
              </w:tabs>
              <w:spacing w:before="80" w:after="80"/>
              <w:rPr>
                <w:rFonts w:cs="Arial"/>
                <w:color w:val="000000"/>
                <w:sz w:val="18"/>
                <w:szCs w:val="18"/>
                <w:lang w:eastAsia="en-AU"/>
              </w:rPr>
            </w:pPr>
            <w:r>
              <w:rPr>
                <w:rFonts w:cs="Arial"/>
                <w:color w:val="000000"/>
                <w:sz w:val="18"/>
                <w:szCs w:val="18"/>
                <w:lang w:eastAsia="en-AU"/>
              </w:rPr>
              <w:t>GWAU15</w:t>
            </w:r>
          </w:p>
        </w:tc>
        <w:tc>
          <w:tcPr>
            <w:tcW w:w="1843" w:type="dxa"/>
            <w:shd w:val="clear" w:color="auto" w:fill="auto"/>
            <w:noWrap/>
          </w:tcPr>
          <w:p w:rsidR="003156D1" w:rsidRDefault="003156D1" w:rsidP="00DF31C8">
            <w:pPr>
              <w:tabs>
                <w:tab w:val="left" w:pos="1162"/>
              </w:tabs>
              <w:spacing w:before="80" w:after="80"/>
              <w:rPr>
                <w:rFonts w:cs="Arial"/>
                <w:color w:val="000000"/>
                <w:sz w:val="18"/>
                <w:szCs w:val="18"/>
                <w:lang w:eastAsia="en-AU"/>
              </w:rPr>
            </w:pPr>
            <w:r>
              <w:rPr>
                <w:rFonts w:cs="Arial"/>
                <w:color w:val="000000"/>
                <w:sz w:val="20"/>
                <w:szCs w:val="20"/>
                <w:lang w:eastAsia="en-AU"/>
              </w:rPr>
              <w:t>Gross Weighted Activity Unit</w:t>
            </w:r>
          </w:p>
        </w:tc>
        <w:tc>
          <w:tcPr>
            <w:tcW w:w="4252" w:type="dxa"/>
            <w:shd w:val="clear" w:color="auto" w:fill="auto"/>
          </w:tcPr>
          <w:p w:rsidR="003156D1" w:rsidRDefault="003156D1" w:rsidP="00DF31C8">
            <w:pPr>
              <w:tabs>
                <w:tab w:val="left" w:pos="1162"/>
              </w:tabs>
              <w:spacing w:before="80" w:after="80"/>
              <w:rPr>
                <w:rFonts w:cs="Arial"/>
                <w:color w:val="000000"/>
                <w:sz w:val="18"/>
                <w:szCs w:val="18"/>
                <w:lang w:eastAsia="en-AU"/>
              </w:rPr>
            </w:pPr>
            <w:proofErr w:type="spellStart"/>
            <w:r>
              <w:rPr>
                <w:rFonts w:cs="Arial"/>
                <w:color w:val="000000"/>
                <w:sz w:val="18"/>
                <w:szCs w:val="18"/>
                <w:lang w:eastAsia="en-AU"/>
              </w:rPr>
              <w:t>clinic_pw</w:t>
            </w:r>
            <w:proofErr w:type="spellEnd"/>
            <w:r>
              <w:rPr>
                <w:rFonts w:cs="Arial"/>
                <w:color w:val="000000"/>
                <w:sz w:val="18"/>
                <w:szCs w:val="18"/>
                <w:lang w:eastAsia="en-AU"/>
              </w:rPr>
              <w:t>*(1+adj_indigenous+adj_multiprov*)</w:t>
            </w:r>
          </w:p>
        </w:tc>
      </w:tr>
      <w:tr w:rsidR="003156D1" w:rsidRPr="00587976" w:rsidTr="00DF31C8">
        <w:trPr>
          <w:cantSplit/>
          <w:trHeight w:val="225"/>
        </w:trPr>
        <w:tc>
          <w:tcPr>
            <w:tcW w:w="866" w:type="dxa"/>
            <w:vMerge/>
            <w:shd w:val="clear" w:color="auto" w:fill="auto"/>
            <w:noWrap/>
          </w:tcPr>
          <w:p w:rsidR="003156D1" w:rsidRDefault="003156D1" w:rsidP="00DF31C8">
            <w:pPr>
              <w:tabs>
                <w:tab w:val="left" w:pos="1162"/>
              </w:tabs>
              <w:spacing w:before="80" w:after="80"/>
              <w:rPr>
                <w:rFonts w:cs="Arial"/>
                <w:color w:val="000000"/>
                <w:sz w:val="18"/>
                <w:szCs w:val="18"/>
                <w:lang w:eastAsia="en-AU"/>
              </w:rPr>
            </w:pPr>
          </w:p>
        </w:tc>
        <w:tc>
          <w:tcPr>
            <w:tcW w:w="992" w:type="dxa"/>
            <w:tcBorders>
              <w:top w:val="single" w:sz="4" w:space="0" w:color="auto"/>
            </w:tcBorders>
            <w:shd w:val="clear" w:color="auto" w:fill="auto"/>
            <w:noWrap/>
          </w:tcPr>
          <w:p w:rsidR="003156D1" w:rsidRDefault="003156D1" w:rsidP="00DF31C8">
            <w:pPr>
              <w:tabs>
                <w:tab w:val="left" w:pos="1162"/>
              </w:tabs>
              <w:spacing w:before="80" w:after="80"/>
              <w:jc w:val="center"/>
              <w:rPr>
                <w:rFonts w:cs="Arial"/>
                <w:color w:val="000000"/>
                <w:sz w:val="18"/>
                <w:szCs w:val="18"/>
                <w:lang w:eastAsia="en-AU"/>
              </w:rPr>
            </w:pPr>
            <w:r>
              <w:rPr>
                <w:rFonts w:cs="Arial"/>
                <w:color w:val="000000"/>
                <w:sz w:val="18"/>
                <w:szCs w:val="18"/>
                <w:lang w:eastAsia="en-AU"/>
              </w:rPr>
              <w:t>N06</w:t>
            </w:r>
          </w:p>
        </w:tc>
        <w:tc>
          <w:tcPr>
            <w:tcW w:w="1843" w:type="dxa"/>
            <w:shd w:val="clear" w:color="auto" w:fill="auto"/>
            <w:noWrap/>
          </w:tcPr>
          <w:p w:rsidR="003156D1" w:rsidRDefault="003156D1" w:rsidP="00DF31C8">
            <w:pPr>
              <w:tabs>
                <w:tab w:val="left" w:pos="1162"/>
              </w:tabs>
              <w:spacing w:before="80" w:after="80"/>
              <w:rPr>
                <w:rFonts w:cs="Arial"/>
                <w:color w:val="000000"/>
                <w:sz w:val="18"/>
                <w:szCs w:val="18"/>
                <w:lang w:eastAsia="en-AU"/>
              </w:rPr>
            </w:pPr>
            <w:r>
              <w:rPr>
                <w:rFonts w:cs="Arial"/>
                <w:color w:val="000000"/>
                <w:sz w:val="18"/>
                <w:szCs w:val="18"/>
                <w:lang w:eastAsia="en-AU"/>
              </w:rPr>
              <w:t>NWAU15</w:t>
            </w:r>
          </w:p>
        </w:tc>
        <w:tc>
          <w:tcPr>
            <w:tcW w:w="1843" w:type="dxa"/>
            <w:shd w:val="clear" w:color="auto" w:fill="auto"/>
            <w:noWrap/>
          </w:tcPr>
          <w:p w:rsidR="003156D1" w:rsidRDefault="003156D1" w:rsidP="0073435B">
            <w:pPr>
              <w:tabs>
                <w:tab w:val="left" w:pos="1162"/>
              </w:tabs>
              <w:spacing w:before="80" w:after="80"/>
              <w:rPr>
                <w:rFonts w:cs="Arial"/>
                <w:color w:val="000000"/>
                <w:sz w:val="18"/>
                <w:szCs w:val="18"/>
                <w:lang w:eastAsia="en-AU"/>
              </w:rPr>
            </w:pPr>
            <w:r>
              <w:rPr>
                <w:rFonts w:cs="Arial"/>
                <w:color w:val="000000"/>
                <w:sz w:val="20"/>
                <w:szCs w:val="20"/>
                <w:lang w:eastAsia="en-AU"/>
              </w:rPr>
              <w:t xml:space="preserve">National Weighted Activity </w:t>
            </w:r>
            <w:r w:rsidR="0073435B">
              <w:rPr>
                <w:rFonts w:cs="Arial"/>
                <w:color w:val="000000"/>
                <w:sz w:val="20"/>
                <w:szCs w:val="20"/>
                <w:lang w:eastAsia="en-AU"/>
              </w:rPr>
              <w:t>U</w:t>
            </w:r>
            <w:r>
              <w:rPr>
                <w:rFonts w:cs="Arial"/>
                <w:color w:val="000000"/>
                <w:sz w:val="20"/>
                <w:szCs w:val="20"/>
                <w:lang w:eastAsia="en-AU"/>
              </w:rPr>
              <w:t>nit</w:t>
            </w:r>
          </w:p>
        </w:tc>
        <w:tc>
          <w:tcPr>
            <w:tcW w:w="4252" w:type="dxa"/>
            <w:shd w:val="clear" w:color="auto" w:fill="auto"/>
          </w:tcPr>
          <w:p w:rsidR="003156D1" w:rsidRDefault="003156D1" w:rsidP="00DF31C8">
            <w:pPr>
              <w:tabs>
                <w:tab w:val="left" w:pos="1162"/>
              </w:tabs>
              <w:spacing w:before="80" w:after="80"/>
              <w:rPr>
                <w:rFonts w:cs="Arial"/>
                <w:color w:val="000000"/>
                <w:sz w:val="18"/>
                <w:szCs w:val="18"/>
                <w:lang w:eastAsia="en-AU"/>
              </w:rPr>
            </w:pPr>
            <w:r>
              <w:rPr>
                <w:rFonts w:cs="Arial"/>
                <w:color w:val="000000"/>
                <w:sz w:val="18"/>
                <w:szCs w:val="18"/>
                <w:lang w:eastAsia="en-AU"/>
              </w:rPr>
              <w:t>GWAU15 for inscope funding sources</w:t>
            </w:r>
          </w:p>
        </w:tc>
      </w:tr>
    </w:tbl>
    <w:p w:rsidR="00647634" w:rsidRDefault="003156D1" w:rsidP="00AD4FFC">
      <w:pPr>
        <w:rPr>
          <w:rFonts w:ascii="Arial" w:eastAsia="Times New Roman" w:hAnsi="Arial" w:cs="Times New Roman"/>
          <w:b/>
          <w:sz w:val="20"/>
        </w:rPr>
      </w:pPr>
      <w:r>
        <w:t>*</w:t>
      </w:r>
      <w:r w:rsidRPr="00C14325">
        <w:rPr>
          <w:rFonts w:cs="Arial"/>
          <w:color w:val="000000"/>
          <w:sz w:val="18"/>
          <w:szCs w:val="18"/>
          <w:lang w:eastAsia="en-AU"/>
        </w:rPr>
        <w:t xml:space="preserve"> </w:t>
      </w:r>
      <w:r>
        <w:rPr>
          <w:rFonts w:cs="Arial"/>
          <w:color w:val="000000"/>
          <w:sz w:val="18"/>
          <w:szCs w:val="18"/>
          <w:lang w:eastAsia="en-AU"/>
        </w:rPr>
        <w:t>Multidisciplinary adjustment from NWAU Adjustment table.</w:t>
      </w:r>
      <w:r w:rsidR="00647634">
        <w:br w:type="page"/>
      </w:r>
    </w:p>
    <w:p w:rsidR="00460371" w:rsidRDefault="00460371" w:rsidP="00174700">
      <w:pPr>
        <w:pStyle w:val="Heading1"/>
        <w:pageBreakBefore/>
        <w:numPr>
          <w:ilvl w:val="0"/>
          <w:numId w:val="72"/>
        </w:numPr>
        <w:spacing w:before="100" w:beforeAutospacing="1" w:after="100" w:afterAutospacing="1"/>
      </w:pPr>
      <w:bookmarkStart w:id="321" w:name="_Toc380754762"/>
      <w:bookmarkStart w:id="322" w:name="_Toc412550781"/>
      <w:bookmarkEnd w:id="319"/>
      <w:r>
        <w:lastRenderedPageBreak/>
        <w:t>Cost model for block funded hospitals</w:t>
      </w:r>
      <w:bookmarkEnd w:id="321"/>
      <w:bookmarkEnd w:id="322"/>
    </w:p>
    <w:p w:rsidR="00460371" w:rsidRDefault="00460371" w:rsidP="00174700">
      <w:pPr>
        <w:pStyle w:val="Heading2"/>
        <w:keepLines w:val="0"/>
        <w:numPr>
          <w:ilvl w:val="1"/>
          <w:numId w:val="73"/>
        </w:numPr>
        <w:tabs>
          <w:tab w:val="left" w:pos="1162"/>
        </w:tabs>
        <w:spacing w:after="60"/>
      </w:pPr>
      <w:bookmarkStart w:id="323" w:name="_Toc380754763"/>
      <w:bookmarkStart w:id="324" w:name="_Toc412550782"/>
      <w:r>
        <w:t>General issues</w:t>
      </w:r>
      <w:bookmarkEnd w:id="323"/>
      <w:bookmarkEnd w:id="324"/>
    </w:p>
    <w:p w:rsidR="00460371" w:rsidRDefault="00460371" w:rsidP="00174700">
      <w:pPr>
        <w:pStyle w:val="Heading3"/>
        <w:keepLines w:val="0"/>
        <w:numPr>
          <w:ilvl w:val="2"/>
          <w:numId w:val="73"/>
        </w:numPr>
        <w:tabs>
          <w:tab w:val="left" w:pos="1162"/>
        </w:tabs>
        <w:spacing w:before="240" w:after="120"/>
      </w:pPr>
      <w:bookmarkStart w:id="325" w:name="_Toc380754764"/>
      <w:bookmarkStart w:id="326" w:name="_Toc412550783"/>
      <w:r>
        <w:t>Cost unit</w:t>
      </w:r>
      <w:bookmarkEnd w:id="325"/>
      <w:bookmarkEnd w:id="326"/>
    </w:p>
    <w:p w:rsidR="00460371" w:rsidRDefault="00460371" w:rsidP="00AD4FFC">
      <w:pPr>
        <w:tabs>
          <w:tab w:val="left" w:pos="1162"/>
        </w:tabs>
        <w:rPr>
          <w:rFonts w:cs="Arial"/>
          <w:szCs w:val="20"/>
        </w:rPr>
      </w:pPr>
      <w:r w:rsidRPr="00D130B9">
        <w:rPr>
          <w:rFonts w:cs="Arial"/>
          <w:szCs w:val="20"/>
        </w:rPr>
        <w:t xml:space="preserve">The </w:t>
      </w:r>
      <w:r>
        <w:rPr>
          <w:rFonts w:cs="Arial"/>
          <w:szCs w:val="20"/>
        </w:rPr>
        <w:t>cost</w:t>
      </w:r>
      <w:r w:rsidRPr="00D130B9">
        <w:rPr>
          <w:rFonts w:cs="Arial"/>
          <w:szCs w:val="20"/>
        </w:rPr>
        <w:t xml:space="preserve"> unit is a hospital.</w:t>
      </w:r>
    </w:p>
    <w:p w:rsidR="00460371" w:rsidRDefault="00460371" w:rsidP="00174700">
      <w:pPr>
        <w:pStyle w:val="Heading3"/>
        <w:keepLines w:val="0"/>
        <w:numPr>
          <w:ilvl w:val="2"/>
          <w:numId w:val="73"/>
        </w:numPr>
        <w:tabs>
          <w:tab w:val="left" w:pos="1162"/>
        </w:tabs>
        <w:spacing w:before="240" w:after="120"/>
      </w:pPr>
      <w:bookmarkStart w:id="327" w:name="_Toc380754765"/>
      <w:bookmarkStart w:id="328" w:name="_Toc412550784"/>
      <w:r>
        <w:t>Scope</w:t>
      </w:r>
      <w:bookmarkEnd w:id="327"/>
      <w:bookmarkEnd w:id="328"/>
    </w:p>
    <w:p w:rsidR="00B54134" w:rsidRDefault="00460371" w:rsidP="00AD4FFC">
      <w:pPr>
        <w:tabs>
          <w:tab w:val="left" w:pos="1162"/>
        </w:tabs>
      </w:pPr>
      <w:r w:rsidRPr="00D130B9">
        <w:rPr>
          <w:rFonts w:cs="Arial"/>
          <w:szCs w:val="20"/>
        </w:rPr>
        <w:t>Hospitals are in-scope if they have been nominated by a jurisdiction</w:t>
      </w:r>
      <w:r w:rsidR="008E0156">
        <w:rPr>
          <w:rFonts w:cs="Arial"/>
          <w:szCs w:val="20"/>
        </w:rPr>
        <w:t xml:space="preserve"> and</w:t>
      </w:r>
      <w:r w:rsidRPr="00D130B9">
        <w:rPr>
          <w:rFonts w:cs="Arial"/>
          <w:szCs w:val="20"/>
        </w:rPr>
        <w:t xml:space="preserve"> meet the criteria for </w:t>
      </w:r>
      <w:r>
        <w:rPr>
          <w:rFonts w:cs="Arial"/>
          <w:szCs w:val="20"/>
        </w:rPr>
        <w:t>block fund</w:t>
      </w:r>
      <w:r w:rsidRPr="00D130B9">
        <w:rPr>
          <w:rFonts w:cs="Arial"/>
          <w:szCs w:val="20"/>
        </w:rPr>
        <w:t>ed hospitals.</w:t>
      </w:r>
      <w:r>
        <w:t xml:space="preserve"> </w:t>
      </w:r>
    </w:p>
    <w:p w:rsidR="00460371" w:rsidRDefault="00B54134" w:rsidP="00AD4FFC">
      <w:pPr>
        <w:tabs>
          <w:tab w:val="left" w:pos="1162"/>
        </w:tabs>
      </w:pPr>
      <w:r>
        <w:t xml:space="preserve">The draft criteria has been amended this year to define the threshold for small rural hospitals as 3500 total NWAU, rather than as 3500 inpatient NWAU per annum, as was for </w:t>
      </w:r>
      <w:r w:rsidR="002832B9">
        <w:t>2014-15 (</w:t>
      </w:r>
      <w:r>
        <w:t>NE</w:t>
      </w:r>
      <w:r w:rsidR="004950A8">
        <w:t>C</w:t>
      </w:r>
      <w:r>
        <w:t>14</w:t>
      </w:r>
      <w:r w:rsidR="002832B9">
        <w:t>)</w:t>
      </w:r>
      <w:r>
        <w:t xml:space="preserve">. </w:t>
      </w:r>
    </w:p>
    <w:p w:rsidR="00460371" w:rsidRDefault="00460371" w:rsidP="00AD4FFC">
      <w:pPr>
        <w:tabs>
          <w:tab w:val="left" w:pos="1162"/>
        </w:tabs>
        <w:rPr>
          <w:rFonts w:cs="Arial"/>
          <w:szCs w:val="20"/>
        </w:rPr>
      </w:pPr>
      <w:r w:rsidRPr="00CB6EB9">
        <w:t>The draft criteria</w:t>
      </w:r>
      <w:r w:rsidR="00A005F5">
        <w:t xml:space="preserve"> for block funded hospi</w:t>
      </w:r>
      <w:r>
        <w:t>tals (</w:t>
      </w:r>
      <w:r w:rsidR="00164A51">
        <w:rPr>
          <w:rStyle w:val="Hyperlink"/>
          <w:b/>
        </w:rPr>
        <w:t xml:space="preserve">Attachment </w:t>
      </w:r>
      <w:r w:rsidR="0019724E">
        <w:rPr>
          <w:rStyle w:val="Hyperlink"/>
          <w:b/>
        </w:rPr>
        <w:t>D</w:t>
      </w:r>
      <w:r>
        <w:rPr>
          <w:rFonts w:cs="Arial"/>
          <w:szCs w:val="20"/>
        </w:rPr>
        <w:t xml:space="preserve">) are </w:t>
      </w:r>
      <w:r w:rsidR="00B54134">
        <w:rPr>
          <w:rFonts w:cs="Arial"/>
          <w:szCs w:val="20"/>
        </w:rPr>
        <w:t xml:space="preserve">being </w:t>
      </w:r>
      <w:r w:rsidR="008E0156">
        <w:rPr>
          <w:rFonts w:cs="Arial"/>
          <w:szCs w:val="20"/>
        </w:rPr>
        <w:t>submitted</w:t>
      </w:r>
      <w:r w:rsidR="00B54134">
        <w:rPr>
          <w:rFonts w:cs="Arial"/>
          <w:szCs w:val="20"/>
        </w:rPr>
        <w:t xml:space="preserve"> to the </w:t>
      </w:r>
      <w:r>
        <w:rPr>
          <w:rFonts w:cs="Arial"/>
          <w:szCs w:val="20"/>
        </w:rPr>
        <w:t xml:space="preserve">COAG </w:t>
      </w:r>
      <w:r w:rsidR="00B54134">
        <w:rPr>
          <w:rFonts w:cs="Arial"/>
          <w:szCs w:val="20"/>
        </w:rPr>
        <w:t xml:space="preserve">Health Council </w:t>
      </w:r>
      <w:r>
        <w:rPr>
          <w:rFonts w:cs="Arial"/>
          <w:szCs w:val="20"/>
        </w:rPr>
        <w:t>for approval.</w:t>
      </w:r>
    </w:p>
    <w:p w:rsidR="00460371" w:rsidRDefault="00460371" w:rsidP="00174700">
      <w:pPr>
        <w:pStyle w:val="Heading3"/>
        <w:keepLines w:val="0"/>
        <w:numPr>
          <w:ilvl w:val="2"/>
          <w:numId w:val="73"/>
        </w:numPr>
        <w:tabs>
          <w:tab w:val="left" w:pos="1162"/>
        </w:tabs>
        <w:spacing w:before="240" w:after="120"/>
      </w:pPr>
      <w:bookmarkStart w:id="329" w:name="_Toc380754766"/>
      <w:bookmarkStart w:id="330" w:name="_Toc412550785"/>
      <w:r>
        <w:t>Classification</w:t>
      </w:r>
      <w:bookmarkEnd w:id="329"/>
      <w:bookmarkEnd w:id="330"/>
    </w:p>
    <w:p w:rsidR="00DA0219" w:rsidRDefault="00B54134" w:rsidP="00AD4FFC">
      <w:pPr>
        <w:tabs>
          <w:tab w:val="left" w:pos="1162"/>
        </w:tabs>
        <w:rPr>
          <w:rFonts w:cs="Arial"/>
          <w:szCs w:val="20"/>
        </w:rPr>
      </w:pPr>
      <w:r>
        <w:rPr>
          <w:rFonts w:cs="Arial"/>
          <w:szCs w:val="20"/>
        </w:rPr>
        <w:t>F</w:t>
      </w:r>
      <w:r w:rsidR="00460371">
        <w:rPr>
          <w:rFonts w:cs="Arial"/>
          <w:szCs w:val="20"/>
        </w:rPr>
        <w:t xml:space="preserve">or </w:t>
      </w:r>
      <w:r>
        <w:rPr>
          <w:rFonts w:cs="Arial"/>
          <w:szCs w:val="20"/>
        </w:rPr>
        <w:t xml:space="preserve">both </w:t>
      </w:r>
      <w:r w:rsidR="00460371">
        <w:rPr>
          <w:rFonts w:cs="Arial"/>
          <w:szCs w:val="20"/>
        </w:rPr>
        <w:t>the 2013-14 NEC (</w:t>
      </w:r>
      <w:r w:rsidR="00B94FB5">
        <w:rPr>
          <w:rFonts w:cs="Arial"/>
          <w:szCs w:val="20"/>
        </w:rPr>
        <w:t>NEC1</w:t>
      </w:r>
      <w:r>
        <w:rPr>
          <w:rFonts w:cs="Arial"/>
          <w:szCs w:val="20"/>
        </w:rPr>
        <w:t>3</w:t>
      </w:r>
      <w:r w:rsidR="00460371">
        <w:rPr>
          <w:rFonts w:cs="Arial"/>
          <w:szCs w:val="20"/>
        </w:rPr>
        <w:t>)</w:t>
      </w:r>
      <w:r>
        <w:rPr>
          <w:rFonts w:cs="Arial"/>
          <w:szCs w:val="20"/>
        </w:rPr>
        <w:t xml:space="preserve"> </w:t>
      </w:r>
      <w:r w:rsidR="00090F16">
        <w:rPr>
          <w:rFonts w:cs="Arial"/>
          <w:szCs w:val="20"/>
        </w:rPr>
        <w:t xml:space="preserve">and </w:t>
      </w:r>
      <w:r>
        <w:rPr>
          <w:rFonts w:cs="Arial"/>
          <w:szCs w:val="20"/>
        </w:rPr>
        <w:t>NEC14</w:t>
      </w:r>
      <w:r w:rsidR="00460371">
        <w:rPr>
          <w:rFonts w:cs="Arial"/>
          <w:szCs w:val="20"/>
        </w:rPr>
        <w:t>, the cost model assign</w:t>
      </w:r>
      <w:r>
        <w:rPr>
          <w:rFonts w:cs="Arial"/>
          <w:szCs w:val="20"/>
        </w:rPr>
        <w:t>ed</w:t>
      </w:r>
      <w:r w:rsidR="00460371">
        <w:rPr>
          <w:rFonts w:cs="Arial"/>
          <w:szCs w:val="20"/>
        </w:rPr>
        <w:t xml:space="preserve"> a size-location cell to each of the nominated block funded hospitals based on </w:t>
      </w:r>
      <w:r w:rsidR="00090F16">
        <w:rPr>
          <w:rFonts w:cs="Arial"/>
          <w:szCs w:val="20"/>
        </w:rPr>
        <w:t xml:space="preserve">the </w:t>
      </w:r>
      <w:r w:rsidR="00460371">
        <w:rPr>
          <w:rFonts w:cs="Arial"/>
          <w:szCs w:val="20"/>
        </w:rPr>
        <w:t xml:space="preserve">average three year total NWAU and the </w:t>
      </w:r>
      <w:r w:rsidR="00460371" w:rsidRPr="00BE7842">
        <w:rPr>
          <w:rFonts w:cs="Arial"/>
          <w:szCs w:val="20"/>
        </w:rPr>
        <w:t>Australian Sta</w:t>
      </w:r>
      <w:r w:rsidR="00460371">
        <w:rPr>
          <w:rFonts w:cs="Arial"/>
          <w:szCs w:val="20"/>
        </w:rPr>
        <w:t>tistical Geography</w:t>
      </w:r>
      <w:r w:rsidR="00460371" w:rsidRPr="00BE7842">
        <w:rPr>
          <w:rFonts w:cs="Arial"/>
          <w:szCs w:val="20"/>
        </w:rPr>
        <w:t xml:space="preserve"> </w:t>
      </w:r>
      <w:r w:rsidR="00460371">
        <w:rPr>
          <w:rFonts w:cs="Arial"/>
          <w:szCs w:val="20"/>
        </w:rPr>
        <w:t xml:space="preserve">Standard (ASGS) Remoteness Area. </w:t>
      </w:r>
      <w:r w:rsidR="00DA0219">
        <w:rPr>
          <w:rFonts w:cs="Arial"/>
          <w:szCs w:val="20"/>
        </w:rPr>
        <w:t xml:space="preserve">The cost model for NEC15 excludes </w:t>
      </w:r>
      <w:r w:rsidR="00090F16">
        <w:rPr>
          <w:rFonts w:cs="Arial"/>
          <w:szCs w:val="20"/>
        </w:rPr>
        <w:t xml:space="preserve">22 </w:t>
      </w:r>
      <w:r w:rsidR="00DA0219">
        <w:rPr>
          <w:rFonts w:cs="Arial"/>
          <w:szCs w:val="20"/>
        </w:rPr>
        <w:t xml:space="preserve">hospitals which have been transferred to the ABF price model. The </w:t>
      </w:r>
      <w:r w:rsidR="00024012">
        <w:rPr>
          <w:rFonts w:cs="Arial"/>
          <w:szCs w:val="20"/>
        </w:rPr>
        <w:t xml:space="preserve">12 </w:t>
      </w:r>
      <w:r w:rsidR="00DA0219">
        <w:rPr>
          <w:rFonts w:cs="Arial"/>
          <w:szCs w:val="20"/>
        </w:rPr>
        <w:t xml:space="preserve">major city </w:t>
      </w:r>
      <w:r w:rsidR="007C7689">
        <w:rPr>
          <w:rFonts w:cs="Arial"/>
          <w:szCs w:val="20"/>
        </w:rPr>
        <w:t xml:space="preserve">and </w:t>
      </w:r>
      <w:r w:rsidR="00024012">
        <w:rPr>
          <w:rFonts w:cs="Arial"/>
          <w:szCs w:val="20"/>
        </w:rPr>
        <w:t>16</w:t>
      </w:r>
      <w:r w:rsidR="007C7689">
        <w:rPr>
          <w:rFonts w:cs="Arial"/>
          <w:szCs w:val="20"/>
        </w:rPr>
        <w:t xml:space="preserve"> specialist psychiatric hospitals are to be block funded on a separate basis. The remaining </w:t>
      </w:r>
      <w:r w:rsidR="00090F16">
        <w:rPr>
          <w:rFonts w:cs="Arial"/>
          <w:szCs w:val="20"/>
        </w:rPr>
        <w:t xml:space="preserve">385 </w:t>
      </w:r>
      <w:r w:rsidR="007C7689">
        <w:rPr>
          <w:rFonts w:cs="Arial"/>
          <w:szCs w:val="20"/>
        </w:rPr>
        <w:t>small rural hospitals comprise the cost model which has been developed in a different wa</w:t>
      </w:r>
      <w:r w:rsidR="00024012">
        <w:rPr>
          <w:rFonts w:cs="Arial"/>
          <w:szCs w:val="20"/>
        </w:rPr>
        <w:t>y to the cost model used for NEC</w:t>
      </w:r>
      <w:r w:rsidR="007C7689">
        <w:rPr>
          <w:rFonts w:cs="Arial"/>
          <w:szCs w:val="20"/>
        </w:rPr>
        <w:t xml:space="preserve">14. The key features of the revised cost model are as follows: </w:t>
      </w:r>
    </w:p>
    <w:p w:rsidR="008D4C15" w:rsidRDefault="008D4C15" w:rsidP="008D4C15">
      <w:pPr>
        <w:pStyle w:val="ListParagraph"/>
        <w:numPr>
          <w:ilvl w:val="0"/>
          <w:numId w:val="59"/>
        </w:numPr>
        <w:tabs>
          <w:tab w:val="left" w:pos="1162"/>
        </w:tabs>
        <w:rPr>
          <w:rFonts w:cs="Arial"/>
          <w:szCs w:val="20"/>
        </w:rPr>
      </w:pPr>
      <w:r>
        <w:rPr>
          <w:rFonts w:cs="Arial"/>
          <w:szCs w:val="20"/>
        </w:rPr>
        <w:t>A re-defined number of size groups with different thresholds:</w:t>
      </w:r>
    </w:p>
    <w:p w:rsidR="008D4C15" w:rsidRDefault="008D4C15" w:rsidP="009B622C">
      <w:pPr>
        <w:pStyle w:val="ListParagraph"/>
        <w:numPr>
          <w:ilvl w:val="1"/>
          <w:numId w:val="59"/>
        </w:numPr>
        <w:tabs>
          <w:tab w:val="left" w:pos="1162"/>
        </w:tabs>
        <w:ind w:left="1434" w:hanging="357"/>
        <w:rPr>
          <w:rFonts w:cs="Arial"/>
          <w:szCs w:val="20"/>
        </w:rPr>
      </w:pPr>
      <w:r>
        <w:rPr>
          <w:rFonts w:cs="Arial"/>
          <w:szCs w:val="20"/>
        </w:rPr>
        <w:t>Group 0:</w:t>
      </w:r>
      <w:r w:rsidR="00B3571F">
        <w:rPr>
          <w:rFonts w:cs="Arial"/>
          <w:szCs w:val="20"/>
        </w:rPr>
        <w:t xml:space="preserve"> </w:t>
      </w:r>
      <w:r>
        <w:rPr>
          <w:rFonts w:cs="Arial"/>
          <w:szCs w:val="20"/>
        </w:rPr>
        <w:t>Less than $0.5 million</w:t>
      </w:r>
    </w:p>
    <w:p w:rsidR="008D4C15" w:rsidRDefault="008D4C15" w:rsidP="009B622C">
      <w:pPr>
        <w:pStyle w:val="ListParagraph"/>
        <w:numPr>
          <w:ilvl w:val="1"/>
          <w:numId w:val="59"/>
        </w:numPr>
        <w:tabs>
          <w:tab w:val="left" w:pos="1162"/>
        </w:tabs>
        <w:ind w:left="1434" w:hanging="357"/>
        <w:rPr>
          <w:rFonts w:cs="Arial"/>
          <w:szCs w:val="20"/>
        </w:rPr>
      </w:pPr>
      <w:r>
        <w:rPr>
          <w:rFonts w:cs="Arial"/>
          <w:szCs w:val="20"/>
        </w:rPr>
        <w:t>Group A:</w:t>
      </w:r>
      <w:r w:rsidR="00B3571F">
        <w:rPr>
          <w:rFonts w:cs="Arial"/>
          <w:szCs w:val="20"/>
        </w:rPr>
        <w:t xml:space="preserve"> </w:t>
      </w:r>
      <w:r>
        <w:rPr>
          <w:rFonts w:cs="Arial"/>
          <w:szCs w:val="20"/>
        </w:rPr>
        <w:t>0 - 259.9</w:t>
      </w:r>
      <w:r w:rsidR="00B3571F">
        <w:rPr>
          <w:rFonts w:cs="Arial"/>
          <w:szCs w:val="20"/>
        </w:rPr>
        <w:t xml:space="preserve"> </w:t>
      </w:r>
      <w:r>
        <w:rPr>
          <w:rFonts w:cs="Arial"/>
          <w:szCs w:val="20"/>
        </w:rPr>
        <w:t>NWAU</w:t>
      </w:r>
    </w:p>
    <w:p w:rsidR="008D4C15" w:rsidRDefault="008D4C15" w:rsidP="009B622C">
      <w:pPr>
        <w:pStyle w:val="ListParagraph"/>
        <w:numPr>
          <w:ilvl w:val="1"/>
          <w:numId w:val="59"/>
        </w:numPr>
        <w:tabs>
          <w:tab w:val="left" w:pos="1162"/>
        </w:tabs>
        <w:ind w:left="1434" w:hanging="357"/>
        <w:rPr>
          <w:rFonts w:cs="Arial"/>
          <w:szCs w:val="20"/>
        </w:rPr>
      </w:pPr>
      <w:r>
        <w:rPr>
          <w:rFonts w:cs="Arial"/>
          <w:szCs w:val="20"/>
        </w:rPr>
        <w:t>Group B:</w:t>
      </w:r>
      <w:r w:rsidR="00B3571F">
        <w:rPr>
          <w:rFonts w:cs="Arial"/>
          <w:szCs w:val="20"/>
        </w:rPr>
        <w:t xml:space="preserve"> </w:t>
      </w:r>
      <w:r>
        <w:rPr>
          <w:rFonts w:cs="Arial"/>
          <w:szCs w:val="20"/>
        </w:rPr>
        <w:t>260 – 459.9</w:t>
      </w:r>
      <w:r w:rsidR="00B3571F">
        <w:rPr>
          <w:rFonts w:cs="Arial"/>
          <w:szCs w:val="20"/>
        </w:rPr>
        <w:t xml:space="preserve"> </w:t>
      </w:r>
      <w:r>
        <w:rPr>
          <w:rFonts w:cs="Arial"/>
          <w:szCs w:val="20"/>
        </w:rPr>
        <w:t>NWAU</w:t>
      </w:r>
    </w:p>
    <w:p w:rsidR="008D4C15" w:rsidRDefault="008D4C15" w:rsidP="009B622C">
      <w:pPr>
        <w:pStyle w:val="ListParagraph"/>
        <w:numPr>
          <w:ilvl w:val="1"/>
          <w:numId w:val="59"/>
        </w:numPr>
        <w:tabs>
          <w:tab w:val="left" w:pos="1162"/>
        </w:tabs>
        <w:ind w:left="1434" w:hanging="357"/>
        <w:rPr>
          <w:rFonts w:cs="Arial"/>
          <w:szCs w:val="20"/>
        </w:rPr>
      </w:pPr>
      <w:r>
        <w:rPr>
          <w:rFonts w:cs="Arial"/>
          <w:szCs w:val="20"/>
        </w:rPr>
        <w:t>Group C:</w:t>
      </w:r>
      <w:r w:rsidR="00B3571F">
        <w:rPr>
          <w:rFonts w:cs="Arial"/>
          <w:szCs w:val="20"/>
        </w:rPr>
        <w:t xml:space="preserve"> </w:t>
      </w:r>
      <w:r>
        <w:rPr>
          <w:rFonts w:cs="Arial"/>
          <w:szCs w:val="20"/>
        </w:rPr>
        <w:t>460 – 659.9 NWAU</w:t>
      </w:r>
    </w:p>
    <w:p w:rsidR="008D4C15" w:rsidRDefault="008D4C15" w:rsidP="009B622C">
      <w:pPr>
        <w:pStyle w:val="ListParagraph"/>
        <w:numPr>
          <w:ilvl w:val="1"/>
          <w:numId w:val="59"/>
        </w:numPr>
        <w:tabs>
          <w:tab w:val="left" w:pos="1162"/>
        </w:tabs>
        <w:ind w:left="1434" w:hanging="357"/>
        <w:rPr>
          <w:rFonts w:cs="Arial"/>
          <w:szCs w:val="20"/>
        </w:rPr>
      </w:pPr>
      <w:r>
        <w:rPr>
          <w:rFonts w:cs="Arial"/>
          <w:szCs w:val="20"/>
        </w:rPr>
        <w:t>Group D:</w:t>
      </w:r>
      <w:r w:rsidR="00B3571F">
        <w:rPr>
          <w:rFonts w:cs="Arial"/>
          <w:szCs w:val="20"/>
        </w:rPr>
        <w:t xml:space="preserve"> </w:t>
      </w:r>
      <w:r>
        <w:rPr>
          <w:rFonts w:cs="Arial"/>
          <w:szCs w:val="20"/>
        </w:rPr>
        <w:t>660 – 1049.9 NWAU</w:t>
      </w:r>
    </w:p>
    <w:p w:rsidR="008D4C15" w:rsidRDefault="008D4C15" w:rsidP="009B622C">
      <w:pPr>
        <w:pStyle w:val="ListParagraph"/>
        <w:numPr>
          <w:ilvl w:val="1"/>
          <w:numId w:val="59"/>
        </w:numPr>
        <w:tabs>
          <w:tab w:val="left" w:pos="1162"/>
        </w:tabs>
        <w:ind w:left="1434" w:hanging="357"/>
        <w:rPr>
          <w:rFonts w:cs="Arial"/>
          <w:szCs w:val="20"/>
        </w:rPr>
      </w:pPr>
      <w:r>
        <w:rPr>
          <w:rFonts w:cs="Arial"/>
          <w:szCs w:val="20"/>
        </w:rPr>
        <w:t>Group E:</w:t>
      </w:r>
      <w:r w:rsidR="00B3571F">
        <w:rPr>
          <w:rFonts w:cs="Arial"/>
          <w:szCs w:val="20"/>
        </w:rPr>
        <w:t xml:space="preserve"> </w:t>
      </w:r>
      <w:r>
        <w:rPr>
          <w:rFonts w:cs="Arial"/>
          <w:szCs w:val="20"/>
        </w:rPr>
        <w:t>1050 – 1699.9 NWAU</w:t>
      </w:r>
    </w:p>
    <w:p w:rsidR="008D4C15" w:rsidRDefault="008D4C15" w:rsidP="009B622C">
      <w:pPr>
        <w:pStyle w:val="ListParagraph"/>
        <w:numPr>
          <w:ilvl w:val="1"/>
          <w:numId w:val="59"/>
        </w:numPr>
        <w:tabs>
          <w:tab w:val="left" w:pos="1162"/>
        </w:tabs>
        <w:ind w:left="1434" w:hanging="357"/>
        <w:rPr>
          <w:rFonts w:cs="Arial"/>
          <w:szCs w:val="20"/>
        </w:rPr>
      </w:pPr>
      <w:r>
        <w:rPr>
          <w:rFonts w:cs="Arial"/>
          <w:szCs w:val="20"/>
        </w:rPr>
        <w:t>Group F:</w:t>
      </w:r>
      <w:r w:rsidR="00B3571F">
        <w:rPr>
          <w:rFonts w:cs="Arial"/>
          <w:szCs w:val="20"/>
        </w:rPr>
        <w:t xml:space="preserve"> </w:t>
      </w:r>
      <w:r>
        <w:rPr>
          <w:rFonts w:cs="Arial"/>
          <w:szCs w:val="20"/>
        </w:rPr>
        <w:t>1070 – 2499.9 NWAU</w:t>
      </w:r>
    </w:p>
    <w:p w:rsidR="008D4C15" w:rsidRDefault="008D4C15" w:rsidP="009B622C">
      <w:pPr>
        <w:pStyle w:val="ListParagraph"/>
        <w:numPr>
          <w:ilvl w:val="1"/>
          <w:numId w:val="59"/>
        </w:numPr>
        <w:tabs>
          <w:tab w:val="left" w:pos="1162"/>
        </w:tabs>
        <w:ind w:left="1434" w:hanging="357"/>
        <w:rPr>
          <w:rFonts w:cs="Arial"/>
          <w:szCs w:val="20"/>
        </w:rPr>
      </w:pPr>
      <w:r>
        <w:rPr>
          <w:rFonts w:cs="Arial"/>
          <w:szCs w:val="20"/>
        </w:rPr>
        <w:t>Group G:</w:t>
      </w:r>
      <w:r w:rsidR="00B3571F">
        <w:rPr>
          <w:rFonts w:cs="Arial"/>
          <w:szCs w:val="20"/>
        </w:rPr>
        <w:t xml:space="preserve"> </w:t>
      </w:r>
      <w:r>
        <w:rPr>
          <w:rFonts w:cs="Arial"/>
          <w:szCs w:val="20"/>
        </w:rPr>
        <w:t>2500 – 3500</w:t>
      </w:r>
      <w:r w:rsidR="00B3571F">
        <w:rPr>
          <w:rFonts w:cs="Arial"/>
          <w:szCs w:val="20"/>
        </w:rPr>
        <w:t>.0</w:t>
      </w:r>
      <w:r>
        <w:rPr>
          <w:rFonts w:cs="Arial"/>
          <w:szCs w:val="20"/>
        </w:rPr>
        <w:t xml:space="preserve">  NWAU</w:t>
      </w:r>
    </w:p>
    <w:p w:rsidR="00255A3C" w:rsidRDefault="007C7689" w:rsidP="009B622C">
      <w:pPr>
        <w:pStyle w:val="ListParagraph"/>
        <w:numPr>
          <w:ilvl w:val="0"/>
          <w:numId w:val="59"/>
        </w:numPr>
        <w:tabs>
          <w:tab w:val="left" w:pos="1162"/>
        </w:tabs>
        <w:spacing w:before="120"/>
        <w:ind w:left="714" w:hanging="357"/>
        <w:rPr>
          <w:rFonts w:cs="Arial"/>
          <w:szCs w:val="20"/>
        </w:rPr>
      </w:pPr>
      <w:r w:rsidRPr="007C7689">
        <w:rPr>
          <w:rFonts w:cs="Arial"/>
          <w:szCs w:val="20"/>
        </w:rPr>
        <w:t>A reduced number of locality groups to two</w:t>
      </w:r>
      <w:r w:rsidR="008D4C15">
        <w:rPr>
          <w:rFonts w:cs="Arial"/>
          <w:szCs w:val="20"/>
        </w:rPr>
        <w:t xml:space="preserve"> regions</w:t>
      </w:r>
      <w:r w:rsidR="00255A3C">
        <w:rPr>
          <w:rFonts w:cs="Arial"/>
          <w:szCs w:val="20"/>
        </w:rPr>
        <w:t>:</w:t>
      </w:r>
    </w:p>
    <w:p w:rsidR="00255A3C" w:rsidRDefault="008D4C15" w:rsidP="009B622C">
      <w:pPr>
        <w:pStyle w:val="ListParagraph"/>
        <w:numPr>
          <w:ilvl w:val="1"/>
          <w:numId w:val="59"/>
        </w:numPr>
        <w:tabs>
          <w:tab w:val="left" w:pos="1162"/>
        </w:tabs>
        <w:ind w:left="1434" w:hanging="357"/>
        <w:rPr>
          <w:rFonts w:cs="Arial"/>
          <w:szCs w:val="20"/>
        </w:rPr>
      </w:pPr>
      <w:r>
        <w:rPr>
          <w:rFonts w:cs="Arial"/>
          <w:szCs w:val="20"/>
        </w:rPr>
        <w:t>Region</w:t>
      </w:r>
      <w:r w:rsidRPr="007C7689">
        <w:rPr>
          <w:rFonts w:cs="Arial"/>
          <w:szCs w:val="20"/>
        </w:rPr>
        <w:t xml:space="preserve"> </w:t>
      </w:r>
      <w:r w:rsidR="007C7689" w:rsidRPr="007C7689">
        <w:rPr>
          <w:rFonts w:cs="Arial"/>
          <w:szCs w:val="20"/>
        </w:rPr>
        <w:t>1: inner regiona</w:t>
      </w:r>
      <w:r w:rsidR="00255A3C">
        <w:rPr>
          <w:rFonts w:cs="Arial"/>
          <w:szCs w:val="20"/>
        </w:rPr>
        <w:t>l, outer regional, remote</w:t>
      </w:r>
    </w:p>
    <w:p w:rsidR="007C7689" w:rsidRPr="007C7689" w:rsidRDefault="008D4C15" w:rsidP="00C245E0">
      <w:pPr>
        <w:pStyle w:val="ListParagraph"/>
        <w:numPr>
          <w:ilvl w:val="1"/>
          <w:numId w:val="59"/>
        </w:numPr>
        <w:tabs>
          <w:tab w:val="left" w:pos="1162"/>
        </w:tabs>
        <w:spacing w:after="0"/>
        <w:ind w:left="1434" w:hanging="357"/>
        <w:rPr>
          <w:rFonts w:cs="Arial"/>
          <w:szCs w:val="20"/>
        </w:rPr>
      </w:pPr>
      <w:r>
        <w:rPr>
          <w:rFonts w:cs="Arial"/>
          <w:szCs w:val="20"/>
        </w:rPr>
        <w:t>Region</w:t>
      </w:r>
      <w:r w:rsidR="00255A3C">
        <w:rPr>
          <w:rFonts w:cs="Arial"/>
          <w:szCs w:val="20"/>
        </w:rPr>
        <w:t xml:space="preserve"> 2: very remote. </w:t>
      </w:r>
    </w:p>
    <w:p w:rsidR="00255A3C" w:rsidRDefault="007C7689" w:rsidP="009B622C">
      <w:pPr>
        <w:pStyle w:val="ListParagraph"/>
        <w:numPr>
          <w:ilvl w:val="0"/>
          <w:numId w:val="59"/>
        </w:numPr>
        <w:tabs>
          <w:tab w:val="left" w:pos="1162"/>
        </w:tabs>
        <w:spacing w:before="240"/>
        <w:rPr>
          <w:rFonts w:cs="Arial"/>
          <w:szCs w:val="20"/>
        </w:rPr>
      </w:pPr>
      <w:r>
        <w:rPr>
          <w:rFonts w:cs="Arial"/>
          <w:szCs w:val="20"/>
        </w:rPr>
        <w:t>Introduction of three</w:t>
      </w:r>
      <w:r w:rsidRPr="007C7689">
        <w:rPr>
          <w:rFonts w:cs="Arial"/>
          <w:szCs w:val="20"/>
        </w:rPr>
        <w:t xml:space="preserve"> hospital-type groups</w:t>
      </w:r>
      <w:r w:rsidR="00255A3C">
        <w:rPr>
          <w:rFonts w:cs="Arial"/>
          <w:szCs w:val="20"/>
        </w:rPr>
        <w:t>:</w:t>
      </w:r>
    </w:p>
    <w:p w:rsidR="008D4C15" w:rsidRDefault="007C7689" w:rsidP="008D4C15">
      <w:pPr>
        <w:pStyle w:val="ListParagraph"/>
        <w:numPr>
          <w:ilvl w:val="1"/>
          <w:numId w:val="59"/>
        </w:numPr>
        <w:tabs>
          <w:tab w:val="left" w:pos="1162"/>
        </w:tabs>
        <w:spacing w:after="0"/>
        <w:ind w:left="1434" w:hanging="357"/>
        <w:rPr>
          <w:rFonts w:cs="Arial"/>
          <w:szCs w:val="20"/>
        </w:rPr>
      </w:pPr>
      <w:r w:rsidRPr="007C7689">
        <w:rPr>
          <w:rFonts w:cs="Arial"/>
          <w:szCs w:val="20"/>
        </w:rPr>
        <w:t xml:space="preserve">Type </w:t>
      </w:r>
      <w:r w:rsidR="00255A3C">
        <w:rPr>
          <w:rFonts w:cs="Arial"/>
          <w:szCs w:val="20"/>
        </w:rPr>
        <w:t xml:space="preserve">A: </w:t>
      </w:r>
      <w:r w:rsidR="008D4C15">
        <w:rPr>
          <w:rFonts w:cs="Arial"/>
          <w:szCs w:val="20"/>
        </w:rPr>
        <w:t xml:space="preserve">hospitals with more than 30 NWAUs of either surgical or obstetric episodes. </w:t>
      </w:r>
    </w:p>
    <w:p w:rsidR="008D4C15" w:rsidRDefault="00024012" w:rsidP="0070055C">
      <w:pPr>
        <w:pStyle w:val="ListParagraph"/>
        <w:numPr>
          <w:ilvl w:val="1"/>
          <w:numId w:val="59"/>
        </w:numPr>
        <w:tabs>
          <w:tab w:val="left" w:pos="1162"/>
        </w:tabs>
        <w:spacing w:before="120" w:after="0"/>
        <w:ind w:left="1434" w:hanging="357"/>
        <w:rPr>
          <w:rFonts w:cs="Arial"/>
          <w:szCs w:val="20"/>
        </w:rPr>
      </w:pPr>
      <w:r w:rsidRPr="00C46AF8">
        <w:rPr>
          <w:rFonts w:cs="Arial"/>
          <w:szCs w:val="20"/>
        </w:rPr>
        <w:t>Type B</w:t>
      </w:r>
      <w:r w:rsidR="007C7689" w:rsidRPr="00A24E5A">
        <w:rPr>
          <w:rFonts w:cs="Arial"/>
          <w:szCs w:val="20"/>
        </w:rPr>
        <w:t xml:space="preserve">: </w:t>
      </w:r>
      <w:r w:rsidR="008D4C15">
        <w:rPr>
          <w:rFonts w:cs="Arial"/>
          <w:szCs w:val="20"/>
        </w:rPr>
        <w:t>hospitals not in Type A that have more than 30% of their total NWAU as acute admitted activity</w:t>
      </w:r>
      <w:r w:rsidR="00D14FC2">
        <w:rPr>
          <w:rFonts w:cs="Arial"/>
          <w:szCs w:val="20"/>
        </w:rPr>
        <w:t xml:space="preserve">. </w:t>
      </w:r>
    </w:p>
    <w:p w:rsidR="007C7689" w:rsidRPr="00267717" w:rsidRDefault="00024012" w:rsidP="009B622C">
      <w:pPr>
        <w:pStyle w:val="ListParagraph"/>
        <w:numPr>
          <w:ilvl w:val="1"/>
          <w:numId w:val="59"/>
        </w:numPr>
        <w:tabs>
          <w:tab w:val="left" w:pos="1162"/>
        </w:tabs>
        <w:spacing w:before="120"/>
        <w:ind w:left="1434" w:hanging="357"/>
        <w:rPr>
          <w:rFonts w:cs="Arial"/>
          <w:szCs w:val="20"/>
        </w:rPr>
      </w:pPr>
      <w:r w:rsidRPr="00267717">
        <w:rPr>
          <w:rFonts w:cs="Arial"/>
          <w:szCs w:val="20"/>
        </w:rPr>
        <w:lastRenderedPageBreak/>
        <w:t>Type C</w:t>
      </w:r>
      <w:r w:rsidR="00255A3C" w:rsidRPr="00600132">
        <w:rPr>
          <w:rFonts w:cs="Arial"/>
          <w:szCs w:val="20"/>
        </w:rPr>
        <w:t xml:space="preserve">: </w:t>
      </w:r>
      <w:r w:rsidR="008D4C15">
        <w:rPr>
          <w:rFonts w:cs="Arial"/>
          <w:szCs w:val="20"/>
        </w:rPr>
        <w:t>Other hospitals in Region 1 but not in Types A or B</w:t>
      </w:r>
      <w:r w:rsidR="00255A3C" w:rsidRPr="00A24E5A">
        <w:rPr>
          <w:rFonts w:cs="Arial"/>
          <w:szCs w:val="20"/>
        </w:rPr>
        <w:t xml:space="preserve">. </w:t>
      </w:r>
    </w:p>
    <w:p w:rsidR="007C7689" w:rsidRPr="007C7689" w:rsidRDefault="007C7689" w:rsidP="00C245E0">
      <w:pPr>
        <w:pStyle w:val="ListParagraph"/>
        <w:numPr>
          <w:ilvl w:val="0"/>
          <w:numId w:val="59"/>
        </w:numPr>
        <w:tabs>
          <w:tab w:val="left" w:pos="1162"/>
        </w:tabs>
        <w:spacing w:before="120"/>
        <w:ind w:left="714" w:hanging="357"/>
        <w:rPr>
          <w:rFonts w:cs="Arial"/>
          <w:szCs w:val="20"/>
        </w:rPr>
      </w:pPr>
      <w:r w:rsidRPr="007C7689">
        <w:rPr>
          <w:rFonts w:cs="Arial"/>
          <w:szCs w:val="20"/>
        </w:rPr>
        <w:t xml:space="preserve">Using regression analysis to determine the cost weights. </w:t>
      </w:r>
    </w:p>
    <w:p w:rsidR="00460371" w:rsidRDefault="00460371" w:rsidP="00174700">
      <w:pPr>
        <w:pStyle w:val="Heading2"/>
        <w:keepLines w:val="0"/>
        <w:numPr>
          <w:ilvl w:val="1"/>
          <w:numId w:val="73"/>
        </w:numPr>
        <w:tabs>
          <w:tab w:val="left" w:pos="1162"/>
        </w:tabs>
        <w:spacing w:after="60"/>
      </w:pPr>
      <w:bookmarkStart w:id="331" w:name="_Toc380754767"/>
      <w:bookmarkStart w:id="332" w:name="_Toc412550786"/>
      <w:r>
        <w:t>Analysis of costs</w:t>
      </w:r>
      <w:bookmarkEnd w:id="331"/>
      <w:bookmarkEnd w:id="332"/>
      <w:r>
        <w:t xml:space="preserve"> </w:t>
      </w:r>
    </w:p>
    <w:p w:rsidR="00460371" w:rsidRDefault="00460371" w:rsidP="00174700">
      <w:pPr>
        <w:pStyle w:val="Heading3"/>
        <w:keepLines w:val="0"/>
        <w:numPr>
          <w:ilvl w:val="2"/>
          <w:numId w:val="73"/>
        </w:numPr>
        <w:spacing w:before="240" w:after="120"/>
      </w:pPr>
      <w:bookmarkStart w:id="333" w:name="_Ref373492455"/>
      <w:bookmarkStart w:id="334" w:name="_Ref373492460"/>
      <w:bookmarkStart w:id="335" w:name="_Toc380754768"/>
      <w:bookmarkStart w:id="336" w:name="_Toc412550787"/>
      <w:r>
        <w:t>Data preparation</w:t>
      </w:r>
      <w:bookmarkEnd w:id="333"/>
      <w:bookmarkEnd w:id="334"/>
      <w:bookmarkEnd w:id="335"/>
      <w:bookmarkEnd w:id="336"/>
    </w:p>
    <w:p w:rsidR="00460371" w:rsidRPr="001F6FD3" w:rsidRDefault="00024012" w:rsidP="00AD4FFC">
      <w:pPr>
        <w:tabs>
          <w:tab w:val="left" w:pos="1162"/>
        </w:tabs>
        <w:rPr>
          <w:rFonts w:cs="Arial"/>
          <w:szCs w:val="20"/>
        </w:rPr>
      </w:pPr>
      <w:r>
        <w:rPr>
          <w:rFonts w:cs="Arial"/>
          <w:szCs w:val="20"/>
        </w:rPr>
        <w:t xml:space="preserve">The </w:t>
      </w:r>
      <w:r w:rsidR="00460371" w:rsidRPr="001F6FD3">
        <w:rPr>
          <w:rFonts w:cs="Arial"/>
          <w:szCs w:val="20"/>
        </w:rPr>
        <w:t xml:space="preserve">approach underpinning IHPA’s data preparation process for </w:t>
      </w:r>
      <w:r w:rsidR="00B94FB5">
        <w:rPr>
          <w:rFonts w:cs="Arial"/>
          <w:szCs w:val="20"/>
        </w:rPr>
        <w:t>NEC15</w:t>
      </w:r>
      <w:r w:rsidR="0095259F">
        <w:rPr>
          <w:rFonts w:cs="Arial"/>
          <w:szCs w:val="20"/>
        </w:rPr>
        <w:t xml:space="preserve"> is broad</w:t>
      </w:r>
      <w:r>
        <w:rPr>
          <w:rFonts w:cs="Arial"/>
          <w:szCs w:val="20"/>
        </w:rPr>
        <w:t>ly the same as that used for NEC</w:t>
      </w:r>
      <w:r w:rsidR="0095259F">
        <w:rPr>
          <w:rFonts w:cs="Arial"/>
          <w:szCs w:val="20"/>
        </w:rPr>
        <w:t>14</w:t>
      </w:r>
      <w:r w:rsidR="00460371" w:rsidRPr="001F6FD3">
        <w:rPr>
          <w:rFonts w:cs="Arial"/>
          <w:szCs w:val="20"/>
        </w:rPr>
        <w:t xml:space="preserve">, </w:t>
      </w:r>
      <w:r w:rsidR="0095259F">
        <w:rPr>
          <w:rFonts w:cs="Arial"/>
          <w:szCs w:val="20"/>
        </w:rPr>
        <w:t>and</w:t>
      </w:r>
      <w:r w:rsidR="00460371" w:rsidRPr="001F6FD3">
        <w:rPr>
          <w:rFonts w:cs="Arial"/>
          <w:szCs w:val="20"/>
        </w:rPr>
        <w:t xml:space="preserve"> basically involves:</w:t>
      </w:r>
    </w:p>
    <w:p w:rsidR="00460371" w:rsidRPr="001F6FD3" w:rsidRDefault="000F7CC7" w:rsidP="00C245E0">
      <w:pPr>
        <w:pStyle w:val="ListParagraph"/>
        <w:numPr>
          <w:ilvl w:val="0"/>
          <w:numId w:val="58"/>
        </w:numPr>
        <w:tabs>
          <w:tab w:val="left" w:pos="1162"/>
        </w:tabs>
        <w:rPr>
          <w:rFonts w:cs="Arial"/>
          <w:szCs w:val="20"/>
        </w:rPr>
      </w:pPr>
      <w:proofErr w:type="gramStart"/>
      <w:r>
        <w:rPr>
          <w:rFonts w:cs="Arial"/>
          <w:szCs w:val="20"/>
        </w:rPr>
        <w:t>E</w:t>
      </w:r>
      <w:r w:rsidR="00460371" w:rsidRPr="001F6FD3">
        <w:rPr>
          <w:rFonts w:cs="Arial"/>
          <w:szCs w:val="20"/>
        </w:rPr>
        <w:t>xtrac</w:t>
      </w:r>
      <w:r w:rsidR="00024012">
        <w:rPr>
          <w:rFonts w:cs="Arial"/>
          <w:szCs w:val="20"/>
        </w:rPr>
        <w:t>tion of activity data from</w:t>
      </w:r>
      <w:r>
        <w:rPr>
          <w:rFonts w:cs="Arial"/>
          <w:szCs w:val="20"/>
        </w:rPr>
        <w:t xml:space="preserve"> the</w:t>
      </w:r>
      <w:r w:rsidR="00024012">
        <w:rPr>
          <w:rFonts w:cs="Arial"/>
          <w:szCs w:val="20"/>
        </w:rPr>
        <w:t xml:space="preserve"> </w:t>
      </w:r>
      <w:r w:rsidR="00460371" w:rsidRPr="001F6FD3">
        <w:rPr>
          <w:rFonts w:cs="Arial"/>
          <w:szCs w:val="20"/>
        </w:rPr>
        <w:t xml:space="preserve">IHPA ABF DSS and </w:t>
      </w:r>
      <w:r w:rsidR="0095259F" w:rsidRPr="001F6FD3">
        <w:rPr>
          <w:rFonts w:cs="Arial"/>
          <w:szCs w:val="20"/>
        </w:rPr>
        <w:t>N</w:t>
      </w:r>
      <w:r w:rsidR="0095259F">
        <w:rPr>
          <w:rFonts w:cs="Arial"/>
          <w:szCs w:val="20"/>
        </w:rPr>
        <w:t>PH</w:t>
      </w:r>
      <w:r w:rsidR="0095259F" w:rsidRPr="001F6FD3">
        <w:rPr>
          <w:rFonts w:cs="Arial"/>
          <w:szCs w:val="20"/>
        </w:rPr>
        <w:t xml:space="preserve">ED </w:t>
      </w:r>
      <w:r w:rsidR="00460371" w:rsidRPr="001F6FD3">
        <w:rPr>
          <w:rFonts w:cs="Arial"/>
          <w:szCs w:val="20"/>
        </w:rPr>
        <w:t xml:space="preserve">for each </w:t>
      </w:r>
      <w:r w:rsidR="00460371">
        <w:rPr>
          <w:rFonts w:cs="Arial"/>
          <w:szCs w:val="20"/>
        </w:rPr>
        <w:t>b</w:t>
      </w:r>
      <w:r w:rsidR="00460371" w:rsidRPr="001F6FD3">
        <w:rPr>
          <w:rFonts w:cs="Arial"/>
          <w:szCs w:val="20"/>
        </w:rPr>
        <w:t>lock</w:t>
      </w:r>
      <w:proofErr w:type="gramEnd"/>
      <w:r w:rsidR="00460371" w:rsidRPr="001F6FD3">
        <w:rPr>
          <w:rFonts w:cs="Arial"/>
          <w:szCs w:val="20"/>
        </w:rPr>
        <w:t xml:space="preserve"> funded hospital and conversion of that data into </w:t>
      </w:r>
      <w:r w:rsidR="00460371">
        <w:rPr>
          <w:rFonts w:cs="Arial"/>
          <w:szCs w:val="20"/>
        </w:rPr>
        <w:t>in-scope</w:t>
      </w:r>
      <w:r>
        <w:rPr>
          <w:rFonts w:cs="Arial"/>
          <w:szCs w:val="20"/>
        </w:rPr>
        <w:t xml:space="preserve"> NWAUs. </w:t>
      </w:r>
    </w:p>
    <w:p w:rsidR="00460371" w:rsidRPr="001F6FD3" w:rsidRDefault="000F7CC7" w:rsidP="00C245E0">
      <w:pPr>
        <w:pStyle w:val="ListParagraph"/>
        <w:numPr>
          <w:ilvl w:val="0"/>
          <w:numId w:val="58"/>
        </w:numPr>
        <w:tabs>
          <w:tab w:val="left" w:pos="1162"/>
        </w:tabs>
        <w:ind w:left="714" w:hanging="357"/>
        <w:rPr>
          <w:rFonts w:cs="Arial"/>
          <w:szCs w:val="20"/>
        </w:rPr>
      </w:pPr>
      <w:r>
        <w:rPr>
          <w:rFonts w:cs="Arial"/>
          <w:szCs w:val="20"/>
        </w:rPr>
        <w:t>E</w:t>
      </w:r>
      <w:r w:rsidR="00460371" w:rsidRPr="001F6FD3">
        <w:rPr>
          <w:rFonts w:cs="Arial"/>
          <w:szCs w:val="20"/>
        </w:rPr>
        <w:t xml:space="preserve">xtraction of patient and aggregate establishment cost data from the NHCDC and aggregate establishment expenditure data from </w:t>
      </w:r>
      <w:r>
        <w:rPr>
          <w:rFonts w:cs="Arial"/>
          <w:szCs w:val="20"/>
        </w:rPr>
        <w:t xml:space="preserve">NPHED. </w:t>
      </w:r>
    </w:p>
    <w:p w:rsidR="00460371" w:rsidRDefault="000F7CC7" w:rsidP="00C245E0">
      <w:pPr>
        <w:pStyle w:val="ListParagraph"/>
        <w:numPr>
          <w:ilvl w:val="0"/>
          <w:numId w:val="58"/>
        </w:numPr>
        <w:tabs>
          <w:tab w:val="left" w:pos="1162"/>
        </w:tabs>
        <w:ind w:left="714" w:hanging="357"/>
        <w:rPr>
          <w:rFonts w:cs="Arial"/>
          <w:szCs w:val="20"/>
        </w:rPr>
      </w:pPr>
      <w:r>
        <w:rPr>
          <w:rFonts w:cs="Arial"/>
          <w:szCs w:val="20"/>
        </w:rPr>
        <w:t>P</w:t>
      </w:r>
      <w:r w:rsidR="00460371" w:rsidRPr="001F6FD3">
        <w:rPr>
          <w:rFonts w:cs="Arial"/>
          <w:szCs w:val="20"/>
        </w:rPr>
        <w:t>re-modelling the data to determine total in-scope expenditure and to calculate missing values for in-scope block funded hospitals.</w:t>
      </w:r>
    </w:p>
    <w:p w:rsidR="00460371" w:rsidRPr="001F6FD3" w:rsidRDefault="00460371" w:rsidP="00AD4FFC">
      <w:pPr>
        <w:tabs>
          <w:tab w:val="left" w:pos="1162"/>
        </w:tabs>
        <w:rPr>
          <w:rFonts w:cs="Arial"/>
          <w:szCs w:val="20"/>
        </w:rPr>
      </w:pPr>
      <w:r w:rsidRPr="001F6FD3">
        <w:rPr>
          <w:rFonts w:cs="Arial"/>
          <w:szCs w:val="20"/>
        </w:rPr>
        <w:t xml:space="preserve">The establishment data required to populate the similar </w:t>
      </w:r>
      <w:r w:rsidR="00B94FB5">
        <w:rPr>
          <w:rFonts w:cs="Arial"/>
          <w:szCs w:val="20"/>
        </w:rPr>
        <w:t>2012-13</w:t>
      </w:r>
      <w:r w:rsidRPr="001F6FD3">
        <w:rPr>
          <w:rFonts w:cs="Arial"/>
          <w:szCs w:val="20"/>
        </w:rPr>
        <w:t xml:space="preserve"> cost model table are:</w:t>
      </w:r>
    </w:p>
    <w:p w:rsidR="00460371" w:rsidRPr="001F6FD3" w:rsidRDefault="00460371" w:rsidP="00C245E0">
      <w:pPr>
        <w:pStyle w:val="ListParagraph"/>
        <w:numPr>
          <w:ilvl w:val="0"/>
          <w:numId w:val="37"/>
        </w:numPr>
        <w:tabs>
          <w:tab w:val="left" w:pos="1162"/>
        </w:tabs>
        <w:ind w:left="714" w:hanging="357"/>
        <w:rPr>
          <w:rFonts w:cs="Arial"/>
          <w:szCs w:val="20"/>
        </w:rPr>
      </w:pPr>
      <w:r w:rsidRPr="001F6FD3">
        <w:rPr>
          <w:rFonts w:cs="Arial"/>
          <w:szCs w:val="20"/>
        </w:rPr>
        <w:t xml:space="preserve">Latest 3-year average of </w:t>
      </w:r>
      <w:r w:rsidR="00024012">
        <w:rPr>
          <w:rFonts w:cs="Arial"/>
          <w:szCs w:val="20"/>
        </w:rPr>
        <w:t xml:space="preserve">acute admitted and </w:t>
      </w:r>
      <w:r w:rsidRPr="001F6FD3">
        <w:rPr>
          <w:rFonts w:cs="Arial"/>
          <w:szCs w:val="20"/>
        </w:rPr>
        <w:t xml:space="preserve">total </w:t>
      </w:r>
      <w:r>
        <w:rPr>
          <w:rFonts w:cs="Arial"/>
          <w:szCs w:val="20"/>
        </w:rPr>
        <w:t>in-scope</w:t>
      </w:r>
      <w:r w:rsidR="000F7CC7">
        <w:rPr>
          <w:rFonts w:cs="Arial"/>
          <w:szCs w:val="20"/>
        </w:rPr>
        <w:t xml:space="preserve"> NWAU per annum (2010</w:t>
      </w:r>
      <w:r w:rsidR="000F7CC7">
        <w:rPr>
          <w:rFonts w:cs="Arial"/>
          <w:szCs w:val="20"/>
        </w:rPr>
        <w:noBreakHyphen/>
      </w:r>
      <w:r w:rsidR="00024012">
        <w:rPr>
          <w:rFonts w:cs="Arial"/>
          <w:szCs w:val="20"/>
        </w:rPr>
        <w:t>11</w:t>
      </w:r>
      <w:r w:rsidRPr="001F6FD3">
        <w:rPr>
          <w:rFonts w:cs="Arial"/>
          <w:szCs w:val="20"/>
        </w:rPr>
        <w:t xml:space="preserve"> to </w:t>
      </w:r>
      <w:r w:rsidR="00B94FB5">
        <w:rPr>
          <w:rFonts w:cs="Arial"/>
          <w:szCs w:val="20"/>
        </w:rPr>
        <w:t>2012-13</w:t>
      </w:r>
      <w:r w:rsidR="000F7CC7">
        <w:rPr>
          <w:rFonts w:cs="Arial"/>
          <w:szCs w:val="20"/>
        </w:rPr>
        <w:t>)</w:t>
      </w:r>
      <w:r w:rsidR="000176B1">
        <w:rPr>
          <w:rFonts w:cs="Arial"/>
          <w:szCs w:val="20"/>
        </w:rPr>
        <w:t>.</w:t>
      </w:r>
      <w:r w:rsidRPr="001F6FD3">
        <w:rPr>
          <w:rFonts w:cs="Arial"/>
          <w:szCs w:val="20"/>
        </w:rPr>
        <w:t xml:space="preserve"> </w:t>
      </w:r>
    </w:p>
    <w:p w:rsidR="00460371" w:rsidRDefault="00460371" w:rsidP="00C245E0">
      <w:pPr>
        <w:pStyle w:val="ListParagraph"/>
        <w:numPr>
          <w:ilvl w:val="0"/>
          <w:numId w:val="37"/>
        </w:numPr>
        <w:tabs>
          <w:tab w:val="left" w:pos="1162"/>
        </w:tabs>
        <w:ind w:left="714" w:hanging="357"/>
        <w:rPr>
          <w:rFonts w:cs="Arial"/>
          <w:szCs w:val="20"/>
        </w:rPr>
      </w:pPr>
      <w:r w:rsidRPr="001F6FD3">
        <w:rPr>
          <w:rFonts w:cs="Arial"/>
          <w:szCs w:val="20"/>
        </w:rPr>
        <w:t xml:space="preserve">Total </w:t>
      </w:r>
      <w:r>
        <w:rPr>
          <w:rFonts w:cs="Arial"/>
          <w:szCs w:val="20"/>
        </w:rPr>
        <w:t>in-scope</w:t>
      </w:r>
      <w:r w:rsidRPr="001F6FD3">
        <w:rPr>
          <w:rFonts w:cs="Arial"/>
          <w:szCs w:val="20"/>
        </w:rPr>
        <w:t xml:space="preserve"> establishment expenditure in </w:t>
      </w:r>
      <w:r w:rsidR="00B94FB5">
        <w:rPr>
          <w:rFonts w:cs="Arial"/>
          <w:szCs w:val="20"/>
        </w:rPr>
        <w:t>2012-13</w:t>
      </w:r>
      <w:r w:rsidR="000F7CC7">
        <w:rPr>
          <w:rFonts w:cs="Arial"/>
          <w:szCs w:val="20"/>
        </w:rPr>
        <w:t>.</w:t>
      </w:r>
    </w:p>
    <w:p w:rsidR="0095259F" w:rsidRPr="001F6FD3" w:rsidRDefault="00024012" w:rsidP="00C245E0">
      <w:pPr>
        <w:pStyle w:val="ListParagraph"/>
        <w:numPr>
          <w:ilvl w:val="0"/>
          <w:numId w:val="37"/>
        </w:numPr>
        <w:tabs>
          <w:tab w:val="left" w:pos="1162"/>
        </w:tabs>
        <w:ind w:left="714" w:hanging="357"/>
        <w:rPr>
          <w:rFonts w:cs="Arial"/>
          <w:szCs w:val="20"/>
        </w:rPr>
      </w:pPr>
      <w:r w:rsidRPr="00024012">
        <w:rPr>
          <w:rFonts w:cs="Arial"/>
          <w:szCs w:val="20"/>
        </w:rPr>
        <w:t xml:space="preserve">Latest 3-year average NWAU assigned to surgical </w:t>
      </w:r>
      <w:r w:rsidR="00AE0449">
        <w:rPr>
          <w:rFonts w:cs="Arial"/>
          <w:szCs w:val="20"/>
        </w:rPr>
        <w:t xml:space="preserve">and </w:t>
      </w:r>
      <w:r w:rsidRPr="00024012">
        <w:rPr>
          <w:rFonts w:cs="Arial"/>
          <w:szCs w:val="20"/>
        </w:rPr>
        <w:t>obstetric delivery DRGs</w:t>
      </w:r>
      <w:r w:rsidR="0095259F">
        <w:rPr>
          <w:rFonts w:cs="Arial"/>
          <w:szCs w:val="20"/>
        </w:rPr>
        <w:t xml:space="preserve">. </w:t>
      </w:r>
    </w:p>
    <w:p w:rsidR="00460371" w:rsidRPr="001F6FD3" w:rsidRDefault="00460371" w:rsidP="00AD4FFC">
      <w:pPr>
        <w:tabs>
          <w:tab w:val="left" w:pos="1162"/>
        </w:tabs>
        <w:rPr>
          <w:rFonts w:cs="Arial"/>
          <w:szCs w:val="20"/>
        </w:rPr>
      </w:pPr>
      <w:r w:rsidRPr="001F6FD3">
        <w:rPr>
          <w:rFonts w:cs="Arial"/>
          <w:szCs w:val="20"/>
        </w:rPr>
        <w:t xml:space="preserve">The first step is to check the eligibility of hospitals for block funding by ensuring that the latest </w:t>
      </w:r>
      <w:r w:rsidR="000A20CE">
        <w:rPr>
          <w:rFonts w:cs="Arial"/>
          <w:szCs w:val="20"/>
        </w:rPr>
        <w:t>three</w:t>
      </w:r>
      <w:r w:rsidRPr="001F6FD3">
        <w:rPr>
          <w:rFonts w:cs="Arial"/>
          <w:szCs w:val="20"/>
        </w:rPr>
        <w:t xml:space="preserve">-year average of </w:t>
      </w:r>
      <w:r w:rsidR="00C121BC">
        <w:rPr>
          <w:rFonts w:cs="Arial"/>
          <w:szCs w:val="20"/>
        </w:rPr>
        <w:t xml:space="preserve">total </w:t>
      </w:r>
      <w:r w:rsidRPr="001F6FD3">
        <w:rPr>
          <w:rFonts w:cs="Arial"/>
          <w:szCs w:val="20"/>
        </w:rPr>
        <w:t xml:space="preserve">NWAU is less than 3,500 NWAU per annum for rural hospitals and </w:t>
      </w:r>
      <w:r w:rsidR="000A20CE">
        <w:rPr>
          <w:rFonts w:cs="Arial"/>
          <w:szCs w:val="20"/>
        </w:rPr>
        <w:t>the acute admitted activity for city hospitals is less than</w:t>
      </w:r>
      <w:r w:rsidRPr="001F6FD3">
        <w:rPr>
          <w:rFonts w:cs="Arial"/>
          <w:szCs w:val="20"/>
        </w:rPr>
        <w:t xml:space="preserve"> 1800 NWAU per annum.</w:t>
      </w:r>
    </w:p>
    <w:p w:rsidR="00460371" w:rsidRDefault="00460371" w:rsidP="00AD4FFC">
      <w:pPr>
        <w:tabs>
          <w:tab w:val="left" w:pos="1162"/>
        </w:tabs>
        <w:rPr>
          <w:rFonts w:cs="Arial"/>
          <w:szCs w:val="20"/>
        </w:rPr>
      </w:pPr>
      <w:r w:rsidRPr="001F6FD3">
        <w:rPr>
          <w:rFonts w:cs="Arial"/>
          <w:szCs w:val="20"/>
        </w:rPr>
        <w:t xml:space="preserve">The NWAU activity measure is calculated first and then the best estimate of </w:t>
      </w:r>
      <w:r w:rsidR="00B94FB5">
        <w:rPr>
          <w:rFonts w:cs="Arial"/>
          <w:szCs w:val="20"/>
        </w:rPr>
        <w:t>2012-13</w:t>
      </w:r>
      <w:r w:rsidRPr="001F6FD3">
        <w:rPr>
          <w:rFonts w:cs="Arial"/>
          <w:szCs w:val="20"/>
        </w:rPr>
        <w:t xml:space="preserve"> </w:t>
      </w:r>
      <w:r>
        <w:rPr>
          <w:rFonts w:cs="Arial"/>
          <w:szCs w:val="20"/>
        </w:rPr>
        <w:t>in scope</w:t>
      </w:r>
      <w:r w:rsidRPr="001F6FD3">
        <w:rPr>
          <w:rFonts w:cs="Arial"/>
          <w:szCs w:val="20"/>
        </w:rPr>
        <w:t xml:space="preserve"> expenditure is derived</w:t>
      </w:r>
      <w:r>
        <w:rPr>
          <w:rFonts w:cs="Arial"/>
          <w:szCs w:val="20"/>
        </w:rPr>
        <w:t>,</w:t>
      </w:r>
      <w:r w:rsidRPr="001F6FD3">
        <w:rPr>
          <w:rFonts w:cs="Arial"/>
          <w:szCs w:val="20"/>
        </w:rPr>
        <w:t xml:space="preserve"> as set out below.</w:t>
      </w:r>
      <w:r>
        <w:rPr>
          <w:rFonts w:cs="Arial"/>
          <w:szCs w:val="20"/>
        </w:rPr>
        <w:t xml:space="preserve"> </w:t>
      </w:r>
      <w:r w:rsidRPr="001F6FD3">
        <w:rPr>
          <w:rFonts w:cs="Arial"/>
          <w:szCs w:val="20"/>
        </w:rPr>
        <w:t xml:space="preserve">To ensure that only </w:t>
      </w:r>
      <w:r>
        <w:rPr>
          <w:rFonts w:cs="Arial"/>
          <w:szCs w:val="20"/>
        </w:rPr>
        <w:t>in-scope</w:t>
      </w:r>
      <w:r w:rsidRPr="001F6FD3">
        <w:rPr>
          <w:rFonts w:cs="Arial"/>
          <w:szCs w:val="20"/>
        </w:rPr>
        <w:t xml:space="preserve"> activity and expenditure are included and th</w:t>
      </w:r>
      <w:r w:rsidRPr="007F3BD3">
        <w:rPr>
          <w:rFonts w:cs="Arial"/>
          <w:szCs w:val="20"/>
        </w:rPr>
        <w:t xml:space="preserve">e out-of-scope expenditure is excluded, it is necessary to calculate the </w:t>
      </w:r>
      <w:r w:rsidR="00A331DA">
        <w:rPr>
          <w:rFonts w:cs="Arial"/>
          <w:szCs w:val="20"/>
        </w:rPr>
        <w:t>in-</w:t>
      </w:r>
      <w:r>
        <w:rPr>
          <w:rFonts w:cs="Arial"/>
          <w:szCs w:val="20"/>
        </w:rPr>
        <w:t>scope</w:t>
      </w:r>
      <w:r w:rsidRPr="007F3BD3">
        <w:rPr>
          <w:rFonts w:cs="Arial"/>
          <w:szCs w:val="20"/>
        </w:rPr>
        <w:t xml:space="preserve"> activity per ABF product stream first</w:t>
      </w:r>
      <w:r w:rsidRPr="00D61580">
        <w:rPr>
          <w:rFonts w:cs="Arial"/>
          <w:szCs w:val="20"/>
        </w:rPr>
        <w:t xml:space="preserve"> and then estimate the </w:t>
      </w:r>
      <w:r w:rsidR="00A331DA">
        <w:rPr>
          <w:rFonts w:cs="Arial"/>
          <w:szCs w:val="20"/>
        </w:rPr>
        <w:t>in-</w:t>
      </w:r>
      <w:r>
        <w:rPr>
          <w:rFonts w:cs="Arial"/>
          <w:szCs w:val="20"/>
        </w:rPr>
        <w:t>scope</w:t>
      </w:r>
      <w:r w:rsidRPr="00D61580">
        <w:rPr>
          <w:rFonts w:cs="Arial"/>
          <w:szCs w:val="20"/>
        </w:rPr>
        <w:t xml:space="preserve"> expenditure for each of those product streams (</w:t>
      </w:r>
      <w:r w:rsidRPr="00F92BE4">
        <w:rPr>
          <w:rStyle w:val="Hyperlink"/>
          <w:b/>
        </w:rPr>
        <w:t xml:space="preserve">Attachment </w:t>
      </w:r>
      <w:r w:rsidR="00164A51">
        <w:rPr>
          <w:rStyle w:val="Hyperlink"/>
          <w:b/>
        </w:rPr>
        <w:t>E</w:t>
      </w:r>
      <w:r w:rsidRPr="00D61580">
        <w:rPr>
          <w:rFonts w:cs="Arial"/>
          <w:szCs w:val="20"/>
        </w:rPr>
        <w:t>).</w:t>
      </w:r>
    </w:p>
    <w:p w:rsidR="00460371" w:rsidRPr="00174700" w:rsidRDefault="00460371" w:rsidP="009B622C">
      <w:pPr>
        <w:tabs>
          <w:tab w:val="left" w:pos="1162"/>
        </w:tabs>
        <w:rPr>
          <w:rFonts w:cs="Arial"/>
          <w:szCs w:val="20"/>
        </w:rPr>
      </w:pPr>
      <w:r>
        <w:rPr>
          <w:rFonts w:cs="Arial"/>
          <w:szCs w:val="20"/>
        </w:rPr>
        <w:t xml:space="preserve">For </w:t>
      </w:r>
      <w:r w:rsidR="00B94FB5">
        <w:rPr>
          <w:rFonts w:cs="Arial"/>
          <w:szCs w:val="20"/>
        </w:rPr>
        <w:t>NEC15</w:t>
      </w:r>
      <w:r>
        <w:rPr>
          <w:rFonts w:cs="Arial"/>
          <w:szCs w:val="20"/>
        </w:rPr>
        <w:t xml:space="preserve">, </w:t>
      </w:r>
      <w:r w:rsidR="00AE0449">
        <w:rPr>
          <w:rFonts w:cs="Arial"/>
          <w:szCs w:val="20"/>
        </w:rPr>
        <w:t>h</w:t>
      </w:r>
      <w:r w:rsidRPr="00AE0449">
        <w:rPr>
          <w:rFonts w:cs="Arial"/>
          <w:szCs w:val="20"/>
        </w:rPr>
        <w:t>ospitals</w:t>
      </w:r>
      <w:r w:rsidRPr="001A7406">
        <w:rPr>
          <w:rFonts w:cs="Arial"/>
          <w:szCs w:val="20"/>
        </w:rPr>
        <w:t xml:space="preserve"> missing expenditure data are assigned their published </w:t>
      </w:r>
      <w:r w:rsidR="00B94FB5" w:rsidRPr="001A7406">
        <w:rPr>
          <w:rFonts w:cs="Arial"/>
          <w:szCs w:val="20"/>
        </w:rPr>
        <w:t>NEC14</w:t>
      </w:r>
      <w:r w:rsidR="00024012" w:rsidRPr="001A7406">
        <w:rPr>
          <w:rFonts w:cs="Arial"/>
          <w:szCs w:val="20"/>
        </w:rPr>
        <w:t xml:space="preserve"> value (for 20</w:t>
      </w:r>
      <w:r w:rsidRPr="00EC3E40">
        <w:rPr>
          <w:rFonts w:cs="Arial"/>
          <w:szCs w:val="20"/>
        </w:rPr>
        <w:t>11</w:t>
      </w:r>
      <w:r w:rsidR="00024012" w:rsidRPr="00EC3E40">
        <w:rPr>
          <w:rFonts w:cs="Arial"/>
          <w:szCs w:val="20"/>
        </w:rPr>
        <w:t>-12</w:t>
      </w:r>
      <w:r w:rsidRPr="00EC3E40">
        <w:rPr>
          <w:rFonts w:cs="Arial"/>
          <w:szCs w:val="20"/>
        </w:rPr>
        <w:t xml:space="preserve">) indexed up one year using the </w:t>
      </w:r>
      <w:r w:rsidR="00024012" w:rsidRPr="00EC3E40">
        <w:rPr>
          <w:rFonts w:cs="Arial"/>
          <w:szCs w:val="20"/>
        </w:rPr>
        <w:t>year-on-year growth between 2011-12</w:t>
      </w:r>
      <w:r w:rsidRPr="0045546E">
        <w:rPr>
          <w:rFonts w:cs="Arial"/>
          <w:szCs w:val="20"/>
        </w:rPr>
        <w:t xml:space="preserve"> and </w:t>
      </w:r>
      <w:r w:rsidR="00B94FB5" w:rsidRPr="00174700">
        <w:rPr>
          <w:rFonts w:cs="Arial"/>
          <w:szCs w:val="20"/>
        </w:rPr>
        <w:t>2012-13</w:t>
      </w:r>
      <w:r w:rsidRPr="00174700">
        <w:rPr>
          <w:rFonts w:cs="Arial"/>
          <w:szCs w:val="20"/>
        </w:rPr>
        <w:t xml:space="preserve"> of </w:t>
      </w:r>
      <w:r w:rsidR="00024012" w:rsidRPr="00174700">
        <w:rPr>
          <w:rFonts w:cs="Arial"/>
          <w:szCs w:val="20"/>
        </w:rPr>
        <w:t>4.6</w:t>
      </w:r>
      <w:r w:rsidRPr="00174700">
        <w:rPr>
          <w:rFonts w:cs="Arial"/>
          <w:szCs w:val="20"/>
        </w:rPr>
        <w:t> per cent.</w:t>
      </w:r>
    </w:p>
    <w:p w:rsidR="001B2079" w:rsidRDefault="00460371" w:rsidP="0015219B">
      <w:pPr>
        <w:tabs>
          <w:tab w:val="left" w:pos="1162"/>
        </w:tabs>
        <w:rPr>
          <w:rFonts w:cs="Arial"/>
          <w:b/>
          <w:bCs/>
          <w:i/>
          <w:iCs/>
          <w:szCs w:val="20"/>
        </w:rPr>
      </w:pPr>
      <w:r w:rsidRPr="001B2079">
        <w:rPr>
          <w:rFonts w:cs="Arial"/>
          <w:szCs w:val="20"/>
        </w:rPr>
        <w:t xml:space="preserve">These hospitals are then treated in the same way as those hospitals with both cost and activity data for the purposes of determining its </w:t>
      </w:r>
      <w:r w:rsidR="00B94FB5" w:rsidRPr="001B2079">
        <w:rPr>
          <w:rFonts w:cs="Arial"/>
          <w:szCs w:val="20"/>
        </w:rPr>
        <w:t>2012-13</w:t>
      </w:r>
      <w:r w:rsidRPr="001B2079">
        <w:rPr>
          <w:rFonts w:cs="Arial"/>
          <w:szCs w:val="20"/>
        </w:rPr>
        <w:t xml:space="preserve"> model average cost and </w:t>
      </w:r>
      <w:r w:rsidR="00B94FB5" w:rsidRPr="001B2079">
        <w:rPr>
          <w:rFonts w:cs="Arial"/>
          <w:szCs w:val="20"/>
        </w:rPr>
        <w:t>2015-16</w:t>
      </w:r>
      <w:r w:rsidRPr="001B2079">
        <w:rPr>
          <w:rFonts w:cs="Arial"/>
          <w:szCs w:val="20"/>
        </w:rPr>
        <w:t xml:space="preserve"> establishment effi</w:t>
      </w:r>
      <w:r w:rsidR="0015219B">
        <w:rPr>
          <w:rFonts w:cs="Arial"/>
          <w:szCs w:val="20"/>
        </w:rPr>
        <w:t>cient cost, discussed in Section 7.3</w:t>
      </w:r>
      <w:r w:rsidRPr="001B2079">
        <w:rPr>
          <w:rFonts w:cs="Arial"/>
          <w:szCs w:val="20"/>
        </w:rPr>
        <w:t>.</w:t>
      </w:r>
    </w:p>
    <w:p w:rsidR="00460371" w:rsidRPr="00D50577" w:rsidRDefault="00460371" w:rsidP="00AD4FFC">
      <w:pPr>
        <w:pStyle w:val="Heading4"/>
      </w:pPr>
      <w:r w:rsidRPr="00D50577">
        <w:t>In-scope Activity</w:t>
      </w:r>
    </w:p>
    <w:p w:rsidR="00460371" w:rsidRPr="001F6FD3" w:rsidRDefault="00460371" w:rsidP="00AD4FFC">
      <w:pPr>
        <w:pStyle w:val="Headingnonumber"/>
      </w:pPr>
      <w:r w:rsidRPr="001F6FD3">
        <w:t>Acute and subacute admitted NWAU</w:t>
      </w:r>
    </w:p>
    <w:p w:rsidR="00460371" w:rsidRPr="001F6FD3" w:rsidRDefault="00460371" w:rsidP="00AD4FFC">
      <w:pPr>
        <w:tabs>
          <w:tab w:val="left" w:pos="1162"/>
        </w:tabs>
        <w:rPr>
          <w:rFonts w:cs="Arial"/>
          <w:szCs w:val="20"/>
        </w:rPr>
      </w:pPr>
      <w:r w:rsidRPr="001F6FD3">
        <w:rPr>
          <w:rFonts w:cs="Arial"/>
          <w:szCs w:val="20"/>
        </w:rPr>
        <w:t>Patient-level admitted data is available for all but a few hospitals in the IHPA ABF</w:t>
      </w:r>
      <w:r w:rsidR="00024012">
        <w:rPr>
          <w:rFonts w:cs="Arial"/>
          <w:szCs w:val="20"/>
        </w:rPr>
        <w:t xml:space="preserve"> DSS</w:t>
      </w:r>
      <w:r w:rsidRPr="001F6FD3">
        <w:rPr>
          <w:rFonts w:cs="Arial"/>
          <w:szCs w:val="20"/>
        </w:rPr>
        <w:t>.</w:t>
      </w:r>
      <w:r>
        <w:rPr>
          <w:rFonts w:cs="Arial"/>
          <w:szCs w:val="20"/>
        </w:rPr>
        <w:t xml:space="preserve"> </w:t>
      </w:r>
    </w:p>
    <w:p w:rsidR="00460371" w:rsidRPr="001F6FD3" w:rsidRDefault="00460371" w:rsidP="00AD4FFC">
      <w:pPr>
        <w:tabs>
          <w:tab w:val="left" w:pos="1162"/>
        </w:tabs>
        <w:rPr>
          <w:rFonts w:cs="Arial"/>
          <w:szCs w:val="20"/>
        </w:rPr>
      </w:pPr>
      <w:r w:rsidRPr="001F6FD3">
        <w:rPr>
          <w:rFonts w:cs="Arial"/>
          <w:szCs w:val="20"/>
        </w:rPr>
        <w:t>The patient-level admitted data has been fed through the NEP1</w:t>
      </w:r>
      <w:r w:rsidR="000A20CE">
        <w:rPr>
          <w:rFonts w:cs="Arial"/>
          <w:szCs w:val="20"/>
        </w:rPr>
        <w:t>4</w:t>
      </w:r>
      <w:r w:rsidRPr="001F6FD3">
        <w:rPr>
          <w:rFonts w:cs="Arial"/>
          <w:szCs w:val="20"/>
        </w:rPr>
        <w:t xml:space="preserve"> NWAU calculator to calculate the </w:t>
      </w:r>
      <w:r>
        <w:rPr>
          <w:rFonts w:cs="Arial"/>
          <w:szCs w:val="20"/>
        </w:rPr>
        <w:t>in-scope</w:t>
      </w:r>
      <w:r w:rsidRPr="001F6FD3">
        <w:rPr>
          <w:rFonts w:cs="Arial"/>
          <w:szCs w:val="20"/>
        </w:rPr>
        <w:t xml:space="preserve"> NWAU and public patient equivalent NWAU of all </w:t>
      </w:r>
      <w:r>
        <w:rPr>
          <w:rFonts w:cs="Arial"/>
          <w:szCs w:val="20"/>
        </w:rPr>
        <w:t>in-scope</w:t>
      </w:r>
      <w:r w:rsidRPr="001F6FD3">
        <w:rPr>
          <w:rFonts w:cs="Arial"/>
          <w:szCs w:val="20"/>
        </w:rPr>
        <w:t xml:space="preserve"> hospital activity</w:t>
      </w:r>
      <w:r w:rsidR="00104D8E">
        <w:rPr>
          <w:rFonts w:cs="Arial"/>
          <w:szCs w:val="20"/>
        </w:rPr>
        <w:t xml:space="preserve">. </w:t>
      </w:r>
      <w:r w:rsidR="00024012" w:rsidRPr="00024012">
        <w:rPr>
          <w:rFonts w:cs="Arial"/>
          <w:szCs w:val="20"/>
        </w:rPr>
        <w:t>A slightly modified version of the calculator is used for episodes with an admission date prior to 1 July 2012 in order to determine the NWAU associated to the portion of the episode</w:t>
      </w:r>
      <w:r w:rsidR="00024012">
        <w:rPr>
          <w:rFonts w:cs="Arial"/>
          <w:szCs w:val="20"/>
        </w:rPr>
        <w:t>s</w:t>
      </w:r>
      <w:r w:rsidR="00024012" w:rsidRPr="00024012">
        <w:rPr>
          <w:rFonts w:cs="Arial"/>
          <w:szCs w:val="20"/>
        </w:rPr>
        <w:t xml:space="preserve"> occurring in 2012-13.</w:t>
      </w:r>
    </w:p>
    <w:p w:rsidR="00460371" w:rsidRPr="001F6FD3" w:rsidRDefault="00460371" w:rsidP="00AD4FFC">
      <w:pPr>
        <w:tabs>
          <w:tab w:val="left" w:pos="1162"/>
        </w:tabs>
        <w:rPr>
          <w:rFonts w:cs="Arial"/>
          <w:szCs w:val="20"/>
        </w:rPr>
      </w:pPr>
      <w:r w:rsidRPr="001F6FD3">
        <w:rPr>
          <w:rFonts w:cs="Arial"/>
          <w:szCs w:val="20"/>
        </w:rPr>
        <w:lastRenderedPageBreak/>
        <w:t>For the few hospitals that do not supply patient level admitted data, the NWAU needs to be calculated from NPHED establishment level data.</w:t>
      </w:r>
      <w:r>
        <w:rPr>
          <w:rFonts w:cs="Arial"/>
          <w:szCs w:val="20"/>
        </w:rPr>
        <w:t xml:space="preserve"> </w:t>
      </w:r>
      <w:r w:rsidRPr="001F6FD3">
        <w:rPr>
          <w:rFonts w:cs="Arial"/>
          <w:szCs w:val="20"/>
        </w:rPr>
        <w:t>The only available information on admitted activity is the inpatient fraction (I-</w:t>
      </w:r>
      <w:proofErr w:type="spellStart"/>
      <w:r w:rsidRPr="001F6FD3">
        <w:rPr>
          <w:rFonts w:cs="Arial"/>
          <w:szCs w:val="20"/>
        </w:rPr>
        <w:t>frac</w:t>
      </w:r>
      <w:proofErr w:type="spellEnd"/>
      <w:r w:rsidRPr="001F6FD3">
        <w:rPr>
          <w:rFonts w:cs="Arial"/>
          <w:szCs w:val="20"/>
        </w:rPr>
        <w:t>) which when multiplied by the total NPHED expenditure gives the estimated expenditure on admitted activity.</w:t>
      </w:r>
      <w:r>
        <w:rPr>
          <w:rFonts w:cs="Arial"/>
          <w:szCs w:val="20"/>
        </w:rPr>
        <w:t xml:space="preserve"> </w:t>
      </w:r>
      <w:r w:rsidRPr="001F6FD3">
        <w:rPr>
          <w:rFonts w:cs="Arial"/>
          <w:szCs w:val="20"/>
        </w:rPr>
        <w:t xml:space="preserve">The number of admitted NWAU is calculated by </w:t>
      </w:r>
      <w:r w:rsidR="00E9769E">
        <w:rPr>
          <w:rFonts w:cs="Arial"/>
          <w:szCs w:val="20"/>
        </w:rPr>
        <w:t>multiplying this amount by the a</w:t>
      </w:r>
      <w:r w:rsidRPr="001F6FD3">
        <w:rPr>
          <w:rFonts w:cs="Arial"/>
          <w:szCs w:val="20"/>
        </w:rPr>
        <w:t xml:space="preserve">cute multiplier of </w:t>
      </w:r>
      <w:r w:rsidR="00024012" w:rsidRPr="00024012">
        <w:rPr>
          <w:rFonts w:cs="Arial"/>
          <w:szCs w:val="20"/>
        </w:rPr>
        <w:t>0.000175</w:t>
      </w:r>
      <w:r w:rsidRPr="005550F1">
        <w:rPr>
          <w:rFonts w:cs="Arial"/>
          <w:szCs w:val="20"/>
        </w:rPr>
        <w:t xml:space="preserve"> NWAU</w:t>
      </w:r>
      <w:r w:rsidRPr="001F6FD3">
        <w:rPr>
          <w:rFonts w:cs="Arial"/>
          <w:szCs w:val="20"/>
        </w:rPr>
        <w:t xml:space="preserve"> per </w:t>
      </w:r>
      <w:r>
        <w:rPr>
          <w:rFonts w:cs="Arial"/>
          <w:szCs w:val="20"/>
        </w:rPr>
        <w:t>in-scope</w:t>
      </w:r>
      <w:r w:rsidRPr="001F6FD3">
        <w:rPr>
          <w:rFonts w:cs="Arial"/>
          <w:szCs w:val="20"/>
        </w:rPr>
        <w:t xml:space="preserve"> admitted </w:t>
      </w:r>
      <w:r>
        <w:rPr>
          <w:rFonts w:cs="Arial"/>
          <w:szCs w:val="20"/>
        </w:rPr>
        <w:t>dollars</w:t>
      </w:r>
      <w:r w:rsidRPr="001F6FD3">
        <w:rPr>
          <w:rFonts w:cs="Arial"/>
          <w:szCs w:val="20"/>
        </w:rPr>
        <w:t>.</w:t>
      </w:r>
    </w:p>
    <w:p w:rsidR="00460371" w:rsidRPr="001F6FD3" w:rsidRDefault="00460371" w:rsidP="00AD4FFC">
      <w:pPr>
        <w:pStyle w:val="ListParagraph"/>
        <w:numPr>
          <w:ilvl w:val="0"/>
          <w:numId w:val="29"/>
        </w:numPr>
        <w:tabs>
          <w:tab w:val="left" w:pos="1162"/>
        </w:tabs>
        <w:spacing w:before="120"/>
        <w:rPr>
          <w:rFonts w:cs="Arial"/>
          <w:szCs w:val="20"/>
        </w:rPr>
      </w:pPr>
      <w:r w:rsidRPr="001F6FD3">
        <w:rPr>
          <w:rFonts w:cs="Arial"/>
          <w:szCs w:val="20"/>
        </w:rPr>
        <w:t xml:space="preserve">The acute multiplier is derived by the regression slope of </w:t>
      </w:r>
      <w:r w:rsidR="00024012">
        <w:rPr>
          <w:rFonts w:cs="Arial"/>
          <w:szCs w:val="20"/>
        </w:rPr>
        <w:t>a plot of NWAUs (using the NEP14</w:t>
      </w:r>
      <w:r w:rsidRPr="001F6FD3">
        <w:rPr>
          <w:rFonts w:cs="Arial"/>
          <w:szCs w:val="20"/>
        </w:rPr>
        <w:t xml:space="preserve"> NWAU calculator) versus I-</w:t>
      </w:r>
      <w:proofErr w:type="spellStart"/>
      <w:r w:rsidRPr="001F6FD3">
        <w:rPr>
          <w:rFonts w:cs="Arial"/>
          <w:szCs w:val="20"/>
        </w:rPr>
        <w:t>frac</w:t>
      </w:r>
      <w:proofErr w:type="spellEnd"/>
      <w:r w:rsidRPr="001F6FD3">
        <w:rPr>
          <w:rFonts w:cs="Arial"/>
          <w:szCs w:val="20"/>
        </w:rPr>
        <w:t xml:space="preserve"> </w:t>
      </w:r>
      <w:r>
        <w:rPr>
          <w:rFonts w:cs="Arial"/>
          <w:szCs w:val="20"/>
        </w:rPr>
        <w:t>dollar</w:t>
      </w:r>
      <w:r w:rsidRPr="001F6FD3">
        <w:rPr>
          <w:rFonts w:cs="Arial"/>
          <w:szCs w:val="20"/>
        </w:rPr>
        <w:t xml:space="preserve"> amount for </w:t>
      </w:r>
      <w:r w:rsidR="001A7406">
        <w:rPr>
          <w:rFonts w:cs="Arial"/>
          <w:szCs w:val="20"/>
        </w:rPr>
        <w:t xml:space="preserve">block funded </w:t>
      </w:r>
      <w:r w:rsidRPr="001F6FD3">
        <w:rPr>
          <w:rFonts w:cs="Arial"/>
          <w:szCs w:val="20"/>
        </w:rPr>
        <w:t xml:space="preserve">hospitals that have patient-level data. </w:t>
      </w:r>
    </w:p>
    <w:p w:rsidR="00460371" w:rsidRPr="001F6FD3" w:rsidRDefault="00460371" w:rsidP="00AD4FFC">
      <w:pPr>
        <w:pStyle w:val="Headingnonumber"/>
      </w:pPr>
      <w:r w:rsidRPr="001F6FD3">
        <w:t xml:space="preserve">ED </w:t>
      </w:r>
      <w:r>
        <w:t>in-scope</w:t>
      </w:r>
      <w:r w:rsidRPr="001F6FD3">
        <w:t xml:space="preserve"> NWAU</w:t>
      </w:r>
    </w:p>
    <w:p w:rsidR="00F93F5E" w:rsidRDefault="001A7406" w:rsidP="00F93F5E">
      <w:pPr>
        <w:tabs>
          <w:tab w:val="left" w:pos="1162"/>
        </w:tabs>
        <w:rPr>
          <w:rFonts w:cs="Arial"/>
          <w:szCs w:val="20"/>
        </w:rPr>
      </w:pPr>
      <w:r>
        <w:rPr>
          <w:rFonts w:cs="Arial"/>
          <w:szCs w:val="20"/>
        </w:rPr>
        <w:t xml:space="preserve">Less than one per cent of block funded hospitals with ED activity reported at the patient level. Approximately 51 per cent report aggregate </w:t>
      </w:r>
      <w:r w:rsidR="00F93F5E">
        <w:rPr>
          <w:rFonts w:cs="Arial"/>
          <w:szCs w:val="20"/>
        </w:rPr>
        <w:t>presentation</w:t>
      </w:r>
      <w:r w:rsidR="00F93F5E" w:rsidRPr="001F6FD3">
        <w:rPr>
          <w:rFonts w:cs="Arial"/>
          <w:szCs w:val="20"/>
        </w:rPr>
        <w:t xml:space="preserve"> information at the </w:t>
      </w:r>
      <w:r w:rsidR="00F93F5E">
        <w:rPr>
          <w:rFonts w:cs="Arial"/>
          <w:szCs w:val="20"/>
        </w:rPr>
        <w:t>UDG</w:t>
      </w:r>
      <w:r w:rsidR="00F93F5E" w:rsidRPr="001F6FD3">
        <w:rPr>
          <w:rFonts w:cs="Arial"/>
          <w:szCs w:val="20"/>
        </w:rPr>
        <w:t xml:space="preserve"> level and where available, these data are used to determine NWAU values utilising the NEP1</w:t>
      </w:r>
      <w:r w:rsidR="00F93F5E">
        <w:rPr>
          <w:rFonts w:cs="Arial"/>
          <w:szCs w:val="20"/>
        </w:rPr>
        <w:t>4</w:t>
      </w:r>
      <w:r w:rsidR="00F93F5E" w:rsidRPr="001F6FD3">
        <w:rPr>
          <w:rFonts w:cs="Arial"/>
          <w:szCs w:val="20"/>
        </w:rPr>
        <w:t xml:space="preserve"> price weights.</w:t>
      </w:r>
    </w:p>
    <w:p w:rsidR="00460371" w:rsidRPr="001F6FD3" w:rsidRDefault="00460371" w:rsidP="00AD4FFC">
      <w:pPr>
        <w:tabs>
          <w:tab w:val="left" w:pos="1162"/>
        </w:tabs>
        <w:rPr>
          <w:rFonts w:cs="Arial"/>
          <w:szCs w:val="20"/>
        </w:rPr>
      </w:pPr>
      <w:r w:rsidRPr="001F6FD3">
        <w:rPr>
          <w:rFonts w:cs="Arial"/>
          <w:szCs w:val="20"/>
        </w:rPr>
        <w:t xml:space="preserve">Where ED data is not available </w:t>
      </w:r>
      <w:r w:rsidR="008073EB">
        <w:rPr>
          <w:rFonts w:cs="Arial"/>
          <w:szCs w:val="20"/>
        </w:rPr>
        <w:t xml:space="preserve">from the IHPA datasets </w:t>
      </w:r>
      <w:r w:rsidRPr="001F6FD3">
        <w:rPr>
          <w:rFonts w:cs="Arial"/>
          <w:szCs w:val="20"/>
        </w:rPr>
        <w:t>for a particular hospital, the establishment level count of ED presentations is extracted from the NPHED.</w:t>
      </w:r>
      <w:r>
        <w:rPr>
          <w:rFonts w:cs="Arial"/>
          <w:szCs w:val="20"/>
        </w:rPr>
        <w:t xml:space="preserve"> </w:t>
      </w:r>
      <w:r w:rsidRPr="001F6FD3">
        <w:rPr>
          <w:rFonts w:cs="Arial"/>
          <w:szCs w:val="20"/>
        </w:rPr>
        <w:t xml:space="preserve">The NWAU for a particular hospital is calculated by multiplying the count of ED presentations by the ED multiplier of </w:t>
      </w:r>
      <w:r w:rsidR="00024012" w:rsidRPr="00024012">
        <w:rPr>
          <w:rFonts w:cs="Arial"/>
          <w:szCs w:val="20"/>
        </w:rPr>
        <w:t>0.</w:t>
      </w:r>
      <w:r w:rsidR="008073EB" w:rsidRPr="00024012">
        <w:rPr>
          <w:rFonts w:cs="Arial"/>
          <w:szCs w:val="20"/>
        </w:rPr>
        <w:t>092</w:t>
      </w:r>
      <w:r w:rsidR="008073EB">
        <w:rPr>
          <w:rFonts w:cs="Arial"/>
          <w:szCs w:val="20"/>
        </w:rPr>
        <w:t>5</w:t>
      </w:r>
      <w:r w:rsidR="008073EB" w:rsidRPr="001F6FD3">
        <w:rPr>
          <w:rFonts w:cs="Arial"/>
          <w:szCs w:val="20"/>
        </w:rPr>
        <w:t xml:space="preserve"> </w:t>
      </w:r>
      <w:r w:rsidRPr="001F6FD3">
        <w:rPr>
          <w:rFonts w:cs="Arial"/>
          <w:szCs w:val="20"/>
        </w:rPr>
        <w:t>NWAU per NPHED ED presentation.</w:t>
      </w:r>
    </w:p>
    <w:p w:rsidR="00460371" w:rsidRPr="00606C27" w:rsidRDefault="00460371" w:rsidP="00606C27">
      <w:pPr>
        <w:tabs>
          <w:tab w:val="left" w:pos="1162"/>
        </w:tabs>
        <w:spacing w:before="120"/>
        <w:rPr>
          <w:rFonts w:cs="Arial"/>
          <w:szCs w:val="20"/>
        </w:rPr>
      </w:pPr>
      <w:r w:rsidRPr="00606C27">
        <w:rPr>
          <w:rFonts w:cs="Arial"/>
          <w:szCs w:val="20"/>
        </w:rPr>
        <w:t>The ED multiplier is derived by the regression slope of a plot of NWAUs (using the NEP1</w:t>
      </w:r>
      <w:r w:rsidR="000A20CE" w:rsidRPr="00606C27">
        <w:rPr>
          <w:rFonts w:cs="Arial"/>
          <w:szCs w:val="20"/>
        </w:rPr>
        <w:t xml:space="preserve">4 </w:t>
      </w:r>
      <w:r w:rsidRPr="00606C27">
        <w:rPr>
          <w:rFonts w:cs="Arial"/>
          <w:szCs w:val="20"/>
        </w:rPr>
        <w:t xml:space="preserve">NWAU calculator) versus NPHED ED presentation for all those many hospitals that have patient-level </w:t>
      </w:r>
      <w:r w:rsidR="00F93F5E" w:rsidRPr="00606C27">
        <w:rPr>
          <w:rFonts w:cs="Arial"/>
          <w:szCs w:val="20"/>
        </w:rPr>
        <w:t xml:space="preserve">or UDG-level </w:t>
      </w:r>
      <w:r w:rsidRPr="00606C27">
        <w:rPr>
          <w:rFonts w:cs="Arial"/>
          <w:szCs w:val="20"/>
        </w:rPr>
        <w:t xml:space="preserve">data. </w:t>
      </w:r>
    </w:p>
    <w:p w:rsidR="008073EB" w:rsidRPr="00CB6EB9" w:rsidRDefault="008073EB" w:rsidP="00606C27">
      <w:pPr>
        <w:tabs>
          <w:tab w:val="left" w:pos="1162"/>
        </w:tabs>
        <w:spacing w:before="120"/>
        <w:rPr>
          <w:rFonts w:cs="Arial"/>
          <w:szCs w:val="20"/>
        </w:rPr>
      </w:pPr>
      <w:r w:rsidRPr="008073EB">
        <w:rPr>
          <w:rFonts w:cs="Arial"/>
          <w:szCs w:val="20"/>
        </w:rPr>
        <w:t>The ED multiplier can be calculated with a high-level of statistical confidence because the sample size still comprises about half the total number of block funded hospitals.</w:t>
      </w:r>
    </w:p>
    <w:p w:rsidR="00460371" w:rsidRPr="00A75588" w:rsidRDefault="00460371" w:rsidP="00AD4FFC">
      <w:pPr>
        <w:pStyle w:val="Headingnonumber"/>
      </w:pPr>
      <w:r w:rsidRPr="00A75588">
        <w:t>Non-admitted in-scope NWAU</w:t>
      </w:r>
    </w:p>
    <w:p w:rsidR="008073EB" w:rsidRPr="001F6FD3" w:rsidRDefault="008073EB" w:rsidP="008073EB">
      <w:pPr>
        <w:tabs>
          <w:tab w:val="left" w:pos="1162"/>
        </w:tabs>
        <w:rPr>
          <w:rFonts w:cs="Arial"/>
          <w:szCs w:val="20"/>
        </w:rPr>
      </w:pPr>
      <w:r>
        <w:rPr>
          <w:rFonts w:cs="Arial"/>
          <w:szCs w:val="20"/>
        </w:rPr>
        <w:t>About 14 per cent of block funded hospitals with non-admitted activity reported at the patient level. About 73 per cent report aggregate</w:t>
      </w:r>
      <w:r w:rsidRPr="001F6FD3">
        <w:rPr>
          <w:rFonts w:cs="Arial"/>
          <w:szCs w:val="20"/>
        </w:rPr>
        <w:t xml:space="preserve"> service event information at the clinic level and where available, these data are used to determine NWAU values utilising the NEP1</w:t>
      </w:r>
      <w:r>
        <w:rPr>
          <w:rFonts w:cs="Arial"/>
          <w:szCs w:val="20"/>
        </w:rPr>
        <w:t>4</w:t>
      </w:r>
      <w:r w:rsidRPr="001F6FD3">
        <w:rPr>
          <w:rFonts w:cs="Arial"/>
          <w:szCs w:val="20"/>
        </w:rPr>
        <w:t xml:space="preserve"> price weights.</w:t>
      </w:r>
    </w:p>
    <w:p w:rsidR="00460371" w:rsidRPr="001F6FD3" w:rsidRDefault="00460371" w:rsidP="00AD4FFC">
      <w:pPr>
        <w:tabs>
          <w:tab w:val="left" w:pos="1162"/>
        </w:tabs>
        <w:rPr>
          <w:rFonts w:cs="Arial"/>
          <w:szCs w:val="20"/>
        </w:rPr>
      </w:pPr>
      <w:r w:rsidRPr="001F6FD3">
        <w:rPr>
          <w:rFonts w:cs="Arial"/>
          <w:szCs w:val="20"/>
        </w:rPr>
        <w:t xml:space="preserve">Where non-admitted data is not available </w:t>
      </w:r>
      <w:r w:rsidR="008073EB">
        <w:rPr>
          <w:rFonts w:cs="Arial"/>
          <w:szCs w:val="20"/>
        </w:rPr>
        <w:t xml:space="preserve">from the IHPA datasets </w:t>
      </w:r>
      <w:r w:rsidRPr="001F6FD3">
        <w:rPr>
          <w:rFonts w:cs="Arial"/>
          <w:szCs w:val="20"/>
        </w:rPr>
        <w:t>for a particular hospital, the establishment level counts of non-admitted occasions of service are extracted from the NPHED.</w:t>
      </w:r>
      <w:r>
        <w:rPr>
          <w:rFonts w:cs="Arial"/>
          <w:szCs w:val="20"/>
        </w:rPr>
        <w:t xml:space="preserve"> </w:t>
      </w:r>
      <w:r w:rsidRPr="001F6FD3">
        <w:rPr>
          <w:rFonts w:cs="Arial"/>
          <w:szCs w:val="20"/>
        </w:rPr>
        <w:t xml:space="preserve">The NWAU for a particular hospital is calculated by multiplying the count of non-admitted occasions of service by the non-admitted multiplier of </w:t>
      </w:r>
      <w:r w:rsidR="00024012" w:rsidRPr="00024012">
        <w:rPr>
          <w:rFonts w:cs="Arial"/>
          <w:szCs w:val="20"/>
        </w:rPr>
        <w:t>0.026</w:t>
      </w:r>
      <w:r w:rsidRPr="001F6FD3">
        <w:rPr>
          <w:rFonts w:cs="Arial"/>
          <w:szCs w:val="20"/>
        </w:rPr>
        <w:t xml:space="preserve"> NWAU per NPHED non-admitted occasion of service.</w:t>
      </w:r>
    </w:p>
    <w:p w:rsidR="00460371" w:rsidRPr="00606C27" w:rsidRDefault="00460371" w:rsidP="00606C27">
      <w:pPr>
        <w:tabs>
          <w:tab w:val="left" w:pos="1162"/>
        </w:tabs>
        <w:spacing w:before="120"/>
        <w:rPr>
          <w:rFonts w:cs="Arial"/>
          <w:szCs w:val="20"/>
        </w:rPr>
      </w:pPr>
      <w:r w:rsidRPr="00606C27">
        <w:rPr>
          <w:rFonts w:cs="Arial"/>
          <w:szCs w:val="20"/>
        </w:rPr>
        <w:t>The non-admitted multiplier is derived by the regression slope of a plot of NWAUs (using the NEP1</w:t>
      </w:r>
      <w:r w:rsidR="000A20CE" w:rsidRPr="00606C27">
        <w:rPr>
          <w:rFonts w:cs="Arial"/>
          <w:szCs w:val="20"/>
        </w:rPr>
        <w:t>4</w:t>
      </w:r>
      <w:r w:rsidRPr="00606C27">
        <w:rPr>
          <w:rFonts w:cs="Arial"/>
          <w:szCs w:val="20"/>
        </w:rPr>
        <w:t xml:space="preserve"> NWAU calculator) versus NPHED non-admitted occasions of service for those hospitals (about half the total) that have </w:t>
      </w:r>
      <w:r w:rsidR="00F93F5E" w:rsidRPr="00606C27">
        <w:rPr>
          <w:rFonts w:cs="Arial"/>
          <w:szCs w:val="20"/>
        </w:rPr>
        <w:t xml:space="preserve">patient-level or </w:t>
      </w:r>
      <w:r w:rsidRPr="00606C27">
        <w:rPr>
          <w:rFonts w:cs="Arial"/>
          <w:szCs w:val="20"/>
        </w:rPr>
        <w:t xml:space="preserve">clinic-level data. </w:t>
      </w:r>
    </w:p>
    <w:p w:rsidR="00460371" w:rsidRPr="00606C27" w:rsidRDefault="00460371" w:rsidP="00606C27">
      <w:pPr>
        <w:tabs>
          <w:tab w:val="left" w:pos="1162"/>
        </w:tabs>
        <w:spacing w:before="120"/>
        <w:rPr>
          <w:rFonts w:cs="Arial"/>
          <w:szCs w:val="20"/>
        </w:rPr>
      </w:pPr>
      <w:r w:rsidRPr="00606C27">
        <w:rPr>
          <w:rFonts w:cs="Arial"/>
          <w:szCs w:val="20"/>
        </w:rPr>
        <w:t xml:space="preserve">The non-admitted multiplier can be calculated with a high level of statistical confidence because the sample size still comprises </w:t>
      </w:r>
      <w:r w:rsidR="008073EB" w:rsidRPr="00606C27">
        <w:rPr>
          <w:rFonts w:cs="Arial"/>
          <w:szCs w:val="20"/>
        </w:rPr>
        <w:t>87 per cent</w:t>
      </w:r>
      <w:r w:rsidRPr="00606C27">
        <w:rPr>
          <w:rFonts w:cs="Arial"/>
          <w:szCs w:val="20"/>
        </w:rPr>
        <w:t xml:space="preserve"> </w:t>
      </w:r>
      <w:r w:rsidR="008073EB" w:rsidRPr="00606C27">
        <w:rPr>
          <w:rFonts w:cs="Arial"/>
          <w:szCs w:val="20"/>
        </w:rPr>
        <w:t xml:space="preserve">of </w:t>
      </w:r>
      <w:r w:rsidRPr="00606C27">
        <w:rPr>
          <w:rFonts w:cs="Arial"/>
          <w:szCs w:val="20"/>
        </w:rPr>
        <w:t xml:space="preserve">the total number of block funded hospitals. </w:t>
      </w:r>
    </w:p>
    <w:p w:rsidR="00460371" w:rsidRPr="00443081" w:rsidRDefault="00460371" w:rsidP="00AD4FFC">
      <w:pPr>
        <w:pStyle w:val="Heading4"/>
        <w:rPr>
          <w:rFonts w:cs="Arial"/>
          <w:b w:val="0"/>
          <w:i w:val="0"/>
          <w:szCs w:val="20"/>
        </w:rPr>
      </w:pPr>
      <w:r w:rsidRPr="00AE53A9">
        <w:t>In-scope Expenditure</w:t>
      </w:r>
      <w:r>
        <w:rPr>
          <w:rFonts w:cs="Arial"/>
          <w:b w:val="0"/>
          <w:i w:val="0"/>
          <w:szCs w:val="20"/>
        </w:rPr>
        <w:t xml:space="preserve"> </w:t>
      </w:r>
    </w:p>
    <w:p w:rsidR="00460371" w:rsidRPr="00F647CF" w:rsidRDefault="00460371" w:rsidP="00AD4FFC">
      <w:pPr>
        <w:tabs>
          <w:tab w:val="left" w:pos="1162"/>
        </w:tabs>
        <w:rPr>
          <w:rFonts w:cs="Arial"/>
          <w:szCs w:val="20"/>
        </w:rPr>
      </w:pPr>
      <w:r w:rsidRPr="00F647CF">
        <w:rPr>
          <w:rFonts w:cs="Arial"/>
          <w:szCs w:val="20"/>
        </w:rPr>
        <w:t>Depreciation is excluded from both the NHCDC and NPHED reports of expenditure.</w:t>
      </w:r>
    </w:p>
    <w:p w:rsidR="00460371" w:rsidRDefault="00460371" w:rsidP="00AD4FFC">
      <w:pPr>
        <w:tabs>
          <w:tab w:val="left" w:pos="1162"/>
        </w:tabs>
        <w:rPr>
          <w:rFonts w:cs="Arial"/>
          <w:szCs w:val="20"/>
        </w:rPr>
      </w:pPr>
      <w:r>
        <w:rPr>
          <w:rFonts w:cs="Arial"/>
          <w:szCs w:val="20"/>
        </w:rPr>
        <w:t>Multipurpose Services (</w:t>
      </w:r>
      <w:r w:rsidRPr="00F647CF">
        <w:rPr>
          <w:rFonts w:cs="Arial"/>
          <w:szCs w:val="20"/>
        </w:rPr>
        <w:t>MPS</w:t>
      </w:r>
      <w:r>
        <w:rPr>
          <w:rFonts w:cs="Arial"/>
          <w:szCs w:val="20"/>
        </w:rPr>
        <w:t>)</w:t>
      </w:r>
      <w:r w:rsidRPr="00F647CF">
        <w:rPr>
          <w:rFonts w:cs="Arial"/>
          <w:szCs w:val="20"/>
        </w:rPr>
        <w:t xml:space="preserve"> expenditure is excluded from the NPHED total expenditure except where the jurisdictions have advised that MPS amounts were already excluded in the NPHED reported expenditure.</w:t>
      </w:r>
    </w:p>
    <w:p w:rsidR="00460371" w:rsidRPr="00F647CF" w:rsidRDefault="00460371" w:rsidP="00AD4FFC">
      <w:pPr>
        <w:pStyle w:val="Headingnonumber"/>
      </w:pPr>
      <w:r w:rsidRPr="00F647CF">
        <w:lastRenderedPageBreak/>
        <w:t>Acute and subacute admitted expenditure</w:t>
      </w:r>
    </w:p>
    <w:p w:rsidR="00460371" w:rsidRPr="00F647CF" w:rsidRDefault="00460371" w:rsidP="00AD4FFC">
      <w:pPr>
        <w:tabs>
          <w:tab w:val="left" w:pos="1162"/>
        </w:tabs>
        <w:rPr>
          <w:rFonts w:cs="Arial"/>
          <w:szCs w:val="20"/>
        </w:rPr>
      </w:pPr>
      <w:r w:rsidRPr="00F647CF">
        <w:rPr>
          <w:rFonts w:cs="Arial"/>
          <w:szCs w:val="20"/>
        </w:rPr>
        <w:t xml:space="preserve">A key principle adopted in the calculation of </w:t>
      </w:r>
      <w:r>
        <w:rPr>
          <w:rFonts w:cs="Arial"/>
          <w:szCs w:val="20"/>
        </w:rPr>
        <w:t>in-scope</w:t>
      </w:r>
      <w:r w:rsidRPr="00F647CF">
        <w:rPr>
          <w:rFonts w:cs="Arial"/>
          <w:szCs w:val="20"/>
        </w:rPr>
        <w:t xml:space="preserve"> expenditure is to rely primarily on the NPHED reported expenditure.</w:t>
      </w:r>
      <w:r>
        <w:rPr>
          <w:rFonts w:cs="Arial"/>
          <w:szCs w:val="20"/>
        </w:rPr>
        <w:t xml:space="preserve"> </w:t>
      </w:r>
      <w:r w:rsidRPr="00F647CF">
        <w:rPr>
          <w:rFonts w:cs="Arial"/>
          <w:szCs w:val="20"/>
        </w:rPr>
        <w:t>The expenditure against admitted activity is calculated by multiplying the I-</w:t>
      </w:r>
      <w:proofErr w:type="spellStart"/>
      <w:r w:rsidRPr="00F647CF">
        <w:rPr>
          <w:rFonts w:cs="Arial"/>
          <w:szCs w:val="20"/>
        </w:rPr>
        <w:t>frac</w:t>
      </w:r>
      <w:proofErr w:type="spellEnd"/>
      <w:r w:rsidRPr="00F647CF">
        <w:rPr>
          <w:rFonts w:cs="Arial"/>
          <w:szCs w:val="20"/>
        </w:rPr>
        <w:t xml:space="preserve"> by the adjusted total NPHED expenditure.</w:t>
      </w:r>
    </w:p>
    <w:p w:rsidR="00D50577" w:rsidRDefault="00460371" w:rsidP="00AD4FFC">
      <w:pPr>
        <w:tabs>
          <w:tab w:val="left" w:pos="1162"/>
        </w:tabs>
        <w:rPr>
          <w:rFonts w:cs="Arial"/>
          <w:szCs w:val="20"/>
        </w:rPr>
      </w:pPr>
      <w:r w:rsidRPr="00F647CF">
        <w:rPr>
          <w:rFonts w:cs="Arial"/>
          <w:szCs w:val="20"/>
        </w:rPr>
        <w:t>The private patient adjustments and the exclusion of DVA and compensables expenditure are calculated using the patient level data.</w:t>
      </w:r>
      <w:r>
        <w:rPr>
          <w:rFonts w:cs="Arial"/>
          <w:szCs w:val="20"/>
        </w:rPr>
        <w:t xml:space="preserve"> </w:t>
      </w:r>
      <w:r w:rsidRPr="00F647CF">
        <w:rPr>
          <w:rFonts w:cs="Arial"/>
          <w:szCs w:val="20"/>
        </w:rPr>
        <w:t>These adjustments are only enacted to the extent that the patients can be identified.</w:t>
      </w:r>
    </w:p>
    <w:p w:rsidR="00460371" w:rsidRPr="00F647CF" w:rsidRDefault="00460371" w:rsidP="00AD4FFC">
      <w:pPr>
        <w:pStyle w:val="Headingnonumber"/>
      </w:pPr>
      <w:r w:rsidRPr="00F647CF">
        <w:t xml:space="preserve">ED and non-admitted </w:t>
      </w:r>
      <w:r>
        <w:t>in-scope</w:t>
      </w:r>
      <w:r w:rsidRPr="00F647CF">
        <w:t xml:space="preserve"> expenditure</w:t>
      </w:r>
    </w:p>
    <w:p w:rsidR="00460371" w:rsidRPr="00F647CF" w:rsidRDefault="00460371" w:rsidP="00AD4FFC">
      <w:pPr>
        <w:tabs>
          <w:tab w:val="left" w:pos="1162"/>
        </w:tabs>
        <w:rPr>
          <w:rFonts w:cs="Arial"/>
          <w:szCs w:val="20"/>
        </w:rPr>
      </w:pPr>
      <w:r w:rsidRPr="00F647CF">
        <w:rPr>
          <w:rFonts w:cs="Arial"/>
          <w:szCs w:val="20"/>
        </w:rPr>
        <w:t xml:space="preserve">The ED and non-admitted </w:t>
      </w:r>
      <w:r>
        <w:rPr>
          <w:rFonts w:cs="Arial"/>
          <w:szCs w:val="20"/>
        </w:rPr>
        <w:t>in-scope</w:t>
      </w:r>
      <w:r w:rsidRPr="00F647CF">
        <w:rPr>
          <w:rFonts w:cs="Arial"/>
          <w:szCs w:val="20"/>
        </w:rPr>
        <w:t xml:space="preserve"> expenditure is also taken primarily from the NPHED expenditure data.</w:t>
      </w:r>
      <w:r>
        <w:rPr>
          <w:rFonts w:cs="Arial"/>
          <w:szCs w:val="20"/>
        </w:rPr>
        <w:t xml:space="preserve"> </w:t>
      </w:r>
      <w:r w:rsidRPr="00F647CF">
        <w:rPr>
          <w:rFonts w:cs="Arial"/>
          <w:szCs w:val="20"/>
        </w:rPr>
        <w:t>The non-inpatient fraction of total NPHED expenditure comprises:</w:t>
      </w:r>
    </w:p>
    <w:p w:rsidR="00460371" w:rsidRPr="00F647CF" w:rsidRDefault="00460371" w:rsidP="00C245E0">
      <w:pPr>
        <w:pStyle w:val="ListParagraph"/>
        <w:numPr>
          <w:ilvl w:val="0"/>
          <w:numId w:val="38"/>
        </w:numPr>
        <w:tabs>
          <w:tab w:val="left" w:pos="1162"/>
        </w:tabs>
        <w:rPr>
          <w:rFonts w:cs="Arial"/>
          <w:szCs w:val="20"/>
        </w:rPr>
      </w:pPr>
      <w:r>
        <w:rPr>
          <w:rFonts w:cs="Arial"/>
          <w:szCs w:val="20"/>
        </w:rPr>
        <w:t>In-scope</w:t>
      </w:r>
      <w:r w:rsidRPr="00F647CF">
        <w:rPr>
          <w:rFonts w:cs="Arial"/>
          <w:szCs w:val="20"/>
        </w:rPr>
        <w:t xml:space="preserve"> ED expenditure;</w:t>
      </w:r>
    </w:p>
    <w:p w:rsidR="00460371" w:rsidRPr="00F647CF" w:rsidRDefault="00460371" w:rsidP="00C245E0">
      <w:pPr>
        <w:pStyle w:val="ListParagraph"/>
        <w:numPr>
          <w:ilvl w:val="0"/>
          <w:numId w:val="38"/>
        </w:numPr>
        <w:tabs>
          <w:tab w:val="left" w:pos="1162"/>
        </w:tabs>
        <w:rPr>
          <w:rFonts w:cs="Arial"/>
          <w:szCs w:val="20"/>
        </w:rPr>
      </w:pPr>
      <w:r>
        <w:rPr>
          <w:rFonts w:cs="Arial"/>
          <w:szCs w:val="20"/>
        </w:rPr>
        <w:t>In-scope</w:t>
      </w:r>
      <w:r w:rsidRPr="00F647CF">
        <w:rPr>
          <w:rFonts w:cs="Arial"/>
          <w:szCs w:val="20"/>
        </w:rPr>
        <w:t xml:space="preserve"> non-admitted expenditure; and </w:t>
      </w:r>
    </w:p>
    <w:p w:rsidR="00460371" w:rsidRPr="00F647CF" w:rsidRDefault="00460371" w:rsidP="00C245E0">
      <w:pPr>
        <w:pStyle w:val="ListParagraph"/>
        <w:numPr>
          <w:ilvl w:val="0"/>
          <w:numId w:val="38"/>
        </w:numPr>
        <w:tabs>
          <w:tab w:val="left" w:pos="1162"/>
        </w:tabs>
        <w:rPr>
          <w:rFonts w:cs="Arial"/>
          <w:szCs w:val="20"/>
        </w:rPr>
      </w:pPr>
      <w:r w:rsidRPr="00F647CF">
        <w:rPr>
          <w:rFonts w:cs="Arial"/>
          <w:szCs w:val="20"/>
        </w:rPr>
        <w:t>Out-of-scope expenditure</w:t>
      </w:r>
      <w:r>
        <w:rPr>
          <w:rFonts w:cs="Arial"/>
          <w:szCs w:val="20"/>
        </w:rPr>
        <w:t xml:space="preserve">. </w:t>
      </w:r>
    </w:p>
    <w:p w:rsidR="00460371" w:rsidRPr="00F647CF" w:rsidRDefault="00460371" w:rsidP="00AD4FFC">
      <w:pPr>
        <w:tabs>
          <w:tab w:val="left" w:pos="1162"/>
        </w:tabs>
        <w:rPr>
          <w:rFonts w:cs="Arial"/>
          <w:szCs w:val="20"/>
        </w:rPr>
      </w:pPr>
      <w:r w:rsidRPr="00F647CF">
        <w:rPr>
          <w:rFonts w:cs="Arial"/>
          <w:szCs w:val="20"/>
        </w:rPr>
        <w:t>The challenge is to separate out the out-of-scope expenditure.</w:t>
      </w:r>
      <w:r>
        <w:rPr>
          <w:rFonts w:cs="Arial"/>
          <w:szCs w:val="20"/>
        </w:rPr>
        <w:t xml:space="preserve"> </w:t>
      </w:r>
      <w:r w:rsidRPr="00F647CF">
        <w:rPr>
          <w:rFonts w:cs="Arial"/>
          <w:szCs w:val="20"/>
        </w:rPr>
        <w:t xml:space="preserve">In the main, the identification of out-of-scope expenditure is done indirectly by estimating the amount of </w:t>
      </w:r>
      <w:r>
        <w:rPr>
          <w:rFonts w:cs="Arial"/>
          <w:szCs w:val="20"/>
        </w:rPr>
        <w:t>in-scope</w:t>
      </w:r>
      <w:r w:rsidRPr="00F647CF">
        <w:rPr>
          <w:rFonts w:cs="Arial"/>
          <w:szCs w:val="20"/>
        </w:rPr>
        <w:t xml:space="preserve"> ED and non-admitted expenditure based on their level of activity.</w:t>
      </w:r>
      <w:r>
        <w:rPr>
          <w:rFonts w:cs="Arial"/>
          <w:szCs w:val="20"/>
        </w:rPr>
        <w:t xml:space="preserve"> </w:t>
      </w:r>
      <w:r w:rsidRPr="00F647CF">
        <w:rPr>
          <w:rFonts w:cs="Arial"/>
          <w:szCs w:val="20"/>
        </w:rPr>
        <w:t xml:space="preserve">The calculation takes the presumption that the non-inpatient fraction of expenditure is likely to be in respect of only </w:t>
      </w:r>
      <w:r>
        <w:rPr>
          <w:rFonts w:cs="Arial"/>
          <w:szCs w:val="20"/>
        </w:rPr>
        <w:t>in-scope</w:t>
      </w:r>
      <w:r w:rsidRPr="00F647CF">
        <w:rPr>
          <w:rFonts w:cs="Arial"/>
          <w:szCs w:val="20"/>
        </w:rPr>
        <w:t xml:space="preserve"> activity and tests for the fact that it may be substantially over-priced activity.</w:t>
      </w:r>
      <w:r>
        <w:rPr>
          <w:rFonts w:cs="Arial"/>
          <w:szCs w:val="20"/>
        </w:rPr>
        <w:t xml:space="preserve"> </w:t>
      </w:r>
      <w:r w:rsidRPr="00F647CF">
        <w:rPr>
          <w:rFonts w:cs="Arial"/>
          <w:szCs w:val="20"/>
        </w:rPr>
        <w:t xml:space="preserve">It does this by employing a so-called reasonableness test as follows. </w:t>
      </w:r>
    </w:p>
    <w:p w:rsidR="00460371" w:rsidRPr="00F647CF" w:rsidRDefault="00460371" w:rsidP="00AD4FFC">
      <w:pPr>
        <w:tabs>
          <w:tab w:val="left" w:pos="1162"/>
        </w:tabs>
        <w:rPr>
          <w:rFonts w:cs="Arial"/>
          <w:szCs w:val="20"/>
        </w:rPr>
      </w:pPr>
      <w:r w:rsidRPr="00F647CF">
        <w:rPr>
          <w:rFonts w:cs="Arial"/>
          <w:szCs w:val="20"/>
        </w:rPr>
        <w:t>The average $/</w:t>
      </w:r>
      <w:r w:rsidR="00A94BC9">
        <w:rPr>
          <w:rFonts w:cs="Arial"/>
          <w:szCs w:val="20"/>
        </w:rPr>
        <w:t xml:space="preserve">public patient equivalent </w:t>
      </w:r>
      <w:r w:rsidRPr="00F647CF">
        <w:rPr>
          <w:rFonts w:cs="Arial"/>
          <w:szCs w:val="20"/>
        </w:rPr>
        <w:t xml:space="preserve">NWAU </w:t>
      </w:r>
      <w:r w:rsidR="009F79EC">
        <w:rPr>
          <w:rFonts w:cs="Arial"/>
          <w:szCs w:val="20"/>
        </w:rPr>
        <w:t xml:space="preserve">or WAU (Weighted Activity Unit) </w:t>
      </w:r>
      <w:r w:rsidRPr="00F647CF">
        <w:rPr>
          <w:rFonts w:cs="Arial"/>
          <w:szCs w:val="20"/>
        </w:rPr>
        <w:t xml:space="preserve">for ED and non-admitted for block funded hospitals is calculated on the basis of the </w:t>
      </w:r>
      <w:r>
        <w:rPr>
          <w:rFonts w:cs="Arial"/>
          <w:szCs w:val="20"/>
        </w:rPr>
        <w:t>in-scope</w:t>
      </w:r>
      <w:r w:rsidRPr="00F647CF">
        <w:rPr>
          <w:rFonts w:cs="Arial"/>
          <w:szCs w:val="20"/>
        </w:rPr>
        <w:t xml:space="preserve"> expenditure and </w:t>
      </w:r>
      <w:r w:rsidR="00B94FB5">
        <w:rPr>
          <w:rFonts w:cs="Arial"/>
          <w:szCs w:val="20"/>
        </w:rPr>
        <w:t>WAU14</w:t>
      </w:r>
      <w:r w:rsidRPr="00F647CF">
        <w:rPr>
          <w:rFonts w:cs="Arial"/>
          <w:szCs w:val="20"/>
        </w:rPr>
        <w:t xml:space="preserve"> for those hospitals (</w:t>
      </w:r>
      <w:r w:rsidRPr="00A94BC9">
        <w:rPr>
          <w:rFonts w:cs="Arial"/>
          <w:szCs w:val="20"/>
        </w:rPr>
        <w:t xml:space="preserve">involving </w:t>
      </w:r>
      <w:r w:rsidR="008073EB">
        <w:rPr>
          <w:rFonts w:cs="Arial"/>
          <w:szCs w:val="20"/>
        </w:rPr>
        <w:t>94</w:t>
      </w:r>
      <w:r w:rsidR="008073EB" w:rsidRPr="00A94BC9">
        <w:rPr>
          <w:rFonts w:cs="Arial"/>
          <w:szCs w:val="20"/>
        </w:rPr>
        <w:t xml:space="preserve"> </w:t>
      </w:r>
      <w:r w:rsidRPr="00A94BC9">
        <w:rPr>
          <w:rFonts w:cs="Arial"/>
          <w:szCs w:val="20"/>
        </w:rPr>
        <w:t xml:space="preserve">such block funded hospitals) that have reported in the </w:t>
      </w:r>
      <w:r w:rsidR="00B94FB5" w:rsidRPr="00A94BC9">
        <w:rPr>
          <w:rFonts w:cs="Arial"/>
          <w:szCs w:val="20"/>
        </w:rPr>
        <w:t>2012-13</w:t>
      </w:r>
      <w:r w:rsidRPr="00A94BC9">
        <w:rPr>
          <w:rFonts w:cs="Arial"/>
          <w:szCs w:val="20"/>
        </w:rPr>
        <w:t xml:space="preserve"> NHCDC. As most of the block-funded hospitals reporting in the NHCDC are from Queensland, the catchment of hospitals was broadened to include smaller</w:t>
      </w:r>
      <w:r w:rsidR="00A94BC9">
        <w:rPr>
          <w:rFonts w:cs="Arial"/>
          <w:szCs w:val="20"/>
        </w:rPr>
        <w:t xml:space="preserve"> ABF hospitals with less than 15</w:t>
      </w:r>
      <w:r w:rsidRPr="00A94BC9">
        <w:rPr>
          <w:rFonts w:cs="Arial"/>
          <w:szCs w:val="20"/>
        </w:rPr>
        <w:t xml:space="preserve">,000 </w:t>
      </w:r>
      <w:r w:rsidR="008073EB">
        <w:rPr>
          <w:rFonts w:cs="Arial"/>
          <w:szCs w:val="20"/>
        </w:rPr>
        <w:t xml:space="preserve">admitted </w:t>
      </w:r>
      <w:r w:rsidRPr="00A94BC9">
        <w:rPr>
          <w:rFonts w:cs="Arial"/>
          <w:szCs w:val="20"/>
        </w:rPr>
        <w:t>separati</w:t>
      </w:r>
      <w:r w:rsidR="007F1490">
        <w:rPr>
          <w:rFonts w:cs="Arial"/>
          <w:szCs w:val="20"/>
        </w:rPr>
        <w:t>ons. As a consequence, roughly 5</w:t>
      </w:r>
      <w:r w:rsidR="009F79EC">
        <w:rPr>
          <w:rFonts w:cs="Arial"/>
          <w:szCs w:val="20"/>
        </w:rPr>
        <w:t>0 </w:t>
      </w:r>
      <w:r w:rsidRPr="00A94BC9">
        <w:rPr>
          <w:rFonts w:cs="Arial"/>
          <w:szCs w:val="20"/>
        </w:rPr>
        <w:t>per</w:t>
      </w:r>
      <w:r w:rsidR="009F79EC">
        <w:rPr>
          <w:rFonts w:cs="Arial"/>
          <w:szCs w:val="20"/>
        </w:rPr>
        <w:t> </w:t>
      </w:r>
      <w:r w:rsidRPr="00A94BC9">
        <w:rPr>
          <w:rFonts w:cs="Arial"/>
          <w:szCs w:val="20"/>
        </w:rPr>
        <w:t>cent of hospita</w:t>
      </w:r>
      <w:r w:rsidR="009F79EC">
        <w:rPr>
          <w:rFonts w:cs="Arial"/>
          <w:szCs w:val="20"/>
        </w:rPr>
        <w:t xml:space="preserve">ls used to calculate the $ per </w:t>
      </w:r>
      <w:r w:rsidRPr="00A94BC9">
        <w:rPr>
          <w:rFonts w:cs="Arial"/>
          <w:szCs w:val="20"/>
        </w:rPr>
        <w:t>WAU for non-admitted multiplier are from Queensland.</w:t>
      </w:r>
    </w:p>
    <w:p w:rsidR="00460371" w:rsidRPr="00F647CF" w:rsidRDefault="00460371" w:rsidP="00AD4FFC">
      <w:pPr>
        <w:tabs>
          <w:tab w:val="left" w:pos="1162"/>
        </w:tabs>
        <w:rPr>
          <w:rFonts w:cs="Arial"/>
          <w:szCs w:val="20"/>
        </w:rPr>
      </w:pPr>
      <w:r w:rsidRPr="00F647CF">
        <w:rPr>
          <w:rFonts w:cs="Arial"/>
          <w:szCs w:val="20"/>
        </w:rPr>
        <w:t>For a particular establishment, the count of ED</w:t>
      </w:r>
      <w:r w:rsidR="009F79EC">
        <w:rPr>
          <w:rFonts w:cs="Arial"/>
          <w:szCs w:val="20"/>
        </w:rPr>
        <w:t xml:space="preserve"> and non-admitted </w:t>
      </w:r>
      <w:r w:rsidRPr="00F647CF">
        <w:rPr>
          <w:rFonts w:cs="Arial"/>
          <w:szCs w:val="20"/>
        </w:rPr>
        <w:t xml:space="preserve">WAU </w:t>
      </w:r>
      <w:r>
        <w:rPr>
          <w:rFonts w:cs="Arial"/>
          <w:szCs w:val="20"/>
        </w:rPr>
        <w:t>is</w:t>
      </w:r>
      <w:r w:rsidRPr="00F647CF">
        <w:rPr>
          <w:rFonts w:cs="Arial"/>
          <w:szCs w:val="20"/>
        </w:rPr>
        <w:t xml:space="preserve"> multipli</w:t>
      </w:r>
      <w:r w:rsidR="009F79EC">
        <w:rPr>
          <w:rFonts w:cs="Arial"/>
          <w:szCs w:val="20"/>
        </w:rPr>
        <w:t>ed by the respective average $/</w:t>
      </w:r>
      <w:r w:rsidRPr="00F647CF">
        <w:rPr>
          <w:rFonts w:cs="Arial"/>
          <w:szCs w:val="20"/>
        </w:rPr>
        <w:t>WAU amounts to come up with a total $ amount for the hospital.</w:t>
      </w:r>
    </w:p>
    <w:p w:rsidR="00460371" w:rsidRPr="00F647CF" w:rsidRDefault="009F79EC" w:rsidP="00C245E0">
      <w:pPr>
        <w:pStyle w:val="ListParagraph"/>
        <w:numPr>
          <w:ilvl w:val="0"/>
          <w:numId w:val="39"/>
        </w:numPr>
        <w:tabs>
          <w:tab w:val="left" w:pos="1162"/>
        </w:tabs>
        <w:rPr>
          <w:rFonts w:cs="Arial"/>
          <w:szCs w:val="20"/>
        </w:rPr>
      </w:pPr>
      <w:r>
        <w:rPr>
          <w:rFonts w:cs="Arial"/>
          <w:szCs w:val="20"/>
        </w:rPr>
        <w:t xml:space="preserve">If $ amount based on </w:t>
      </w:r>
      <w:r w:rsidR="00460371" w:rsidRPr="00F647CF">
        <w:rPr>
          <w:rFonts w:cs="Arial"/>
          <w:szCs w:val="20"/>
        </w:rPr>
        <w:t>WAUs is less than 25% of the non-inpatient fraction of total NPHED expenditure, then only 25% of the latter amount is regarded as ED and NA expenditure.</w:t>
      </w:r>
    </w:p>
    <w:p w:rsidR="00460371" w:rsidRPr="00F647CF" w:rsidRDefault="009F79EC" w:rsidP="00C245E0">
      <w:pPr>
        <w:pStyle w:val="ListParagraph"/>
        <w:numPr>
          <w:ilvl w:val="0"/>
          <w:numId w:val="39"/>
        </w:numPr>
        <w:tabs>
          <w:tab w:val="left" w:pos="1162"/>
        </w:tabs>
        <w:rPr>
          <w:rFonts w:cs="Arial"/>
          <w:szCs w:val="20"/>
        </w:rPr>
      </w:pPr>
      <w:r>
        <w:rPr>
          <w:rFonts w:cs="Arial"/>
          <w:szCs w:val="20"/>
        </w:rPr>
        <w:t xml:space="preserve">If $ amount based on </w:t>
      </w:r>
      <w:r w:rsidR="00460371" w:rsidRPr="00F647CF">
        <w:rPr>
          <w:rFonts w:cs="Arial"/>
          <w:szCs w:val="20"/>
        </w:rPr>
        <w:t>WAUs is less than 50% of the non-inpatient fraction of total NPHED expenditure, then only 50% of the latter amount is regarded as ED and NA expenditure.</w:t>
      </w:r>
    </w:p>
    <w:p w:rsidR="00460371" w:rsidRPr="00F647CF" w:rsidRDefault="009F79EC" w:rsidP="00C245E0">
      <w:pPr>
        <w:pStyle w:val="ListParagraph"/>
        <w:numPr>
          <w:ilvl w:val="0"/>
          <w:numId w:val="39"/>
        </w:numPr>
        <w:tabs>
          <w:tab w:val="left" w:pos="1162"/>
        </w:tabs>
        <w:rPr>
          <w:rFonts w:cs="Arial"/>
          <w:szCs w:val="20"/>
        </w:rPr>
      </w:pPr>
      <w:r>
        <w:rPr>
          <w:rFonts w:cs="Arial"/>
          <w:szCs w:val="20"/>
        </w:rPr>
        <w:t xml:space="preserve">If $ amount based on </w:t>
      </w:r>
      <w:r w:rsidR="00460371" w:rsidRPr="00F647CF">
        <w:rPr>
          <w:rFonts w:cs="Arial"/>
          <w:szCs w:val="20"/>
        </w:rPr>
        <w:t>WAUs is less than 75% of the non-inpatient fraction of total NPHED expenditure, then only 75% of the latter amount is regarded as ED and NA expenditure.</w:t>
      </w:r>
    </w:p>
    <w:p w:rsidR="00460371" w:rsidRDefault="009F79EC" w:rsidP="00C245E0">
      <w:pPr>
        <w:pStyle w:val="ListParagraph"/>
        <w:numPr>
          <w:ilvl w:val="0"/>
          <w:numId w:val="39"/>
        </w:numPr>
        <w:tabs>
          <w:tab w:val="left" w:pos="1162"/>
        </w:tabs>
        <w:rPr>
          <w:rFonts w:cs="Arial"/>
          <w:szCs w:val="20"/>
        </w:rPr>
      </w:pPr>
      <w:r>
        <w:rPr>
          <w:rFonts w:cs="Arial"/>
          <w:szCs w:val="20"/>
        </w:rPr>
        <w:t xml:space="preserve">If $ amount based on </w:t>
      </w:r>
      <w:r w:rsidR="00460371" w:rsidRPr="00F647CF">
        <w:rPr>
          <w:rFonts w:cs="Arial"/>
          <w:szCs w:val="20"/>
        </w:rPr>
        <w:t>WAUs is greater than 75% of the non-inpatient fraction of total NPHED expenditure, then it is all regarded as ED and NA expenditure.</w:t>
      </w:r>
    </w:p>
    <w:p w:rsidR="009F79EC" w:rsidRPr="009F79EC" w:rsidRDefault="009F79EC" w:rsidP="00AD4FFC">
      <w:pPr>
        <w:tabs>
          <w:tab w:val="left" w:pos="1162"/>
        </w:tabs>
        <w:rPr>
          <w:rFonts w:cs="Arial"/>
          <w:szCs w:val="20"/>
        </w:rPr>
      </w:pPr>
      <w:r w:rsidRPr="009F79EC">
        <w:rPr>
          <w:rFonts w:cs="Arial"/>
          <w:szCs w:val="20"/>
        </w:rPr>
        <w:t>The resulting $ figure represents total expenditure of in-scope non-admitted services. Private patient adjustments and the exclusion of DVA and compensables expenditure are accounted for on an establishment level</w:t>
      </w:r>
      <w:r w:rsidR="00221675">
        <w:rPr>
          <w:rFonts w:cs="Arial"/>
          <w:szCs w:val="20"/>
        </w:rPr>
        <w:t xml:space="preserve"> using the establishments NWAU/</w:t>
      </w:r>
      <w:r w:rsidRPr="009F79EC">
        <w:rPr>
          <w:rFonts w:cs="Arial"/>
          <w:szCs w:val="20"/>
        </w:rPr>
        <w:t>WAU ratio.</w:t>
      </w:r>
    </w:p>
    <w:p w:rsidR="00460371" w:rsidRDefault="00460371" w:rsidP="00AD4FFC">
      <w:pPr>
        <w:tabs>
          <w:tab w:val="left" w:pos="1162"/>
        </w:tabs>
        <w:rPr>
          <w:rFonts w:cs="Arial"/>
          <w:szCs w:val="20"/>
        </w:rPr>
      </w:pPr>
      <w:r w:rsidRPr="00F647CF">
        <w:rPr>
          <w:rFonts w:cs="Arial"/>
          <w:szCs w:val="20"/>
        </w:rPr>
        <w:lastRenderedPageBreak/>
        <w:t xml:space="preserve">This approach results in determining that the NPHED reported expenditure for some </w:t>
      </w:r>
      <w:r w:rsidR="008073EB" w:rsidRPr="00F647CF">
        <w:rPr>
          <w:rFonts w:cs="Arial"/>
          <w:szCs w:val="20"/>
        </w:rPr>
        <w:t>5</w:t>
      </w:r>
      <w:r w:rsidR="008073EB">
        <w:rPr>
          <w:rFonts w:cs="Arial"/>
          <w:szCs w:val="20"/>
        </w:rPr>
        <w:t>0 </w:t>
      </w:r>
      <w:r>
        <w:rPr>
          <w:rFonts w:cs="Arial"/>
          <w:szCs w:val="20"/>
        </w:rPr>
        <w:t>per</w:t>
      </w:r>
      <w:r w:rsidR="001C7779">
        <w:rPr>
          <w:rFonts w:cs="Arial"/>
          <w:szCs w:val="20"/>
        </w:rPr>
        <w:t> </w:t>
      </w:r>
      <w:r>
        <w:rPr>
          <w:rFonts w:cs="Arial"/>
          <w:szCs w:val="20"/>
        </w:rPr>
        <w:t>cent</w:t>
      </w:r>
      <w:r w:rsidRPr="00F647CF">
        <w:rPr>
          <w:rFonts w:cs="Arial"/>
          <w:szCs w:val="20"/>
        </w:rPr>
        <w:t xml:space="preserve"> of all block funded hospitals is solely in respect of only NHRA </w:t>
      </w:r>
      <w:r>
        <w:rPr>
          <w:rFonts w:cs="Arial"/>
          <w:szCs w:val="20"/>
        </w:rPr>
        <w:t>in-scope hospital services, as shown in</w:t>
      </w:r>
      <w:r w:rsidR="004F2AEB">
        <w:rPr>
          <w:rFonts w:cs="Arial"/>
          <w:szCs w:val="20"/>
        </w:rPr>
        <w:t xml:space="preserve"> Table </w:t>
      </w:r>
      <w:r w:rsidR="001D25A0">
        <w:rPr>
          <w:rFonts w:cs="Arial"/>
          <w:szCs w:val="20"/>
        </w:rPr>
        <w:t>19</w:t>
      </w:r>
      <w:r>
        <w:rPr>
          <w:rFonts w:cs="Arial"/>
          <w:szCs w:val="20"/>
        </w:rPr>
        <w:t xml:space="preserve">. </w:t>
      </w:r>
    </w:p>
    <w:p w:rsidR="00460371" w:rsidRPr="00F647CF" w:rsidRDefault="00460371">
      <w:pPr>
        <w:pStyle w:val="table"/>
      </w:pPr>
      <w:bookmarkStart w:id="337" w:name="_Ref373227677"/>
      <w:r>
        <w:t xml:space="preserve">Table </w:t>
      </w:r>
      <w:bookmarkEnd w:id="337"/>
      <w:r w:rsidR="001D25A0">
        <w:t>19</w:t>
      </w:r>
      <w:r w:rsidRPr="00F647CF">
        <w:t xml:space="preserve">: Results of determining out-of-scope expenditure by hospital </w:t>
      </w:r>
    </w:p>
    <w:tbl>
      <w:tblPr>
        <w:tblStyle w:val="TableGrid"/>
        <w:tblW w:w="0" w:type="auto"/>
        <w:jc w:val="center"/>
        <w:tblLook w:val="04A0" w:firstRow="1" w:lastRow="0" w:firstColumn="1" w:lastColumn="0" w:noHBand="0" w:noVBand="1"/>
        <w:tblDescription w:val="A summary of table 20 is outlined in the text prior to this table."/>
      </w:tblPr>
      <w:tblGrid>
        <w:gridCol w:w="2093"/>
        <w:gridCol w:w="1831"/>
        <w:gridCol w:w="1854"/>
        <w:gridCol w:w="2268"/>
      </w:tblGrid>
      <w:tr w:rsidR="00460371" w:rsidRPr="00F647CF" w:rsidTr="002E3933">
        <w:trPr>
          <w:tblHeader/>
          <w:jc w:val="center"/>
        </w:trPr>
        <w:tc>
          <w:tcPr>
            <w:tcW w:w="2093" w:type="dxa"/>
            <w:shd w:val="clear" w:color="auto" w:fill="BFBFBF" w:themeFill="background1" w:themeFillShade="BF"/>
          </w:tcPr>
          <w:p w:rsidR="00460371" w:rsidRPr="00AE53A9" w:rsidRDefault="00460371" w:rsidP="00AD4FFC">
            <w:pPr>
              <w:tabs>
                <w:tab w:val="left" w:pos="1162"/>
              </w:tabs>
              <w:spacing w:before="80" w:after="80"/>
              <w:jc w:val="center"/>
              <w:rPr>
                <w:rFonts w:cs="Arial"/>
                <w:b/>
                <w:color w:val="000000"/>
                <w:sz w:val="20"/>
                <w:szCs w:val="20"/>
              </w:rPr>
            </w:pPr>
            <w:r w:rsidRPr="00AE53A9">
              <w:rPr>
                <w:rFonts w:cs="Arial"/>
                <w:b/>
                <w:color w:val="000000"/>
                <w:sz w:val="20"/>
                <w:szCs w:val="20"/>
              </w:rPr>
              <w:t>% on in-scope services</w:t>
            </w:r>
          </w:p>
        </w:tc>
        <w:tc>
          <w:tcPr>
            <w:tcW w:w="1831" w:type="dxa"/>
            <w:shd w:val="clear" w:color="auto" w:fill="BFBFBF" w:themeFill="background1" w:themeFillShade="BF"/>
          </w:tcPr>
          <w:p w:rsidR="00460371" w:rsidRPr="00AE53A9" w:rsidRDefault="00460371" w:rsidP="00AD4FFC">
            <w:pPr>
              <w:tabs>
                <w:tab w:val="left" w:pos="1162"/>
              </w:tabs>
              <w:spacing w:before="80" w:after="80"/>
              <w:jc w:val="center"/>
              <w:rPr>
                <w:rFonts w:cs="Arial"/>
                <w:b/>
                <w:color w:val="000000"/>
                <w:sz w:val="20"/>
                <w:szCs w:val="20"/>
              </w:rPr>
            </w:pPr>
            <w:r w:rsidRPr="00AE53A9">
              <w:rPr>
                <w:rFonts w:cs="Arial"/>
                <w:b/>
                <w:color w:val="000000"/>
                <w:sz w:val="20"/>
                <w:szCs w:val="20"/>
              </w:rPr>
              <w:t>% on out-of-scope services</w:t>
            </w:r>
          </w:p>
        </w:tc>
        <w:tc>
          <w:tcPr>
            <w:tcW w:w="1854" w:type="dxa"/>
            <w:shd w:val="clear" w:color="auto" w:fill="BFBFBF" w:themeFill="background1" w:themeFillShade="BF"/>
          </w:tcPr>
          <w:p w:rsidR="00460371" w:rsidRPr="00AE53A9" w:rsidRDefault="00460371" w:rsidP="00AD4FFC">
            <w:pPr>
              <w:tabs>
                <w:tab w:val="left" w:pos="1162"/>
              </w:tabs>
              <w:spacing w:before="80" w:after="80"/>
              <w:jc w:val="center"/>
              <w:rPr>
                <w:rFonts w:cs="Arial"/>
                <w:b/>
                <w:color w:val="000000"/>
                <w:sz w:val="20"/>
                <w:szCs w:val="20"/>
              </w:rPr>
            </w:pPr>
            <w:r w:rsidRPr="00AE53A9">
              <w:rPr>
                <w:rFonts w:cs="Arial"/>
                <w:b/>
                <w:color w:val="000000"/>
                <w:sz w:val="20"/>
                <w:szCs w:val="20"/>
              </w:rPr>
              <w:t>Count of establishments</w:t>
            </w:r>
          </w:p>
        </w:tc>
        <w:tc>
          <w:tcPr>
            <w:tcW w:w="2268" w:type="dxa"/>
            <w:shd w:val="clear" w:color="auto" w:fill="BFBFBF" w:themeFill="background1" w:themeFillShade="BF"/>
          </w:tcPr>
          <w:p w:rsidR="00460371" w:rsidRPr="00AE53A9" w:rsidRDefault="00460371" w:rsidP="00AD4FFC">
            <w:pPr>
              <w:tabs>
                <w:tab w:val="left" w:pos="1162"/>
              </w:tabs>
              <w:spacing w:before="80" w:after="80"/>
              <w:jc w:val="center"/>
              <w:rPr>
                <w:rFonts w:cs="Arial"/>
                <w:b/>
                <w:color w:val="000000"/>
                <w:sz w:val="20"/>
                <w:szCs w:val="20"/>
              </w:rPr>
            </w:pPr>
            <w:r w:rsidRPr="00AE53A9">
              <w:rPr>
                <w:rFonts w:cs="Arial"/>
                <w:b/>
                <w:color w:val="000000"/>
                <w:sz w:val="20"/>
                <w:szCs w:val="20"/>
              </w:rPr>
              <w:t xml:space="preserve">% of </w:t>
            </w:r>
            <w:r w:rsidRPr="00AE53A9">
              <w:rPr>
                <w:rFonts w:cs="Arial"/>
                <w:b/>
                <w:color w:val="000000"/>
                <w:sz w:val="20"/>
                <w:szCs w:val="20"/>
              </w:rPr>
              <w:br/>
              <w:t>establishments</w:t>
            </w:r>
          </w:p>
        </w:tc>
      </w:tr>
      <w:tr w:rsidR="008073EB" w:rsidRPr="00F647CF" w:rsidTr="002E3933">
        <w:trPr>
          <w:jc w:val="center"/>
        </w:trPr>
        <w:tc>
          <w:tcPr>
            <w:tcW w:w="2093" w:type="dxa"/>
          </w:tcPr>
          <w:p w:rsidR="008073EB" w:rsidRPr="006C1129" w:rsidRDefault="008073EB" w:rsidP="00AD4FFC">
            <w:pPr>
              <w:tabs>
                <w:tab w:val="left" w:pos="1162"/>
              </w:tabs>
              <w:spacing w:before="80" w:after="80"/>
              <w:jc w:val="center"/>
              <w:rPr>
                <w:rFonts w:cs="Arial"/>
                <w:color w:val="000000"/>
                <w:sz w:val="20"/>
                <w:szCs w:val="20"/>
              </w:rPr>
            </w:pPr>
            <w:r w:rsidRPr="006C1129">
              <w:rPr>
                <w:rFonts w:cs="Arial"/>
                <w:color w:val="000000"/>
                <w:sz w:val="20"/>
                <w:szCs w:val="20"/>
              </w:rPr>
              <w:t>25%</w:t>
            </w:r>
          </w:p>
        </w:tc>
        <w:tc>
          <w:tcPr>
            <w:tcW w:w="1831" w:type="dxa"/>
          </w:tcPr>
          <w:p w:rsidR="008073EB" w:rsidRPr="006C1129" w:rsidRDefault="008073EB" w:rsidP="00AD4FFC">
            <w:pPr>
              <w:tabs>
                <w:tab w:val="left" w:pos="1162"/>
              </w:tabs>
              <w:spacing w:before="80" w:after="80"/>
              <w:jc w:val="center"/>
              <w:rPr>
                <w:rFonts w:cs="Arial"/>
                <w:color w:val="000000"/>
                <w:sz w:val="20"/>
                <w:szCs w:val="20"/>
              </w:rPr>
            </w:pPr>
            <w:r w:rsidRPr="006C1129">
              <w:rPr>
                <w:rFonts w:cs="Arial"/>
                <w:color w:val="000000"/>
                <w:sz w:val="20"/>
                <w:szCs w:val="20"/>
              </w:rPr>
              <w:t>75%</w:t>
            </w:r>
          </w:p>
        </w:tc>
        <w:tc>
          <w:tcPr>
            <w:tcW w:w="1854" w:type="dxa"/>
          </w:tcPr>
          <w:p w:rsidR="008073EB" w:rsidRPr="006C1129" w:rsidRDefault="008073EB" w:rsidP="00AD4FFC">
            <w:pPr>
              <w:tabs>
                <w:tab w:val="left" w:pos="1162"/>
              </w:tabs>
              <w:spacing w:before="80" w:after="80"/>
              <w:jc w:val="center"/>
              <w:rPr>
                <w:rFonts w:cs="Arial"/>
                <w:color w:val="000000"/>
                <w:sz w:val="20"/>
                <w:szCs w:val="20"/>
              </w:rPr>
            </w:pPr>
            <w:r>
              <w:rPr>
                <w:rFonts w:cs="Arial"/>
                <w:color w:val="000000"/>
                <w:sz w:val="20"/>
                <w:szCs w:val="20"/>
              </w:rPr>
              <w:t>49</w:t>
            </w:r>
          </w:p>
        </w:tc>
        <w:tc>
          <w:tcPr>
            <w:tcW w:w="2268" w:type="dxa"/>
          </w:tcPr>
          <w:p w:rsidR="008073EB" w:rsidRPr="006C1129" w:rsidRDefault="008073EB" w:rsidP="00AD4FFC">
            <w:pPr>
              <w:tabs>
                <w:tab w:val="left" w:pos="1162"/>
              </w:tabs>
              <w:spacing w:before="80" w:after="80"/>
              <w:jc w:val="center"/>
              <w:rPr>
                <w:rFonts w:cs="Arial"/>
                <w:color w:val="000000"/>
                <w:sz w:val="20"/>
                <w:szCs w:val="20"/>
              </w:rPr>
            </w:pPr>
            <w:r>
              <w:rPr>
                <w:rFonts w:cs="Arial"/>
                <w:color w:val="000000"/>
                <w:sz w:val="20"/>
                <w:szCs w:val="20"/>
              </w:rPr>
              <w:t>13</w:t>
            </w:r>
            <w:r w:rsidRPr="006C1129">
              <w:rPr>
                <w:rFonts w:cs="Arial"/>
                <w:color w:val="000000"/>
                <w:sz w:val="20"/>
                <w:szCs w:val="20"/>
              </w:rPr>
              <w:t>%</w:t>
            </w:r>
          </w:p>
        </w:tc>
      </w:tr>
      <w:tr w:rsidR="008073EB" w:rsidRPr="00F647CF" w:rsidTr="002E3933">
        <w:trPr>
          <w:jc w:val="center"/>
        </w:trPr>
        <w:tc>
          <w:tcPr>
            <w:tcW w:w="2093" w:type="dxa"/>
          </w:tcPr>
          <w:p w:rsidR="008073EB" w:rsidRPr="006C1129" w:rsidRDefault="008073EB" w:rsidP="00AD4FFC">
            <w:pPr>
              <w:tabs>
                <w:tab w:val="left" w:pos="1162"/>
              </w:tabs>
              <w:spacing w:before="80" w:after="80"/>
              <w:jc w:val="center"/>
              <w:rPr>
                <w:rFonts w:cs="Arial"/>
                <w:color w:val="000000"/>
                <w:sz w:val="20"/>
                <w:szCs w:val="20"/>
              </w:rPr>
            </w:pPr>
            <w:r w:rsidRPr="006C1129">
              <w:rPr>
                <w:rFonts w:cs="Arial"/>
                <w:color w:val="000000"/>
                <w:sz w:val="20"/>
                <w:szCs w:val="20"/>
              </w:rPr>
              <w:t>50%</w:t>
            </w:r>
          </w:p>
        </w:tc>
        <w:tc>
          <w:tcPr>
            <w:tcW w:w="1831" w:type="dxa"/>
          </w:tcPr>
          <w:p w:rsidR="008073EB" w:rsidRPr="006C1129" w:rsidRDefault="008073EB" w:rsidP="00AD4FFC">
            <w:pPr>
              <w:tabs>
                <w:tab w:val="left" w:pos="1162"/>
              </w:tabs>
              <w:spacing w:before="80" w:after="80"/>
              <w:jc w:val="center"/>
              <w:rPr>
                <w:rFonts w:cs="Arial"/>
                <w:color w:val="000000"/>
                <w:sz w:val="20"/>
                <w:szCs w:val="20"/>
              </w:rPr>
            </w:pPr>
            <w:r w:rsidRPr="006C1129">
              <w:rPr>
                <w:rFonts w:cs="Arial"/>
                <w:color w:val="000000"/>
                <w:sz w:val="20"/>
                <w:szCs w:val="20"/>
              </w:rPr>
              <w:t>50%</w:t>
            </w:r>
          </w:p>
        </w:tc>
        <w:tc>
          <w:tcPr>
            <w:tcW w:w="1854" w:type="dxa"/>
          </w:tcPr>
          <w:p w:rsidR="008073EB" w:rsidRPr="006C1129" w:rsidRDefault="008073EB" w:rsidP="00AD4FFC">
            <w:pPr>
              <w:tabs>
                <w:tab w:val="left" w:pos="1162"/>
              </w:tabs>
              <w:spacing w:before="80" w:after="80"/>
              <w:jc w:val="center"/>
              <w:rPr>
                <w:rFonts w:cs="Arial"/>
                <w:color w:val="000000"/>
                <w:sz w:val="20"/>
                <w:szCs w:val="20"/>
              </w:rPr>
            </w:pPr>
            <w:r>
              <w:rPr>
                <w:rFonts w:cs="Arial"/>
                <w:color w:val="000000"/>
                <w:sz w:val="20"/>
                <w:szCs w:val="20"/>
              </w:rPr>
              <w:t>75</w:t>
            </w:r>
          </w:p>
        </w:tc>
        <w:tc>
          <w:tcPr>
            <w:tcW w:w="2268" w:type="dxa"/>
          </w:tcPr>
          <w:p w:rsidR="008073EB" w:rsidRPr="006C1129" w:rsidRDefault="008073EB" w:rsidP="00AD4FFC">
            <w:pPr>
              <w:tabs>
                <w:tab w:val="left" w:pos="1162"/>
              </w:tabs>
              <w:spacing w:before="80" w:after="80"/>
              <w:jc w:val="center"/>
              <w:rPr>
                <w:rFonts w:cs="Arial"/>
                <w:color w:val="000000"/>
                <w:sz w:val="20"/>
                <w:szCs w:val="20"/>
              </w:rPr>
            </w:pPr>
            <w:r>
              <w:rPr>
                <w:rFonts w:cs="Arial"/>
                <w:color w:val="000000"/>
                <w:sz w:val="20"/>
                <w:szCs w:val="20"/>
              </w:rPr>
              <w:t>19</w:t>
            </w:r>
            <w:r w:rsidRPr="006C1129">
              <w:rPr>
                <w:rFonts w:cs="Arial"/>
                <w:color w:val="000000"/>
                <w:sz w:val="20"/>
                <w:szCs w:val="20"/>
              </w:rPr>
              <w:t>%</w:t>
            </w:r>
          </w:p>
        </w:tc>
      </w:tr>
      <w:tr w:rsidR="008073EB" w:rsidRPr="00F647CF" w:rsidTr="002E3933">
        <w:trPr>
          <w:jc w:val="center"/>
        </w:trPr>
        <w:tc>
          <w:tcPr>
            <w:tcW w:w="2093" w:type="dxa"/>
          </w:tcPr>
          <w:p w:rsidR="008073EB" w:rsidRPr="006C1129" w:rsidRDefault="008073EB" w:rsidP="00AD4FFC">
            <w:pPr>
              <w:tabs>
                <w:tab w:val="left" w:pos="1162"/>
              </w:tabs>
              <w:spacing w:before="80" w:after="80"/>
              <w:jc w:val="center"/>
              <w:rPr>
                <w:rFonts w:cs="Arial"/>
                <w:color w:val="000000"/>
                <w:sz w:val="20"/>
                <w:szCs w:val="20"/>
              </w:rPr>
            </w:pPr>
            <w:r w:rsidRPr="006C1129">
              <w:rPr>
                <w:rFonts w:cs="Arial"/>
                <w:color w:val="000000"/>
                <w:sz w:val="20"/>
                <w:szCs w:val="20"/>
              </w:rPr>
              <w:t>75%</w:t>
            </w:r>
          </w:p>
        </w:tc>
        <w:tc>
          <w:tcPr>
            <w:tcW w:w="1831" w:type="dxa"/>
          </w:tcPr>
          <w:p w:rsidR="008073EB" w:rsidRPr="006C1129" w:rsidRDefault="008073EB" w:rsidP="00AD4FFC">
            <w:pPr>
              <w:tabs>
                <w:tab w:val="left" w:pos="1162"/>
              </w:tabs>
              <w:spacing w:before="80" w:after="80"/>
              <w:jc w:val="center"/>
              <w:rPr>
                <w:rFonts w:cs="Arial"/>
                <w:color w:val="000000"/>
                <w:sz w:val="20"/>
                <w:szCs w:val="20"/>
              </w:rPr>
            </w:pPr>
            <w:r w:rsidRPr="006C1129">
              <w:rPr>
                <w:rFonts w:cs="Arial"/>
                <w:color w:val="000000"/>
                <w:sz w:val="20"/>
                <w:szCs w:val="20"/>
              </w:rPr>
              <w:t>25%</w:t>
            </w:r>
          </w:p>
        </w:tc>
        <w:tc>
          <w:tcPr>
            <w:tcW w:w="1854" w:type="dxa"/>
          </w:tcPr>
          <w:p w:rsidR="008073EB" w:rsidRPr="006C1129" w:rsidRDefault="008073EB" w:rsidP="00AD4FFC">
            <w:pPr>
              <w:tabs>
                <w:tab w:val="left" w:pos="1162"/>
              </w:tabs>
              <w:spacing w:before="80" w:after="80"/>
              <w:jc w:val="center"/>
              <w:rPr>
                <w:rFonts w:cs="Arial"/>
                <w:color w:val="000000"/>
                <w:sz w:val="20"/>
                <w:szCs w:val="20"/>
              </w:rPr>
            </w:pPr>
            <w:r>
              <w:rPr>
                <w:rFonts w:cs="Arial"/>
                <w:color w:val="000000"/>
                <w:sz w:val="20"/>
                <w:szCs w:val="20"/>
              </w:rPr>
              <w:t>70</w:t>
            </w:r>
          </w:p>
        </w:tc>
        <w:tc>
          <w:tcPr>
            <w:tcW w:w="2268" w:type="dxa"/>
          </w:tcPr>
          <w:p w:rsidR="008073EB" w:rsidRPr="006C1129" w:rsidRDefault="008073EB" w:rsidP="00AD4FFC">
            <w:pPr>
              <w:tabs>
                <w:tab w:val="left" w:pos="1162"/>
              </w:tabs>
              <w:spacing w:before="80" w:after="80"/>
              <w:jc w:val="center"/>
              <w:rPr>
                <w:rFonts w:cs="Arial"/>
                <w:color w:val="000000"/>
                <w:sz w:val="20"/>
                <w:szCs w:val="20"/>
              </w:rPr>
            </w:pPr>
            <w:r>
              <w:rPr>
                <w:rFonts w:cs="Arial"/>
                <w:color w:val="000000"/>
                <w:sz w:val="20"/>
                <w:szCs w:val="20"/>
              </w:rPr>
              <w:t>18</w:t>
            </w:r>
            <w:r w:rsidRPr="006C1129">
              <w:rPr>
                <w:rFonts w:cs="Arial"/>
                <w:color w:val="000000"/>
                <w:sz w:val="20"/>
                <w:szCs w:val="20"/>
              </w:rPr>
              <w:t>%</w:t>
            </w:r>
          </w:p>
        </w:tc>
      </w:tr>
      <w:tr w:rsidR="008073EB" w:rsidRPr="00F647CF" w:rsidTr="002E3933">
        <w:trPr>
          <w:jc w:val="center"/>
        </w:trPr>
        <w:tc>
          <w:tcPr>
            <w:tcW w:w="2093" w:type="dxa"/>
          </w:tcPr>
          <w:p w:rsidR="008073EB" w:rsidRPr="006C1129" w:rsidRDefault="008073EB" w:rsidP="00AD4FFC">
            <w:pPr>
              <w:tabs>
                <w:tab w:val="left" w:pos="1162"/>
              </w:tabs>
              <w:spacing w:before="80" w:after="80"/>
              <w:jc w:val="center"/>
              <w:rPr>
                <w:rFonts w:cs="Arial"/>
                <w:color w:val="000000"/>
                <w:sz w:val="20"/>
                <w:szCs w:val="20"/>
              </w:rPr>
            </w:pPr>
            <w:r w:rsidRPr="006C1129">
              <w:rPr>
                <w:rFonts w:cs="Arial"/>
                <w:color w:val="000000"/>
                <w:sz w:val="20"/>
                <w:szCs w:val="20"/>
              </w:rPr>
              <w:t>100%</w:t>
            </w:r>
          </w:p>
        </w:tc>
        <w:tc>
          <w:tcPr>
            <w:tcW w:w="1831" w:type="dxa"/>
          </w:tcPr>
          <w:p w:rsidR="008073EB" w:rsidRPr="006C1129" w:rsidRDefault="008073EB" w:rsidP="00AD4FFC">
            <w:pPr>
              <w:tabs>
                <w:tab w:val="left" w:pos="1162"/>
              </w:tabs>
              <w:spacing w:before="80" w:after="80"/>
              <w:jc w:val="center"/>
              <w:rPr>
                <w:rFonts w:cs="Arial"/>
                <w:color w:val="000000"/>
                <w:sz w:val="20"/>
                <w:szCs w:val="20"/>
              </w:rPr>
            </w:pPr>
            <w:r w:rsidRPr="006C1129">
              <w:rPr>
                <w:rFonts w:cs="Arial"/>
                <w:color w:val="000000"/>
                <w:sz w:val="20"/>
                <w:szCs w:val="20"/>
              </w:rPr>
              <w:t>0%</w:t>
            </w:r>
          </w:p>
        </w:tc>
        <w:tc>
          <w:tcPr>
            <w:tcW w:w="1854" w:type="dxa"/>
          </w:tcPr>
          <w:p w:rsidR="008073EB" w:rsidRPr="006C1129" w:rsidRDefault="008073EB" w:rsidP="00AD4FFC">
            <w:pPr>
              <w:tabs>
                <w:tab w:val="left" w:pos="1162"/>
              </w:tabs>
              <w:spacing w:before="80" w:after="80"/>
              <w:jc w:val="center"/>
              <w:rPr>
                <w:rFonts w:cs="Arial"/>
                <w:color w:val="000000"/>
                <w:sz w:val="20"/>
                <w:szCs w:val="20"/>
              </w:rPr>
            </w:pPr>
            <w:r>
              <w:rPr>
                <w:rFonts w:cs="Arial"/>
                <w:color w:val="000000"/>
                <w:sz w:val="20"/>
                <w:szCs w:val="20"/>
              </w:rPr>
              <w:t>191</w:t>
            </w:r>
          </w:p>
        </w:tc>
        <w:tc>
          <w:tcPr>
            <w:tcW w:w="2268" w:type="dxa"/>
          </w:tcPr>
          <w:p w:rsidR="008073EB" w:rsidRPr="006C1129" w:rsidRDefault="008073EB" w:rsidP="00AD4FFC">
            <w:pPr>
              <w:tabs>
                <w:tab w:val="left" w:pos="1162"/>
              </w:tabs>
              <w:spacing w:before="80" w:after="80"/>
              <w:jc w:val="center"/>
              <w:rPr>
                <w:rFonts w:cs="Arial"/>
                <w:color w:val="000000"/>
                <w:sz w:val="20"/>
                <w:szCs w:val="20"/>
              </w:rPr>
            </w:pPr>
            <w:r>
              <w:rPr>
                <w:rFonts w:cs="Arial"/>
                <w:color w:val="000000"/>
                <w:sz w:val="20"/>
                <w:szCs w:val="20"/>
              </w:rPr>
              <w:t>50</w:t>
            </w:r>
            <w:r w:rsidRPr="006C1129">
              <w:rPr>
                <w:rFonts w:cs="Arial"/>
                <w:color w:val="000000"/>
                <w:sz w:val="20"/>
                <w:szCs w:val="20"/>
              </w:rPr>
              <w:t>%</w:t>
            </w:r>
          </w:p>
        </w:tc>
      </w:tr>
    </w:tbl>
    <w:p w:rsidR="00460371" w:rsidRDefault="00460371" w:rsidP="009B622C">
      <w:pPr>
        <w:pStyle w:val="Heading3"/>
        <w:keepLines w:val="0"/>
        <w:numPr>
          <w:ilvl w:val="2"/>
          <w:numId w:val="73"/>
        </w:numPr>
        <w:tabs>
          <w:tab w:val="left" w:pos="1162"/>
        </w:tabs>
        <w:spacing w:before="240" w:after="120"/>
      </w:pPr>
      <w:bookmarkStart w:id="338" w:name="_Toc412123656"/>
      <w:bookmarkStart w:id="339" w:name="_Toc412191164"/>
      <w:bookmarkStart w:id="340" w:name="_Toc412193599"/>
      <w:bookmarkStart w:id="341" w:name="_Toc412193701"/>
      <w:bookmarkStart w:id="342" w:name="_Toc412196595"/>
      <w:bookmarkStart w:id="343" w:name="_Toc412196698"/>
      <w:bookmarkStart w:id="344" w:name="_Toc412196801"/>
      <w:bookmarkStart w:id="345" w:name="_Toc412197101"/>
      <w:bookmarkStart w:id="346" w:name="_Toc412198125"/>
      <w:bookmarkStart w:id="347" w:name="_Toc412204654"/>
      <w:bookmarkStart w:id="348" w:name="_Toc412206046"/>
      <w:bookmarkStart w:id="349" w:name="_Toc412206632"/>
      <w:bookmarkStart w:id="350" w:name="_Toc412206757"/>
      <w:bookmarkStart w:id="351" w:name="_Toc412206859"/>
      <w:bookmarkStart w:id="352" w:name="_Toc412206959"/>
      <w:bookmarkStart w:id="353" w:name="_Toc412207168"/>
      <w:bookmarkStart w:id="354" w:name="_Toc412207431"/>
      <w:bookmarkStart w:id="355" w:name="_Toc412123657"/>
      <w:bookmarkStart w:id="356" w:name="_Toc412191165"/>
      <w:bookmarkStart w:id="357" w:name="_Toc412193600"/>
      <w:bookmarkStart w:id="358" w:name="_Toc412193702"/>
      <w:bookmarkStart w:id="359" w:name="_Toc412196596"/>
      <w:bookmarkStart w:id="360" w:name="_Toc412196699"/>
      <w:bookmarkStart w:id="361" w:name="_Toc412196802"/>
      <w:bookmarkStart w:id="362" w:name="_Toc412197102"/>
      <w:bookmarkStart w:id="363" w:name="_Toc412198126"/>
      <w:bookmarkStart w:id="364" w:name="_Toc412204655"/>
      <w:bookmarkStart w:id="365" w:name="_Toc412206047"/>
      <w:bookmarkStart w:id="366" w:name="_Toc412206633"/>
      <w:bookmarkStart w:id="367" w:name="_Toc412206758"/>
      <w:bookmarkStart w:id="368" w:name="_Toc412206860"/>
      <w:bookmarkStart w:id="369" w:name="_Toc412206960"/>
      <w:bookmarkStart w:id="370" w:name="_Toc412207169"/>
      <w:bookmarkStart w:id="371" w:name="_Toc412207432"/>
      <w:bookmarkStart w:id="372" w:name="_Ref373479482"/>
      <w:bookmarkStart w:id="373" w:name="_Toc380754769"/>
      <w:bookmarkStart w:id="374" w:name="_Toc412550788"/>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t>Calculation of cost parameters</w:t>
      </w:r>
      <w:bookmarkEnd w:id="372"/>
      <w:bookmarkEnd w:id="373"/>
      <w:bookmarkEnd w:id="374"/>
    </w:p>
    <w:p w:rsidR="00460371" w:rsidRDefault="00460371" w:rsidP="00AD4FFC">
      <w:pPr>
        <w:tabs>
          <w:tab w:val="left" w:pos="1162"/>
        </w:tabs>
        <w:rPr>
          <w:rFonts w:cs="Arial"/>
          <w:szCs w:val="20"/>
        </w:rPr>
      </w:pPr>
      <w:r>
        <w:rPr>
          <w:rFonts w:cs="Arial"/>
          <w:szCs w:val="20"/>
        </w:rPr>
        <w:t>The placement of a hospital in a group is based on the average total NWAU over the three years from 20</w:t>
      </w:r>
      <w:r w:rsidR="004D696A">
        <w:rPr>
          <w:rFonts w:cs="Arial"/>
          <w:szCs w:val="20"/>
        </w:rPr>
        <w:t>10</w:t>
      </w:r>
      <w:r>
        <w:rPr>
          <w:rFonts w:cs="Arial"/>
          <w:szCs w:val="20"/>
        </w:rPr>
        <w:t>-1</w:t>
      </w:r>
      <w:r w:rsidR="004D696A">
        <w:rPr>
          <w:rFonts w:cs="Arial"/>
          <w:szCs w:val="20"/>
        </w:rPr>
        <w:t>1</w:t>
      </w:r>
      <w:r>
        <w:rPr>
          <w:rFonts w:cs="Arial"/>
          <w:szCs w:val="20"/>
        </w:rPr>
        <w:t xml:space="preserve"> to </w:t>
      </w:r>
      <w:r w:rsidR="00B94FB5">
        <w:rPr>
          <w:rFonts w:cs="Arial"/>
          <w:szCs w:val="20"/>
        </w:rPr>
        <w:t>2012-13</w:t>
      </w:r>
      <w:r>
        <w:rPr>
          <w:rFonts w:cs="Arial"/>
          <w:szCs w:val="20"/>
        </w:rPr>
        <w:t>; namely, the sum of the NWAU for all acute admitted, subacute, ED, and non-admitted in-scope hospital services, as calculated above.</w:t>
      </w:r>
    </w:p>
    <w:p w:rsidR="00460371" w:rsidRDefault="00460371" w:rsidP="00AD4FFC">
      <w:pPr>
        <w:tabs>
          <w:tab w:val="left" w:pos="1162"/>
        </w:tabs>
        <w:rPr>
          <w:rFonts w:cs="Arial"/>
          <w:szCs w:val="20"/>
        </w:rPr>
      </w:pPr>
      <w:r w:rsidRPr="001D52E1">
        <w:rPr>
          <w:rFonts w:cs="Arial"/>
          <w:szCs w:val="20"/>
        </w:rPr>
        <w:t xml:space="preserve">For </w:t>
      </w:r>
      <w:r w:rsidR="00B94FB5" w:rsidRPr="001D52E1">
        <w:rPr>
          <w:rFonts w:cs="Arial"/>
          <w:szCs w:val="20"/>
        </w:rPr>
        <w:t>NEC15</w:t>
      </w:r>
      <w:r w:rsidRPr="001D52E1">
        <w:rPr>
          <w:rFonts w:cs="Arial"/>
          <w:szCs w:val="20"/>
        </w:rPr>
        <w:t xml:space="preserve">, </w:t>
      </w:r>
      <w:r w:rsidR="001D52E1">
        <w:rPr>
          <w:rFonts w:cs="Arial"/>
          <w:szCs w:val="20"/>
        </w:rPr>
        <w:t>38</w:t>
      </w:r>
      <w:r w:rsidR="00971BFA">
        <w:rPr>
          <w:rFonts w:cs="Arial"/>
          <w:szCs w:val="20"/>
        </w:rPr>
        <w:t>5</w:t>
      </w:r>
      <w:r w:rsidR="001D52E1" w:rsidRPr="001D52E1">
        <w:rPr>
          <w:rFonts w:cs="Arial"/>
          <w:szCs w:val="20"/>
        </w:rPr>
        <w:t xml:space="preserve"> </w:t>
      </w:r>
      <w:r w:rsidRPr="001D52E1">
        <w:rPr>
          <w:rFonts w:cs="Arial"/>
          <w:szCs w:val="20"/>
        </w:rPr>
        <w:t xml:space="preserve">hospitals have been designated as block funded, with </w:t>
      </w:r>
      <w:r w:rsidRPr="00A94BC9">
        <w:rPr>
          <w:rFonts w:cs="Arial"/>
          <w:szCs w:val="20"/>
        </w:rPr>
        <w:t>16</w:t>
      </w:r>
      <w:r w:rsidRPr="001D52E1">
        <w:rPr>
          <w:rFonts w:cs="Arial"/>
          <w:szCs w:val="20"/>
        </w:rPr>
        <w:t xml:space="preserve"> of these hospitals being treated separately as specialist </w:t>
      </w:r>
      <w:r w:rsidR="001D52E1">
        <w:rPr>
          <w:rFonts w:cs="Arial"/>
          <w:szCs w:val="20"/>
        </w:rPr>
        <w:t>psychiatric</w:t>
      </w:r>
      <w:r w:rsidRPr="001D52E1">
        <w:rPr>
          <w:rFonts w:cs="Arial"/>
          <w:szCs w:val="20"/>
        </w:rPr>
        <w:t xml:space="preserve"> establishments</w:t>
      </w:r>
      <w:r w:rsidR="001D52E1">
        <w:rPr>
          <w:rFonts w:cs="Arial"/>
          <w:szCs w:val="20"/>
        </w:rPr>
        <w:t xml:space="preserve"> and </w:t>
      </w:r>
      <w:r w:rsidR="00A94BC9">
        <w:rPr>
          <w:rFonts w:cs="Arial"/>
          <w:szCs w:val="20"/>
        </w:rPr>
        <w:t>12</w:t>
      </w:r>
      <w:r w:rsidR="001D52E1">
        <w:rPr>
          <w:rFonts w:cs="Arial"/>
          <w:szCs w:val="20"/>
        </w:rPr>
        <w:t xml:space="preserve"> major city hospitals</w:t>
      </w:r>
      <w:r w:rsidRPr="001D52E1">
        <w:rPr>
          <w:rFonts w:cs="Arial"/>
          <w:szCs w:val="20"/>
        </w:rPr>
        <w:t xml:space="preserve">. The </w:t>
      </w:r>
      <w:r w:rsidR="001D52E1">
        <w:rPr>
          <w:rFonts w:cs="Arial"/>
          <w:szCs w:val="20"/>
        </w:rPr>
        <w:t>38</w:t>
      </w:r>
      <w:r w:rsidR="00971BFA">
        <w:rPr>
          <w:rFonts w:cs="Arial"/>
          <w:szCs w:val="20"/>
        </w:rPr>
        <w:t>5</w:t>
      </w:r>
      <w:r w:rsidR="001D52E1" w:rsidRPr="001D52E1">
        <w:rPr>
          <w:rFonts w:cs="Arial"/>
          <w:szCs w:val="20"/>
        </w:rPr>
        <w:t xml:space="preserve"> </w:t>
      </w:r>
      <w:r w:rsidRPr="001D52E1">
        <w:rPr>
          <w:rFonts w:cs="Arial"/>
          <w:szCs w:val="20"/>
        </w:rPr>
        <w:t>block funded hospitals have been grouped by size</w:t>
      </w:r>
      <w:r w:rsidR="001D52E1">
        <w:rPr>
          <w:rFonts w:cs="Arial"/>
          <w:szCs w:val="20"/>
        </w:rPr>
        <w:t>, type</w:t>
      </w:r>
      <w:r w:rsidRPr="001D52E1">
        <w:rPr>
          <w:rFonts w:cs="Arial"/>
          <w:szCs w:val="20"/>
        </w:rPr>
        <w:t xml:space="preserve"> and locality in the </w:t>
      </w:r>
      <w:r w:rsidR="00B94FB5" w:rsidRPr="001D52E1">
        <w:rPr>
          <w:rFonts w:cs="Arial"/>
          <w:szCs w:val="20"/>
        </w:rPr>
        <w:t>NEC15</w:t>
      </w:r>
      <w:r w:rsidRPr="001D52E1">
        <w:rPr>
          <w:rFonts w:cs="Arial"/>
          <w:szCs w:val="20"/>
        </w:rPr>
        <w:t xml:space="preserve"> cost model for the specification of availability and service capacity elements to determine </w:t>
      </w:r>
      <w:r w:rsidR="00B94FB5" w:rsidRPr="001D52E1">
        <w:rPr>
          <w:rFonts w:cs="Arial"/>
          <w:szCs w:val="20"/>
        </w:rPr>
        <w:t>NEC15</w:t>
      </w:r>
      <w:r w:rsidRPr="001D52E1">
        <w:rPr>
          <w:rFonts w:cs="Arial"/>
          <w:szCs w:val="20"/>
        </w:rPr>
        <w:t>. T</w:t>
      </w:r>
      <w:r w:rsidR="00FF5841" w:rsidRPr="001D52E1">
        <w:rPr>
          <w:rFonts w:cs="Arial"/>
          <w:szCs w:val="20"/>
        </w:rPr>
        <w:t xml:space="preserve">he distribution of these </w:t>
      </w:r>
      <w:r w:rsidR="001D52E1">
        <w:rPr>
          <w:rFonts w:cs="Arial"/>
          <w:szCs w:val="20"/>
        </w:rPr>
        <w:t>38</w:t>
      </w:r>
      <w:r w:rsidR="00971BFA">
        <w:rPr>
          <w:rFonts w:cs="Arial"/>
          <w:szCs w:val="20"/>
        </w:rPr>
        <w:t>5</w:t>
      </w:r>
      <w:r w:rsidR="001D52E1" w:rsidRPr="001D52E1">
        <w:rPr>
          <w:rFonts w:cs="Arial"/>
          <w:szCs w:val="20"/>
        </w:rPr>
        <w:t xml:space="preserve"> </w:t>
      </w:r>
      <w:r w:rsidR="00FF5841" w:rsidRPr="001D52E1">
        <w:rPr>
          <w:rFonts w:cs="Arial"/>
          <w:szCs w:val="20"/>
        </w:rPr>
        <w:t>ho</w:t>
      </w:r>
      <w:r w:rsidRPr="001D52E1">
        <w:rPr>
          <w:rFonts w:cs="Arial"/>
          <w:szCs w:val="20"/>
        </w:rPr>
        <w:t>s</w:t>
      </w:r>
      <w:r w:rsidR="00FF5841" w:rsidRPr="001D52E1">
        <w:rPr>
          <w:rFonts w:cs="Arial"/>
          <w:szCs w:val="20"/>
        </w:rPr>
        <w:t>p</w:t>
      </w:r>
      <w:r w:rsidRPr="001D52E1">
        <w:rPr>
          <w:rFonts w:cs="Arial"/>
          <w:szCs w:val="20"/>
        </w:rPr>
        <w:t>itals is shown in</w:t>
      </w:r>
      <w:r w:rsidR="007D16DD" w:rsidRPr="001D52E1">
        <w:rPr>
          <w:rFonts w:cs="Arial"/>
          <w:szCs w:val="20"/>
        </w:rPr>
        <w:t xml:space="preserve"> Table 2</w:t>
      </w:r>
      <w:r w:rsidR="001D25A0">
        <w:rPr>
          <w:rFonts w:cs="Arial"/>
          <w:szCs w:val="20"/>
        </w:rPr>
        <w:t>0</w:t>
      </w:r>
      <w:r w:rsidRPr="001D52E1">
        <w:rPr>
          <w:rFonts w:cs="Arial"/>
          <w:szCs w:val="20"/>
        </w:rPr>
        <w:t>.</w:t>
      </w:r>
    </w:p>
    <w:p w:rsidR="00420107" w:rsidRDefault="00460371">
      <w:pPr>
        <w:pStyle w:val="table"/>
      </w:pPr>
      <w:bookmarkStart w:id="375" w:name="_Ref373478917"/>
      <w:r>
        <w:t xml:space="preserve">Table </w:t>
      </w:r>
      <w:bookmarkEnd w:id="375"/>
      <w:r>
        <w:t>2</w:t>
      </w:r>
      <w:r w:rsidR="001D25A0">
        <w:t>0</w:t>
      </w:r>
      <w:r>
        <w:t>: Distribution of block funded hospitals across size-locality cells</w:t>
      </w:r>
    </w:p>
    <w:tbl>
      <w:tblPr>
        <w:tblW w:w="9441" w:type="dxa"/>
        <w:jc w:val="center"/>
        <w:tblInd w:w="131" w:type="dxa"/>
        <w:tblLayout w:type="fixed"/>
        <w:tblLook w:val="04A0" w:firstRow="1" w:lastRow="0" w:firstColumn="1" w:lastColumn="0" w:noHBand="0" w:noVBand="1"/>
      </w:tblPr>
      <w:tblGrid>
        <w:gridCol w:w="908"/>
        <w:gridCol w:w="8"/>
        <w:gridCol w:w="900"/>
        <w:gridCol w:w="953"/>
        <w:gridCol w:w="953"/>
        <w:gridCol w:w="953"/>
        <w:gridCol w:w="953"/>
        <w:gridCol w:w="953"/>
        <w:gridCol w:w="953"/>
        <w:gridCol w:w="953"/>
        <w:gridCol w:w="954"/>
      </w:tblGrid>
      <w:tr w:rsidR="00AD5B91" w:rsidRPr="00253078" w:rsidTr="00AD5B91">
        <w:trPr>
          <w:cantSplit/>
          <w:trHeight w:val="421"/>
          <w:tblHeader/>
          <w:jc w:val="center"/>
        </w:trPr>
        <w:tc>
          <w:tcPr>
            <w:tcW w:w="908" w:type="dxa"/>
            <w:tcBorders>
              <w:top w:val="single" w:sz="4" w:space="0" w:color="auto"/>
              <w:left w:val="single" w:sz="4" w:space="0" w:color="auto"/>
              <w:bottom w:val="single" w:sz="4" w:space="0" w:color="auto"/>
            </w:tcBorders>
            <w:shd w:val="clear" w:color="auto" w:fill="BFBFBF" w:themeFill="background1" w:themeFillShade="BF"/>
            <w:vAlign w:val="center"/>
          </w:tcPr>
          <w:p w:rsidR="00AD5B91" w:rsidRPr="00253078" w:rsidRDefault="00AD5B91" w:rsidP="00AD4FFC">
            <w:pPr>
              <w:jc w:val="center"/>
              <w:rPr>
                <w:rFonts w:ascii="Arial" w:hAnsi="Arial" w:cs="Arial"/>
                <w:b/>
                <w:sz w:val="20"/>
                <w:szCs w:val="20"/>
              </w:rPr>
            </w:pPr>
          </w:p>
        </w:tc>
        <w:tc>
          <w:tcPr>
            <w:tcW w:w="908" w:type="dxa"/>
            <w:gridSpan w:val="2"/>
            <w:tcBorders>
              <w:top w:val="single" w:sz="4" w:space="0" w:color="auto"/>
              <w:bottom w:val="single" w:sz="4" w:space="0" w:color="auto"/>
              <w:right w:val="single" w:sz="4" w:space="0" w:color="auto"/>
            </w:tcBorders>
            <w:shd w:val="clear" w:color="auto" w:fill="BFBFBF" w:themeFill="background1" w:themeFillShade="BF"/>
            <w:vAlign w:val="center"/>
          </w:tcPr>
          <w:p w:rsidR="00AD5B91" w:rsidRPr="00253078" w:rsidRDefault="00AD5B91" w:rsidP="00AD4FFC">
            <w:pPr>
              <w:jc w:val="center"/>
              <w:rPr>
                <w:rFonts w:ascii="Arial" w:hAnsi="Arial" w:cs="Arial"/>
                <w:b/>
                <w:sz w:val="20"/>
                <w:szCs w:val="20"/>
              </w:rPr>
            </w:pPr>
          </w:p>
        </w:tc>
        <w:tc>
          <w:tcPr>
            <w:tcW w:w="7625" w:type="dxa"/>
            <w:gridSpan w:val="8"/>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AD5B91" w:rsidRPr="00253078" w:rsidRDefault="00AD5B91" w:rsidP="00AD4FFC">
            <w:pPr>
              <w:jc w:val="center"/>
              <w:rPr>
                <w:rFonts w:ascii="Arial" w:hAnsi="Arial" w:cs="Arial"/>
                <w:b/>
                <w:sz w:val="20"/>
                <w:szCs w:val="20"/>
              </w:rPr>
            </w:pPr>
            <w:r w:rsidRPr="00253078">
              <w:rPr>
                <w:rFonts w:ascii="Arial" w:hAnsi="Arial" w:cs="Arial"/>
                <w:b/>
                <w:sz w:val="20"/>
                <w:szCs w:val="20"/>
              </w:rPr>
              <w:t>Volume Group</w:t>
            </w:r>
          </w:p>
        </w:tc>
      </w:tr>
      <w:tr w:rsidR="00C121BC" w:rsidRPr="00253078" w:rsidTr="00AD5B91">
        <w:trPr>
          <w:cantSplit/>
          <w:trHeight w:val="155"/>
          <w:tblHeader/>
          <w:jc w:val="center"/>
        </w:trPr>
        <w:tc>
          <w:tcPr>
            <w:tcW w:w="916"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420107" w:rsidRPr="00253078" w:rsidRDefault="00420107" w:rsidP="00AD4FFC">
            <w:pPr>
              <w:spacing w:before="40" w:after="40"/>
              <w:jc w:val="center"/>
              <w:rPr>
                <w:rFonts w:ascii="Arial" w:hAnsi="Arial" w:cs="Arial"/>
                <w:b/>
                <w:sz w:val="20"/>
                <w:szCs w:val="20"/>
              </w:rPr>
            </w:pPr>
            <w:r w:rsidRPr="00253078">
              <w:rPr>
                <w:rFonts w:ascii="Arial" w:hAnsi="Arial" w:cs="Arial"/>
                <w:b/>
                <w:sz w:val="20"/>
                <w:szCs w:val="20"/>
              </w:rPr>
              <w:t>Region Group</w:t>
            </w:r>
          </w:p>
        </w:tc>
        <w:tc>
          <w:tcPr>
            <w:tcW w:w="900" w:type="dxa"/>
            <w:tcBorders>
              <w:top w:val="single" w:sz="4" w:space="0" w:color="auto"/>
              <w:left w:val="single" w:sz="4" w:space="0" w:color="auto"/>
              <w:bottom w:val="single" w:sz="4" w:space="0" w:color="000000"/>
              <w:right w:val="single" w:sz="4" w:space="0" w:color="auto"/>
            </w:tcBorders>
            <w:shd w:val="clear" w:color="000000" w:fill="D9D9D9"/>
            <w:vAlign w:val="center"/>
          </w:tcPr>
          <w:p w:rsidR="00420107" w:rsidRPr="00253078" w:rsidRDefault="00420107" w:rsidP="00AD4FFC">
            <w:pPr>
              <w:spacing w:before="40" w:after="40"/>
              <w:jc w:val="center"/>
              <w:rPr>
                <w:rFonts w:ascii="Arial" w:hAnsi="Arial" w:cs="Arial"/>
                <w:b/>
                <w:sz w:val="20"/>
                <w:szCs w:val="20"/>
              </w:rPr>
            </w:pPr>
            <w:r w:rsidRPr="00253078">
              <w:rPr>
                <w:rFonts w:ascii="Arial" w:hAnsi="Arial" w:cs="Arial"/>
                <w:b/>
                <w:sz w:val="20"/>
                <w:szCs w:val="20"/>
              </w:rPr>
              <w:t>Type</w:t>
            </w:r>
          </w:p>
        </w:tc>
        <w:tc>
          <w:tcPr>
            <w:tcW w:w="953" w:type="dxa"/>
            <w:tcBorders>
              <w:top w:val="nil"/>
              <w:left w:val="nil"/>
              <w:bottom w:val="single" w:sz="4" w:space="0" w:color="auto"/>
              <w:right w:val="single" w:sz="4" w:space="0" w:color="auto"/>
            </w:tcBorders>
            <w:shd w:val="clear" w:color="000000" w:fill="D9D9D9"/>
            <w:vAlign w:val="center"/>
          </w:tcPr>
          <w:p w:rsidR="00420107" w:rsidRPr="00253078" w:rsidRDefault="00420107" w:rsidP="00AD4FFC">
            <w:pPr>
              <w:spacing w:before="40" w:after="40"/>
              <w:jc w:val="center"/>
              <w:rPr>
                <w:rFonts w:ascii="Arial" w:hAnsi="Arial" w:cs="Arial"/>
                <w:b/>
                <w:sz w:val="20"/>
                <w:szCs w:val="20"/>
              </w:rPr>
            </w:pPr>
            <w:r w:rsidRPr="00253078">
              <w:rPr>
                <w:rFonts w:ascii="Arial" w:hAnsi="Arial" w:cs="Arial"/>
                <w:b/>
                <w:sz w:val="20"/>
                <w:szCs w:val="20"/>
              </w:rPr>
              <w:t>Group 0</w:t>
            </w:r>
          </w:p>
        </w:tc>
        <w:tc>
          <w:tcPr>
            <w:tcW w:w="953" w:type="dxa"/>
            <w:tcBorders>
              <w:top w:val="nil"/>
              <w:left w:val="nil"/>
              <w:bottom w:val="single" w:sz="4" w:space="0" w:color="auto"/>
              <w:right w:val="single" w:sz="4" w:space="0" w:color="auto"/>
            </w:tcBorders>
            <w:shd w:val="clear" w:color="000000" w:fill="D9D9D9"/>
            <w:vAlign w:val="center"/>
          </w:tcPr>
          <w:p w:rsidR="00420107" w:rsidRPr="00253078" w:rsidRDefault="00420107" w:rsidP="00AD4FFC">
            <w:pPr>
              <w:spacing w:before="40" w:after="40"/>
              <w:jc w:val="center"/>
              <w:rPr>
                <w:rFonts w:ascii="Arial" w:hAnsi="Arial" w:cs="Arial"/>
                <w:b/>
                <w:sz w:val="20"/>
                <w:szCs w:val="20"/>
              </w:rPr>
            </w:pPr>
            <w:r w:rsidRPr="00253078">
              <w:rPr>
                <w:rFonts w:ascii="Arial" w:hAnsi="Arial" w:cs="Arial"/>
                <w:b/>
                <w:sz w:val="20"/>
                <w:szCs w:val="20"/>
              </w:rPr>
              <w:t>Group A</w:t>
            </w:r>
          </w:p>
        </w:tc>
        <w:tc>
          <w:tcPr>
            <w:tcW w:w="953" w:type="dxa"/>
            <w:tcBorders>
              <w:top w:val="nil"/>
              <w:left w:val="nil"/>
              <w:bottom w:val="single" w:sz="4" w:space="0" w:color="auto"/>
              <w:right w:val="single" w:sz="4" w:space="0" w:color="auto"/>
            </w:tcBorders>
            <w:shd w:val="clear" w:color="000000" w:fill="D9D9D9"/>
            <w:vAlign w:val="center"/>
          </w:tcPr>
          <w:p w:rsidR="00420107" w:rsidRPr="00253078" w:rsidRDefault="00420107" w:rsidP="00AD4FFC">
            <w:pPr>
              <w:spacing w:before="40" w:after="40"/>
              <w:jc w:val="center"/>
              <w:rPr>
                <w:rFonts w:ascii="Arial" w:hAnsi="Arial" w:cs="Arial"/>
                <w:b/>
                <w:sz w:val="20"/>
                <w:szCs w:val="20"/>
              </w:rPr>
            </w:pPr>
            <w:r w:rsidRPr="00253078">
              <w:rPr>
                <w:rFonts w:ascii="Arial" w:hAnsi="Arial" w:cs="Arial"/>
                <w:b/>
                <w:sz w:val="20"/>
                <w:szCs w:val="20"/>
              </w:rPr>
              <w:t>Group B</w:t>
            </w:r>
          </w:p>
        </w:tc>
        <w:tc>
          <w:tcPr>
            <w:tcW w:w="953" w:type="dxa"/>
            <w:tcBorders>
              <w:top w:val="nil"/>
              <w:left w:val="nil"/>
              <w:bottom w:val="single" w:sz="4" w:space="0" w:color="auto"/>
              <w:right w:val="single" w:sz="4" w:space="0" w:color="auto"/>
            </w:tcBorders>
            <w:shd w:val="clear" w:color="000000" w:fill="D9D9D9"/>
            <w:vAlign w:val="center"/>
          </w:tcPr>
          <w:p w:rsidR="00420107" w:rsidRPr="00253078" w:rsidRDefault="00420107" w:rsidP="00AD4FFC">
            <w:pPr>
              <w:spacing w:before="40" w:after="40"/>
              <w:jc w:val="center"/>
              <w:rPr>
                <w:rFonts w:ascii="Arial" w:hAnsi="Arial" w:cs="Arial"/>
                <w:b/>
                <w:sz w:val="20"/>
                <w:szCs w:val="20"/>
              </w:rPr>
            </w:pPr>
            <w:r w:rsidRPr="00253078">
              <w:rPr>
                <w:rFonts w:ascii="Arial" w:hAnsi="Arial" w:cs="Arial"/>
                <w:b/>
                <w:sz w:val="20"/>
                <w:szCs w:val="20"/>
              </w:rPr>
              <w:t>Group C</w:t>
            </w:r>
          </w:p>
        </w:tc>
        <w:tc>
          <w:tcPr>
            <w:tcW w:w="953" w:type="dxa"/>
            <w:tcBorders>
              <w:top w:val="nil"/>
              <w:left w:val="nil"/>
              <w:bottom w:val="single" w:sz="4" w:space="0" w:color="auto"/>
              <w:right w:val="single" w:sz="4" w:space="0" w:color="auto"/>
            </w:tcBorders>
            <w:shd w:val="clear" w:color="000000" w:fill="D9D9D9"/>
            <w:vAlign w:val="center"/>
          </w:tcPr>
          <w:p w:rsidR="00420107" w:rsidRPr="00253078" w:rsidRDefault="00420107" w:rsidP="00AD4FFC">
            <w:pPr>
              <w:spacing w:before="40" w:after="40"/>
              <w:jc w:val="center"/>
              <w:rPr>
                <w:rFonts w:ascii="Arial" w:hAnsi="Arial" w:cs="Arial"/>
                <w:b/>
                <w:sz w:val="20"/>
                <w:szCs w:val="20"/>
              </w:rPr>
            </w:pPr>
            <w:r w:rsidRPr="00253078">
              <w:rPr>
                <w:rFonts w:ascii="Arial" w:hAnsi="Arial" w:cs="Arial"/>
                <w:b/>
                <w:sz w:val="20"/>
                <w:szCs w:val="20"/>
              </w:rPr>
              <w:t>Group D</w:t>
            </w:r>
          </w:p>
        </w:tc>
        <w:tc>
          <w:tcPr>
            <w:tcW w:w="953" w:type="dxa"/>
            <w:tcBorders>
              <w:top w:val="nil"/>
              <w:left w:val="nil"/>
              <w:bottom w:val="single" w:sz="4" w:space="0" w:color="auto"/>
              <w:right w:val="single" w:sz="4" w:space="0" w:color="auto"/>
            </w:tcBorders>
            <w:shd w:val="clear" w:color="000000" w:fill="D9D9D9"/>
            <w:vAlign w:val="center"/>
          </w:tcPr>
          <w:p w:rsidR="00420107" w:rsidRPr="00253078" w:rsidRDefault="00420107" w:rsidP="00AD4FFC">
            <w:pPr>
              <w:spacing w:before="40" w:after="40"/>
              <w:jc w:val="center"/>
              <w:rPr>
                <w:rFonts w:ascii="Arial" w:hAnsi="Arial" w:cs="Arial"/>
                <w:b/>
                <w:sz w:val="20"/>
                <w:szCs w:val="20"/>
              </w:rPr>
            </w:pPr>
            <w:r w:rsidRPr="00253078">
              <w:rPr>
                <w:rFonts w:ascii="Arial" w:hAnsi="Arial" w:cs="Arial"/>
                <w:b/>
                <w:sz w:val="20"/>
                <w:szCs w:val="20"/>
              </w:rPr>
              <w:t>Group E</w:t>
            </w:r>
          </w:p>
        </w:tc>
        <w:tc>
          <w:tcPr>
            <w:tcW w:w="953" w:type="dxa"/>
            <w:tcBorders>
              <w:top w:val="nil"/>
              <w:left w:val="nil"/>
              <w:bottom w:val="single" w:sz="4" w:space="0" w:color="auto"/>
              <w:right w:val="single" w:sz="4" w:space="0" w:color="auto"/>
            </w:tcBorders>
            <w:shd w:val="clear" w:color="000000" w:fill="D9D9D9"/>
            <w:vAlign w:val="center"/>
          </w:tcPr>
          <w:p w:rsidR="00420107" w:rsidRPr="00253078" w:rsidRDefault="00420107" w:rsidP="00AD4FFC">
            <w:pPr>
              <w:spacing w:before="40" w:after="40"/>
              <w:jc w:val="center"/>
              <w:rPr>
                <w:rFonts w:ascii="Arial" w:hAnsi="Arial" w:cs="Arial"/>
                <w:b/>
                <w:sz w:val="20"/>
                <w:szCs w:val="20"/>
              </w:rPr>
            </w:pPr>
            <w:r w:rsidRPr="00253078">
              <w:rPr>
                <w:rFonts w:ascii="Arial" w:hAnsi="Arial" w:cs="Arial"/>
                <w:b/>
                <w:sz w:val="20"/>
                <w:szCs w:val="20"/>
              </w:rPr>
              <w:t>Group F</w:t>
            </w:r>
          </w:p>
        </w:tc>
        <w:tc>
          <w:tcPr>
            <w:tcW w:w="954" w:type="dxa"/>
            <w:tcBorders>
              <w:top w:val="nil"/>
              <w:left w:val="nil"/>
              <w:bottom w:val="single" w:sz="4" w:space="0" w:color="auto"/>
              <w:right w:val="single" w:sz="4" w:space="0" w:color="auto"/>
            </w:tcBorders>
            <w:shd w:val="clear" w:color="000000" w:fill="D9D9D9"/>
            <w:vAlign w:val="center"/>
          </w:tcPr>
          <w:p w:rsidR="00420107" w:rsidRPr="00253078" w:rsidRDefault="00420107" w:rsidP="00AD4FFC">
            <w:pPr>
              <w:spacing w:before="40" w:after="40"/>
              <w:jc w:val="center"/>
              <w:rPr>
                <w:rFonts w:ascii="Arial" w:hAnsi="Arial" w:cs="Arial"/>
                <w:b/>
                <w:sz w:val="20"/>
                <w:szCs w:val="20"/>
              </w:rPr>
            </w:pPr>
            <w:r w:rsidRPr="00253078">
              <w:rPr>
                <w:rFonts w:ascii="Arial" w:hAnsi="Arial" w:cs="Arial"/>
                <w:b/>
                <w:sz w:val="20"/>
                <w:szCs w:val="20"/>
              </w:rPr>
              <w:t>Group G</w:t>
            </w:r>
          </w:p>
        </w:tc>
      </w:tr>
      <w:tr w:rsidR="00971BFA" w:rsidRPr="00253078" w:rsidTr="00AE53A9">
        <w:trPr>
          <w:cantSplit/>
          <w:trHeight w:val="170"/>
          <w:jc w:val="center"/>
        </w:trPr>
        <w:tc>
          <w:tcPr>
            <w:tcW w:w="91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rsidR="00971BFA" w:rsidRPr="00253078" w:rsidRDefault="00971BFA" w:rsidP="00AD4FFC">
            <w:pPr>
              <w:spacing w:before="120"/>
              <w:jc w:val="center"/>
              <w:rPr>
                <w:rFonts w:ascii="Arial" w:hAnsi="Arial" w:cs="Arial"/>
                <w:b/>
                <w:sz w:val="20"/>
                <w:szCs w:val="20"/>
              </w:rPr>
            </w:pPr>
            <w:r w:rsidRPr="00253078">
              <w:rPr>
                <w:rFonts w:ascii="Arial" w:hAnsi="Arial" w:cs="Arial"/>
                <w:b/>
                <w:sz w:val="20"/>
                <w:szCs w:val="20"/>
              </w:rPr>
              <w:t>1</w:t>
            </w:r>
          </w:p>
        </w:tc>
        <w:tc>
          <w:tcPr>
            <w:tcW w:w="90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1BFA" w:rsidRPr="00253078" w:rsidRDefault="00971BFA" w:rsidP="00AD4FFC">
            <w:pPr>
              <w:spacing w:before="120"/>
              <w:jc w:val="center"/>
              <w:rPr>
                <w:rFonts w:ascii="Arial" w:hAnsi="Arial" w:cs="Arial"/>
                <w:b/>
                <w:sz w:val="20"/>
                <w:szCs w:val="20"/>
              </w:rPr>
            </w:pPr>
            <w:r w:rsidRPr="00253078">
              <w:rPr>
                <w:rFonts w:ascii="Arial" w:hAnsi="Arial" w:cs="Arial"/>
                <w:b/>
                <w:sz w:val="20"/>
                <w:szCs w:val="20"/>
              </w:rPr>
              <w:t>A</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8</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11</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2</w:t>
            </w:r>
            <w:r>
              <w:rPr>
                <w:rFonts w:ascii="Arial" w:hAnsi="Arial" w:cs="Arial"/>
                <w:sz w:val="20"/>
                <w:szCs w:val="20"/>
              </w:rPr>
              <w:t>2</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2</w:t>
            </w:r>
            <w:r>
              <w:rPr>
                <w:rFonts w:ascii="Arial" w:hAnsi="Arial" w:cs="Arial"/>
                <w:sz w:val="20"/>
                <w:szCs w:val="20"/>
              </w:rPr>
              <w:t>6</w:t>
            </w:r>
          </w:p>
        </w:tc>
        <w:tc>
          <w:tcPr>
            <w:tcW w:w="954" w:type="dxa"/>
            <w:tcBorders>
              <w:top w:val="nil"/>
              <w:left w:val="nil"/>
              <w:bottom w:val="single" w:sz="4" w:space="0" w:color="auto"/>
              <w:right w:val="single" w:sz="4" w:space="0" w:color="auto"/>
            </w:tcBorders>
            <w:vAlign w:val="center"/>
          </w:tcPr>
          <w:p w:rsidR="00971BFA" w:rsidRPr="00253078" w:rsidRDefault="00971BFA" w:rsidP="00AD4FFC">
            <w:pPr>
              <w:spacing w:before="120"/>
              <w:jc w:val="center"/>
              <w:rPr>
                <w:rFonts w:ascii="Arial" w:hAnsi="Arial" w:cs="Arial"/>
                <w:sz w:val="20"/>
                <w:szCs w:val="20"/>
              </w:rPr>
            </w:pPr>
            <w:r>
              <w:rPr>
                <w:rFonts w:ascii="Arial" w:hAnsi="Arial" w:cs="Arial"/>
                <w:sz w:val="20"/>
                <w:szCs w:val="20"/>
              </w:rPr>
              <w:t>10</w:t>
            </w:r>
          </w:p>
        </w:tc>
      </w:tr>
      <w:tr w:rsidR="00971BFA" w:rsidRPr="00253078" w:rsidTr="00AE53A9">
        <w:trPr>
          <w:cantSplit/>
          <w:trHeight w:val="170"/>
          <w:jc w:val="center"/>
        </w:trPr>
        <w:tc>
          <w:tcPr>
            <w:tcW w:w="91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rsidR="00971BFA" w:rsidRPr="00253078" w:rsidRDefault="00971BFA" w:rsidP="00AD4FFC">
            <w:pPr>
              <w:spacing w:before="120"/>
              <w:jc w:val="center"/>
              <w:rPr>
                <w:rFonts w:ascii="Arial" w:hAnsi="Arial" w:cs="Arial"/>
                <w:b/>
                <w:sz w:val="20"/>
                <w:szCs w:val="20"/>
              </w:rPr>
            </w:pPr>
          </w:p>
        </w:tc>
        <w:tc>
          <w:tcPr>
            <w:tcW w:w="90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1BFA" w:rsidRPr="00253078" w:rsidRDefault="00971BFA" w:rsidP="00AD4FFC">
            <w:pPr>
              <w:spacing w:before="120"/>
              <w:jc w:val="center"/>
              <w:rPr>
                <w:rFonts w:ascii="Arial" w:hAnsi="Arial" w:cs="Arial"/>
                <w:b/>
                <w:sz w:val="20"/>
                <w:szCs w:val="20"/>
              </w:rPr>
            </w:pPr>
            <w:r w:rsidRPr="00253078">
              <w:rPr>
                <w:rFonts w:ascii="Arial" w:hAnsi="Arial" w:cs="Arial"/>
                <w:b/>
                <w:sz w:val="20"/>
                <w:szCs w:val="20"/>
              </w:rPr>
              <w:t>B</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0</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0</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Pr>
                <w:rFonts w:ascii="Arial" w:hAnsi="Arial" w:cs="Arial"/>
                <w:sz w:val="20"/>
                <w:szCs w:val="20"/>
              </w:rPr>
              <w:t>51</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3</w:t>
            </w:r>
            <w:r>
              <w:rPr>
                <w:rFonts w:ascii="Arial" w:hAnsi="Arial" w:cs="Arial"/>
                <w:sz w:val="20"/>
                <w:szCs w:val="20"/>
              </w:rPr>
              <w:t>4</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3</w:t>
            </w:r>
            <w:r>
              <w:rPr>
                <w:rFonts w:ascii="Arial" w:hAnsi="Arial" w:cs="Arial"/>
                <w:sz w:val="20"/>
                <w:szCs w:val="20"/>
              </w:rPr>
              <w:t>3</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17</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Pr>
                <w:rFonts w:ascii="Arial" w:hAnsi="Arial" w:cs="Arial"/>
                <w:sz w:val="20"/>
                <w:szCs w:val="20"/>
              </w:rPr>
              <w:t>5</w:t>
            </w:r>
          </w:p>
        </w:tc>
        <w:tc>
          <w:tcPr>
            <w:tcW w:w="954" w:type="dxa"/>
            <w:tcBorders>
              <w:top w:val="nil"/>
              <w:left w:val="nil"/>
              <w:bottom w:val="single" w:sz="4" w:space="0" w:color="auto"/>
              <w:right w:val="single" w:sz="4" w:space="0" w:color="auto"/>
            </w:tcBorders>
            <w:vAlign w:val="center"/>
          </w:tcPr>
          <w:p w:rsidR="00971BFA" w:rsidRPr="00253078" w:rsidRDefault="00971BFA" w:rsidP="00AD4FFC">
            <w:pPr>
              <w:spacing w:before="120"/>
              <w:jc w:val="center"/>
              <w:rPr>
                <w:rFonts w:ascii="Arial" w:hAnsi="Arial" w:cs="Arial"/>
                <w:sz w:val="20"/>
                <w:szCs w:val="20"/>
              </w:rPr>
            </w:pPr>
            <w:r>
              <w:rPr>
                <w:rFonts w:ascii="Arial" w:hAnsi="Arial" w:cs="Arial"/>
                <w:sz w:val="20"/>
                <w:szCs w:val="20"/>
              </w:rPr>
              <w:t>2</w:t>
            </w:r>
          </w:p>
        </w:tc>
      </w:tr>
      <w:tr w:rsidR="00971BFA" w:rsidRPr="00253078" w:rsidTr="00AE53A9">
        <w:trPr>
          <w:cantSplit/>
          <w:trHeight w:val="170"/>
          <w:jc w:val="center"/>
        </w:trPr>
        <w:tc>
          <w:tcPr>
            <w:tcW w:w="91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rsidR="00971BFA" w:rsidRPr="00253078" w:rsidRDefault="00971BFA" w:rsidP="00AD4FFC">
            <w:pPr>
              <w:spacing w:before="120"/>
              <w:jc w:val="center"/>
              <w:rPr>
                <w:rFonts w:ascii="Arial" w:hAnsi="Arial" w:cs="Arial"/>
                <w:b/>
                <w:sz w:val="20"/>
                <w:szCs w:val="20"/>
              </w:rPr>
            </w:pPr>
          </w:p>
        </w:tc>
        <w:tc>
          <w:tcPr>
            <w:tcW w:w="90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1BFA" w:rsidRPr="00253078" w:rsidRDefault="00971BFA" w:rsidP="00AD4FFC">
            <w:pPr>
              <w:spacing w:before="120"/>
              <w:jc w:val="center"/>
              <w:rPr>
                <w:rFonts w:ascii="Arial" w:hAnsi="Arial" w:cs="Arial"/>
                <w:b/>
                <w:sz w:val="20"/>
                <w:szCs w:val="20"/>
              </w:rPr>
            </w:pPr>
            <w:r w:rsidRPr="00253078">
              <w:rPr>
                <w:rFonts w:ascii="Arial" w:hAnsi="Arial" w:cs="Arial"/>
                <w:b/>
                <w:sz w:val="20"/>
                <w:szCs w:val="20"/>
              </w:rPr>
              <w:t>C</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Pr>
                <w:rFonts w:ascii="Arial" w:hAnsi="Arial" w:cs="Arial"/>
                <w:sz w:val="20"/>
                <w:szCs w:val="20"/>
              </w:rPr>
              <w:t>7</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6</w:t>
            </w:r>
            <w:r>
              <w:rPr>
                <w:rFonts w:ascii="Arial" w:hAnsi="Arial" w:cs="Arial"/>
                <w:sz w:val="20"/>
                <w:szCs w:val="20"/>
              </w:rPr>
              <w:t>8</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Pr>
                <w:rFonts w:ascii="Arial" w:hAnsi="Arial" w:cs="Arial"/>
                <w:sz w:val="20"/>
                <w:szCs w:val="20"/>
              </w:rPr>
              <w:t>19</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9</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5</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6</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1</w:t>
            </w:r>
          </w:p>
        </w:tc>
        <w:tc>
          <w:tcPr>
            <w:tcW w:w="954" w:type="dxa"/>
            <w:tcBorders>
              <w:top w:val="nil"/>
              <w:left w:val="nil"/>
              <w:bottom w:val="single" w:sz="4" w:space="0" w:color="auto"/>
              <w:right w:val="single" w:sz="4" w:space="0" w:color="auto"/>
            </w:tcBorders>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0</w:t>
            </w:r>
          </w:p>
        </w:tc>
      </w:tr>
      <w:tr w:rsidR="00971BFA" w:rsidRPr="00253078" w:rsidTr="00AE53A9">
        <w:trPr>
          <w:cantSplit/>
          <w:trHeight w:val="170"/>
          <w:jc w:val="center"/>
        </w:trPr>
        <w:tc>
          <w:tcPr>
            <w:tcW w:w="916" w:type="dxa"/>
            <w:gridSpan w:val="2"/>
            <w:tcBorders>
              <w:top w:val="nil"/>
              <w:left w:val="single" w:sz="4" w:space="0" w:color="auto"/>
              <w:bottom w:val="single" w:sz="4" w:space="0" w:color="auto"/>
              <w:right w:val="single" w:sz="4" w:space="0" w:color="auto"/>
            </w:tcBorders>
            <w:shd w:val="clear" w:color="000000" w:fill="D9D9D9"/>
            <w:noWrap/>
            <w:vAlign w:val="center"/>
          </w:tcPr>
          <w:p w:rsidR="00971BFA" w:rsidRPr="00253078" w:rsidRDefault="00971BFA" w:rsidP="00AD4FFC">
            <w:pPr>
              <w:spacing w:before="120"/>
              <w:jc w:val="center"/>
              <w:rPr>
                <w:rFonts w:ascii="Arial" w:hAnsi="Arial" w:cs="Arial"/>
                <w:b/>
                <w:sz w:val="20"/>
                <w:szCs w:val="20"/>
              </w:rPr>
            </w:pPr>
            <w:r w:rsidRPr="00253078">
              <w:rPr>
                <w:rFonts w:ascii="Arial" w:hAnsi="Arial" w:cs="Arial"/>
                <w:b/>
                <w:sz w:val="20"/>
                <w:szCs w:val="20"/>
              </w:rPr>
              <w:t>2</w:t>
            </w:r>
          </w:p>
        </w:tc>
        <w:tc>
          <w:tcPr>
            <w:tcW w:w="90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1BFA" w:rsidRPr="00253078" w:rsidRDefault="00971BFA" w:rsidP="00AD4FFC">
            <w:pPr>
              <w:spacing w:before="120"/>
              <w:jc w:val="center"/>
              <w:rPr>
                <w:rFonts w:ascii="Arial" w:hAnsi="Arial" w:cs="Arial"/>
                <w:b/>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3</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6</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12</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Pr>
                <w:rFonts w:ascii="Arial" w:hAnsi="Arial" w:cs="Arial"/>
                <w:sz w:val="20"/>
                <w:szCs w:val="20"/>
              </w:rPr>
              <w:t>8</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9</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Pr>
                <w:rFonts w:ascii="Arial" w:hAnsi="Arial" w:cs="Arial"/>
                <w:sz w:val="20"/>
                <w:szCs w:val="20"/>
              </w:rPr>
              <w:t>8</w:t>
            </w:r>
          </w:p>
        </w:tc>
        <w:tc>
          <w:tcPr>
            <w:tcW w:w="953" w:type="dxa"/>
            <w:tcBorders>
              <w:top w:val="nil"/>
              <w:left w:val="nil"/>
              <w:bottom w:val="single" w:sz="4" w:space="0" w:color="auto"/>
              <w:right w:val="single" w:sz="4" w:space="0" w:color="auto"/>
            </w:tcBorders>
            <w:shd w:val="clear" w:color="auto" w:fill="auto"/>
            <w:noWrap/>
            <w:vAlign w:val="center"/>
          </w:tcPr>
          <w:p w:rsidR="00971BFA" w:rsidRPr="00253078" w:rsidRDefault="00971BFA" w:rsidP="00AD4FFC">
            <w:pPr>
              <w:spacing w:before="120"/>
              <w:jc w:val="center"/>
              <w:rPr>
                <w:rFonts w:ascii="Arial" w:hAnsi="Arial" w:cs="Arial"/>
                <w:sz w:val="20"/>
                <w:szCs w:val="20"/>
              </w:rPr>
            </w:pPr>
            <w:r>
              <w:rPr>
                <w:rFonts w:ascii="Arial" w:hAnsi="Arial" w:cs="Arial"/>
                <w:sz w:val="20"/>
                <w:szCs w:val="20"/>
              </w:rPr>
              <w:t>3</w:t>
            </w:r>
          </w:p>
        </w:tc>
        <w:tc>
          <w:tcPr>
            <w:tcW w:w="954" w:type="dxa"/>
            <w:tcBorders>
              <w:top w:val="nil"/>
              <w:left w:val="nil"/>
              <w:bottom w:val="single" w:sz="4" w:space="0" w:color="auto"/>
              <w:right w:val="single" w:sz="4" w:space="0" w:color="auto"/>
            </w:tcBorders>
            <w:vAlign w:val="center"/>
          </w:tcPr>
          <w:p w:rsidR="00971BFA" w:rsidRPr="00253078" w:rsidRDefault="00971BFA" w:rsidP="00AD4FFC">
            <w:pPr>
              <w:spacing w:before="120"/>
              <w:jc w:val="center"/>
              <w:rPr>
                <w:rFonts w:ascii="Arial" w:hAnsi="Arial" w:cs="Arial"/>
                <w:sz w:val="20"/>
                <w:szCs w:val="20"/>
              </w:rPr>
            </w:pPr>
            <w:r w:rsidRPr="00253078">
              <w:rPr>
                <w:rFonts w:ascii="Arial" w:hAnsi="Arial" w:cs="Arial"/>
                <w:sz w:val="20"/>
                <w:szCs w:val="20"/>
              </w:rPr>
              <w:t>2</w:t>
            </w:r>
          </w:p>
        </w:tc>
      </w:tr>
    </w:tbl>
    <w:p w:rsidR="00460371" w:rsidRDefault="00460371" w:rsidP="009B622C">
      <w:pPr>
        <w:pStyle w:val="Heading2"/>
        <w:keepLines w:val="0"/>
        <w:numPr>
          <w:ilvl w:val="1"/>
          <w:numId w:val="73"/>
        </w:numPr>
        <w:tabs>
          <w:tab w:val="left" w:pos="1162"/>
        </w:tabs>
        <w:spacing w:after="60"/>
      </w:pPr>
      <w:bookmarkStart w:id="376" w:name="_Ref373486942"/>
      <w:bookmarkStart w:id="377" w:name="_Ref373492494"/>
      <w:bookmarkStart w:id="378" w:name="_Ref373492495"/>
      <w:bookmarkStart w:id="379" w:name="_Ref373492496"/>
      <w:bookmarkStart w:id="380" w:name="_Toc380754770"/>
      <w:bookmarkStart w:id="381" w:name="_Toc412550789"/>
      <w:r>
        <w:t>Calculation of National Efficient Cost</w:t>
      </w:r>
      <w:bookmarkEnd w:id="376"/>
      <w:bookmarkEnd w:id="377"/>
      <w:bookmarkEnd w:id="378"/>
      <w:bookmarkEnd w:id="379"/>
      <w:bookmarkEnd w:id="380"/>
      <w:bookmarkEnd w:id="381"/>
    </w:p>
    <w:p w:rsidR="00460371" w:rsidRDefault="00460371" w:rsidP="00AD4FFC">
      <w:pPr>
        <w:tabs>
          <w:tab w:val="left" w:pos="1162"/>
        </w:tabs>
        <w:rPr>
          <w:rFonts w:cs="Arial"/>
          <w:szCs w:val="20"/>
        </w:rPr>
      </w:pPr>
      <w:r>
        <w:rPr>
          <w:rFonts w:cs="Arial"/>
          <w:szCs w:val="20"/>
        </w:rPr>
        <w:t xml:space="preserve">As </w:t>
      </w:r>
      <w:r w:rsidR="00F93F5E">
        <w:rPr>
          <w:rFonts w:cs="Arial"/>
          <w:szCs w:val="20"/>
        </w:rPr>
        <w:t xml:space="preserve">previously </w:t>
      </w:r>
      <w:r>
        <w:rPr>
          <w:rFonts w:cs="Arial"/>
          <w:szCs w:val="20"/>
        </w:rPr>
        <w:t xml:space="preserve">outlined, the block funded model for </w:t>
      </w:r>
      <w:r w:rsidR="00B94FB5">
        <w:rPr>
          <w:rFonts w:cs="Arial"/>
          <w:szCs w:val="20"/>
        </w:rPr>
        <w:t>NEC15</w:t>
      </w:r>
      <w:r>
        <w:rPr>
          <w:rFonts w:cs="Arial"/>
          <w:szCs w:val="20"/>
        </w:rPr>
        <w:t xml:space="preserve"> </w:t>
      </w:r>
      <w:r w:rsidR="004D696A">
        <w:rPr>
          <w:rFonts w:cs="Arial"/>
          <w:szCs w:val="20"/>
        </w:rPr>
        <w:t>uses a different</w:t>
      </w:r>
      <w:r w:rsidR="00C121BC">
        <w:rPr>
          <w:rFonts w:cs="Arial"/>
          <w:szCs w:val="20"/>
        </w:rPr>
        <w:t xml:space="preserve"> size, type and </w:t>
      </w:r>
      <w:r>
        <w:rPr>
          <w:rFonts w:cs="Arial"/>
          <w:szCs w:val="20"/>
        </w:rPr>
        <w:t xml:space="preserve">locality model structure </w:t>
      </w:r>
      <w:r w:rsidR="004D696A">
        <w:rPr>
          <w:rFonts w:cs="Arial"/>
          <w:szCs w:val="20"/>
        </w:rPr>
        <w:t>than that</w:t>
      </w:r>
      <w:r>
        <w:rPr>
          <w:rFonts w:cs="Arial"/>
          <w:szCs w:val="20"/>
        </w:rPr>
        <w:t xml:space="preserve"> used for </w:t>
      </w:r>
      <w:r w:rsidR="00B94FB5">
        <w:rPr>
          <w:rFonts w:cs="Arial"/>
          <w:szCs w:val="20"/>
        </w:rPr>
        <w:t>NEC14</w:t>
      </w:r>
      <w:r>
        <w:rPr>
          <w:rFonts w:cs="Arial"/>
          <w:szCs w:val="20"/>
        </w:rPr>
        <w:t xml:space="preserve">. </w:t>
      </w:r>
    </w:p>
    <w:p w:rsidR="00A331DA" w:rsidRDefault="004D696A" w:rsidP="00721D30">
      <w:pPr>
        <w:tabs>
          <w:tab w:val="left" w:pos="1162"/>
        </w:tabs>
        <w:rPr>
          <w:rFonts w:cs="Arial"/>
          <w:szCs w:val="20"/>
        </w:rPr>
      </w:pPr>
      <w:r>
        <w:rPr>
          <w:rFonts w:cs="Arial"/>
          <w:szCs w:val="20"/>
        </w:rPr>
        <w:t>O</w:t>
      </w:r>
      <w:r w:rsidR="00460371" w:rsidRPr="00811CD9">
        <w:rPr>
          <w:rFonts w:cs="Arial"/>
          <w:szCs w:val="20"/>
        </w:rPr>
        <w:t xml:space="preserve">utliers </w:t>
      </w:r>
      <w:r>
        <w:rPr>
          <w:rFonts w:cs="Arial"/>
          <w:szCs w:val="20"/>
        </w:rPr>
        <w:t xml:space="preserve">are treated the same in NEC15 as they were NEC14, as explained in </w:t>
      </w:r>
      <w:r w:rsidR="00460371">
        <w:rPr>
          <w:rFonts w:cs="Arial"/>
          <w:szCs w:val="20"/>
        </w:rPr>
        <w:t>S</w:t>
      </w:r>
      <w:r w:rsidR="00460371" w:rsidRPr="00811CD9">
        <w:rPr>
          <w:rFonts w:cs="Arial"/>
          <w:szCs w:val="20"/>
        </w:rPr>
        <w:t xml:space="preserve">ection </w:t>
      </w:r>
      <w:r w:rsidR="00F93F5E">
        <w:rPr>
          <w:rFonts w:cs="Arial"/>
          <w:szCs w:val="20"/>
        </w:rPr>
        <w:t>7.3.2</w:t>
      </w:r>
      <w:r w:rsidR="00460371" w:rsidRPr="009B0E2A">
        <w:rPr>
          <w:rFonts w:cs="Arial"/>
          <w:szCs w:val="20"/>
        </w:rPr>
        <w:t>.</w:t>
      </w:r>
    </w:p>
    <w:p w:rsidR="00460371" w:rsidRDefault="00460371" w:rsidP="001F122B">
      <w:pPr>
        <w:tabs>
          <w:tab w:val="left" w:pos="1162"/>
        </w:tabs>
      </w:pPr>
      <w:r w:rsidRPr="00B12DFB">
        <w:rPr>
          <w:rFonts w:cs="Arial"/>
          <w:szCs w:val="20"/>
        </w:rPr>
        <w:t>T</w:t>
      </w:r>
      <w:r>
        <w:rPr>
          <w:rFonts w:cs="Arial"/>
          <w:szCs w:val="20"/>
        </w:rPr>
        <w:t xml:space="preserve">he </w:t>
      </w:r>
      <w:r w:rsidR="00B94FB5">
        <w:rPr>
          <w:rFonts w:cs="Arial"/>
          <w:szCs w:val="20"/>
        </w:rPr>
        <w:t>NEC15</w:t>
      </w:r>
      <w:r w:rsidRPr="00B12DFB">
        <w:rPr>
          <w:rFonts w:cs="Arial"/>
          <w:szCs w:val="20"/>
        </w:rPr>
        <w:t xml:space="preserve"> average model cost for the year is given as a simple average of total expenditure across all model in-scope hospitals. This is reported as the NEC per </w:t>
      </w:r>
      <w:r>
        <w:rPr>
          <w:rFonts w:cs="Arial"/>
          <w:szCs w:val="20"/>
        </w:rPr>
        <w:t xml:space="preserve">block funded hospital </w:t>
      </w:r>
      <w:r w:rsidRPr="00B12DFB">
        <w:rPr>
          <w:rFonts w:cs="Arial"/>
          <w:szCs w:val="20"/>
        </w:rPr>
        <w:t xml:space="preserve">in </w:t>
      </w:r>
      <w:r w:rsidRPr="00B3571F">
        <w:rPr>
          <w:rFonts w:cs="Arial"/>
          <w:szCs w:val="20"/>
        </w:rPr>
        <w:t xml:space="preserve">the </w:t>
      </w:r>
      <w:r w:rsidR="00B94FB5" w:rsidRPr="00B3571F">
        <w:rPr>
          <w:rFonts w:cs="Arial"/>
          <w:szCs w:val="20"/>
        </w:rPr>
        <w:t>NEC15</w:t>
      </w:r>
      <w:r w:rsidRPr="00B3571F">
        <w:rPr>
          <w:rFonts w:cs="Arial"/>
          <w:szCs w:val="20"/>
        </w:rPr>
        <w:t xml:space="preserve"> Determination</w:t>
      </w:r>
      <w:r w:rsidRPr="00B12DFB">
        <w:rPr>
          <w:rFonts w:cs="Arial"/>
          <w:szCs w:val="20"/>
        </w:rPr>
        <w:t>.</w:t>
      </w:r>
      <w:r w:rsidRPr="00BB4753">
        <w:t xml:space="preserve"> </w:t>
      </w:r>
      <w:r w:rsidR="004D696A">
        <w:t xml:space="preserve">This value is lower than the NEC14 amount </w:t>
      </w:r>
      <w:r w:rsidR="001D52E1">
        <w:t>principally because the 2</w:t>
      </w:r>
      <w:r w:rsidR="00971BFA">
        <w:t>2</w:t>
      </w:r>
      <w:r w:rsidR="001D52E1">
        <w:t xml:space="preserve"> largest rural hospitals have been transferred to the ABF pricing model. </w:t>
      </w:r>
      <w:bookmarkStart w:id="382" w:name="_Ref373486547"/>
      <w:bookmarkStart w:id="383" w:name="_Toc380754771"/>
      <w:r>
        <w:t>Inlier bounds</w:t>
      </w:r>
      <w:bookmarkEnd w:id="382"/>
      <w:bookmarkEnd w:id="383"/>
      <w:r>
        <w:tab/>
      </w:r>
    </w:p>
    <w:p w:rsidR="00460371" w:rsidRDefault="001D52E1" w:rsidP="00AD4FFC">
      <w:pPr>
        <w:tabs>
          <w:tab w:val="left" w:pos="1162"/>
        </w:tabs>
        <w:rPr>
          <w:rFonts w:cs="Arial"/>
          <w:szCs w:val="20"/>
        </w:rPr>
      </w:pPr>
      <w:r>
        <w:rPr>
          <w:rFonts w:cs="Arial"/>
          <w:szCs w:val="20"/>
        </w:rPr>
        <w:t xml:space="preserve">As for </w:t>
      </w:r>
      <w:r w:rsidR="00B94FB5">
        <w:rPr>
          <w:rFonts w:cs="Arial"/>
          <w:szCs w:val="20"/>
        </w:rPr>
        <w:t>NEC1</w:t>
      </w:r>
      <w:r>
        <w:rPr>
          <w:rFonts w:cs="Arial"/>
          <w:szCs w:val="20"/>
        </w:rPr>
        <w:t>4</w:t>
      </w:r>
      <w:r w:rsidR="00460371">
        <w:rPr>
          <w:rFonts w:cs="Arial"/>
          <w:szCs w:val="20"/>
        </w:rPr>
        <w:t>, the inlier range was limited to those hospitals whose cost ratios sat between the symmetrical boundary points 0.56 and 1.8 inclusive.</w:t>
      </w:r>
      <w:r w:rsidR="00460371" w:rsidRPr="0083074A">
        <w:t xml:space="preserve"> </w:t>
      </w:r>
      <w:r w:rsidR="00460371">
        <w:rPr>
          <w:rFonts w:cs="Arial"/>
          <w:szCs w:val="20"/>
        </w:rPr>
        <w:t xml:space="preserve">The thresholds are symmetrical so that a hospital that is twice the cost of the mean gets treated in a similar way to a hospital that has a cost of half the mean. </w:t>
      </w:r>
    </w:p>
    <w:p w:rsidR="00460371" w:rsidRPr="00811CD9" w:rsidRDefault="00460371" w:rsidP="009B622C">
      <w:pPr>
        <w:pStyle w:val="Heading3"/>
        <w:keepLines w:val="0"/>
        <w:numPr>
          <w:ilvl w:val="2"/>
          <w:numId w:val="73"/>
        </w:numPr>
        <w:tabs>
          <w:tab w:val="left" w:pos="1162"/>
        </w:tabs>
        <w:spacing w:before="240" w:after="120"/>
      </w:pPr>
      <w:bookmarkStart w:id="384" w:name="_Ref373487677"/>
      <w:bookmarkStart w:id="385" w:name="_Toc380754772"/>
      <w:bookmarkStart w:id="386" w:name="_Toc412550790"/>
      <w:r>
        <w:lastRenderedPageBreak/>
        <w:t>Calculation of the efficient cost for a particular hospital</w:t>
      </w:r>
      <w:bookmarkEnd w:id="384"/>
      <w:bookmarkEnd w:id="385"/>
      <w:bookmarkEnd w:id="386"/>
      <w:r>
        <w:t xml:space="preserve"> </w:t>
      </w:r>
    </w:p>
    <w:p w:rsidR="00D54BD3" w:rsidRDefault="00460371" w:rsidP="00AD4FFC">
      <w:pPr>
        <w:tabs>
          <w:tab w:val="left" w:pos="1162"/>
        </w:tabs>
        <w:rPr>
          <w:rFonts w:cs="Arial"/>
          <w:szCs w:val="20"/>
        </w:rPr>
      </w:pPr>
      <w:r>
        <w:rPr>
          <w:rFonts w:cs="Arial"/>
          <w:szCs w:val="20"/>
        </w:rPr>
        <w:t xml:space="preserve">The efficient cost of an inlier, in-scope block funded </w:t>
      </w:r>
      <w:r w:rsidR="007A65F2">
        <w:rPr>
          <w:rFonts w:cs="Arial"/>
          <w:szCs w:val="20"/>
        </w:rPr>
        <w:t>hosp</w:t>
      </w:r>
      <w:r w:rsidR="00C121BC">
        <w:rPr>
          <w:rFonts w:cs="Arial"/>
          <w:szCs w:val="20"/>
        </w:rPr>
        <w:t>ital is given by</w:t>
      </w:r>
      <w:r w:rsidR="00D54BD3">
        <w:rPr>
          <w:rFonts w:cs="Arial"/>
          <w:szCs w:val="20"/>
        </w:rPr>
        <w:t xml:space="preserve"> the availability payment for the hospital’s size-type cell. This cost is determined by a regression of the form </w:t>
      </w:r>
    </w:p>
    <w:p w:rsidR="00D54BD3" w:rsidRDefault="00822CBA" w:rsidP="00AD4FFC">
      <w:pPr>
        <w:tabs>
          <w:tab w:val="left" w:pos="1162"/>
        </w:tabs>
        <w:jc w:val="center"/>
        <w:rPr>
          <w:rFonts w:cs="Arial"/>
          <w:szCs w:val="20"/>
        </w:rPr>
      </w:pPr>
      <m:oMath>
        <m:func>
          <m:funcPr>
            <m:ctrlPr>
              <w:rPr>
                <w:rFonts w:ascii="Cambria Math" w:hAnsi="Cambria Math" w:cs="Arial"/>
                <w:i/>
                <w:szCs w:val="20"/>
              </w:rPr>
            </m:ctrlPr>
          </m:funcPr>
          <m:fName>
            <m:r>
              <m:rPr>
                <m:sty m:val="p"/>
              </m:rPr>
              <w:rPr>
                <w:rFonts w:ascii="Cambria Math" w:hAnsi="Cambria Math" w:cs="Arial"/>
                <w:szCs w:val="20"/>
              </w:rPr>
              <m:t>ln</m:t>
            </m:r>
          </m:fName>
          <m:e>
            <m:d>
              <m:dPr>
                <m:ctrlPr>
                  <w:rPr>
                    <w:rFonts w:ascii="Cambria Math" w:hAnsi="Cambria Math" w:cs="Arial"/>
                    <w:i/>
                    <w:szCs w:val="20"/>
                  </w:rPr>
                </m:ctrlPr>
              </m:dPr>
              <m:e>
                <m:r>
                  <w:rPr>
                    <w:rFonts w:ascii="Cambria Math" w:hAnsi="Cambria Math" w:cs="Arial"/>
                    <w:szCs w:val="20"/>
                  </w:rPr>
                  <m:t>inscope expenditure</m:t>
                </m:r>
              </m:e>
            </m:d>
          </m:e>
        </m:func>
        <m:r>
          <w:rPr>
            <w:rFonts w:ascii="Cambria Math" w:hAnsi="Cambria Math" w:cs="Arial"/>
            <w:szCs w:val="20"/>
          </w:rPr>
          <m:t>=s+t</m:t>
        </m:r>
      </m:oMath>
      <w:r w:rsidR="00D54BD3">
        <w:rPr>
          <w:rFonts w:cs="Arial"/>
          <w:szCs w:val="20"/>
        </w:rPr>
        <w:t>,</w:t>
      </w:r>
    </w:p>
    <w:p w:rsidR="00C121BC" w:rsidRDefault="00C121BC" w:rsidP="00AD4FFC">
      <w:pPr>
        <w:tabs>
          <w:tab w:val="left" w:pos="1162"/>
        </w:tabs>
        <w:ind w:left="993"/>
        <w:rPr>
          <w:rFonts w:cs="Arial"/>
          <w:szCs w:val="20"/>
        </w:rPr>
      </w:pPr>
      <w:proofErr w:type="gramStart"/>
      <w:r>
        <w:rPr>
          <w:rFonts w:cs="Arial"/>
          <w:szCs w:val="20"/>
        </w:rPr>
        <w:t>f</w:t>
      </w:r>
      <w:r w:rsidR="00D54BD3">
        <w:rPr>
          <w:rFonts w:cs="Arial"/>
          <w:szCs w:val="20"/>
        </w:rPr>
        <w:t>or</w:t>
      </w:r>
      <w:proofErr w:type="gramEnd"/>
      <w:r w:rsidR="00D54BD3">
        <w:rPr>
          <w:rFonts w:cs="Arial"/>
          <w:szCs w:val="20"/>
        </w:rPr>
        <w:t xml:space="preserve"> each region, where </w:t>
      </w:r>
      <w:r w:rsidR="00D54BD3" w:rsidRPr="00493806">
        <w:rPr>
          <w:rFonts w:cs="Arial"/>
          <w:i/>
          <w:szCs w:val="20"/>
        </w:rPr>
        <w:t>s</w:t>
      </w:r>
      <w:r w:rsidR="00D54BD3">
        <w:rPr>
          <w:rFonts w:cs="Arial"/>
          <w:szCs w:val="20"/>
        </w:rPr>
        <w:t xml:space="preserve"> and</w:t>
      </w:r>
      <w:r w:rsidR="00D54BD3" w:rsidRPr="00493806">
        <w:rPr>
          <w:rFonts w:cs="Arial"/>
          <w:i/>
          <w:szCs w:val="20"/>
        </w:rPr>
        <w:t xml:space="preserve"> t</w:t>
      </w:r>
      <w:r w:rsidR="00D54BD3">
        <w:rPr>
          <w:rFonts w:cs="Arial"/>
          <w:szCs w:val="20"/>
        </w:rPr>
        <w:t xml:space="preserve"> are parameters associated to each hospitals size and type respectively.</w:t>
      </w:r>
      <w:r>
        <w:rPr>
          <w:rFonts w:cs="Arial"/>
          <w:szCs w:val="20"/>
        </w:rPr>
        <w:t xml:space="preserve"> </w:t>
      </w:r>
    </w:p>
    <w:p w:rsidR="00460371" w:rsidRDefault="00460371" w:rsidP="00AD4FFC">
      <w:pPr>
        <w:tabs>
          <w:tab w:val="left" w:pos="1162"/>
        </w:tabs>
        <w:rPr>
          <w:rFonts w:cs="Arial"/>
          <w:szCs w:val="20"/>
        </w:rPr>
      </w:pPr>
      <w:r w:rsidRPr="00BB4753">
        <w:rPr>
          <w:rFonts w:cs="Arial"/>
          <w:szCs w:val="20"/>
        </w:rPr>
        <w:t xml:space="preserve">Outliers and specialist psychiatric hospitals </w:t>
      </w:r>
      <w:r>
        <w:rPr>
          <w:rFonts w:cs="Arial"/>
          <w:szCs w:val="20"/>
        </w:rPr>
        <w:t>are</w:t>
      </w:r>
      <w:r w:rsidRPr="00BB4753">
        <w:rPr>
          <w:rFonts w:cs="Arial"/>
          <w:szCs w:val="20"/>
        </w:rPr>
        <w:t xml:space="preserve"> treated separately to </w:t>
      </w:r>
      <w:r w:rsidR="00C121BC">
        <w:rPr>
          <w:rFonts w:cs="Arial"/>
          <w:szCs w:val="20"/>
        </w:rPr>
        <w:t xml:space="preserve">the </w:t>
      </w:r>
      <w:r w:rsidR="00971BFA">
        <w:rPr>
          <w:rFonts w:cs="Arial"/>
          <w:szCs w:val="20"/>
        </w:rPr>
        <w:t xml:space="preserve">385 </w:t>
      </w:r>
      <w:r w:rsidR="00C121BC">
        <w:rPr>
          <w:rFonts w:cs="Arial"/>
          <w:szCs w:val="20"/>
        </w:rPr>
        <w:t xml:space="preserve">rural </w:t>
      </w:r>
      <w:r w:rsidRPr="00BB4753">
        <w:rPr>
          <w:rFonts w:cs="Arial"/>
          <w:szCs w:val="20"/>
        </w:rPr>
        <w:t xml:space="preserve">hospitals within the model and are addressed further in </w:t>
      </w:r>
      <w:r>
        <w:rPr>
          <w:rFonts w:cs="Arial"/>
          <w:szCs w:val="20"/>
        </w:rPr>
        <w:t>S</w:t>
      </w:r>
      <w:r w:rsidRPr="00BB4753">
        <w:rPr>
          <w:rFonts w:cs="Arial"/>
          <w:szCs w:val="20"/>
        </w:rPr>
        <w:t>ections 7.3.3.</w:t>
      </w:r>
    </w:p>
    <w:p w:rsidR="00460371" w:rsidRPr="00FA3C49" w:rsidRDefault="00460371" w:rsidP="00AD4FFC">
      <w:pPr>
        <w:pStyle w:val="Heading4"/>
      </w:pPr>
      <w:r w:rsidRPr="00FA3C49">
        <w:t>Outliers</w:t>
      </w:r>
    </w:p>
    <w:p w:rsidR="00460371" w:rsidRDefault="00460371" w:rsidP="00AD4FFC">
      <w:pPr>
        <w:tabs>
          <w:tab w:val="left" w:pos="1162"/>
        </w:tabs>
        <w:rPr>
          <w:rFonts w:cs="Arial"/>
          <w:szCs w:val="20"/>
        </w:rPr>
      </w:pPr>
      <w:r w:rsidRPr="00E463CD">
        <w:rPr>
          <w:rFonts w:cs="Arial"/>
          <w:szCs w:val="20"/>
        </w:rPr>
        <w:t>Hospitals with cost ratios that fall outside the p</w:t>
      </w:r>
      <w:r>
        <w:rPr>
          <w:rFonts w:cs="Arial"/>
          <w:szCs w:val="20"/>
        </w:rPr>
        <w:t xml:space="preserve">rescribed cost ratio boundaries, 0.56 and 1.8, referred to as </w:t>
      </w:r>
      <w:r w:rsidRPr="00E463CD">
        <w:rPr>
          <w:rFonts w:cs="Arial"/>
          <w:szCs w:val="20"/>
        </w:rPr>
        <w:t>cost outliers, and are prescribed capped cost ratios</w:t>
      </w:r>
      <w:r>
        <w:rPr>
          <w:rFonts w:cs="Arial"/>
          <w:szCs w:val="20"/>
        </w:rPr>
        <w:t xml:space="preserve">. </w:t>
      </w:r>
    </w:p>
    <w:p w:rsidR="00460371" w:rsidRDefault="00460371" w:rsidP="00AD4FFC">
      <w:pPr>
        <w:tabs>
          <w:tab w:val="left" w:pos="1162"/>
        </w:tabs>
        <w:rPr>
          <w:rFonts w:cs="Arial"/>
          <w:szCs w:val="20"/>
        </w:rPr>
      </w:pPr>
      <w:r>
        <w:rPr>
          <w:rFonts w:cs="Arial"/>
          <w:szCs w:val="20"/>
        </w:rPr>
        <w:t xml:space="preserve">Hospitals with a cost ratio greater than 1.8 are assigned an efficient cost equal to its actual cost divided by 1.8. </w:t>
      </w:r>
    </w:p>
    <w:p w:rsidR="00460371" w:rsidRPr="00AC4D97" w:rsidRDefault="00460371" w:rsidP="00AD4FFC">
      <w:pPr>
        <w:tabs>
          <w:tab w:val="left" w:pos="1162"/>
        </w:tabs>
        <w:rPr>
          <w:rFonts w:cs="Arial"/>
          <w:szCs w:val="20"/>
        </w:rPr>
      </w:pPr>
      <m:oMathPara>
        <m:oMath>
          <m:r>
            <w:rPr>
              <w:rFonts w:ascii="Cambria Math" w:hAnsi="Cambria Math" w:cs="Arial"/>
              <w:szCs w:val="20"/>
            </w:rPr>
            <m:t>CR&gt;1.8          efficient cost=</m:t>
          </m:r>
          <m:f>
            <m:fPr>
              <m:ctrlPr>
                <w:rPr>
                  <w:rFonts w:ascii="Cambria Math" w:hAnsi="Cambria Math" w:cs="Arial"/>
                  <w:i/>
                  <w:szCs w:val="20"/>
                </w:rPr>
              </m:ctrlPr>
            </m:fPr>
            <m:num>
              <m:r>
                <w:rPr>
                  <w:rFonts w:ascii="Cambria Math" w:hAnsi="Cambria Math" w:cs="Arial"/>
                  <w:szCs w:val="20"/>
                </w:rPr>
                <m:t>actual Cost</m:t>
              </m:r>
            </m:num>
            <m:den>
              <m:r>
                <w:rPr>
                  <w:rFonts w:ascii="Cambria Math" w:hAnsi="Cambria Math" w:cs="Arial"/>
                  <w:szCs w:val="20"/>
                </w:rPr>
                <m:t>1.8</m:t>
              </m:r>
            </m:den>
          </m:f>
        </m:oMath>
      </m:oMathPara>
    </w:p>
    <w:p w:rsidR="00460371" w:rsidRDefault="00460371" w:rsidP="00AD4FFC">
      <w:pPr>
        <w:tabs>
          <w:tab w:val="left" w:pos="1162"/>
        </w:tabs>
        <w:rPr>
          <w:rFonts w:cs="Arial"/>
          <w:szCs w:val="20"/>
        </w:rPr>
      </w:pPr>
      <w:r>
        <w:rPr>
          <w:rFonts w:cs="Arial"/>
          <w:szCs w:val="20"/>
        </w:rPr>
        <w:t>Hospitals with a cost ratio less than 0.56 are assigned an efficient cost equal to its actual cost multiplied by 1.8 (or divided by 0.56).</w:t>
      </w:r>
    </w:p>
    <w:p w:rsidR="00460371" w:rsidRDefault="00460371" w:rsidP="00AD4FFC">
      <w:pPr>
        <w:tabs>
          <w:tab w:val="left" w:pos="1162"/>
        </w:tabs>
        <w:rPr>
          <w:rFonts w:cs="Arial"/>
          <w:szCs w:val="20"/>
        </w:rPr>
      </w:pPr>
      <m:oMathPara>
        <m:oMath>
          <m:r>
            <w:rPr>
              <w:rFonts w:ascii="Cambria Math" w:hAnsi="Cambria Math" w:cs="Arial"/>
              <w:szCs w:val="20"/>
            </w:rPr>
            <m:t>CR&lt;0.56         efficient cost=actual cost ×1.8</m:t>
          </m:r>
        </m:oMath>
      </m:oMathPara>
    </w:p>
    <w:p w:rsidR="00460371" w:rsidRPr="00FA3C49" w:rsidRDefault="00460371" w:rsidP="00AD4FFC">
      <w:pPr>
        <w:pStyle w:val="Heading4"/>
      </w:pPr>
      <w:r w:rsidRPr="00FA3C49">
        <w:t>Hospitals missing data</w:t>
      </w:r>
    </w:p>
    <w:p w:rsidR="00460371" w:rsidRDefault="00460371" w:rsidP="00AD4FFC">
      <w:pPr>
        <w:tabs>
          <w:tab w:val="left" w:pos="1162"/>
        </w:tabs>
        <w:rPr>
          <w:rFonts w:cs="Arial"/>
          <w:szCs w:val="20"/>
        </w:rPr>
      </w:pPr>
      <w:r>
        <w:rPr>
          <w:rFonts w:cs="Arial"/>
          <w:szCs w:val="20"/>
        </w:rPr>
        <w:t>H</w:t>
      </w:r>
      <w:r w:rsidRPr="003474BA">
        <w:rPr>
          <w:rFonts w:cs="Arial"/>
          <w:szCs w:val="20"/>
        </w:rPr>
        <w:t xml:space="preserve">ospitals </w:t>
      </w:r>
      <w:r>
        <w:rPr>
          <w:rFonts w:cs="Arial"/>
          <w:szCs w:val="20"/>
        </w:rPr>
        <w:t>missing activity and/</w:t>
      </w:r>
      <w:r w:rsidRPr="003474BA">
        <w:rPr>
          <w:rFonts w:cs="Arial"/>
          <w:szCs w:val="20"/>
        </w:rPr>
        <w:t>or cost data</w:t>
      </w:r>
      <w:r>
        <w:rPr>
          <w:rFonts w:cs="Arial"/>
          <w:szCs w:val="20"/>
        </w:rPr>
        <w:t xml:space="preserve"> are also accounted for in the model based on the following rules:</w:t>
      </w:r>
    </w:p>
    <w:p w:rsidR="00460371" w:rsidRPr="003474BA" w:rsidRDefault="00460371" w:rsidP="00AD4FFC">
      <w:pPr>
        <w:pStyle w:val="ListParagraph"/>
        <w:numPr>
          <w:ilvl w:val="0"/>
          <w:numId w:val="29"/>
        </w:numPr>
        <w:tabs>
          <w:tab w:val="left" w:pos="1162"/>
        </w:tabs>
        <w:spacing w:before="120"/>
        <w:ind w:left="714" w:hanging="357"/>
        <w:rPr>
          <w:rFonts w:cs="Arial"/>
          <w:szCs w:val="20"/>
        </w:rPr>
      </w:pPr>
      <w:r w:rsidRPr="003474BA">
        <w:rPr>
          <w:rFonts w:cs="Arial"/>
          <w:szCs w:val="20"/>
        </w:rPr>
        <w:t>Hospitals missing activity data are prescribed a group that most closely matches their</w:t>
      </w:r>
      <w:r w:rsidR="00C121BC">
        <w:rPr>
          <w:rFonts w:cs="Arial"/>
          <w:szCs w:val="20"/>
        </w:rPr>
        <w:t xml:space="preserve"> reported cost, where available. </w:t>
      </w:r>
    </w:p>
    <w:p w:rsidR="00460371" w:rsidRDefault="00460371" w:rsidP="00AD4FFC">
      <w:pPr>
        <w:pStyle w:val="ListParagraph"/>
        <w:numPr>
          <w:ilvl w:val="0"/>
          <w:numId w:val="29"/>
        </w:numPr>
        <w:tabs>
          <w:tab w:val="left" w:pos="1162"/>
        </w:tabs>
        <w:spacing w:before="120"/>
        <w:ind w:left="714" w:hanging="357"/>
        <w:rPr>
          <w:rFonts w:cs="Arial"/>
          <w:szCs w:val="20"/>
        </w:rPr>
      </w:pPr>
      <w:r w:rsidRPr="003474BA">
        <w:rPr>
          <w:rFonts w:cs="Arial"/>
          <w:szCs w:val="20"/>
        </w:rPr>
        <w:t xml:space="preserve">Hospitals missing cost data are assigned their </w:t>
      </w:r>
      <w:r w:rsidR="00B94FB5">
        <w:rPr>
          <w:rFonts w:cs="Arial"/>
          <w:szCs w:val="20"/>
        </w:rPr>
        <w:t>NEC14</w:t>
      </w:r>
      <w:r w:rsidRPr="003474BA">
        <w:rPr>
          <w:rFonts w:cs="Arial"/>
          <w:szCs w:val="20"/>
        </w:rPr>
        <w:t xml:space="preserve"> equivalent </w:t>
      </w:r>
      <w:r w:rsidR="00B94FB5">
        <w:rPr>
          <w:rFonts w:cs="Arial"/>
          <w:szCs w:val="20"/>
        </w:rPr>
        <w:t>2012-13</w:t>
      </w:r>
      <w:r w:rsidRPr="003474BA">
        <w:rPr>
          <w:rFonts w:cs="Arial"/>
          <w:szCs w:val="20"/>
        </w:rPr>
        <w:t xml:space="preserve"> cost</w:t>
      </w:r>
      <w:r>
        <w:rPr>
          <w:rFonts w:cs="Arial"/>
          <w:szCs w:val="20"/>
        </w:rPr>
        <w:t xml:space="preserve">. </w:t>
      </w:r>
    </w:p>
    <w:p w:rsidR="00460371" w:rsidRDefault="00460371" w:rsidP="00AD4FFC">
      <w:pPr>
        <w:tabs>
          <w:tab w:val="left" w:pos="1162"/>
        </w:tabs>
        <w:spacing w:before="240"/>
        <w:rPr>
          <w:rFonts w:cs="Arial"/>
          <w:szCs w:val="20"/>
        </w:rPr>
      </w:pPr>
      <w:r w:rsidRPr="003474BA">
        <w:rPr>
          <w:rFonts w:cs="Arial"/>
          <w:szCs w:val="20"/>
        </w:rPr>
        <w:t xml:space="preserve">These hospitals are then treated in the same way as hospitals </w:t>
      </w:r>
      <w:r>
        <w:rPr>
          <w:rFonts w:cs="Arial"/>
          <w:szCs w:val="20"/>
        </w:rPr>
        <w:t xml:space="preserve">reporting adequate </w:t>
      </w:r>
      <w:r w:rsidRPr="003474BA">
        <w:rPr>
          <w:rFonts w:cs="Arial"/>
          <w:szCs w:val="20"/>
        </w:rPr>
        <w:t xml:space="preserve">data for the purposes of determining their </w:t>
      </w:r>
      <w:r w:rsidR="00B94FB5">
        <w:rPr>
          <w:rFonts w:cs="Arial"/>
          <w:szCs w:val="20"/>
        </w:rPr>
        <w:t>2012-13</w:t>
      </w:r>
      <w:r w:rsidRPr="003474BA">
        <w:rPr>
          <w:rFonts w:cs="Arial"/>
          <w:szCs w:val="20"/>
        </w:rPr>
        <w:t xml:space="preserve"> and </w:t>
      </w:r>
      <w:r w:rsidR="00B94FB5">
        <w:rPr>
          <w:rFonts w:cs="Arial"/>
          <w:szCs w:val="20"/>
        </w:rPr>
        <w:t>2015-16</w:t>
      </w:r>
      <w:r w:rsidRPr="003474BA">
        <w:rPr>
          <w:rFonts w:cs="Arial"/>
          <w:szCs w:val="20"/>
        </w:rPr>
        <w:t xml:space="preserve"> efficient costs.</w:t>
      </w:r>
    </w:p>
    <w:p w:rsidR="00460371" w:rsidRDefault="00460371" w:rsidP="009B622C">
      <w:pPr>
        <w:pStyle w:val="Heading3"/>
        <w:keepLines w:val="0"/>
        <w:numPr>
          <w:ilvl w:val="2"/>
          <w:numId w:val="73"/>
        </w:numPr>
        <w:spacing w:before="240" w:after="120"/>
      </w:pPr>
      <w:bookmarkStart w:id="387" w:name="_Ref373486503"/>
      <w:bookmarkStart w:id="388" w:name="_Toc380754773"/>
      <w:bookmarkStart w:id="389" w:name="_Toc412550791"/>
      <w:r>
        <w:t xml:space="preserve">Calculation of the efficient cost of specialist psychiatric </w:t>
      </w:r>
      <w:r w:rsidR="00350E98">
        <w:t xml:space="preserve">and major city </w:t>
      </w:r>
      <w:r>
        <w:t>hospitals</w:t>
      </w:r>
      <w:bookmarkEnd w:id="387"/>
      <w:bookmarkEnd w:id="388"/>
      <w:bookmarkEnd w:id="389"/>
      <w:r>
        <w:t xml:space="preserve"> </w:t>
      </w:r>
    </w:p>
    <w:p w:rsidR="00460371" w:rsidRDefault="00460371" w:rsidP="00AD4FFC">
      <w:r w:rsidRPr="00603CB8">
        <w:t xml:space="preserve">Specialist mental health hospitals are excluded from the model from the outset. These </w:t>
      </w:r>
      <w:r>
        <w:t xml:space="preserve">hospitals </w:t>
      </w:r>
      <w:r w:rsidRPr="00603CB8">
        <w:t>are assigned model costs based on advice from jurisdictions.</w:t>
      </w:r>
      <w:r w:rsidR="00073CBF">
        <w:t xml:space="preserve"> Where advice was not received from jurisdictions the NEC14 efficient cost has been escalated by the NEC15 indexation rate to become the NEC15 efficient cost for each of these hospitals.</w:t>
      </w:r>
    </w:p>
    <w:p w:rsidR="00460371" w:rsidRDefault="00460371" w:rsidP="00AD4FFC">
      <w:r>
        <w:t xml:space="preserve">For </w:t>
      </w:r>
      <w:r w:rsidRPr="00603CB8">
        <w:t xml:space="preserve">the purposes of </w:t>
      </w:r>
      <w:r w:rsidR="00B94FB5">
        <w:t>NEC15</w:t>
      </w:r>
      <w:r w:rsidRPr="00603CB8">
        <w:t xml:space="preserve">, these hospitals are priced </w:t>
      </w:r>
      <w:r>
        <w:t xml:space="preserve">after consultation with jurisdictions. Subject to this advice, their prices are set </w:t>
      </w:r>
      <w:r w:rsidRPr="00603CB8">
        <w:t xml:space="preserve">at their actual cost for </w:t>
      </w:r>
      <w:r w:rsidR="00B94FB5">
        <w:t>2012-13</w:t>
      </w:r>
      <w:r w:rsidRPr="00603CB8">
        <w:t xml:space="preserve"> </w:t>
      </w:r>
      <w:r>
        <w:t xml:space="preserve">or </w:t>
      </w:r>
      <w:r w:rsidR="00C121BC" w:rsidRPr="00C121BC">
        <w:t>2013-14</w:t>
      </w:r>
      <w:r>
        <w:t xml:space="preserve">, </w:t>
      </w:r>
      <w:r w:rsidRPr="00603CB8">
        <w:t xml:space="preserve">and are indexed at the same rate applied to the in-scope hospitals in the </w:t>
      </w:r>
      <w:r w:rsidR="00B94FB5">
        <w:t>2012-13</w:t>
      </w:r>
      <w:r w:rsidRPr="00603CB8">
        <w:t xml:space="preserve"> cost </w:t>
      </w:r>
      <w:proofErr w:type="gramStart"/>
      <w:r w:rsidRPr="00603CB8">
        <w:t>model</w:t>
      </w:r>
      <w:proofErr w:type="gramEnd"/>
      <w:r w:rsidRPr="00603CB8">
        <w:t xml:space="preserve"> for </w:t>
      </w:r>
      <w:r w:rsidR="00B94FB5">
        <w:t>NEC15</w:t>
      </w:r>
      <w:r>
        <w:t>. Indexation is described in further detail in S</w:t>
      </w:r>
      <w:r w:rsidRPr="00603CB8">
        <w:t>ection</w:t>
      </w:r>
      <w:r w:rsidR="00350E98">
        <w:t xml:space="preserve"> 7.4</w:t>
      </w:r>
      <w:r>
        <w:t>.</w:t>
      </w:r>
    </w:p>
    <w:p w:rsidR="00B41558" w:rsidRPr="00603CB8" w:rsidRDefault="00B41558" w:rsidP="00AD4FFC">
      <w:r>
        <w:t xml:space="preserve">The 2015-16 efficient costs for the </w:t>
      </w:r>
      <w:r w:rsidR="00C966B1">
        <w:t>12</w:t>
      </w:r>
      <w:r>
        <w:t xml:space="preserve"> major city hospitals will be determined separately in </w:t>
      </w:r>
      <w:r w:rsidR="009D121C">
        <w:t>a similar</w:t>
      </w:r>
      <w:r>
        <w:t xml:space="preserve"> way</w:t>
      </w:r>
      <w:r w:rsidR="009D121C">
        <w:t>,</w:t>
      </w:r>
      <w:r>
        <w:t xml:space="preserve"> following consultation with jur</w:t>
      </w:r>
      <w:r w:rsidR="00420107">
        <w:t>i</w:t>
      </w:r>
      <w:r>
        <w:t>sdictions.</w:t>
      </w:r>
    </w:p>
    <w:p w:rsidR="00460371" w:rsidRDefault="00460371" w:rsidP="009B622C">
      <w:pPr>
        <w:pStyle w:val="Heading2"/>
        <w:keepLines w:val="0"/>
        <w:numPr>
          <w:ilvl w:val="1"/>
          <w:numId w:val="73"/>
        </w:numPr>
        <w:tabs>
          <w:tab w:val="left" w:pos="1162"/>
        </w:tabs>
        <w:spacing w:after="60"/>
      </w:pPr>
      <w:bookmarkStart w:id="390" w:name="_Ref373491276"/>
      <w:bookmarkStart w:id="391" w:name="_Toc380754774"/>
      <w:bookmarkStart w:id="392" w:name="_Toc412550792"/>
      <w:r>
        <w:lastRenderedPageBreak/>
        <w:t xml:space="preserve">Indexation of the </w:t>
      </w:r>
      <w:r w:rsidR="00B94FB5">
        <w:t>2012-13</w:t>
      </w:r>
      <w:r>
        <w:t xml:space="preserve"> Model</w:t>
      </w:r>
      <w:bookmarkEnd w:id="390"/>
      <w:bookmarkEnd w:id="391"/>
      <w:bookmarkEnd w:id="392"/>
      <w:r>
        <w:t xml:space="preserve"> </w:t>
      </w:r>
    </w:p>
    <w:p w:rsidR="00460371" w:rsidRDefault="00460371" w:rsidP="00AD4FFC">
      <w:pPr>
        <w:tabs>
          <w:tab w:val="left" w:pos="1162"/>
        </w:tabs>
        <w:spacing w:before="120"/>
      </w:pPr>
      <w:r>
        <w:t xml:space="preserve">Given the </w:t>
      </w:r>
      <w:r w:rsidRPr="00C150CE">
        <w:t xml:space="preserve">three year time lag in data collection </w:t>
      </w:r>
      <w:r>
        <w:t>from</w:t>
      </w:r>
      <w:r w:rsidRPr="00C150CE">
        <w:t xml:space="preserve"> the year the NEC is being calculated, cost model results for </w:t>
      </w:r>
      <w:r w:rsidR="00B94FB5">
        <w:t>2012-13</w:t>
      </w:r>
      <w:r w:rsidRPr="00C150CE">
        <w:t xml:space="preserve"> must be appropriately indexed over three years to give a price model for </w:t>
      </w:r>
      <w:r w:rsidR="00B94FB5">
        <w:t>2015-16</w:t>
      </w:r>
      <w:r w:rsidRPr="00C150CE">
        <w:t xml:space="preserve">. </w:t>
      </w:r>
    </w:p>
    <w:p w:rsidR="00460371" w:rsidRDefault="00460371" w:rsidP="00AD4FFC">
      <w:pPr>
        <w:tabs>
          <w:tab w:val="left" w:pos="1162"/>
        </w:tabs>
      </w:pPr>
      <w:r w:rsidRPr="00603CB8">
        <w:t xml:space="preserve">The indexation to grow the </w:t>
      </w:r>
      <w:r w:rsidR="00B94FB5">
        <w:t>2012-13</w:t>
      </w:r>
      <w:r w:rsidRPr="00603CB8">
        <w:t xml:space="preserve"> cost model to the </w:t>
      </w:r>
      <w:r w:rsidR="00B94FB5">
        <w:t>2015-16</w:t>
      </w:r>
      <w:r w:rsidRPr="00603CB8">
        <w:t xml:space="preserve"> price model used to determine </w:t>
      </w:r>
      <w:r w:rsidR="00B94FB5">
        <w:t>NEC15</w:t>
      </w:r>
      <w:r w:rsidRPr="00603CB8">
        <w:t xml:space="preserve"> has been calculated following a broadly similar methodology as that used for </w:t>
      </w:r>
      <w:r w:rsidR="00B94FB5">
        <w:t>NEC14</w:t>
      </w:r>
      <w:r w:rsidRPr="00603CB8">
        <w:t xml:space="preserve"> </w:t>
      </w:r>
      <w:r w:rsidR="009D121C">
        <w:t>(</w:t>
      </w:r>
      <w:r w:rsidRPr="00603CB8">
        <w:t>and</w:t>
      </w:r>
      <w:r>
        <w:t xml:space="preserve"> NEP13</w:t>
      </w:r>
      <w:r w:rsidR="00E51593">
        <w:t>, NEP14</w:t>
      </w:r>
      <w:r>
        <w:t xml:space="preserve"> and </w:t>
      </w:r>
      <w:r w:rsidR="00B94FB5">
        <w:t>NEP15</w:t>
      </w:r>
      <w:r w:rsidR="009D121C">
        <w:t>)</w:t>
      </w:r>
      <w:r>
        <w:t>.</w:t>
      </w:r>
    </w:p>
    <w:p w:rsidR="00460371" w:rsidRDefault="00460371" w:rsidP="00AD4FFC">
      <w:pPr>
        <w:tabs>
          <w:tab w:val="left" w:pos="1162"/>
        </w:tabs>
      </w:pPr>
      <w:r>
        <w:t xml:space="preserve">Of note, the indexation of the model is </w:t>
      </w:r>
      <w:r w:rsidRPr="00603CB8">
        <w:t xml:space="preserve">based on the growth of </w:t>
      </w:r>
      <w:r w:rsidR="00E51593">
        <w:t>the NPHED I-</w:t>
      </w:r>
      <w:proofErr w:type="spellStart"/>
      <w:r w:rsidR="00E51593">
        <w:t>frac</w:t>
      </w:r>
      <w:proofErr w:type="spellEnd"/>
      <w:r w:rsidR="00E51593">
        <w:t xml:space="preserve"> of expenditure </w:t>
      </w:r>
      <w:r w:rsidRPr="00603CB8">
        <w:t xml:space="preserve">of all block funded hospitals </w:t>
      </w:r>
      <w:r w:rsidR="00E51593">
        <w:t>(</w:t>
      </w:r>
      <w:r w:rsidRPr="00603CB8">
        <w:t>rather than total in-scope expenditure</w:t>
      </w:r>
      <w:r w:rsidR="00E51593">
        <w:t>)</w:t>
      </w:r>
      <w:r>
        <w:t xml:space="preserve"> which </w:t>
      </w:r>
      <w:r w:rsidRPr="00603CB8">
        <w:t xml:space="preserve">has been </w:t>
      </w:r>
      <w:r>
        <w:t>reasonably</w:t>
      </w:r>
      <w:r w:rsidRPr="00603CB8">
        <w:t xml:space="preserve"> stable over past years</w:t>
      </w:r>
      <w:r>
        <w:t>. This also takes into account that a</w:t>
      </w:r>
      <w:r w:rsidRPr="00603CB8">
        <w:t>lmost all inpatient activity reported is in</w:t>
      </w:r>
      <w:r>
        <w:t>-</w:t>
      </w:r>
      <w:r w:rsidRPr="00603CB8">
        <w:t>scope (after removal of MPS-related expenditure</w:t>
      </w:r>
      <w:r w:rsidR="00CC3D06">
        <w:t xml:space="preserve">). </w:t>
      </w:r>
      <w:proofErr w:type="gramStart"/>
      <w:r w:rsidRPr="00603CB8">
        <w:t xml:space="preserve">The </w:t>
      </w:r>
      <w:r>
        <w:t>I</w:t>
      </w:r>
      <w:proofErr w:type="gramEnd"/>
      <w:r>
        <w:t>-</w:t>
      </w:r>
      <w:proofErr w:type="spellStart"/>
      <w:r>
        <w:t>frac</w:t>
      </w:r>
      <w:proofErr w:type="spellEnd"/>
      <w:r>
        <w:t xml:space="preserve"> </w:t>
      </w:r>
      <w:r w:rsidRPr="00603CB8">
        <w:t>of expenditure has been approximately 60</w:t>
      </w:r>
      <w:r>
        <w:t xml:space="preserve"> per cent </w:t>
      </w:r>
      <w:r w:rsidRPr="00603CB8">
        <w:t>of the total in-scope expenditure of block funded hospitals.</w:t>
      </w:r>
    </w:p>
    <w:p w:rsidR="00460371" w:rsidRPr="00603CB8" w:rsidRDefault="00460371" w:rsidP="00AD4FFC">
      <w:pPr>
        <w:tabs>
          <w:tab w:val="left" w:pos="1162"/>
        </w:tabs>
      </w:pPr>
      <w:r>
        <w:t>Using the I-</w:t>
      </w:r>
      <w:proofErr w:type="spellStart"/>
      <w:r>
        <w:t>frac</w:t>
      </w:r>
      <w:proofErr w:type="spellEnd"/>
      <w:r>
        <w:t xml:space="preserve"> of the NPHED expenditure to calculate the historical growth experienced by block funded hospitals mirrors the methodology used in determining the indexation of the NEP from the acute admitted program. Except where NEP patient-level input data is used, hospital level data is use</w:t>
      </w:r>
      <w:r w:rsidR="006B0A70">
        <w:t xml:space="preserve">d for the purposes of the NEC. </w:t>
      </w:r>
    </w:p>
    <w:p w:rsidR="00460371" w:rsidRDefault="00460371" w:rsidP="00AD4FFC">
      <w:r>
        <w:t xml:space="preserve">The indexation rate is given by the slope of the exponential line of best-fit at </w:t>
      </w:r>
      <w:r w:rsidR="00BE568B">
        <w:t xml:space="preserve">Figure 11. </w:t>
      </w:r>
    </w:p>
    <w:p w:rsidR="00460371" w:rsidRDefault="00460371" w:rsidP="00AD4FFC">
      <w:pPr>
        <w:tabs>
          <w:tab w:val="left" w:pos="1162"/>
        </w:tabs>
      </w:pPr>
      <w:r w:rsidRPr="004468C1">
        <w:t>Th</w:t>
      </w:r>
      <w:r w:rsidR="00B71E3D">
        <w:t xml:space="preserve">e overall </w:t>
      </w:r>
      <w:r w:rsidR="00B94FB5">
        <w:t>2012-13</w:t>
      </w:r>
      <w:r w:rsidR="00A331DA">
        <w:t xml:space="preserve"> model average-</w:t>
      </w:r>
      <w:r w:rsidRPr="004468C1">
        <w:t xml:space="preserve">spend was projected to </w:t>
      </w:r>
      <w:r w:rsidR="00B94FB5">
        <w:t>2015-16</w:t>
      </w:r>
      <w:r w:rsidRPr="004468C1">
        <w:t xml:space="preserve"> using the annual indexation factor as speci</w:t>
      </w:r>
      <w:r>
        <w:t xml:space="preserve">fied in the </w:t>
      </w:r>
      <w:r w:rsidR="00B94FB5" w:rsidRPr="00B3571F">
        <w:t>NEC15</w:t>
      </w:r>
      <w:r w:rsidRPr="00B3571F">
        <w:t xml:space="preserve"> Determination</w:t>
      </w:r>
      <w:r>
        <w:t>.</w:t>
      </w:r>
    </w:p>
    <w:p w:rsidR="00460371" w:rsidRPr="00420107" w:rsidRDefault="00460371">
      <w:pPr>
        <w:pStyle w:val="table"/>
      </w:pPr>
      <w:bookmarkStart w:id="393" w:name="_Ref373492064"/>
      <w:r>
        <w:t>Figure</w:t>
      </w:r>
      <w:bookmarkEnd w:id="393"/>
      <w:r w:rsidR="00377E23">
        <w:t xml:space="preserve"> 11</w:t>
      </w:r>
      <w:r>
        <w:t xml:space="preserve">: </w:t>
      </w:r>
      <w:r w:rsidR="00B94FB5">
        <w:t>NEC15</w:t>
      </w:r>
      <w:r>
        <w:t xml:space="preserve"> Indexation</w:t>
      </w:r>
    </w:p>
    <w:p w:rsidR="00721D30" w:rsidRDefault="00E15776" w:rsidP="00721D30">
      <w:pPr>
        <w:tabs>
          <w:tab w:val="left" w:pos="1162"/>
        </w:tabs>
        <w:jc w:val="center"/>
        <w:rPr>
          <w:rFonts w:asciiTheme="majorHAnsi" w:eastAsiaTheme="majorEastAsia" w:hAnsiTheme="majorHAnsi" w:cstheme="majorBidi"/>
          <w:b/>
          <w:bCs/>
          <w:color w:val="008A00" w:themeColor="background2"/>
          <w:sz w:val="28"/>
          <w:szCs w:val="32"/>
        </w:rPr>
      </w:pPr>
      <w:bookmarkStart w:id="394" w:name="_Toc380754775"/>
      <w:r w:rsidRPr="00E15776">
        <w:rPr>
          <w:noProof/>
          <w:lang w:eastAsia="en-AU"/>
        </w:rPr>
        <w:t xml:space="preserve"> </w:t>
      </w:r>
      <w:r>
        <w:rPr>
          <w:noProof/>
          <w:lang w:eastAsia="en-AU"/>
        </w:rPr>
        <w:drawing>
          <wp:inline distT="0" distB="0" distL="0" distR="0" wp14:anchorId="4B2759AA" wp14:editId="3FA7AA52">
            <wp:extent cx="4833257" cy="2968913"/>
            <wp:effectExtent l="0" t="0" r="5715" b="3175"/>
            <wp:docPr id="145" name="Picture 145" descr="Figure 11 is a graph plotting the relative cost ratio for the National Efficient Cost 2015-16 (NEC15) model each year from 2008-09 to 2012-13, with an exponential line of best fit intersecting the 2012-13 cost ratio showing an upward trend. &#10;&#10;The line of best fit is given by the formula: relative cost ratio equals the mathematical constant e to the power of (0.0477 times the year relative to 2012-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3374" cy="2968985"/>
                    </a:xfrm>
                    <a:prstGeom prst="rect">
                      <a:avLst/>
                    </a:prstGeom>
                    <a:noFill/>
                    <a:ln>
                      <a:noFill/>
                    </a:ln>
                  </pic:spPr>
                </pic:pic>
              </a:graphicData>
            </a:graphic>
          </wp:inline>
        </w:drawing>
      </w:r>
    </w:p>
    <w:p w:rsidR="00460371" w:rsidRDefault="00460371" w:rsidP="009B622C">
      <w:pPr>
        <w:pStyle w:val="Heading2"/>
        <w:keepLines w:val="0"/>
        <w:numPr>
          <w:ilvl w:val="1"/>
          <w:numId w:val="73"/>
        </w:numPr>
        <w:tabs>
          <w:tab w:val="left" w:pos="1162"/>
        </w:tabs>
        <w:spacing w:after="60"/>
      </w:pPr>
      <w:bookmarkStart w:id="395" w:name="_Toc412550793"/>
      <w:r>
        <w:t>Backcasting</w:t>
      </w:r>
      <w:bookmarkEnd w:id="394"/>
      <w:bookmarkEnd w:id="395"/>
    </w:p>
    <w:p w:rsidR="00460371" w:rsidRDefault="00460371" w:rsidP="00AD4FFC">
      <w:pPr>
        <w:tabs>
          <w:tab w:val="left" w:pos="1162"/>
        </w:tabs>
        <w:spacing w:before="120"/>
        <w:rPr>
          <w:lang w:val="en-US"/>
        </w:rPr>
      </w:pPr>
      <w:r w:rsidRPr="004D6A99">
        <w:t>IHPA’s</w:t>
      </w:r>
      <w:r>
        <w:rPr>
          <w:lang w:val="en-US"/>
        </w:rPr>
        <w:t xml:space="preserve"> backcasting policy states that IHPA will determine backcasting multipliers for each service category </w:t>
      </w:r>
      <w:r w:rsidRPr="00452B3A">
        <w:rPr>
          <w:lang w:val="en-US"/>
        </w:rPr>
        <w:t>(i.e. admitted, subacute etc.)</w:t>
      </w:r>
      <w:r>
        <w:rPr>
          <w:lang w:val="en-US"/>
        </w:rPr>
        <w:t xml:space="preserve"> and for each state/territory.</w:t>
      </w:r>
    </w:p>
    <w:p w:rsidR="00460371" w:rsidRDefault="00460371" w:rsidP="00AD4FFC">
      <w:pPr>
        <w:rPr>
          <w:lang w:val="en-US"/>
        </w:rPr>
      </w:pPr>
      <w:r w:rsidRPr="00B06678">
        <w:rPr>
          <w:lang w:val="en-US"/>
        </w:rPr>
        <w:t xml:space="preserve">Backcasting applies when there has been a significant change in the classification or costing methodologies used </w:t>
      </w:r>
      <w:r>
        <w:rPr>
          <w:lang w:val="en-US"/>
        </w:rPr>
        <w:t>to</w:t>
      </w:r>
      <w:r w:rsidRPr="00B06678">
        <w:rPr>
          <w:lang w:val="en-US"/>
        </w:rPr>
        <w:t xml:space="preserve"> determin</w:t>
      </w:r>
      <w:r>
        <w:rPr>
          <w:lang w:val="en-US"/>
        </w:rPr>
        <w:t>e</w:t>
      </w:r>
      <w:r w:rsidRPr="00B06678">
        <w:rPr>
          <w:lang w:val="en-US"/>
        </w:rPr>
        <w:t xml:space="preserve"> the NEC</w:t>
      </w:r>
      <w:r>
        <w:rPr>
          <w:lang w:val="en-US"/>
        </w:rPr>
        <w:t xml:space="preserve"> from the prev</w:t>
      </w:r>
      <w:r w:rsidR="00A005F5">
        <w:rPr>
          <w:lang w:val="en-US"/>
        </w:rPr>
        <w:t>i</w:t>
      </w:r>
      <w:r>
        <w:rPr>
          <w:lang w:val="en-US"/>
        </w:rPr>
        <w:t xml:space="preserve">ous year. For </w:t>
      </w:r>
      <w:r w:rsidR="00B94FB5">
        <w:rPr>
          <w:lang w:val="en-US"/>
        </w:rPr>
        <w:t>NEC15</w:t>
      </w:r>
      <w:r>
        <w:rPr>
          <w:lang w:val="en-US"/>
        </w:rPr>
        <w:t>, the need to backca</w:t>
      </w:r>
      <w:r w:rsidR="00A005F5">
        <w:rPr>
          <w:lang w:val="en-US"/>
        </w:rPr>
        <w:t xml:space="preserve">st was substantiated by the </w:t>
      </w:r>
      <w:r>
        <w:rPr>
          <w:lang w:val="en-US"/>
        </w:rPr>
        <w:t>number of significant change</w:t>
      </w:r>
      <w:r w:rsidR="00A005F5">
        <w:rPr>
          <w:lang w:val="en-US"/>
        </w:rPr>
        <w:t>s to the methodology used in it</w:t>
      </w:r>
      <w:r>
        <w:rPr>
          <w:lang w:val="en-US"/>
        </w:rPr>
        <w:t xml:space="preserve">s determination. </w:t>
      </w:r>
    </w:p>
    <w:p w:rsidR="00673486" w:rsidRDefault="00673486">
      <w:pPr>
        <w:spacing w:after="200" w:line="276" w:lineRule="auto"/>
        <w:rPr>
          <w:lang w:val="en-US"/>
        </w:rPr>
      </w:pPr>
      <w:r>
        <w:rPr>
          <w:lang w:val="en-US"/>
        </w:rPr>
        <w:br w:type="page"/>
      </w:r>
    </w:p>
    <w:p w:rsidR="00460371" w:rsidRDefault="00460371" w:rsidP="00AD4FFC">
      <w:pPr>
        <w:rPr>
          <w:lang w:val="en-US"/>
        </w:rPr>
      </w:pPr>
      <w:r>
        <w:rPr>
          <w:lang w:val="en-US"/>
        </w:rPr>
        <w:lastRenderedPageBreak/>
        <w:t xml:space="preserve">These changes are: </w:t>
      </w:r>
    </w:p>
    <w:p w:rsidR="00460371" w:rsidRPr="00241AB0" w:rsidRDefault="00B41558" w:rsidP="00C245E0">
      <w:pPr>
        <w:pStyle w:val="ListParagraph"/>
        <w:numPr>
          <w:ilvl w:val="0"/>
          <w:numId w:val="47"/>
        </w:numPr>
        <w:spacing w:before="120"/>
        <w:ind w:left="714" w:hanging="357"/>
        <w:rPr>
          <w:lang w:val="en-US"/>
        </w:rPr>
      </w:pPr>
      <w:r>
        <w:rPr>
          <w:lang w:val="en-US"/>
        </w:rPr>
        <w:t>The transfer of the 2</w:t>
      </w:r>
      <w:r w:rsidR="00971BFA">
        <w:rPr>
          <w:lang w:val="en-US"/>
        </w:rPr>
        <w:t>2</w:t>
      </w:r>
      <w:r>
        <w:rPr>
          <w:lang w:val="en-US"/>
        </w:rPr>
        <w:t xml:space="preserve"> largest rural hospitals to the ABF cost model. </w:t>
      </w:r>
      <w:r w:rsidR="00CC088E">
        <w:rPr>
          <w:lang w:val="en-US"/>
        </w:rPr>
        <w:t xml:space="preserve">In the calculation of growth these hospitals are excluded from the backcast NEC14 as their growth is calculated within the ABF stream (see Section 1.1). </w:t>
      </w:r>
    </w:p>
    <w:p w:rsidR="00460371" w:rsidRDefault="00B41558" w:rsidP="00C245E0">
      <w:pPr>
        <w:pStyle w:val="ListParagraph"/>
        <w:numPr>
          <w:ilvl w:val="0"/>
          <w:numId w:val="47"/>
        </w:numPr>
        <w:spacing w:before="120"/>
        <w:ind w:left="714" w:hanging="357"/>
        <w:rPr>
          <w:lang w:val="en-US"/>
        </w:rPr>
      </w:pPr>
      <w:r>
        <w:rPr>
          <w:lang w:val="en-US"/>
        </w:rPr>
        <w:t>Substantial m</w:t>
      </w:r>
      <w:r w:rsidR="00460371" w:rsidRPr="00241AB0">
        <w:rPr>
          <w:lang w:val="en-US"/>
        </w:rPr>
        <w:t xml:space="preserve">ethodological changes </w:t>
      </w:r>
      <w:r>
        <w:rPr>
          <w:lang w:val="en-US"/>
        </w:rPr>
        <w:t>to</w:t>
      </w:r>
      <w:r w:rsidR="00460371" w:rsidRPr="00241AB0">
        <w:rPr>
          <w:lang w:val="en-US"/>
        </w:rPr>
        <w:t xml:space="preserve"> the cost model (</w:t>
      </w:r>
      <w:r w:rsidR="00C121BC">
        <w:rPr>
          <w:lang w:val="en-US"/>
        </w:rPr>
        <w:t xml:space="preserve">e.g. </w:t>
      </w:r>
      <w:r w:rsidR="00E51593">
        <w:rPr>
          <w:lang w:val="en-US"/>
        </w:rPr>
        <w:t>regression modelling</w:t>
      </w:r>
      <w:r w:rsidR="00460371" w:rsidRPr="00241AB0">
        <w:rPr>
          <w:lang w:val="en-US"/>
        </w:rPr>
        <w:t xml:space="preserve"> etc.)</w:t>
      </w:r>
      <w:r w:rsidR="00460371">
        <w:rPr>
          <w:lang w:val="en-US"/>
        </w:rPr>
        <w:t xml:space="preserve"> </w:t>
      </w:r>
      <w:r w:rsidR="00377E23">
        <w:rPr>
          <w:lang w:val="en-US"/>
        </w:rPr>
        <w:t>(</w:t>
      </w:r>
      <w:proofErr w:type="gramStart"/>
      <w:r w:rsidR="00377E23">
        <w:rPr>
          <w:lang w:val="en-US"/>
        </w:rPr>
        <w:t>see</w:t>
      </w:r>
      <w:proofErr w:type="gramEnd"/>
      <w:r w:rsidR="00377E23">
        <w:rPr>
          <w:lang w:val="en-US"/>
        </w:rPr>
        <w:t> Section 7.3).</w:t>
      </w:r>
    </w:p>
    <w:p w:rsidR="00A17BAB" w:rsidRDefault="00A17BAB" w:rsidP="00C245E0">
      <w:pPr>
        <w:pStyle w:val="ListParagraph"/>
        <w:numPr>
          <w:ilvl w:val="0"/>
          <w:numId w:val="47"/>
        </w:numPr>
        <w:spacing w:before="120"/>
        <w:ind w:left="714" w:hanging="357"/>
        <w:rPr>
          <w:lang w:val="en-US"/>
        </w:rPr>
      </w:pPr>
      <w:r>
        <w:rPr>
          <w:lang w:val="en-US"/>
        </w:rPr>
        <w:t xml:space="preserve">Updating </w:t>
      </w:r>
      <w:r w:rsidR="0022493D">
        <w:rPr>
          <w:lang w:val="en-US"/>
        </w:rPr>
        <w:t xml:space="preserve">the </w:t>
      </w:r>
      <w:r>
        <w:rPr>
          <w:lang w:val="en-US"/>
        </w:rPr>
        <w:t xml:space="preserve">NWAU13 calculator to </w:t>
      </w:r>
      <w:r w:rsidR="005A6FED">
        <w:rPr>
          <w:lang w:val="en-US"/>
        </w:rPr>
        <w:t xml:space="preserve">the </w:t>
      </w:r>
      <w:r w:rsidR="00CF75B0">
        <w:rPr>
          <w:lang w:val="en-US"/>
        </w:rPr>
        <w:t>NWAU</w:t>
      </w:r>
      <w:r>
        <w:rPr>
          <w:lang w:val="en-US"/>
        </w:rPr>
        <w:t>14</w:t>
      </w:r>
      <w:r w:rsidR="005A6FED">
        <w:rPr>
          <w:lang w:val="en-US"/>
        </w:rPr>
        <w:t xml:space="preserve"> calculator</w:t>
      </w:r>
      <w:r>
        <w:rPr>
          <w:lang w:val="en-US"/>
        </w:rPr>
        <w:t xml:space="preserve">. </w:t>
      </w:r>
    </w:p>
    <w:p w:rsidR="00A17BAB" w:rsidRDefault="00D20E48" w:rsidP="00C245E0">
      <w:pPr>
        <w:pStyle w:val="ListParagraph"/>
        <w:numPr>
          <w:ilvl w:val="0"/>
          <w:numId w:val="47"/>
        </w:numPr>
        <w:spacing w:before="120"/>
        <w:ind w:left="714" w:hanging="357"/>
        <w:rPr>
          <w:lang w:val="en-US"/>
        </w:rPr>
      </w:pPr>
      <w:r>
        <w:rPr>
          <w:lang w:val="en-US"/>
        </w:rPr>
        <w:t>I</w:t>
      </w:r>
      <w:r w:rsidR="00A17BAB">
        <w:rPr>
          <w:lang w:val="en-US"/>
        </w:rPr>
        <w:t xml:space="preserve">ntroduction of </w:t>
      </w:r>
      <w:r w:rsidR="00A17BAB" w:rsidRPr="005A6FED">
        <w:rPr>
          <w:lang w:val="en-US"/>
        </w:rPr>
        <w:t>NWAU a</w:t>
      </w:r>
      <w:r w:rsidR="00A17BAB">
        <w:rPr>
          <w:lang w:val="en-US"/>
        </w:rPr>
        <w:t xml:space="preserve">djustments to take account of work-in-progress to estimate NWAUs for services delivered in the financial year. </w:t>
      </w:r>
    </w:p>
    <w:p w:rsidR="00A17BAB" w:rsidRPr="00241AB0" w:rsidRDefault="00A17BAB" w:rsidP="00C245E0">
      <w:pPr>
        <w:pStyle w:val="ListParagraph"/>
        <w:numPr>
          <w:ilvl w:val="0"/>
          <w:numId w:val="47"/>
        </w:numPr>
        <w:spacing w:before="120"/>
        <w:ind w:left="714" w:hanging="357"/>
        <w:rPr>
          <w:lang w:val="en-US"/>
        </w:rPr>
      </w:pPr>
      <w:r>
        <w:rPr>
          <w:lang w:val="en-US"/>
        </w:rPr>
        <w:t xml:space="preserve">Removal of </w:t>
      </w:r>
      <w:r w:rsidR="00D20E48">
        <w:rPr>
          <w:lang w:val="en-US"/>
        </w:rPr>
        <w:t>New South Wales E</w:t>
      </w:r>
      <w:r>
        <w:rPr>
          <w:lang w:val="en-US"/>
        </w:rPr>
        <w:t xml:space="preserve">D-only </w:t>
      </w:r>
      <w:r w:rsidR="00D20E48">
        <w:rPr>
          <w:lang w:val="en-US"/>
        </w:rPr>
        <w:t>separations from the acute admitted stream.</w:t>
      </w:r>
    </w:p>
    <w:p w:rsidR="00460371" w:rsidRDefault="00460371" w:rsidP="00AD4FFC">
      <w:pPr>
        <w:rPr>
          <w:lang w:val="en-US"/>
        </w:rPr>
      </w:pPr>
      <w:r>
        <w:rPr>
          <w:lang w:val="en-US"/>
        </w:rPr>
        <w:t>S</w:t>
      </w:r>
      <w:r w:rsidRPr="00241AB0">
        <w:rPr>
          <w:lang w:val="en-US"/>
        </w:rPr>
        <w:t>tate</w:t>
      </w:r>
      <w:r>
        <w:rPr>
          <w:lang w:val="en-US"/>
        </w:rPr>
        <w:t>/territory-</w:t>
      </w:r>
      <w:r w:rsidRPr="00241AB0">
        <w:rPr>
          <w:lang w:val="en-US"/>
        </w:rPr>
        <w:t>specific backcasting multiplier</w:t>
      </w:r>
      <w:r>
        <w:rPr>
          <w:lang w:val="en-US"/>
        </w:rPr>
        <w:t>s</w:t>
      </w:r>
      <w:r w:rsidRPr="00241AB0">
        <w:rPr>
          <w:lang w:val="en-US"/>
        </w:rPr>
        <w:t xml:space="preserve"> </w:t>
      </w:r>
      <w:r w:rsidR="00A17BAB">
        <w:rPr>
          <w:lang w:val="en-US"/>
        </w:rPr>
        <w:t>for the changes</w:t>
      </w:r>
      <w:r w:rsidRPr="00241AB0">
        <w:rPr>
          <w:lang w:val="en-US"/>
        </w:rPr>
        <w:t xml:space="preserve"> above </w:t>
      </w:r>
      <w:r>
        <w:rPr>
          <w:lang w:val="en-US"/>
        </w:rPr>
        <w:t xml:space="preserve">are derived </w:t>
      </w:r>
      <w:r w:rsidRPr="00241AB0">
        <w:rPr>
          <w:lang w:val="en-US"/>
        </w:rPr>
        <w:t xml:space="preserve">by applying the </w:t>
      </w:r>
      <w:r w:rsidR="00CF75B0">
        <w:rPr>
          <w:lang w:val="en-US"/>
        </w:rPr>
        <w:t>NEC14</w:t>
      </w:r>
      <w:r w:rsidRPr="00241AB0">
        <w:rPr>
          <w:lang w:val="en-US"/>
        </w:rPr>
        <w:t xml:space="preserve"> methodology to the </w:t>
      </w:r>
      <w:r w:rsidR="00CF75B0">
        <w:rPr>
          <w:lang w:val="en-US"/>
        </w:rPr>
        <w:t>NEC15 data</w:t>
      </w:r>
      <w:r>
        <w:rPr>
          <w:lang w:val="en-US"/>
        </w:rPr>
        <w:t xml:space="preserve">. </w:t>
      </w:r>
    </w:p>
    <w:p w:rsidR="0076228A" w:rsidRDefault="00460371" w:rsidP="00AD4FFC">
      <w:pPr>
        <w:rPr>
          <w:lang w:val="en-US"/>
        </w:rPr>
        <w:sectPr w:rsidR="0076228A" w:rsidSect="00E05DB3">
          <w:headerReference w:type="even" r:id="rId29"/>
          <w:footerReference w:type="default" r:id="rId30"/>
          <w:pgSz w:w="11907" w:h="16839" w:code="9"/>
          <w:pgMar w:top="1440" w:right="1440" w:bottom="1440" w:left="1440" w:header="709" w:footer="709" w:gutter="0"/>
          <w:cols w:space="708"/>
          <w:docGrid w:linePitch="360"/>
        </w:sectPr>
      </w:pPr>
      <w:r>
        <w:rPr>
          <w:lang w:val="en-US"/>
        </w:rPr>
        <w:t xml:space="preserve">The </w:t>
      </w:r>
      <w:r w:rsidR="00B41558">
        <w:rPr>
          <w:lang w:val="en-US"/>
        </w:rPr>
        <w:t xml:space="preserve">draft </w:t>
      </w:r>
      <w:r>
        <w:rPr>
          <w:lang w:val="en-US"/>
        </w:rPr>
        <w:t xml:space="preserve">backcasting multiplier for each state/territory is </w:t>
      </w:r>
      <w:r w:rsidR="00B41558">
        <w:rPr>
          <w:lang w:val="en-US"/>
        </w:rPr>
        <w:t>provided</w:t>
      </w:r>
      <w:r>
        <w:rPr>
          <w:lang w:val="en-US"/>
        </w:rPr>
        <w:t xml:space="preserve"> in the </w:t>
      </w:r>
      <w:r w:rsidR="00B94FB5" w:rsidRPr="00B3571F">
        <w:rPr>
          <w:lang w:val="en-US"/>
        </w:rPr>
        <w:t>NEC15</w:t>
      </w:r>
      <w:r w:rsidRPr="00B3571F">
        <w:rPr>
          <w:lang w:val="en-US"/>
        </w:rPr>
        <w:t xml:space="preserve"> Determination</w:t>
      </w:r>
      <w:r w:rsidR="009D121C">
        <w:rPr>
          <w:lang w:val="en-US"/>
        </w:rPr>
        <w:t xml:space="preserve"> and is used to calculate the growth in efficient cost for the </w:t>
      </w:r>
      <w:r w:rsidR="00971BFA">
        <w:rPr>
          <w:lang w:val="en-US"/>
        </w:rPr>
        <w:t xml:space="preserve">385 </w:t>
      </w:r>
      <w:r w:rsidR="009D121C">
        <w:rPr>
          <w:lang w:val="en-US"/>
        </w:rPr>
        <w:t xml:space="preserve">block funded hospitals in the cost model. The 12 major </w:t>
      </w:r>
      <w:proofErr w:type="gramStart"/>
      <w:r w:rsidR="009D121C">
        <w:rPr>
          <w:lang w:val="en-US"/>
        </w:rPr>
        <w:t>city</w:t>
      </w:r>
      <w:proofErr w:type="gramEnd"/>
      <w:r w:rsidR="009D121C">
        <w:rPr>
          <w:lang w:val="en-US"/>
        </w:rPr>
        <w:t xml:space="preserve"> block funded hospitals and the 16 specialist psychiatric hospitals are excluded from the backcasting process explained </w:t>
      </w:r>
      <w:r w:rsidR="00CC088E">
        <w:rPr>
          <w:lang w:val="en-US"/>
        </w:rPr>
        <w:t>in this section</w:t>
      </w:r>
      <w:r w:rsidR="009D121C">
        <w:rPr>
          <w:lang w:val="en-US"/>
        </w:rPr>
        <w:t xml:space="preserve">. The calculation of growth in efficient cost for these hospitals is merely the difference between the 2014-15 agreed cost and the 2015-16 agreed cost. </w:t>
      </w:r>
    </w:p>
    <w:p w:rsidR="00915776" w:rsidRPr="00915776" w:rsidRDefault="00915776" w:rsidP="00915776">
      <w:pPr>
        <w:sectPr w:rsidR="00915776" w:rsidRPr="00915776" w:rsidSect="0076228A">
          <w:type w:val="continuous"/>
          <w:pgSz w:w="11907" w:h="16839" w:code="9"/>
          <w:pgMar w:top="1440" w:right="1440" w:bottom="1440" w:left="1440" w:header="709" w:footer="709" w:gutter="0"/>
          <w:cols w:space="708"/>
          <w:docGrid w:linePitch="360"/>
        </w:sectPr>
      </w:pPr>
    </w:p>
    <w:sdt>
      <w:sdtPr>
        <w:rPr>
          <w:rFonts w:asciiTheme="minorHAnsi" w:eastAsiaTheme="minorHAnsi" w:hAnsiTheme="minorHAnsi" w:cstheme="minorBidi"/>
          <w:bCs w:val="0"/>
          <w:noProof/>
          <w:color w:val="auto"/>
          <w:sz w:val="24"/>
          <w:szCs w:val="22"/>
          <w:lang w:val="en-AU" w:eastAsia="en-US"/>
        </w:rPr>
        <w:id w:val="1128210613"/>
        <w:docPartObj>
          <w:docPartGallery w:val="Table of Contents"/>
          <w:docPartUnique/>
        </w:docPartObj>
      </w:sdtPr>
      <w:sdtEndPr/>
      <w:sdtContent>
        <w:p w:rsidR="00915776" w:rsidRPr="00915776" w:rsidRDefault="00915776" w:rsidP="00915776">
          <w:pPr>
            <w:pStyle w:val="TOCHeading"/>
            <w:rPr>
              <w:lang w:val="en-AU" w:eastAsia="en-US"/>
            </w:rPr>
          </w:pPr>
          <w:r w:rsidRPr="00915776">
            <w:rPr>
              <w:lang w:val="en-AU" w:eastAsia="en-US"/>
            </w:rPr>
            <w:t>Attachments</w:t>
          </w:r>
        </w:p>
        <w:p w:rsidR="00C01DA0" w:rsidRDefault="00AB2DC9">
          <w:pPr>
            <w:pStyle w:val="TOC1"/>
          </w:pPr>
          <w:r w:rsidRPr="00AB2DC9">
            <w:t xml:space="preserve">Attachment A – Summary of 2012-13 input data </w:t>
          </w:r>
          <w:r w:rsidR="00C01DA0">
            <w:ptab w:relativeTo="margin" w:alignment="right" w:leader="dot"/>
          </w:r>
          <w:r w:rsidR="00CF3B74">
            <w:rPr>
              <w:bCs/>
            </w:rPr>
            <w:t>62</w:t>
          </w:r>
        </w:p>
        <w:p w:rsidR="00C01DA0" w:rsidRDefault="00AB2DC9">
          <w:pPr>
            <w:pStyle w:val="TOC1"/>
            <w:rPr>
              <w:bCs/>
            </w:rPr>
          </w:pPr>
          <w:r w:rsidRPr="00AB2DC9">
            <w:t xml:space="preserve">Attachment B – Development of the National Pricing Model </w:t>
          </w:r>
          <w:r w:rsidR="00C01DA0">
            <w:ptab w:relativeTo="margin" w:alignment="right" w:leader="dot"/>
          </w:r>
          <w:r w:rsidR="00C01DA0">
            <w:t>6</w:t>
          </w:r>
          <w:r w:rsidR="00CF3B74">
            <w:rPr>
              <w:bCs/>
            </w:rPr>
            <w:t>3</w:t>
          </w:r>
        </w:p>
        <w:p w:rsidR="00C01DA0" w:rsidRDefault="00AB2DC9">
          <w:pPr>
            <w:pStyle w:val="TOC1"/>
          </w:pPr>
          <w:r w:rsidRPr="00AB2DC9">
            <w:t>Attachment C – List of the 21 DRGs to be converted to L1.5H1.5</w:t>
          </w:r>
          <w:r w:rsidR="00CF3B74">
            <w:tab/>
            <w:t>74</w:t>
          </w:r>
        </w:p>
        <w:p w:rsidR="00C01DA0" w:rsidRDefault="00AB2DC9">
          <w:pPr>
            <w:pStyle w:val="TOC1"/>
          </w:pPr>
          <w:r w:rsidRPr="00AB2DC9">
            <w:t>Attachment D – Draft eligibility criteria of block funded hospitals</w:t>
          </w:r>
          <w:r w:rsidR="00CF3B74">
            <w:tab/>
            <w:t>75</w:t>
          </w:r>
        </w:p>
        <w:p w:rsidR="00AB2DC9" w:rsidRDefault="00AB2DC9" w:rsidP="00AB2DC9">
          <w:pPr>
            <w:pStyle w:val="TOC1"/>
          </w:pPr>
          <w:r w:rsidRPr="00AB2DC9">
            <w:t>Attachment E – NEC15 Data Preparation</w:t>
          </w:r>
          <w:r w:rsidR="00CF3B74">
            <w:tab/>
            <w:t>76</w:t>
          </w:r>
        </w:p>
      </w:sdtContent>
    </w:sdt>
    <w:p w:rsidR="00AB2DC9" w:rsidRDefault="00AB2DC9" w:rsidP="00AB2DC9"/>
    <w:p w:rsidR="0036552B" w:rsidRPr="009B622C" w:rsidRDefault="0036552B" w:rsidP="009B622C">
      <w:pPr>
        <w:sectPr w:rsidR="0036552B" w:rsidRPr="009B622C" w:rsidSect="001E6A47">
          <w:pgSz w:w="11907" w:h="16839" w:code="9"/>
          <w:pgMar w:top="1440" w:right="1440" w:bottom="1440" w:left="1440" w:header="709" w:footer="709" w:gutter="0"/>
          <w:cols w:space="708"/>
          <w:docGrid w:linePitch="360"/>
        </w:sectPr>
      </w:pPr>
    </w:p>
    <w:p w:rsidR="00460371" w:rsidRPr="009B622C" w:rsidRDefault="00C91814" w:rsidP="009B622C">
      <w:pPr>
        <w:pStyle w:val="Heading1"/>
        <w:tabs>
          <w:tab w:val="clear" w:pos="1492"/>
        </w:tabs>
        <w:spacing w:after="240"/>
        <w:ind w:firstLine="0"/>
        <w:rPr>
          <w:b w:val="0"/>
        </w:rPr>
      </w:pPr>
      <w:bookmarkStart w:id="396" w:name="_Toc412550794"/>
      <w:r w:rsidRPr="009B622C">
        <w:lastRenderedPageBreak/>
        <w:t xml:space="preserve">Attachment </w:t>
      </w:r>
      <w:r w:rsidR="001E0627" w:rsidRPr="009B622C">
        <w:t>A</w:t>
      </w:r>
      <w:r w:rsidR="001E0627">
        <w:t xml:space="preserve"> </w:t>
      </w:r>
      <w:r w:rsidR="001E0627" w:rsidRPr="001E0627">
        <w:t>– Summary of 2012-13 input data</w:t>
      </w:r>
      <w:bookmarkEnd w:id="396"/>
    </w:p>
    <w:p w:rsidR="00146092" w:rsidRPr="006C7169" w:rsidRDefault="00146092">
      <w:pPr>
        <w:pStyle w:val="table"/>
      </w:pPr>
      <w:proofErr w:type="gramStart"/>
      <w:r w:rsidRPr="00832C72">
        <w:t>Table 1.</w:t>
      </w:r>
      <w:proofErr w:type="gramEnd"/>
      <w:r w:rsidRPr="00832C72">
        <w:t xml:space="preserve"> Summary of 201</w:t>
      </w:r>
      <w:r>
        <w:t>1-12</w:t>
      </w:r>
      <w:r w:rsidRPr="00832C72">
        <w:t xml:space="preserve"> and </w:t>
      </w:r>
      <w:r>
        <w:t>2012-13</w:t>
      </w:r>
      <w:r w:rsidRPr="00832C72">
        <w:t xml:space="preserve"> Patient-Costed </w:t>
      </w:r>
      <w:r>
        <w:t>NHCDC data (ABF hospitals)</w:t>
      </w:r>
    </w:p>
    <w:tbl>
      <w:tblPr>
        <w:tblW w:w="10505" w:type="dxa"/>
        <w:jc w:val="center"/>
        <w:tblLayout w:type="fixed"/>
        <w:tblLook w:val="04A0" w:firstRow="1" w:lastRow="0" w:firstColumn="1" w:lastColumn="0" w:noHBand="0" w:noVBand="1"/>
        <w:tblDescription w:val="Table 1 provides a summary of patient costed National Hospital Cost Data Collection (NHCDC) data measured from the period 2010-11 and 2011-12.Table 2 provides a summary of Population data measured from the period 2010-11 and 2011-12.Table 3 provides a summary of costed National Hospital Cost Data Collection (NHCDC) data measured from the period  2010-11 and 2011-12."/>
      </w:tblPr>
      <w:tblGrid>
        <w:gridCol w:w="1302"/>
        <w:gridCol w:w="1013"/>
        <w:gridCol w:w="1017"/>
        <w:gridCol w:w="1016"/>
        <w:gridCol w:w="1020"/>
        <w:gridCol w:w="1017"/>
        <w:gridCol w:w="1016"/>
        <w:gridCol w:w="1017"/>
        <w:gridCol w:w="1020"/>
        <w:gridCol w:w="1067"/>
      </w:tblGrid>
      <w:tr w:rsidR="00146092" w:rsidRPr="00832C72" w:rsidTr="009B622C">
        <w:trPr>
          <w:trHeight w:val="567"/>
          <w:jc w:val="center"/>
        </w:trPr>
        <w:tc>
          <w:tcPr>
            <w:tcW w:w="130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46092" w:rsidRPr="00832C72" w:rsidRDefault="00146092" w:rsidP="00DF31C8">
            <w:pPr>
              <w:spacing w:beforeLines="80" w:before="192" w:afterLines="80" w:after="192"/>
              <w:contextualSpacing/>
              <w:rPr>
                <w:rFonts w:ascii="Calibri" w:hAnsi="Calibri"/>
                <w:b/>
                <w:bCs/>
                <w:color w:val="000000"/>
                <w:lang w:eastAsia="en-AU"/>
              </w:rPr>
            </w:pPr>
            <w:r w:rsidRPr="00832C72">
              <w:rPr>
                <w:rFonts w:ascii="Calibri" w:hAnsi="Calibri"/>
                <w:b/>
                <w:bCs/>
                <w:color w:val="000000"/>
                <w:lang w:eastAsia="en-AU"/>
              </w:rPr>
              <w:t> </w:t>
            </w:r>
          </w:p>
          <w:p w:rsidR="00146092" w:rsidRPr="00832C72" w:rsidRDefault="00146092" w:rsidP="00DF31C8">
            <w:pPr>
              <w:spacing w:beforeLines="80" w:before="192" w:afterLines="80" w:after="192"/>
              <w:contextualSpacing/>
              <w:jc w:val="center"/>
              <w:rPr>
                <w:rFonts w:ascii="Calibri" w:hAnsi="Calibri"/>
                <w:b/>
                <w:bCs/>
                <w:color w:val="000000"/>
                <w:lang w:eastAsia="en-AU"/>
              </w:rPr>
            </w:pPr>
            <w:r w:rsidRPr="00832C72">
              <w:rPr>
                <w:rFonts w:ascii="Calibri" w:hAnsi="Calibri"/>
                <w:b/>
                <w:bCs/>
                <w:color w:val="000000"/>
                <w:lang w:eastAsia="en-AU"/>
              </w:rPr>
              <w:t> </w:t>
            </w:r>
          </w:p>
        </w:tc>
        <w:tc>
          <w:tcPr>
            <w:tcW w:w="3046" w:type="dxa"/>
            <w:gridSpan w:val="3"/>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sidRPr="00832C72">
              <w:rPr>
                <w:rFonts w:ascii="Calibri" w:hAnsi="Calibri"/>
                <w:b/>
                <w:bCs/>
                <w:color w:val="000000"/>
                <w:lang w:eastAsia="en-AU"/>
              </w:rPr>
              <w:t>Establishments</w:t>
            </w:r>
          </w:p>
        </w:tc>
        <w:tc>
          <w:tcPr>
            <w:tcW w:w="3053" w:type="dxa"/>
            <w:gridSpan w:val="3"/>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sidRPr="00832C72">
              <w:rPr>
                <w:rFonts w:ascii="Calibri" w:hAnsi="Calibri"/>
                <w:b/>
                <w:bCs/>
                <w:color w:val="000000"/>
                <w:lang w:eastAsia="en-AU"/>
              </w:rPr>
              <w:t>Activity (Separations/Episodes)</w:t>
            </w:r>
          </w:p>
        </w:tc>
        <w:tc>
          <w:tcPr>
            <w:tcW w:w="3104"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sidRPr="00832C72">
              <w:rPr>
                <w:rFonts w:ascii="Calibri" w:hAnsi="Calibri"/>
                <w:b/>
                <w:bCs/>
                <w:color w:val="000000"/>
                <w:lang w:eastAsia="en-AU"/>
              </w:rPr>
              <w:t>Total Reported In</w:t>
            </w:r>
            <w:r>
              <w:rPr>
                <w:rFonts w:ascii="Calibri" w:hAnsi="Calibri"/>
                <w:b/>
                <w:bCs/>
                <w:color w:val="000000"/>
                <w:lang w:eastAsia="en-AU"/>
              </w:rPr>
              <w:noBreakHyphen/>
            </w:r>
            <w:r w:rsidRPr="00832C72">
              <w:rPr>
                <w:rFonts w:ascii="Calibri" w:hAnsi="Calibri"/>
                <w:b/>
                <w:bCs/>
                <w:color w:val="000000"/>
                <w:lang w:eastAsia="en-AU"/>
              </w:rPr>
              <w:t>scope Cost</w:t>
            </w:r>
          </w:p>
        </w:tc>
      </w:tr>
      <w:tr w:rsidR="00146092" w:rsidRPr="00832C72" w:rsidTr="009B622C">
        <w:trPr>
          <w:trHeight w:val="567"/>
          <w:jc w:val="center"/>
        </w:trPr>
        <w:tc>
          <w:tcPr>
            <w:tcW w:w="1302"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p>
        </w:tc>
        <w:tc>
          <w:tcPr>
            <w:tcW w:w="1013"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sidRPr="00832C72">
              <w:rPr>
                <w:rFonts w:ascii="Calibri" w:hAnsi="Calibri"/>
                <w:b/>
                <w:bCs/>
                <w:color w:val="000000"/>
                <w:lang w:eastAsia="en-AU"/>
              </w:rPr>
              <w:t>201</w:t>
            </w:r>
            <w:r>
              <w:rPr>
                <w:rFonts w:ascii="Calibri" w:hAnsi="Calibri"/>
                <w:b/>
                <w:bCs/>
                <w:color w:val="000000"/>
                <w:lang w:eastAsia="en-AU"/>
              </w:rPr>
              <w:t>1</w:t>
            </w:r>
            <w:r w:rsidRPr="00832C72">
              <w:rPr>
                <w:rFonts w:ascii="Calibri" w:hAnsi="Calibri"/>
                <w:b/>
                <w:bCs/>
                <w:color w:val="000000"/>
                <w:lang w:eastAsia="en-AU"/>
              </w:rPr>
              <w:t>-1</w:t>
            </w:r>
            <w:r>
              <w:rPr>
                <w:rFonts w:ascii="Calibri" w:hAnsi="Calibri"/>
                <w:b/>
                <w:bCs/>
                <w:color w:val="000000"/>
                <w:lang w:eastAsia="en-AU"/>
              </w:rPr>
              <w:t>2</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Pr>
                <w:rFonts w:ascii="Calibri" w:hAnsi="Calibri"/>
                <w:b/>
                <w:bCs/>
                <w:color w:val="000000"/>
                <w:lang w:eastAsia="en-AU"/>
              </w:rPr>
              <w:t>2012-13</w:t>
            </w:r>
          </w:p>
        </w:tc>
        <w:tc>
          <w:tcPr>
            <w:tcW w:w="1016"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sidRPr="00832C72">
              <w:rPr>
                <w:rFonts w:ascii="Calibri" w:hAnsi="Calibri"/>
                <w:b/>
                <w:bCs/>
                <w:color w:val="000000"/>
                <w:lang w:eastAsia="en-AU"/>
              </w:rPr>
              <w:t>% Change</w:t>
            </w:r>
          </w:p>
        </w:tc>
        <w:tc>
          <w:tcPr>
            <w:tcW w:w="1020"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sidRPr="00832C72">
              <w:rPr>
                <w:rFonts w:ascii="Calibri" w:hAnsi="Calibri"/>
                <w:b/>
                <w:bCs/>
                <w:color w:val="000000"/>
                <w:lang w:eastAsia="en-AU"/>
              </w:rPr>
              <w:t>201</w:t>
            </w:r>
            <w:r>
              <w:rPr>
                <w:rFonts w:ascii="Calibri" w:hAnsi="Calibri"/>
                <w:b/>
                <w:bCs/>
                <w:color w:val="000000"/>
                <w:lang w:eastAsia="en-AU"/>
              </w:rPr>
              <w:t>1</w:t>
            </w:r>
            <w:r w:rsidRPr="00832C72">
              <w:rPr>
                <w:rFonts w:ascii="Calibri" w:hAnsi="Calibri"/>
                <w:b/>
                <w:bCs/>
                <w:color w:val="000000"/>
                <w:lang w:eastAsia="en-AU"/>
              </w:rPr>
              <w:t>-1</w:t>
            </w:r>
            <w:r>
              <w:rPr>
                <w:rFonts w:ascii="Calibri" w:hAnsi="Calibri"/>
                <w:b/>
                <w:bCs/>
                <w:color w:val="000000"/>
                <w:lang w:eastAsia="en-AU"/>
              </w:rPr>
              <w:t>2</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Pr>
                <w:rFonts w:ascii="Calibri" w:hAnsi="Calibri"/>
                <w:b/>
                <w:bCs/>
                <w:color w:val="000000"/>
                <w:lang w:eastAsia="en-AU"/>
              </w:rPr>
              <w:t>2012-13</w:t>
            </w:r>
          </w:p>
        </w:tc>
        <w:tc>
          <w:tcPr>
            <w:tcW w:w="1016"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sidRPr="00832C72">
              <w:rPr>
                <w:rFonts w:ascii="Calibri" w:hAnsi="Calibri"/>
                <w:b/>
                <w:bCs/>
                <w:color w:val="000000"/>
                <w:lang w:eastAsia="en-AU"/>
              </w:rPr>
              <w:t>% Change</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sidRPr="00832C72">
              <w:rPr>
                <w:rFonts w:ascii="Calibri" w:hAnsi="Calibri"/>
                <w:b/>
                <w:bCs/>
                <w:color w:val="000000"/>
                <w:lang w:eastAsia="en-AU"/>
              </w:rPr>
              <w:t>201</w:t>
            </w:r>
            <w:r>
              <w:rPr>
                <w:rFonts w:ascii="Calibri" w:hAnsi="Calibri"/>
                <w:b/>
                <w:bCs/>
                <w:color w:val="000000"/>
                <w:lang w:eastAsia="en-AU"/>
              </w:rPr>
              <w:t>1</w:t>
            </w:r>
            <w:r w:rsidRPr="00832C72">
              <w:rPr>
                <w:rFonts w:ascii="Calibri" w:hAnsi="Calibri"/>
                <w:b/>
                <w:bCs/>
                <w:color w:val="000000"/>
                <w:lang w:eastAsia="en-AU"/>
              </w:rPr>
              <w:t>-1</w:t>
            </w:r>
            <w:r>
              <w:rPr>
                <w:rFonts w:ascii="Calibri" w:hAnsi="Calibri"/>
                <w:b/>
                <w:bCs/>
                <w:color w:val="000000"/>
                <w:lang w:eastAsia="en-AU"/>
              </w:rPr>
              <w:t>2</w:t>
            </w:r>
          </w:p>
        </w:tc>
        <w:tc>
          <w:tcPr>
            <w:tcW w:w="1020"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b/>
                <w:bCs/>
                <w:color w:val="000000"/>
                <w:lang w:eastAsia="en-AU"/>
              </w:rPr>
            </w:pPr>
            <w:r>
              <w:rPr>
                <w:rFonts w:ascii="Calibri" w:hAnsi="Calibri"/>
                <w:b/>
                <w:bCs/>
                <w:color w:val="000000"/>
                <w:lang w:eastAsia="en-AU"/>
              </w:rPr>
              <w:t>2012-13</w:t>
            </w:r>
          </w:p>
        </w:tc>
        <w:tc>
          <w:tcPr>
            <w:tcW w:w="1067" w:type="dxa"/>
            <w:tcBorders>
              <w:top w:val="nil"/>
              <w:left w:val="nil"/>
              <w:bottom w:val="single" w:sz="4" w:space="0" w:color="auto"/>
              <w:right w:val="single" w:sz="4" w:space="0" w:color="auto"/>
            </w:tcBorders>
          </w:tcPr>
          <w:p w:rsidR="00146092" w:rsidRDefault="00146092" w:rsidP="00DF31C8">
            <w:pPr>
              <w:spacing w:beforeLines="80" w:before="192" w:afterLines="80" w:after="192"/>
              <w:contextualSpacing/>
              <w:jc w:val="center"/>
              <w:rPr>
                <w:rFonts w:ascii="Calibri" w:hAnsi="Calibri"/>
                <w:b/>
                <w:bCs/>
                <w:color w:val="000000"/>
                <w:lang w:eastAsia="en-AU"/>
              </w:rPr>
            </w:pPr>
            <w:r w:rsidRPr="00832C72">
              <w:rPr>
                <w:rFonts w:ascii="Calibri" w:hAnsi="Calibri"/>
                <w:b/>
                <w:bCs/>
                <w:color w:val="000000"/>
                <w:lang w:eastAsia="en-AU"/>
              </w:rPr>
              <w:t>% Change</w:t>
            </w:r>
          </w:p>
        </w:tc>
      </w:tr>
      <w:tr w:rsidR="00146092" w:rsidRPr="00832C72" w:rsidTr="009B622C">
        <w:trPr>
          <w:trHeight w:val="567"/>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rPr>
                <w:rFonts w:ascii="Calibri" w:hAnsi="Calibri"/>
                <w:b/>
                <w:bCs/>
                <w:color w:val="000000"/>
                <w:lang w:eastAsia="en-AU"/>
              </w:rPr>
            </w:pPr>
            <w:r w:rsidRPr="00832C72">
              <w:rPr>
                <w:rFonts w:ascii="Calibri" w:hAnsi="Calibri"/>
                <w:b/>
                <w:bCs/>
                <w:color w:val="000000"/>
                <w:lang w:eastAsia="en-AU"/>
              </w:rPr>
              <w:t>Acute Admitted</w:t>
            </w:r>
          </w:p>
        </w:tc>
        <w:tc>
          <w:tcPr>
            <w:tcW w:w="1013"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194</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211</w:t>
            </w:r>
          </w:p>
        </w:tc>
        <w:tc>
          <w:tcPr>
            <w:tcW w:w="1016"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8.8%</w:t>
            </w:r>
          </w:p>
        </w:tc>
        <w:tc>
          <w:tcPr>
            <w:tcW w:w="1020"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4.3M</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4.6M</w:t>
            </w:r>
          </w:p>
        </w:tc>
        <w:tc>
          <w:tcPr>
            <w:tcW w:w="1016" w:type="dxa"/>
            <w:tcBorders>
              <w:top w:val="nil"/>
              <w:left w:val="nil"/>
              <w:bottom w:val="single" w:sz="4" w:space="0" w:color="auto"/>
              <w:right w:val="single" w:sz="4" w:space="0" w:color="auto"/>
            </w:tcBorders>
            <w:shd w:val="clear" w:color="auto" w:fill="auto"/>
            <w:noWrap/>
            <w:vAlign w:val="center"/>
            <w:hideMark/>
          </w:tcPr>
          <w:p w:rsidR="00146092" w:rsidRPr="00B84BDC" w:rsidRDefault="00146092" w:rsidP="00DF31C8">
            <w:pPr>
              <w:spacing w:beforeLines="80" w:before="192" w:afterLines="80" w:after="192"/>
              <w:contextualSpacing/>
              <w:jc w:val="center"/>
              <w:rPr>
                <w:rFonts w:ascii="Calibri" w:hAnsi="Calibri"/>
                <w:color w:val="000000"/>
              </w:rPr>
            </w:pPr>
            <w:r>
              <w:rPr>
                <w:rFonts w:ascii="Calibri" w:hAnsi="Calibri"/>
                <w:color w:val="000000"/>
              </w:rPr>
              <w:t>6.6%</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$19.9B</w:t>
            </w:r>
          </w:p>
        </w:tc>
        <w:tc>
          <w:tcPr>
            <w:tcW w:w="1020"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$21.4B</w:t>
            </w:r>
          </w:p>
        </w:tc>
        <w:tc>
          <w:tcPr>
            <w:tcW w:w="1067" w:type="dxa"/>
            <w:tcBorders>
              <w:top w:val="nil"/>
              <w:left w:val="nil"/>
              <w:bottom w:val="single" w:sz="4" w:space="0" w:color="auto"/>
              <w:right w:val="single" w:sz="4" w:space="0" w:color="auto"/>
            </w:tcBorders>
            <w:vAlign w:val="center"/>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7.4%</w:t>
            </w:r>
          </w:p>
        </w:tc>
      </w:tr>
      <w:tr w:rsidR="00146092" w:rsidRPr="00832C72" w:rsidTr="009B622C">
        <w:trPr>
          <w:trHeight w:val="567"/>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rPr>
                <w:rFonts w:ascii="Calibri" w:hAnsi="Calibri"/>
                <w:b/>
                <w:bCs/>
                <w:color w:val="000000"/>
                <w:lang w:eastAsia="en-AU"/>
              </w:rPr>
            </w:pPr>
            <w:r w:rsidRPr="00832C72">
              <w:rPr>
                <w:rFonts w:ascii="Calibri" w:hAnsi="Calibri"/>
                <w:b/>
                <w:bCs/>
                <w:color w:val="000000"/>
                <w:lang w:eastAsia="en-AU"/>
              </w:rPr>
              <w:t>Emergency</w:t>
            </w:r>
          </w:p>
        </w:tc>
        <w:tc>
          <w:tcPr>
            <w:tcW w:w="1013"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136</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152</w:t>
            </w:r>
          </w:p>
        </w:tc>
        <w:tc>
          <w:tcPr>
            <w:tcW w:w="1016"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11.8%</w:t>
            </w:r>
          </w:p>
        </w:tc>
        <w:tc>
          <w:tcPr>
            <w:tcW w:w="1020"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5.3M</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5.7M</w:t>
            </w:r>
          </w:p>
        </w:tc>
        <w:tc>
          <w:tcPr>
            <w:tcW w:w="1016" w:type="dxa"/>
            <w:tcBorders>
              <w:top w:val="nil"/>
              <w:left w:val="nil"/>
              <w:bottom w:val="single" w:sz="4" w:space="0" w:color="auto"/>
              <w:right w:val="single" w:sz="4" w:space="0" w:color="auto"/>
            </w:tcBorders>
            <w:shd w:val="clear" w:color="auto" w:fill="auto"/>
            <w:noWrap/>
            <w:vAlign w:val="center"/>
            <w:hideMark/>
          </w:tcPr>
          <w:p w:rsidR="00146092" w:rsidRPr="00B84BDC" w:rsidRDefault="00146092" w:rsidP="00DF31C8">
            <w:pPr>
              <w:spacing w:beforeLines="80" w:before="192" w:afterLines="80" w:after="192"/>
              <w:contextualSpacing/>
              <w:jc w:val="center"/>
              <w:rPr>
                <w:rFonts w:ascii="Calibri" w:hAnsi="Calibri"/>
                <w:color w:val="000000"/>
              </w:rPr>
            </w:pPr>
            <w:r>
              <w:rPr>
                <w:rFonts w:ascii="Calibri" w:hAnsi="Calibri"/>
                <w:color w:val="000000"/>
              </w:rPr>
              <w:t>7.4%</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$3.1B</w:t>
            </w:r>
          </w:p>
        </w:tc>
        <w:tc>
          <w:tcPr>
            <w:tcW w:w="1020"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$3.3B</w:t>
            </w:r>
          </w:p>
        </w:tc>
        <w:tc>
          <w:tcPr>
            <w:tcW w:w="1067" w:type="dxa"/>
            <w:tcBorders>
              <w:top w:val="nil"/>
              <w:left w:val="nil"/>
              <w:bottom w:val="single" w:sz="4" w:space="0" w:color="auto"/>
              <w:right w:val="single" w:sz="4" w:space="0" w:color="auto"/>
            </w:tcBorders>
            <w:vAlign w:val="center"/>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5.4%</w:t>
            </w:r>
          </w:p>
        </w:tc>
      </w:tr>
      <w:tr w:rsidR="00146092" w:rsidRPr="00832C72" w:rsidTr="009B622C">
        <w:trPr>
          <w:trHeight w:val="567"/>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rPr>
                <w:rFonts w:ascii="Calibri" w:hAnsi="Calibri"/>
                <w:b/>
                <w:bCs/>
                <w:color w:val="000000"/>
                <w:lang w:eastAsia="en-AU"/>
              </w:rPr>
            </w:pPr>
            <w:r w:rsidRPr="00832C72">
              <w:rPr>
                <w:rFonts w:ascii="Calibri" w:hAnsi="Calibri"/>
                <w:b/>
                <w:bCs/>
                <w:color w:val="000000"/>
                <w:lang w:eastAsia="en-AU"/>
              </w:rPr>
              <w:t>Non-admitted</w:t>
            </w:r>
          </w:p>
        </w:tc>
        <w:tc>
          <w:tcPr>
            <w:tcW w:w="1013"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color w:val="000000"/>
                <w:lang w:eastAsia="en-AU"/>
              </w:rPr>
            </w:pPr>
            <w:r>
              <w:rPr>
                <w:rFonts w:ascii="Calibri" w:hAnsi="Calibri"/>
                <w:color w:val="000000"/>
              </w:rPr>
              <w:t>83</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color w:val="000000"/>
                <w:lang w:eastAsia="en-AU"/>
              </w:rPr>
            </w:pPr>
            <w:r>
              <w:rPr>
                <w:rFonts w:ascii="Calibri" w:hAnsi="Calibri"/>
                <w:color w:val="000000"/>
              </w:rPr>
              <w:t>149</w:t>
            </w:r>
          </w:p>
        </w:tc>
        <w:tc>
          <w:tcPr>
            <w:tcW w:w="1016"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color w:val="000000"/>
                <w:lang w:eastAsia="en-AU"/>
              </w:rPr>
            </w:pPr>
            <w:r>
              <w:rPr>
                <w:rFonts w:ascii="Calibri" w:hAnsi="Calibri"/>
                <w:color w:val="000000"/>
              </w:rPr>
              <w:t>79.5%</w:t>
            </w:r>
          </w:p>
        </w:tc>
        <w:tc>
          <w:tcPr>
            <w:tcW w:w="1020"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color w:val="000000"/>
                <w:lang w:eastAsia="en-AU"/>
              </w:rPr>
            </w:pPr>
            <w:r>
              <w:rPr>
                <w:rFonts w:ascii="Calibri" w:hAnsi="Calibri"/>
                <w:color w:val="000000"/>
              </w:rPr>
              <w:t>9.4M</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color w:val="000000"/>
                <w:lang w:eastAsia="en-AU"/>
              </w:rPr>
            </w:pPr>
            <w:r>
              <w:rPr>
                <w:rFonts w:ascii="Calibri" w:hAnsi="Calibri"/>
                <w:color w:val="000000"/>
              </w:rPr>
              <w:t>11.9M</w:t>
            </w:r>
          </w:p>
        </w:tc>
        <w:tc>
          <w:tcPr>
            <w:tcW w:w="1016"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color w:val="000000"/>
              </w:rPr>
            </w:pPr>
            <w:r>
              <w:rPr>
                <w:rFonts w:ascii="Calibri" w:hAnsi="Calibri"/>
                <w:color w:val="000000"/>
              </w:rPr>
              <w:t>26.4%</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color w:val="000000"/>
                <w:lang w:eastAsia="en-AU"/>
              </w:rPr>
            </w:pPr>
            <w:r>
              <w:rPr>
                <w:rFonts w:ascii="Calibri" w:hAnsi="Calibri"/>
                <w:color w:val="000000"/>
              </w:rPr>
              <w:t>$3.0B</w:t>
            </w:r>
          </w:p>
        </w:tc>
        <w:tc>
          <w:tcPr>
            <w:tcW w:w="1020" w:type="dxa"/>
            <w:tcBorders>
              <w:top w:val="nil"/>
              <w:left w:val="nil"/>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jc w:val="center"/>
              <w:rPr>
                <w:rFonts w:ascii="Calibri" w:hAnsi="Calibri"/>
                <w:color w:val="000000"/>
                <w:lang w:eastAsia="en-AU"/>
              </w:rPr>
            </w:pPr>
            <w:r>
              <w:rPr>
                <w:rFonts w:ascii="Calibri" w:hAnsi="Calibri"/>
                <w:color w:val="000000"/>
              </w:rPr>
              <w:t>$3.7B</w:t>
            </w:r>
          </w:p>
        </w:tc>
        <w:tc>
          <w:tcPr>
            <w:tcW w:w="1067" w:type="dxa"/>
            <w:tcBorders>
              <w:top w:val="nil"/>
              <w:left w:val="nil"/>
              <w:bottom w:val="single" w:sz="4" w:space="0" w:color="auto"/>
              <w:right w:val="single" w:sz="4" w:space="0" w:color="auto"/>
            </w:tcBorders>
            <w:vAlign w:val="center"/>
          </w:tcPr>
          <w:p w:rsidR="00146092" w:rsidRDefault="00146092" w:rsidP="00DF31C8">
            <w:pPr>
              <w:spacing w:beforeLines="80" w:before="192" w:afterLines="80" w:after="192"/>
              <w:contextualSpacing/>
              <w:jc w:val="center"/>
              <w:rPr>
                <w:rFonts w:ascii="Calibri" w:hAnsi="Calibri"/>
                <w:color w:val="000000"/>
                <w:lang w:eastAsia="en-AU"/>
              </w:rPr>
            </w:pPr>
            <w:r>
              <w:rPr>
                <w:rFonts w:ascii="Calibri" w:hAnsi="Calibri"/>
                <w:color w:val="000000"/>
              </w:rPr>
              <w:t>20.4%</w:t>
            </w:r>
          </w:p>
        </w:tc>
      </w:tr>
      <w:tr w:rsidR="00146092" w:rsidRPr="00832C72" w:rsidTr="009B622C">
        <w:trPr>
          <w:trHeight w:val="567"/>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146092" w:rsidRPr="00832C72" w:rsidRDefault="00146092" w:rsidP="00DF31C8">
            <w:pPr>
              <w:spacing w:beforeLines="80" w:before="192" w:afterLines="80" w:after="192"/>
              <w:contextualSpacing/>
              <w:rPr>
                <w:rFonts w:ascii="Calibri" w:hAnsi="Calibri"/>
                <w:b/>
                <w:bCs/>
                <w:color w:val="000000"/>
                <w:lang w:eastAsia="en-AU"/>
              </w:rPr>
            </w:pPr>
            <w:r w:rsidRPr="00832C72">
              <w:rPr>
                <w:rFonts w:ascii="Calibri" w:hAnsi="Calibri"/>
                <w:b/>
                <w:bCs/>
                <w:color w:val="000000"/>
                <w:lang w:eastAsia="en-AU"/>
              </w:rPr>
              <w:t>Subacute</w:t>
            </w:r>
          </w:p>
        </w:tc>
        <w:tc>
          <w:tcPr>
            <w:tcW w:w="1013"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182</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206</w:t>
            </w:r>
          </w:p>
        </w:tc>
        <w:tc>
          <w:tcPr>
            <w:tcW w:w="1016"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13.2%</w:t>
            </w:r>
          </w:p>
        </w:tc>
        <w:tc>
          <w:tcPr>
            <w:tcW w:w="1020"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 xml:space="preserve">151,272 </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highlight w:val="yellow"/>
                <w:lang w:eastAsia="en-AU"/>
              </w:rPr>
            </w:pPr>
            <w:r>
              <w:rPr>
                <w:rFonts w:ascii="Calibri" w:hAnsi="Calibri"/>
                <w:color w:val="000000"/>
              </w:rPr>
              <w:t xml:space="preserve">159,992 </w:t>
            </w:r>
          </w:p>
        </w:tc>
        <w:tc>
          <w:tcPr>
            <w:tcW w:w="1016" w:type="dxa"/>
            <w:tcBorders>
              <w:top w:val="nil"/>
              <w:left w:val="nil"/>
              <w:bottom w:val="single" w:sz="4" w:space="0" w:color="auto"/>
              <w:right w:val="single" w:sz="4" w:space="0" w:color="auto"/>
            </w:tcBorders>
            <w:shd w:val="clear" w:color="auto" w:fill="auto"/>
            <w:noWrap/>
            <w:vAlign w:val="center"/>
            <w:hideMark/>
          </w:tcPr>
          <w:p w:rsidR="00146092" w:rsidRPr="00B84BDC" w:rsidRDefault="00146092" w:rsidP="00DF31C8">
            <w:pPr>
              <w:spacing w:beforeLines="80" w:before="192" w:afterLines="80" w:after="192"/>
              <w:contextualSpacing/>
              <w:jc w:val="center"/>
              <w:rPr>
                <w:rFonts w:ascii="Calibri" w:hAnsi="Calibri"/>
                <w:color w:val="000000"/>
              </w:rPr>
            </w:pPr>
            <w:r>
              <w:rPr>
                <w:rFonts w:ascii="Calibri" w:hAnsi="Calibri"/>
                <w:color w:val="000000"/>
              </w:rPr>
              <w:t>5.8%</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$1.9B</w:t>
            </w:r>
          </w:p>
        </w:tc>
        <w:tc>
          <w:tcPr>
            <w:tcW w:w="1020"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$2.0B</w:t>
            </w:r>
          </w:p>
        </w:tc>
        <w:tc>
          <w:tcPr>
            <w:tcW w:w="1067" w:type="dxa"/>
            <w:tcBorders>
              <w:top w:val="nil"/>
              <w:left w:val="nil"/>
              <w:bottom w:val="single" w:sz="4" w:space="0" w:color="auto"/>
              <w:right w:val="single" w:sz="4" w:space="0" w:color="auto"/>
            </w:tcBorders>
            <w:vAlign w:val="center"/>
          </w:tcPr>
          <w:p w:rsidR="00146092" w:rsidRPr="001A1C94" w:rsidRDefault="00146092" w:rsidP="00DF31C8">
            <w:pPr>
              <w:spacing w:beforeLines="80" w:before="192" w:afterLines="80" w:after="192"/>
              <w:contextualSpacing/>
              <w:jc w:val="center"/>
              <w:rPr>
                <w:rFonts w:ascii="Calibri" w:hAnsi="Calibri"/>
                <w:color w:val="000000"/>
                <w:highlight w:val="yellow"/>
                <w:lang w:eastAsia="en-AU"/>
              </w:rPr>
            </w:pPr>
            <w:r>
              <w:rPr>
                <w:rFonts w:ascii="Calibri" w:hAnsi="Calibri"/>
                <w:color w:val="000000"/>
              </w:rPr>
              <w:t>7.4%</w:t>
            </w:r>
          </w:p>
        </w:tc>
      </w:tr>
    </w:tbl>
    <w:p w:rsidR="00146092" w:rsidRDefault="00146092" w:rsidP="00146092">
      <w:pPr>
        <w:spacing w:after="0"/>
        <w:rPr>
          <w:rFonts w:ascii="Calibri" w:hAnsi="Calibri"/>
          <w:bCs/>
          <w:color w:val="000000"/>
          <w:lang w:eastAsia="en-AU"/>
        </w:rPr>
      </w:pPr>
      <w:r w:rsidRPr="00C97432">
        <w:rPr>
          <w:rFonts w:ascii="Calibri" w:hAnsi="Calibri"/>
          <w:bCs/>
          <w:color w:val="000000"/>
          <w:lang w:eastAsia="en-AU"/>
        </w:rPr>
        <w:t>Note:</w:t>
      </w:r>
      <w:r>
        <w:rPr>
          <w:rFonts w:ascii="Calibri" w:hAnsi="Calibri"/>
          <w:bCs/>
          <w:color w:val="000000"/>
          <w:lang w:eastAsia="en-AU"/>
        </w:rPr>
        <w:t xml:space="preserve">  </w:t>
      </w:r>
      <w:r w:rsidRPr="00C97432">
        <w:rPr>
          <w:rFonts w:ascii="Calibri" w:hAnsi="Calibri"/>
          <w:bCs/>
          <w:color w:val="000000"/>
          <w:lang w:eastAsia="en-AU"/>
        </w:rPr>
        <w:t>Only the NHCDC activity is used in the non-admitted Cost Model.</w:t>
      </w:r>
    </w:p>
    <w:p w:rsidR="00146092" w:rsidRDefault="00146092" w:rsidP="009B622C">
      <w:pPr>
        <w:spacing w:before="480"/>
        <w:rPr>
          <w:b/>
          <w:sz w:val="20"/>
        </w:rPr>
      </w:pPr>
      <w:proofErr w:type="gramStart"/>
      <w:r w:rsidRPr="00B84BDC">
        <w:rPr>
          <w:b/>
          <w:sz w:val="20"/>
        </w:rPr>
        <w:t>Table 2.</w:t>
      </w:r>
      <w:proofErr w:type="gramEnd"/>
      <w:r w:rsidRPr="00B84BDC">
        <w:rPr>
          <w:b/>
          <w:sz w:val="20"/>
        </w:rPr>
        <w:t xml:space="preserve"> Summary of 2011-12 and 2012-13 Population data (ABF hospitals)</w:t>
      </w:r>
    </w:p>
    <w:tbl>
      <w:tblPr>
        <w:tblW w:w="8095" w:type="dxa"/>
        <w:tblInd w:w="93" w:type="dxa"/>
        <w:tblLayout w:type="fixed"/>
        <w:tblLook w:val="04A0" w:firstRow="1" w:lastRow="0" w:firstColumn="1" w:lastColumn="0" w:noHBand="0" w:noVBand="1"/>
        <w:tblDescription w:val="Table 1 provides a summary of patient costed National Hospital Cost Data Collection (NHCDC) data measured from the period 2010-11 and 2011-12.Table 2 provides a summary of Population data measured from the period 2010-11 and 2011-12.Table 3 provides a summary of costed National Hospital Cost Data Collection (NHCDC) data measured from the period  2010-11 and 2011-12."/>
      </w:tblPr>
      <w:tblGrid>
        <w:gridCol w:w="1716"/>
        <w:gridCol w:w="958"/>
        <w:gridCol w:w="1017"/>
        <w:gridCol w:w="1144"/>
        <w:gridCol w:w="1134"/>
        <w:gridCol w:w="992"/>
        <w:gridCol w:w="1134"/>
      </w:tblGrid>
      <w:tr w:rsidR="00146092" w:rsidRPr="00832C72" w:rsidTr="00E97A71">
        <w:trPr>
          <w:trHeight w:val="340"/>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46092" w:rsidRPr="00832C72" w:rsidRDefault="00146092" w:rsidP="00E97A71">
            <w:pPr>
              <w:spacing w:before="80" w:after="80"/>
              <w:jc w:val="center"/>
              <w:rPr>
                <w:rFonts w:ascii="Calibri" w:hAnsi="Calibri"/>
                <w:b/>
                <w:bCs/>
                <w:color w:val="000000"/>
                <w:lang w:eastAsia="en-AU"/>
              </w:rPr>
            </w:pPr>
          </w:p>
        </w:tc>
        <w:tc>
          <w:tcPr>
            <w:tcW w:w="3119" w:type="dxa"/>
            <w:gridSpan w:val="3"/>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146092" w:rsidRPr="00832C72" w:rsidRDefault="00146092" w:rsidP="00DF31C8">
            <w:pPr>
              <w:spacing w:before="80" w:after="80"/>
              <w:jc w:val="center"/>
              <w:rPr>
                <w:rFonts w:ascii="Calibri" w:hAnsi="Calibri"/>
                <w:b/>
                <w:bCs/>
                <w:color w:val="000000"/>
                <w:lang w:eastAsia="en-AU"/>
              </w:rPr>
            </w:pPr>
            <w:r w:rsidRPr="00832C72">
              <w:rPr>
                <w:rFonts w:ascii="Calibri" w:hAnsi="Calibri"/>
                <w:b/>
                <w:bCs/>
                <w:color w:val="000000"/>
                <w:lang w:eastAsia="en-AU"/>
              </w:rPr>
              <w:t>Establishments</w:t>
            </w:r>
          </w:p>
        </w:tc>
        <w:tc>
          <w:tcPr>
            <w:tcW w:w="3260" w:type="dxa"/>
            <w:gridSpan w:val="3"/>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146092" w:rsidRPr="00832C72" w:rsidRDefault="00146092" w:rsidP="00DF31C8">
            <w:pPr>
              <w:spacing w:before="80" w:after="80"/>
              <w:jc w:val="center"/>
              <w:rPr>
                <w:rFonts w:ascii="Calibri" w:hAnsi="Calibri"/>
                <w:b/>
                <w:bCs/>
                <w:color w:val="000000"/>
                <w:lang w:eastAsia="en-AU"/>
              </w:rPr>
            </w:pPr>
            <w:r w:rsidRPr="00832C72">
              <w:rPr>
                <w:rFonts w:ascii="Calibri" w:hAnsi="Calibri"/>
                <w:b/>
                <w:bCs/>
                <w:color w:val="000000"/>
                <w:lang w:eastAsia="en-AU"/>
              </w:rPr>
              <w:t>Activity (Separations/Episodes)</w:t>
            </w:r>
          </w:p>
        </w:tc>
      </w:tr>
      <w:tr w:rsidR="00146092" w:rsidRPr="00832C72" w:rsidTr="00E97A71">
        <w:trPr>
          <w:trHeight w:val="340"/>
        </w:trPr>
        <w:tc>
          <w:tcPr>
            <w:tcW w:w="1716"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p>
        </w:tc>
        <w:tc>
          <w:tcPr>
            <w:tcW w:w="958" w:type="dxa"/>
            <w:tcBorders>
              <w:top w:val="nil"/>
              <w:left w:val="nil"/>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r>
              <w:rPr>
                <w:rFonts w:ascii="Calibri" w:hAnsi="Calibri"/>
                <w:b/>
                <w:bCs/>
                <w:color w:val="000000"/>
                <w:lang w:eastAsia="en-AU"/>
              </w:rPr>
              <w:t>2011-12</w:t>
            </w:r>
          </w:p>
        </w:tc>
        <w:tc>
          <w:tcPr>
            <w:tcW w:w="1017" w:type="dxa"/>
            <w:tcBorders>
              <w:top w:val="nil"/>
              <w:left w:val="nil"/>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r>
              <w:rPr>
                <w:rFonts w:ascii="Calibri" w:hAnsi="Calibri"/>
                <w:b/>
                <w:bCs/>
                <w:color w:val="000000"/>
                <w:lang w:eastAsia="en-AU"/>
              </w:rPr>
              <w:t>2012-13</w:t>
            </w:r>
          </w:p>
        </w:tc>
        <w:tc>
          <w:tcPr>
            <w:tcW w:w="1144" w:type="dxa"/>
            <w:tcBorders>
              <w:top w:val="nil"/>
              <w:left w:val="nil"/>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r w:rsidRPr="00832C72">
              <w:rPr>
                <w:rFonts w:ascii="Calibri" w:hAnsi="Calibri"/>
                <w:b/>
                <w:bCs/>
                <w:color w:val="000000"/>
                <w:lang w:eastAsia="en-AU"/>
              </w:rPr>
              <w:t>% Change</w:t>
            </w:r>
          </w:p>
        </w:tc>
        <w:tc>
          <w:tcPr>
            <w:tcW w:w="1134" w:type="dxa"/>
            <w:tcBorders>
              <w:top w:val="nil"/>
              <w:left w:val="nil"/>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r>
              <w:rPr>
                <w:rFonts w:ascii="Calibri" w:hAnsi="Calibri"/>
                <w:b/>
                <w:bCs/>
                <w:color w:val="000000"/>
                <w:lang w:eastAsia="en-AU"/>
              </w:rPr>
              <w:t>2011-12</w:t>
            </w:r>
          </w:p>
        </w:tc>
        <w:tc>
          <w:tcPr>
            <w:tcW w:w="992" w:type="dxa"/>
            <w:tcBorders>
              <w:top w:val="nil"/>
              <w:left w:val="nil"/>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r>
              <w:rPr>
                <w:rFonts w:ascii="Calibri" w:hAnsi="Calibri"/>
                <w:b/>
                <w:bCs/>
                <w:color w:val="000000"/>
                <w:lang w:eastAsia="en-AU"/>
              </w:rPr>
              <w:t>2012-13</w:t>
            </w:r>
          </w:p>
        </w:tc>
        <w:tc>
          <w:tcPr>
            <w:tcW w:w="1134" w:type="dxa"/>
            <w:tcBorders>
              <w:top w:val="nil"/>
              <w:left w:val="nil"/>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r w:rsidRPr="00832C72">
              <w:rPr>
                <w:rFonts w:ascii="Calibri" w:hAnsi="Calibri"/>
                <w:b/>
                <w:bCs/>
                <w:color w:val="000000"/>
                <w:lang w:eastAsia="en-AU"/>
              </w:rPr>
              <w:t>% Change</w:t>
            </w:r>
          </w:p>
        </w:tc>
      </w:tr>
      <w:tr w:rsidR="00146092" w:rsidRPr="00832C72" w:rsidTr="00DF31C8">
        <w:trPr>
          <w:trHeight w:val="3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46092" w:rsidRPr="00832C72" w:rsidRDefault="00146092" w:rsidP="00DF31C8">
            <w:pPr>
              <w:spacing w:before="80" w:after="80"/>
              <w:rPr>
                <w:rFonts w:ascii="Calibri" w:hAnsi="Calibri"/>
                <w:b/>
                <w:bCs/>
                <w:color w:val="000000"/>
                <w:lang w:eastAsia="en-AU"/>
              </w:rPr>
            </w:pPr>
            <w:r w:rsidRPr="00832C72">
              <w:rPr>
                <w:rFonts w:ascii="Calibri" w:hAnsi="Calibri"/>
                <w:b/>
                <w:bCs/>
                <w:color w:val="000000"/>
                <w:lang w:eastAsia="en-AU"/>
              </w:rPr>
              <w:t>Acute Admitted</w:t>
            </w:r>
          </w:p>
        </w:tc>
        <w:tc>
          <w:tcPr>
            <w:tcW w:w="958"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242</w:t>
            </w:r>
          </w:p>
        </w:tc>
        <w:tc>
          <w:tcPr>
            <w:tcW w:w="1017"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240</w:t>
            </w:r>
          </w:p>
        </w:tc>
        <w:tc>
          <w:tcPr>
            <w:tcW w:w="1144"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-0.8%</w:t>
            </w:r>
          </w:p>
        </w:tc>
        <w:tc>
          <w:tcPr>
            <w:tcW w:w="1134"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5.0M</w:t>
            </w:r>
          </w:p>
        </w:tc>
        <w:tc>
          <w:tcPr>
            <w:tcW w:w="992"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4.8M</w:t>
            </w:r>
          </w:p>
        </w:tc>
        <w:tc>
          <w:tcPr>
            <w:tcW w:w="1134"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-2.8%</w:t>
            </w:r>
          </w:p>
        </w:tc>
      </w:tr>
      <w:tr w:rsidR="00146092" w:rsidRPr="00832C72" w:rsidTr="00DF31C8">
        <w:trPr>
          <w:trHeight w:val="3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46092" w:rsidRPr="00832C72" w:rsidRDefault="00146092" w:rsidP="00DF31C8">
            <w:pPr>
              <w:spacing w:before="80" w:after="80"/>
              <w:rPr>
                <w:rFonts w:ascii="Calibri" w:hAnsi="Calibri"/>
                <w:b/>
                <w:bCs/>
                <w:color w:val="000000"/>
                <w:lang w:eastAsia="en-AU"/>
              </w:rPr>
            </w:pPr>
            <w:r w:rsidRPr="00832C72">
              <w:rPr>
                <w:rFonts w:ascii="Calibri" w:hAnsi="Calibri"/>
                <w:b/>
                <w:bCs/>
                <w:color w:val="000000"/>
                <w:lang w:eastAsia="en-AU"/>
              </w:rPr>
              <w:t>Emergency</w:t>
            </w:r>
          </w:p>
        </w:tc>
        <w:tc>
          <w:tcPr>
            <w:tcW w:w="958"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151</w:t>
            </w:r>
          </w:p>
        </w:tc>
        <w:tc>
          <w:tcPr>
            <w:tcW w:w="1017"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156</w:t>
            </w:r>
          </w:p>
        </w:tc>
        <w:tc>
          <w:tcPr>
            <w:tcW w:w="1144"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3.3%</w:t>
            </w:r>
          </w:p>
        </w:tc>
        <w:tc>
          <w:tcPr>
            <w:tcW w:w="1134"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5.8M</w:t>
            </w:r>
          </w:p>
        </w:tc>
        <w:tc>
          <w:tcPr>
            <w:tcW w:w="992"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6.0M</w:t>
            </w:r>
          </w:p>
        </w:tc>
        <w:tc>
          <w:tcPr>
            <w:tcW w:w="1134"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3.8%</w:t>
            </w:r>
          </w:p>
        </w:tc>
      </w:tr>
      <w:tr w:rsidR="00146092" w:rsidRPr="00832C72" w:rsidTr="00DF31C8">
        <w:trPr>
          <w:trHeight w:val="3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46092" w:rsidRPr="00832C72" w:rsidRDefault="00146092" w:rsidP="00DF31C8">
            <w:pPr>
              <w:spacing w:before="80" w:after="80"/>
              <w:rPr>
                <w:rFonts w:ascii="Calibri" w:hAnsi="Calibri"/>
                <w:b/>
                <w:bCs/>
                <w:color w:val="000000"/>
                <w:lang w:eastAsia="en-AU"/>
              </w:rPr>
            </w:pPr>
            <w:r w:rsidRPr="00832C72">
              <w:rPr>
                <w:rFonts w:ascii="Calibri" w:hAnsi="Calibri"/>
                <w:b/>
                <w:bCs/>
                <w:color w:val="000000"/>
                <w:lang w:eastAsia="en-AU"/>
              </w:rPr>
              <w:t>Non-admitted</w:t>
            </w:r>
          </w:p>
        </w:tc>
        <w:tc>
          <w:tcPr>
            <w:tcW w:w="958" w:type="dxa"/>
            <w:tcBorders>
              <w:top w:val="nil"/>
              <w:left w:val="nil"/>
              <w:bottom w:val="single" w:sz="4" w:space="0" w:color="auto"/>
              <w:right w:val="single" w:sz="4" w:space="0" w:color="auto"/>
            </w:tcBorders>
            <w:shd w:val="clear" w:color="000000" w:fill="D9D9D9"/>
            <w:noWrap/>
            <w:vAlign w:val="center"/>
            <w:hideMark/>
          </w:tcPr>
          <w:p w:rsidR="00146092" w:rsidRPr="001A1C94" w:rsidRDefault="00146092" w:rsidP="00DF31C8">
            <w:pPr>
              <w:spacing w:before="80" w:after="80"/>
              <w:jc w:val="center"/>
              <w:rPr>
                <w:rFonts w:ascii="Calibri" w:hAnsi="Calibri"/>
                <w:color w:val="000000"/>
                <w:lang w:eastAsia="en-AU"/>
              </w:rPr>
            </w:pPr>
          </w:p>
        </w:tc>
        <w:tc>
          <w:tcPr>
            <w:tcW w:w="1017" w:type="dxa"/>
            <w:tcBorders>
              <w:top w:val="nil"/>
              <w:left w:val="nil"/>
              <w:bottom w:val="single" w:sz="4" w:space="0" w:color="auto"/>
              <w:right w:val="single" w:sz="4" w:space="0" w:color="auto"/>
            </w:tcBorders>
            <w:shd w:val="clear" w:color="000000" w:fill="D9D9D9"/>
            <w:noWrap/>
            <w:vAlign w:val="center"/>
            <w:hideMark/>
          </w:tcPr>
          <w:p w:rsidR="00146092" w:rsidRPr="001A1C94" w:rsidRDefault="00146092" w:rsidP="00DF31C8">
            <w:pPr>
              <w:spacing w:before="80" w:after="80"/>
              <w:jc w:val="center"/>
              <w:rPr>
                <w:rFonts w:ascii="Calibri" w:hAnsi="Calibri"/>
                <w:color w:val="000000"/>
                <w:lang w:eastAsia="en-AU"/>
              </w:rPr>
            </w:pPr>
          </w:p>
        </w:tc>
        <w:tc>
          <w:tcPr>
            <w:tcW w:w="1144" w:type="dxa"/>
            <w:tcBorders>
              <w:top w:val="nil"/>
              <w:left w:val="nil"/>
              <w:bottom w:val="single" w:sz="4" w:space="0" w:color="auto"/>
              <w:right w:val="single" w:sz="4" w:space="0" w:color="auto"/>
            </w:tcBorders>
            <w:shd w:val="clear" w:color="000000" w:fill="D9D9D9"/>
            <w:noWrap/>
            <w:vAlign w:val="center"/>
            <w:hideMark/>
          </w:tcPr>
          <w:p w:rsidR="00146092" w:rsidRPr="001A1C94" w:rsidRDefault="00146092" w:rsidP="00DF31C8">
            <w:pPr>
              <w:spacing w:before="80" w:after="80"/>
              <w:jc w:val="center"/>
              <w:rPr>
                <w:rFonts w:ascii="Calibri" w:hAnsi="Calibri"/>
                <w:color w:val="000000"/>
                <w:lang w:eastAsia="en-AU"/>
              </w:rPr>
            </w:pPr>
          </w:p>
        </w:tc>
        <w:tc>
          <w:tcPr>
            <w:tcW w:w="1134" w:type="dxa"/>
            <w:tcBorders>
              <w:top w:val="nil"/>
              <w:left w:val="nil"/>
              <w:bottom w:val="single" w:sz="4" w:space="0" w:color="auto"/>
              <w:right w:val="single" w:sz="4" w:space="0" w:color="auto"/>
            </w:tcBorders>
            <w:shd w:val="clear" w:color="000000" w:fill="D9D9D9"/>
            <w:noWrap/>
            <w:vAlign w:val="center"/>
            <w:hideMark/>
          </w:tcPr>
          <w:p w:rsidR="00146092" w:rsidRPr="001A1C94" w:rsidRDefault="00146092" w:rsidP="00DF31C8">
            <w:pPr>
              <w:spacing w:before="80" w:after="80"/>
              <w:jc w:val="center"/>
              <w:rPr>
                <w:rFonts w:ascii="Calibri" w:hAnsi="Calibri"/>
                <w:color w:val="000000"/>
                <w:lang w:eastAsia="en-AU"/>
              </w:rPr>
            </w:pPr>
          </w:p>
        </w:tc>
        <w:tc>
          <w:tcPr>
            <w:tcW w:w="992" w:type="dxa"/>
            <w:tcBorders>
              <w:top w:val="nil"/>
              <w:left w:val="nil"/>
              <w:bottom w:val="single" w:sz="4" w:space="0" w:color="auto"/>
              <w:right w:val="single" w:sz="4" w:space="0" w:color="auto"/>
            </w:tcBorders>
            <w:shd w:val="clear" w:color="000000" w:fill="D9D9D9"/>
            <w:noWrap/>
            <w:vAlign w:val="center"/>
            <w:hideMark/>
          </w:tcPr>
          <w:p w:rsidR="00146092" w:rsidRPr="001A1C94" w:rsidRDefault="00146092" w:rsidP="00DF31C8">
            <w:pPr>
              <w:spacing w:before="80" w:after="80"/>
              <w:jc w:val="center"/>
              <w:rPr>
                <w:rFonts w:ascii="Calibri" w:hAnsi="Calibri"/>
                <w:color w:val="000000"/>
                <w:lang w:eastAsia="en-AU"/>
              </w:rPr>
            </w:pPr>
          </w:p>
        </w:tc>
        <w:tc>
          <w:tcPr>
            <w:tcW w:w="1134" w:type="dxa"/>
            <w:tcBorders>
              <w:top w:val="nil"/>
              <w:left w:val="nil"/>
              <w:bottom w:val="single" w:sz="4" w:space="0" w:color="auto"/>
              <w:right w:val="single" w:sz="4" w:space="0" w:color="auto"/>
            </w:tcBorders>
            <w:shd w:val="clear" w:color="000000" w:fill="D9D9D9"/>
            <w:noWrap/>
            <w:vAlign w:val="center"/>
            <w:hideMark/>
          </w:tcPr>
          <w:p w:rsidR="00146092" w:rsidRPr="001A1C94" w:rsidRDefault="00146092" w:rsidP="00DF31C8">
            <w:pPr>
              <w:spacing w:before="80" w:after="80"/>
              <w:jc w:val="center"/>
              <w:rPr>
                <w:rFonts w:ascii="Calibri" w:hAnsi="Calibri"/>
                <w:color w:val="000000"/>
                <w:lang w:eastAsia="en-AU"/>
              </w:rPr>
            </w:pPr>
          </w:p>
        </w:tc>
      </w:tr>
      <w:tr w:rsidR="00146092" w:rsidRPr="00832C72" w:rsidTr="00DF31C8">
        <w:trPr>
          <w:trHeight w:val="3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46092" w:rsidRPr="00832C72" w:rsidRDefault="00146092" w:rsidP="00DF31C8">
            <w:pPr>
              <w:spacing w:before="80" w:after="80"/>
              <w:rPr>
                <w:rFonts w:ascii="Calibri" w:hAnsi="Calibri"/>
                <w:b/>
                <w:bCs/>
                <w:color w:val="000000"/>
                <w:lang w:eastAsia="en-AU"/>
              </w:rPr>
            </w:pPr>
            <w:r w:rsidRPr="00832C72">
              <w:rPr>
                <w:rFonts w:ascii="Calibri" w:hAnsi="Calibri"/>
                <w:b/>
                <w:bCs/>
                <w:color w:val="000000"/>
                <w:lang w:eastAsia="en-AU"/>
              </w:rPr>
              <w:t>Subacute</w:t>
            </w:r>
          </w:p>
        </w:tc>
        <w:tc>
          <w:tcPr>
            <w:tcW w:w="958"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232</w:t>
            </w:r>
          </w:p>
        </w:tc>
        <w:tc>
          <w:tcPr>
            <w:tcW w:w="1017"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229</w:t>
            </w:r>
          </w:p>
        </w:tc>
        <w:tc>
          <w:tcPr>
            <w:tcW w:w="1144"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-1.3%</w:t>
            </w:r>
          </w:p>
        </w:tc>
        <w:tc>
          <w:tcPr>
            <w:tcW w:w="1134"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166,766</w:t>
            </w:r>
          </w:p>
        </w:tc>
        <w:tc>
          <w:tcPr>
            <w:tcW w:w="992"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80" w:after="80"/>
              <w:jc w:val="center"/>
              <w:rPr>
                <w:rFonts w:ascii="Calibri" w:hAnsi="Calibri"/>
                <w:highlight w:val="yellow"/>
                <w:lang w:eastAsia="en-AU"/>
              </w:rPr>
            </w:pPr>
            <w:r>
              <w:rPr>
                <w:rFonts w:ascii="Calibri" w:hAnsi="Calibri"/>
                <w:color w:val="000000"/>
              </w:rPr>
              <w:t>176,549</w:t>
            </w:r>
          </w:p>
        </w:tc>
        <w:tc>
          <w:tcPr>
            <w:tcW w:w="1134" w:type="dxa"/>
            <w:tcBorders>
              <w:top w:val="nil"/>
              <w:left w:val="nil"/>
              <w:bottom w:val="single" w:sz="4" w:space="0" w:color="auto"/>
              <w:right w:val="single" w:sz="4" w:space="0" w:color="auto"/>
            </w:tcBorders>
            <w:shd w:val="clear" w:color="auto" w:fill="auto"/>
            <w:noWrap/>
            <w:vAlign w:val="center"/>
            <w:hideMark/>
          </w:tcPr>
          <w:p w:rsidR="00146092" w:rsidRPr="001A1C94" w:rsidRDefault="00146092" w:rsidP="00DF31C8">
            <w:pPr>
              <w:spacing w:before="80" w:after="80"/>
              <w:jc w:val="center"/>
              <w:rPr>
                <w:rFonts w:ascii="Calibri" w:hAnsi="Calibri"/>
                <w:color w:val="000000"/>
                <w:highlight w:val="yellow"/>
                <w:lang w:eastAsia="en-AU"/>
              </w:rPr>
            </w:pPr>
            <w:r>
              <w:rPr>
                <w:rFonts w:ascii="Calibri" w:hAnsi="Calibri"/>
                <w:color w:val="000000"/>
              </w:rPr>
              <w:t>5.9%</w:t>
            </w:r>
          </w:p>
        </w:tc>
      </w:tr>
    </w:tbl>
    <w:p w:rsidR="00146092" w:rsidRDefault="00146092" w:rsidP="009B622C">
      <w:pPr>
        <w:spacing w:before="480"/>
        <w:rPr>
          <w:b/>
          <w:sz w:val="20"/>
        </w:rPr>
      </w:pPr>
      <w:proofErr w:type="gramStart"/>
      <w:r w:rsidRPr="00B84BDC">
        <w:rPr>
          <w:b/>
          <w:sz w:val="20"/>
        </w:rPr>
        <w:t>Table 3.</w:t>
      </w:r>
      <w:proofErr w:type="gramEnd"/>
      <w:r w:rsidRPr="00B84BDC">
        <w:rPr>
          <w:b/>
          <w:sz w:val="20"/>
        </w:rPr>
        <w:t xml:space="preserve"> Costed (NHCDC) sample as proportion of total population</w:t>
      </w:r>
    </w:p>
    <w:tbl>
      <w:tblPr>
        <w:tblW w:w="8136" w:type="dxa"/>
        <w:tblInd w:w="93" w:type="dxa"/>
        <w:tblLayout w:type="fixed"/>
        <w:tblLook w:val="04A0" w:firstRow="1" w:lastRow="0" w:firstColumn="1" w:lastColumn="0" w:noHBand="0" w:noVBand="1"/>
      </w:tblPr>
      <w:tblGrid>
        <w:gridCol w:w="2709"/>
        <w:gridCol w:w="1359"/>
        <w:gridCol w:w="1356"/>
        <w:gridCol w:w="1356"/>
        <w:gridCol w:w="1356"/>
      </w:tblGrid>
      <w:tr w:rsidR="00146092" w:rsidRPr="00832C72" w:rsidTr="00E97A71">
        <w:trPr>
          <w:trHeight w:val="429"/>
        </w:trPr>
        <w:tc>
          <w:tcPr>
            <w:tcW w:w="2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46092" w:rsidRPr="00832C72" w:rsidRDefault="00146092" w:rsidP="00DF31C8">
            <w:pPr>
              <w:spacing w:before="80" w:after="80"/>
              <w:jc w:val="center"/>
              <w:rPr>
                <w:rFonts w:ascii="Calibri" w:hAnsi="Calibri"/>
                <w:b/>
                <w:bCs/>
                <w:color w:val="000000"/>
                <w:lang w:eastAsia="en-AU"/>
              </w:rPr>
            </w:pPr>
            <w:r w:rsidRPr="00832C72">
              <w:rPr>
                <w:rFonts w:ascii="Calibri" w:hAnsi="Calibri"/>
                <w:b/>
                <w:bCs/>
                <w:color w:val="000000"/>
                <w:lang w:eastAsia="en-AU"/>
              </w:rPr>
              <w:t> </w:t>
            </w:r>
          </w:p>
          <w:p w:rsidR="00146092" w:rsidRPr="00832C72" w:rsidRDefault="00146092" w:rsidP="00DF31C8">
            <w:pPr>
              <w:spacing w:before="80" w:after="80"/>
              <w:jc w:val="center"/>
              <w:rPr>
                <w:rFonts w:ascii="Calibri" w:hAnsi="Calibri"/>
                <w:b/>
                <w:bCs/>
                <w:color w:val="000000"/>
                <w:lang w:eastAsia="en-AU"/>
              </w:rPr>
            </w:pPr>
            <w:r w:rsidRPr="00832C72">
              <w:rPr>
                <w:rFonts w:ascii="Calibri" w:hAnsi="Calibri"/>
                <w:b/>
                <w:bCs/>
                <w:color w:val="000000"/>
                <w:lang w:eastAsia="en-AU"/>
              </w:rPr>
              <w:t> </w:t>
            </w:r>
          </w:p>
        </w:tc>
        <w:tc>
          <w:tcPr>
            <w:tcW w:w="271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146092" w:rsidRPr="00832C72" w:rsidRDefault="00146092" w:rsidP="00DF31C8">
            <w:pPr>
              <w:spacing w:before="80" w:after="80"/>
              <w:jc w:val="center"/>
              <w:rPr>
                <w:rFonts w:ascii="Calibri" w:hAnsi="Calibri"/>
                <w:b/>
                <w:bCs/>
                <w:color w:val="000000"/>
                <w:lang w:eastAsia="en-AU"/>
              </w:rPr>
            </w:pPr>
            <w:r w:rsidRPr="00832C72">
              <w:rPr>
                <w:rFonts w:ascii="Calibri" w:hAnsi="Calibri"/>
                <w:b/>
                <w:bCs/>
                <w:color w:val="000000"/>
                <w:lang w:eastAsia="en-AU"/>
              </w:rPr>
              <w:t>Establishments</w:t>
            </w:r>
          </w:p>
        </w:tc>
        <w:tc>
          <w:tcPr>
            <w:tcW w:w="2712"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146092" w:rsidRPr="00832C72" w:rsidRDefault="00146092" w:rsidP="00DF31C8">
            <w:pPr>
              <w:spacing w:before="80" w:after="80"/>
              <w:jc w:val="center"/>
              <w:rPr>
                <w:rFonts w:ascii="Calibri" w:hAnsi="Calibri"/>
                <w:b/>
                <w:bCs/>
                <w:color w:val="000000"/>
                <w:lang w:eastAsia="en-AU"/>
              </w:rPr>
            </w:pPr>
            <w:r w:rsidRPr="00832C72">
              <w:rPr>
                <w:rFonts w:ascii="Calibri" w:hAnsi="Calibri"/>
                <w:b/>
                <w:bCs/>
                <w:color w:val="000000"/>
                <w:lang w:eastAsia="en-AU"/>
              </w:rPr>
              <w:t>Activity (Separations)</w:t>
            </w:r>
          </w:p>
        </w:tc>
      </w:tr>
      <w:tr w:rsidR="00146092" w:rsidTr="00E97A71">
        <w:trPr>
          <w:trHeight w:val="429"/>
        </w:trPr>
        <w:tc>
          <w:tcPr>
            <w:tcW w:w="2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46092" w:rsidRDefault="00146092" w:rsidP="00DF31C8">
            <w:pPr>
              <w:spacing w:before="80" w:after="80"/>
              <w:jc w:val="center"/>
              <w:rPr>
                <w:rFonts w:ascii="Calibri" w:hAnsi="Calibri"/>
                <w:b/>
                <w:bCs/>
                <w:color w:val="000000"/>
                <w:lang w:eastAsia="en-AU"/>
              </w:rPr>
            </w:pP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r>
              <w:rPr>
                <w:rFonts w:ascii="Calibri" w:hAnsi="Calibri"/>
                <w:b/>
                <w:bCs/>
                <w:color w:val="000000"/>
                <w:lang w:eastAsia="en-AU"/>
              </w:rPr>
              <w:t>2011-12</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r>
              <w:rPr>
                <w:rFonts w:ascii="Calibri" w:hAnsi="Calibri"/>
                <w:b/>
                <w:bCs/>
                <w:color w:val="000000"/>
                <w:lang w:eastAsia="en-AU"/>
              </w:rPr>
              <w:t>2012-13</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r w:rsidRPr="00832C72">
              <w:rPr>
                <w:rFonts w:ascii="Calibri" w:hAnsi="Calibri"/>
                <w:b/>
                <w:bCs/>
                <w:color w:val="000000"/>
                <w:lang w:eastAsia="en-AU"/>
              </w:rPr>
              <w:t>201</w:t>
            </w:r>
            <w:r>
              <w:rPr>
                <w:rFonts w:ascii="Calibri" w:hAnsi="Calibri"/>
                <w:b/>
                <w:bCs/>
                <w:color w:val="000000"/>
                <w:lang w:eastAsia="en-AU"/>
              </w:rPr>
              <w:t>1-12</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832C72" w:rsidRDefault="00146092" w:rsidP="00DF31C8">
            <w:pPr>
              <w:spacing w:before="80" w:after="80"/>
              <w:jc w:val="center"/>
              <w:rPr>
                <w:rFonts w:ascii="Calibri" w:hAnsi="Calibri"/>
                <w:b/>
                <w:bCs/>
                <w:color w:val="000000"/>
                <w:lang w:eastAsia="en-AU"/>
              </w:rPr>
            </w:pPr>
            <w:r>
              <w:rPr>
                <w:rFonts w:ascii="Calibri" w:hAnsi="Calibri"/>
                <w:b/>
                <w:bCs/>
                <w:color w:val="000000"/>
                <w:lang w:eastAsia="en-AU"/>
              </w:rPr>
              <w:t>2012-13</w:t>
            </w:r>
          </w:p>
        </w:tc>
      </w:tr>
      <w:tr w:rsidR="00146092" w:rsidRPr="001A1C94" w:rsidTr="00E97A71">
        <w:trPr>
          <w:trHeight w:val="429"/>
        </w:trPr>
        <w:tc>
          <w:tcPr>
            <w:tcW w:w="2709" w:type="dxa"/>
            <w:tcBorders>
              <w:top w:val="nil"/>
              <w:left w:val="single" w:sz="4" w:space="0" w:color="auto"/>
              <w:bottom w:val="single" w:sz="4" w:space="0" w:color="auto"/>
              <w:right w:val="single" w:sz="4" w:space="0" w:color="auto"/>
            </w:tcBorders>
            <w:vAlign w:val="center"/>
          </w:tcPr>
          <w:p w:rsidR="00146092" w:rsidRDefault="00146092" w:rsidP="00DF31C8">
            <w:pPr>
              <w:spacing w:before="80" w:after="80"/>
              <w:rPr>
                <w:rFonts w:ascii="Calibri" w:hAnsi="Calibri"/>
                <w:color w:val="000000"/>
              </w:rPr>
            </w:pPr>
            <w:r w:rsidRPr="00832C72">
              <w:rPr>
                <w:rFonts w:ascii="Calibri" w:hAnsi="Calibri"/>
                <w:b/>
                <w:bCs/>
                <w:color w:val="000000"/>
                <w:lang w:eastAsia="en-AU"/>
              </w:rPr>
              <w:t>Acute Admitted</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80.2%</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87.9%</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87.2%</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95.6%</w:t>
            </w:r>
          </w:p>
        </w:tc>
      </w:tr>
      <w:tr w:rsidR="00146092" w:rsidRPr="001A1C94" w:rsidTr="00E97A71">
        <w:trPr>
          <w:trHeight w:val="429"/>
        </w:trPr>
        <w:tc>
          <w:tcPr>
            <w:tcW w:w="2709" w:type="dxa"/>
            <w:tcBorders>
              <w:top w:val="nil"/>
              <w:left w:val="single" w:sz="4" w:space="0" w:color="auto"/>
              <w:bottom w:val="single" w:sz="4" w:space="0" w:color="auto"/>
              <w:right w:val="single" w:sz="4" w:space="0" w:color="auto"/>
            </w:tcBorders>
            <w:vAlign w:val="center"/>
          </w:tcPr>
          <w:p w:rsidR="00146092" w:rsidRDefault="00146092" w:rsidP="00DF31C8">
            <w:pPr>
              <w:spacing w:before="80" w:after="80"/>
              <w:rPr>
                <w:rFonts w:ascii="Calibri" w:hAnsi="Calibri"/>
                <w:color w:val="000000"/>
              </w:rPr>
            </w:pPr>
            <w:r w:rsidRPr="00832C72">
              <w:rPr>
                <w:rFonts w:ascii="Calibri" w:hAnsi="Calibri"/>
                <w:b/>
                <w:bCs/>
                <w:color w:val="000000"/>
                <w:lang w:eastAsia="en-AU"/>
              </w:rPr>
              <w:t>Emergency</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90.1%</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97.4%</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91.7%</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94.9%</w:t>
            </w:r>
          </w:p>
        </w:tc>
      </w:tr>
      <w:tr w:rsidR="00146092" w:rsidRPr="001A1C94" w:rsidTr="00E97A71">
        <w:trPr>
          <w:trHeight w:val="429"/>
        </w:trPr>
        <w:tc>
          <w:tcPr>
            <w:tcW w:w="2709" w:type="dxa"/>
            <w:tcBorders>
              <w:top w:val="nil"/>
              <w:left w:val="single" w:sz="4" w:space="0" w:color="auto"/>
              <w:bottom w:val="single" w:sz="4" w:space="0" w:color="auto"/>
              <w:right w:val="single" w:sz="4" w:space="0" w:color="auto"/>
            </w:tcBorders>
            <w:shd w:val="clear" w:color="auto" w:fill="FFFFFF" w:themeFill="background1"/>
            <w:vAlign w:val="center"/>
          </w:tcPr>
          <w:p w:rsidR="00146092" w:rsidRPr="001A1C94" w:rsidRDefault="00146092" w:rsidP="00DF31C8">
            <w:pPr>
              <w:spacing w:before="80" w:after="80"/>
              <w:rPr>
                <w:rFonts w:ascii="Calibri" w:hAnsi="Calibri"/>
                <w:color w:val="000000"/>
                <w:lang w:eastAsia="en-AU"/>
              </w:rPr>
            </w:pPr>
            <w:r w:rsidRPr="00832C72">
              <w:rPr>
                <w:rFonts w:ascii="Calibri" w:hAnsi="Calibri"/>
                <w:b/>
                <w:bCs/>
                <w:color w:val="000000"/>
                <w:lang w:eastAsia="en-AU"/>
              </w:rPr>
              <w:t>Non-admitted</w:t>
            </w:r>
          </w:p>
        </w:tc>
        <w:tc>
          <w:tcPr>
            <w:tcW w:w="1359" w:type="dxa"/>
            <w:tcBorders>
              <w:top w:val="nil"/>
              <w:left w:val="single" w:sz="4" w:space="0" w:color="auto"/>
              <w:bottom w:val="single" w:sz="4" w:space="0" w:color="auto"/>
              <w:right w:val="single" w:sz="4" w:space="0" w:color="auto"/>
            </w:tcBorders>
            <w:shd w:val="clear" w:color="000000" w:fill="D9D9D9"/>
            <w:noWrap/>
            <w:vAlign w:val="bottom"/>
            <w:hideMark/>
          </w:tcPr>
          <w:p w:rsidR="00146092" w:rsidRPr="001A1C94" w:rsidRDefault="00146092" w:rsidP="00DF31C8">
            <w:pPr>
              <w:spacing w:before="80" w:after="80"/>
              <w:rPr>
                <w:rFonts w:ascii="Calibri" w:hAnsi="Calibri"/>
                <w:color w:val="000000"/>
                <w:lang w:eastAsia="en-AU"/>
              </w:rPr>
            </w:pPr>
            <w:r w:rsidRPr="001A1C94">
              <w:rPr>
                <w:rFonts w:ascii="Calibri" w:hAnsi="Calibri"/>
                <w:color w:val="000000"/>
                <w:lang w:eastAsia="en-AU"/>
              </w:rPr>
              <w:t> </w:t>
            </w:r>
          </w:p>
        </w:tc>
        <w:tc>
          <w:tcPr>
            <w:tcW w:w="1356" w:type="dxa"/>
            <w:tcBorders>
              <w:top w:val="nil"/>
              <w:left w:val="nil"/>
              <w:bottom w:val="single" w:sz="4" w:space="0" w:color="auto"/>
              <w:right w:val="single" w:sz="4" w:space="0" w:color="auto"/>
            </w:tcBorders>
            <w:shd w:val="clear" w:color="000000" w:fill="D9D9D9"/>
            <w:noWrap/>
            <w:vAlign w:val="bottom"/>
            <w:hideMark/>
          </w:tcPr>
          <w:p w:rsidR="00146092" w:rsidRPr="001A1C94" w:rsidRDefault="00146092" w:rsidP="00DF31C8">
            <w:pPr>
              <w:spacing w:before="80" w:after="80"/>
              <w:rPr>
                <w:rFonts w:ascii="Calibri" w:hAnsi="Calibri"/>
                <w:color w:val="000000"/>
                <w:lang w:eastAsia="en-AU"/>
              </w:rPr>
            </w:pPr>
            <w:r w:rsidRPr="001A1C94">
              <w:rPr>
                <w:rFonts w:ascii="Calibri" w:hAnsi="Calibri"/>
                <w:color w:val="000000"/>
                <w:lang w:eastAsia="en-AU"/>
              </w:rPr>
              <w:t> </w:t>
            </w:r>
          </w:p>
        </w:tc>
        <w:tc>
          <w:tcPr>
            <w:tcW w:w="1356" w:type="dxa"/>
            <w:tcBorders>
              <w:top w:val="nil"/>
              <w:left w:val="nil"/>
              <w:bottom w:val="single" w:sz="4" w:space="0" w:color="auto"/>
              <w:right w:val="single" w:sz="4" w:space="0" w:color="auto"/>
            </w:tcBorders>
            <w:shd w:val="clear" w:color="000000" w:fill="D9D9D9"/>
            <w:noWrap/>
            <w:vAlign w:val="bottom"/>
            <w:hideMark/>
          </w:tcPr>
          <w:p w:rsidR="00146092" w:rsidRPr="001A1C94" w:rsidRDefault="00146092" w:rsidP="00DF31C8">
            <w:pPr>
              <w:spacing w:before="80" w:after="80"/>
              <w:rPr>
                <w:rFonts w:ascii="Calibri" w:hAnsi="Calibri"/>
                <w:color w:val="000000"/>
                <w:lang w:eastAsia="en-AU"/>
              </w:rPr>
            </w:pPr>
            <w:r w:rsidRPr="001A1C94">
              <w:rPr>
                <w:rFonts w:ascii="Calibri" w:hAnsi="Calibri"/>
                <w:color w:val="000000"/>
                <w:lang w:eastAsia="en-AU"/>
              </w:rPr>
              <w:t> </w:t>
            </w:r>
          </w:p>
        </w:tc>
        <w:tc>
          <w:tcPr>
            <w:tcW w:w="1356" w:type="dxa"/>
            <w:tcBorders>
              <w:top w:val="nil"/>
              <w:left w:val="nil"/>
              <w:bottom w:val="single" w:sz="4" w:space="0" w:color="auto"/>
              <w:right w:val="single" w:sz="4" w:space="0" w:color="auto"/>
            </w:tcBorders>
            <w:shd w:val="clear" w:color="000000" w:fill="D9D9D9"/>
            <w:noWrap/>
            <w:vAlign w:val="bottom"/>
            <w:hideMark/>
          </w:tcPr>
          <w:p w:rsidR="00146092" w:rsidRPr="001A1C94" w:rsidRDefault="00146092" w:rsidP="00DF31C8">
            <w:pPr>
              <w:spacing w:before="80" w:after="80"/>
              <w:rPr>
                <w:rFonts w:ascii="Calibri" w:hAnsi="Calibri"/>
                <w:color w:val="000000"/>
                <w:lang w:eastAsia="en-AU"/>
              </w:rPr>
            </w:pPr>
            <w:r w:rsidRPr="001A1C94">
              <w:rPr>
                <w:rFonts w:ascii="Calibri" w:hAnsi="Calibri"/>
                <w:color w:val="000000"/>
                <w:lang w:eastAsia="en-AU"/>
              </w:rPr>
              <w:t> </w:t>
            </w:r>
          </w:p>
        </w:tc>
      </w:tr>
      <w:tr w:rsidR="00146092" w:rsidRPr="001A1C94" w:rsidTr="00E97A71">
        <w:trPr>
          <w:trHeight w:val="429"/>
        </w:trPr>
        <w:tc>
          <w:tcPr>
            <w:tcW w:w="2709" w:type="dxa"/>
            <w:tcBorders>
              <w:top w:val="nil"/>
              <w:left w:val="single" w:sz="4" w:space="0" w:color="auto"/>
              <w:bottom w:val="single" w:sz="4" w:space="0" w:color="auto"/>
              <w:right w:val="single" w:sz="4" w:space="0" w:color="auto"/>
            </w:tcBorders>
            <w:vAlign w:val="center"/>
          </w:tcPr>
          <w:p w:rsidR="00146092" w:rsidRDefault="00146092" w:rsidP="00DF31C8">
            <w:pPr>
              <w:spacing w:before="80" w:after="80"/>
              <w:rPr>
                <w:rFonts w:ascii="Calibri" w:hAnsi="Calibri"/>
                <w:color w:val="000000"/>
              </w:rPr>
            </w:pPr>
            <w:r w:rsidRPr="00832C72">
              <w:rPr>
                <w:rFonts w:ascii="Calibri" w:hAnsi="Calibri"/>
                <w:b/>
                <w:bCs/>
                <w:color w:val="000000"/>
                <w:lang w:eastAsia="en-AU"/>
              </w:rPr>
              <w:t>Subacute</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78.4%</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90.0%</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90.7%</w:t>
            </w:r>
          </w:p>
        </w:tc>
        <w:tc>
          <w:tcPr>
            <w:tcW w:w="1356" w:type="dxa"/>
            <w:tcBorders>
              <w:top w:val="nil"/>
              <w:left w:val="nil"/>
              <w:bottom w:val="single" w:sz="4" w:space="0" w:color="auto"/>
              <w:right w:val="single" w:sz="4" w:space="0" w:color="auto"/>
            </w:tcBorders>
            <w:shd w:val="clear" w:color="auto" w:fill="auto"/>
            <w:noWrap/>
            <w:vAlign w:val="bottom"/>
            <w:hideMark/>
          </w:tcPr>
          <w:p w:rsidR="00146092" w:rsidRPr="001A1C94" w:rsidRDefault="00146092" w:rsidP="00DF31C8">
            <w:pPr>
              <w:spacing w:before="80" w:after="80"/>
              <w:jc w:val="right"/>
              <w:rPr>
                <w:rFonts w:ascii="Calibri" w:hAnsi="Calibri"/>
                <w:color w:val="000000"/>
                <w:highlight w:val="yellow"/>
                <w:lang w:eastAsia="en-AU"/>
              </w:rPr>
            </w:pPr>
            <w:r>
              <w:rPr>
                <w:rFonts w:ascii="Calibri" w:hAnsi="Calibri"/>
                <w:color w:val="000000"/>
              </w:rPr>
              <w:t>90.6%</w:t>
            </w:r>
          </w:p>
        </w:tc>
      </w:tr>
    </w:tbl>
    <w:p w:rsidR="00146092" w:rsidRDefault="00146092" w:rsidP="00146092">
      <w:pPr>
        <w:spacing w:after="0"/>
        <w:rPr>
          <w:rFonts w:ascii="Calibri" w:hAnsi="Calibri"/>
          <w:bCs/>
          <w:color w:val="000000"/>
          <w:lang w:eastAsia="en-AU"/>
        </w:rPr>
      </w:pPr>
      <w:r w:rsidRPr="00C97432">
        <w:rPr>
          <w:rFonts w:ascii="Calibri" w:hAnsi="Calibri"/>
          <w:bCs/>
          <w:color w:val="000000"/>
          <w:lang w:eastAsia="en-AU"/>
        </w:rPr>
        <w:t>Note:</w:t>
      </w:r>
      <w:r>
        <w:rPr>
          <w:rFonts w:ascii="Calibri" w:hAnsi="Calibri"/>
          <w:bCs/>
          <w:color w:val="000000"/>
          <w:lang w:eastAsia="en-AU"/>
        </w:rPr>
        <w:t xml:space="preserve"> </w:t>
      </w:r>
      <w:r w:rsidRPr="00C97432">
        <w:rPr>
          <w:rFonts w:ascii="Calibri" w:hAnsi="Calibri"/>
          <w:bCs/>
          <w:color w:val="000000"/>
          <w:lang w:eastAsia="en-AU"/>
        </w:rPr>
        <w:t>Only the NHCDC activity is used in the non-admitted Cost Model.</w:t>
      </w:r>
    </w:p>
    <w:p w:rsidR="00460371" w:rsidRDefault="00460371" w:rsidP="00AD4FFC">
      <w:pPr>
        <w:spacing w:after="0"/>
        <w:rPr>
          <w:rFonts w:ascii="Calibri" w:hAnsi="Calibri"/>
          <w:bCs/>
          <w:color w:val="000000"/>
          <w:lang w:eastAsia="en-AU"/>
        </w:rPr>
      </w:pPr>
    </w:p>
    <w:p w:rsidR="003473A3" w:rsidRDefault="003473A3" w:rsidP="00AD4FFC">
      <w:pPr>
        <w:spacing w:after="0"/>
        <w:rPr>
          <w:rFonts w:ascii="Calibri" w:hAnsi="Calibri"/>
          <w:bCs/>
          <w:color w:val="000000"/>
          <w:lang w:eastAsia="en-AU"/>
        </w:rPr>
        <w:sectPr w:rsidR="003473A3" w:rsidSect="001E6A47">
          <w:pgSz w:w="11907" w:h="16839" w:code="9"/>
          <w:pgMar w:top="1440" w:right="1440" w:bottom="1440" w:left="1440" w:header="709" w:footer="709" w:gutter="0"/>
          <w:cols w:space="708"/>
          <w:docGrid w:linePitch="360"/>
        </w:sectPr>
      </w:pPr>
    </w:p>
    <w:p w:rsidR="00460371" w:rsidRPr="009B622C" w:rsidRDefault="00453076" w:rsidP="009B622C">
      <w:pPr>
        <w:pStyle w:val="Heading1"/>
        <w:tabs>
          <w:tab w:val="clear" w:pos="1492"/>
        </w:tabs>
        <w:spacing w:after="240"/>
        <w:ind w:firstLine="0"/>
        <w:rPr>
          <w:b w:val="0"/>
        </w:rPr>
      </w:pPr>
      <w:bookmarkStart w:id="397" w:name="_Toc412550795"/>
      <w:r w:rsidRPr="009B622C">
        <w:lastRenderedPageBreak/>
        <w:t>Attachment B</w:t>
      </w:r>
      <w:r w:rsidR="00C91814">
        <w:t xml:space="preserve"> – </w:t>
      </w:r>
      <w:r w:rsidR="00460371" w:rsidRPr="009B622C">
        <w:t>Development of the National Pricing Model</w:t>
      </w:r>
      <w:bookmarkEnd w:id="397"/>
      <w:r w:rsidR="00460371" w:rsidRPr="009B622C">
        <w:t xml:space="preserve"> </w:t>
      </w:r>
    </w:p>
    <w:p w:rsidR="004325BA" w:rsidRPr="006C773E" w:rsidRDefault="00BB5EA9" w:rsidP="00AD4FFC">
      <w:pPr>
        <w:rPr>
          <w:rFonts w:ascii="Calibri" w:eastAsia="Calibri" w:hAnsi="Calibri" w:cstheme="minorHAnsi"/>
          <w:b/>
          <w:sz w:val="28"/>
          <w:szCs w:val="28"/>
        </w:rPr>
      </w:pPr>
      <w:r w:rsidRPr="006C773E">
        <w:rPr>
          <w:rFonts w:ascii="Calibri" w:eastAsia="Calibri" w:hAnsi="Calibri" w:cstheme="minorHAnsi"/>
          <w:b/>
          <w:sz w:val="28"/>
          <w:szCs w:val="28"/>
        </w:rPr>
        <w:t>Contents</w:t>
      </w:r>
    </w:p>
    <w:p w:rsidR="004325BA" w:rsidRPr="006C773E" w:rsidRDefault="00C51C2A" w:rsidP="00C245E0">
      <w:pPr>
        <w:pStyle w:val="ListParagraph"/>
        <w:numPr>
          <w:ilvl w:val="0"/>
          <w:numId w:val="52"/>
        </w:numPr>
        <w:tabs>
          <w:tab w:val="right" w:leader="dot" w:pos="9072"/>
        </w:tabs>
        <w:spacing w:after="240"/>
        <w:ind w:left="567" w:hanging="567"/>
        <w:rPr>
          <w:rFonts w:ascii="Calibri" w:eastAsia="Calibri" w:hAnsi="Calibri" w:cstheme="minorHAnsi"/>
          <w:sz w:val="24"/>
        </w:rPr>
      </w:pPr>
      <w:r w:rsidRPr="006C773E">
        <w:rPr>
          <w:rFonts w:ascii="Calibri" w:eastAsia="Calibri" w:hAnsi="Calibri" w:cstheme="minorHAnsi"/>
          <w:sz w:val="24"/>
        </w:rPr>
        <w:t>Purpose</w:t>
      </w:r>
      <w:r w:rsidR="004325BA" w:rsidRPr="006C773E">
        <w:rPr>
          <w:rFonts w:ascii="Calibri" w:eastAsia="Calibri" w:hAnsi="Calibri" w:cstheme="minorHAnsi"/>
          <w:sz w:val="24"/>
        </w:rPr>
        <w:tab/>
      </w:r>
      <w:r w:rsidR="001F122B">
        <w:rPr>
          <w:rFonts w:ascii="Calibri" w:eastAsia="Calibri" w:hAnsi="Calibri" w:cstheme="minorHAnsi"/>
          <w:sz w:val="24"/>
        </w:rPr>
        <w:t>64</w:t>
      </w:r>
    </w:p>
    <w:p w:rsidR="004325BA" w:rsidRPr="006C773E" w:rsidRDefault="00C51C2A" w:rsidP="00C245E0">
      <w:pPr>
        <w:pStyle w:val="ListParagraph"/>
        <w:numPr>
          <w:ilvl w:val="0"/>
          <w:numId w:val="52"/>
        </w:numPr>
        <w:tabs>
          <w:tab w:val="right" w:leader="dot" w:pos="9072"/>
        </w:tabs>
        <w:spacing w:after="240"/>
        <w:ind w:left="567" w:hanging="567"/>
        <w:rPr>
          <w:rFonts w:ascii="Calibri" w:eastAsia="Calibri" w:hAnsi="Calibri" w:cstheme="minorHAnsi"/>
          <w:sz w:val="24"/>
        </w:rPr>
      </w:pPr>
      <w:r w:rsidRPr="006C773E">
        <w:rPr>
          <w:rFonts w:ascii="Calibri" w:eastAsia="Calibri" w:hAnsi="Calibri" w:cstheme="minorHAnsi"/>
          <w:sz w:val="24"/>
        </w:rPr>
        <w:t>Overview</w:t>
      </w:r>
      <w:r w:rsidR="004325BA" w:rsidRPr="006C773E">
        <w:rPr>
          <w:rFonts w:ascii="Calibri" w:eastAsia="Calibri" w:hAnsi="Calibri" w:cstheme="minorHAnsi"/>
          <w:sz w:val="24"/>
        </w:rPr>
        <w:tab/>
      </w:r>
      <w:r w:rsidR="00106F73" w:rsidRPr="006C773E">
        <w:rPr>
          <w:rFonts w:ascii="Calibri" w:eastAsia="Calibri" w:hAnsi="Calibri" w:cstheme="minorHAnsi"/>
          <w:sz w:val="24"/>
        </w:rPr>
        <w:t>6</w:t>
      </w:r>
      <w:r w:rsidR="001F122B">
        <w:rPr>
          <w:rFonts w:ascii="Calibri" w:eastAsia="Calibri" w:hAnsi="Calibri" w:cstheme="minorHAnsi"/>
          <w:sz w:val="24"/>
        </w:rPr>
        <w:t>4</w:t>
      </w:r>
    </w:p>
    <w:p w:rsidR="004325BA" w:rsidRPr="006C773E" w:rsidRDefault="00C51C2A" w:rsidP="00C245E0">
      <w:pPr>
        <w:pStyle w:val="ListParagraph"/>
        <w:numPr>
          <w:ilvl w:val="0"/>
          <w:numId w:val="52"/>
        </w:numPr>
        <w:tabs>
          <w:tab w:val="right" w:leader="dot" w:pos="9072"/>
        </w:tabs>
        <w:spacing w:after="240"/>
        <w:ind w:left="567" w:hanging="567"/>
        <w:rPr>
          <w:rFonts w:ascii="Calibri" w:eastAsia="Calibri" w:hAnsi="Calibri" w:cstheme="minorHAnsi"/>
          <w:sz w:val="24"/>
        </w:rPr>
      </w:pPr>
      <w:r w:rsidRPr="006C773E">
        <w:rPr>
          <w:rFonts w:ascii="Calibri" w:eastAsia="Calibri" w:hAnsi="Calibri" w:cstheme="minorHAnsi"/>
          <w:sz w:val="24"/>
        </w:rPr>
        <w:t>Identification of out of scope costs</w:t>
      </w:r>
      <w:r w:rsidR="004325BA" w:rsidRPr="006C773E">
        <w:rPr>
          <w:rFonts w:ascii="Calibri" w:eastAsia="Calibri" w:hAnsi="Calibri" w:cstheme="minorHAnsi"/>
          <w:sz w:val="24"/>
        </w:rPr>
        <w:tab/>
      </w:r>
      <w:r w:rsidR="001F122B">
        <w:rPr>
          <w:rFonts w:ascii="Calibri" w:eastAsia="Calibri" w:hAnsi="Calibri" w:cstheme="minorHAnsi"/>
          <w:sz w:val="24"/>
        </w:rPr>
        <w:t>65</w:t>
      </w:r>
    </w:p>
    <w:p w:rsidR="00C51C2A" w:rsidRPr="006C773E" w:rsidRDefault="00C51C2A" w:rsidP="00C245E0">
      <w:pPr>
        <w:pStyle w:val="ListParagraph"/>
        <w:numPr>
          <w:ilvl w:val="0"/>
          <w:numId w:val="52"/>
        </w:numPr>
        <w:tabs>
          <w:tab w:val="right" w:leader="dot" w:pos="9072"/>
        </w:tabs>
        <w:spacing w:after="240"/>
        <w:ind w:left="567" w:hanging="567"/>
        <w:rPr>
          <w:rFonts w:ascii="Calibri" w:eastAsia="Calibri" w:hAnsi="Calibri" w:cstheme="minorHAnsi"/>
          <w:sz w:val="24"/>
        </w:rPr>
      </w:pPr>
      <w:r w:rsidRPr="006C773E">
        <w:rPr>
          <w:rFonts w:ascii="Calibri" w:eastAsia="Calibri" w:hAnsi="Calibri" w:cstheme="minorHAnsi"/>
          <w:sz w:val="24"/>
        </w:rPr>
        <w:t>De</w:t>
      </w:r>
      <w:r w:rsidR="001F122B">
        <w:rPr>
          <w:rFonts w:ascii="Calibri" w:eastAsia="Calibri" w:hAnsi="Calibri" w:cstheme="minorHAnsi"/>
          <w:sz w:val="24"/>
        </w:rPr>
        <w:t xml:space="preserve">rivation of a reference cost </w:t>
      </w:r>
      <w:r w:rsidR="001F122B">
        <w:rPr>
          <w:rFonts w:ascii="Calibri" w:eastAsia="Calibri" w:hAnsi="Calibri" w:cstheme="minorHAnsi"/>
          <w:sz w:val="24"/>
        </w:rPr>
        <w:tab/>
        <w:t>65</w:t>
      </w:r>
    </w:p>
    <w:p w:rsidR="00C51C2A" w:rsidRPr="006C773E" w:rsidRDefault="001F122B" w:rsidP="00C245E0">
      <w:pPr>
        <w:pStyle w:val="ListParagraph"/>
        <w:numPr>
          <w:ilvl w:val="0"/>
          <w:numId w:val="52"/>
        </w:numPr>
        <w:tabs>
          <w:tab w:val="right" w:leader="dot" w:pos="9072"/>
        </w:tabs>
        <w:spacing w:after="240"/>
        <w:ind w:left="567" w:hanging="567"/>
        <w:rPr>
          <w:rFonts w:ascii="Calibri" w:eastAsia="Calibri" w:hAnsi="Calibri" w:cstheme="minorHAnsi"/>
          <w:sz w:val="24"/>
        </w:rPr>
      </w:pPr>
      <w:r>
        <w:rPr>
          <w:rFonts w:ascii="Calibri" w:eastAsia="Calibri" w:hAnsi="Calibri" w:cstheme="minorHAnsi"/>
          <w:sz w:val="24"/>
        </w:rPr>
        <w:t xml:space="preserve">Indexation </w:t>
      </w:r>
      <w:r>
        <w:rPr>
          <w:rFonts w:ascii="Calibri" w:eastAsia="Calibri" w:hAnsi="Calibri" w:cstheme="minorHAnsi"/>
          <w:sz w:val="24"/>
        </w:rPr>
        <w:tab/>
        <w:t>67</w:t>
      </w:r>
    </w:p>
    <w:p w:rsidR="00C51C2A" w:rsidRPr="006C773E" w:rsidRDefault="00C51C2A" w:rsidP="00C245E0">
      <w:pPr>
        <w:pStyle w:val="ListParagraph"/>
        <w:numPr>
          <w:ilvl w:val="0"/>
          <w:numId w:val="52"/>
        </w:numPr>
        <w:tabs>
          <w:tab w:val="right" w:leader="dot" w:pos="9072"/>
        </w:tabs>
        <w:spacing w:after="240"/>
        <w:ind w:left="567" w:hanging="567"/>
        <w:rPr>
          <w:rFonts w:ascii="Calibri" w:eastAsia="Calibri" w:hAnsi="Calibri" w:cstheme="minorHAnsi"/>
          <w:sz w:val="24"/>
        </w:rPr>
      </w:pPr>
      <w:r w:rsidRPr="006C773E">
        <w:rPr>
          <w:rFonts w:ascii="Calibri" w:eastAsia="Calibri" w:hAnsi="Calibri" w:cstheme="minorHAnsi"/>
          <w:sz w:val="24"/>
        </w:rPr>
        <w:t>Transformation o</w:t>
      </w:r>
      <w:r w:rsidR="00106F73" w:rsidRPr="006C773E">
        <w:rPr>
          <w:rFonts w:ascii="Calibri" w:eastAsia="Calibri" w:hAnsi="Calibri" w:cstheme="minorHAnsi"/>
          <w:sz w:val="24"/>
        </w:rPr>
        <w:t>f cost model t</w:t>
      </w:r>
      <w:r w:rsidR="001F122B">
        <w:rPr>
          <w:rFonts w:ascii="Calibri" w:eastAsia="Calibri" w:hAnsi="Calibri" w:cstheme="minorHAnsi"/>
          <w:sz w:val="24"/>
        </w:rPr>
        <w:t>o pricing model</w:t>
      </w:r>
      <w:r w:rsidR="001F122B">
        <w:rPr>
          <w:rFonts w:ascii="Calibri" w:eastAsia="Calibri" w:hAnsi="Calibri" w:cstheme="minorHAnsi"/>
          <w:sz w:val="24"/>
        </w:rPr>
        <w:tab/>
        <w:t>72</w:t>
      </w:r>
    </w:p>
    <w:p w:rsidR="000674A1" w:rsidRDefault="000674A1" w:rsidP="00AD4FFC">
      <w:pPr>
        <w:rPr>
          <w:rFonts w:ascii="Calibri" w:eastAsia="Calibri" w:hAnsi="Calibri"/>
          <w:sz w:val="24"/>
        </w:rPr>
        <w:sectPr w:rsidR="000674A1" w:rsidSect="00E05DB3">
          <w:pgSz w:w="11907" w:h="16839" w:code="9"/>
          <w:pgMar w:top="1440" w:right="1440" w:bottom="1440" w:left="1440" w:header="709" w:footer="709" w:gutter="0"/>
          <w:cols w:space="708"/>
          <w:docGrid w:linePitch="360"/>
        </w:sectPr>
      </w:pPr>
    </w:p>
    <w:p w:rsidR="004E443D" w:rsidRPr="00547583" w:rsidRDefault="004E443D" w:rsidP="00AD4FFC">
      <w:pPr>
        <w:pStyle w:val="ListParagraph"/>
        <w:numPr>
          <w:ilvl w:val="2"/>
          <w:numId w:val="36"/>
        </w:numPr>
        <w:spacing w:before="100" w:beforeAutospacing="1" w:after="100" w:afterAutospacing="1"/>
        <w:ind w:left="284"/>
        <w:rPr>
          <w:rFonts w:ascii="Calibri" w:eastAsia="Calibri" w:hAnsi="Calibri"/>
          <w:b/>
          <w:sz w:val="28"/>
          <w:szCs w:val="28"/>
        </w:rPr>
      </w:pPr>
      <w:r w:rsidRPr="00547583">
        <w:rPr>
          <w:rFonts w:ascii="Calibri" w:eastAsia="Calibri" w:hAnsi="Calibri"/>
          <w:b/>
          <w:sz w:val="28"/>
          <w:szCs w:val="28"/>
        </w:rPr>
        <w:lastRenderedPageBreak/>
        <w:t>Purpose</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 xml:space="preserve">The purpose of this </w:t>
      </w:r>
      <w:r w:rsidR="00F9621D">
        <w:rPr>
          <w:rFonts w:ascii="Calibri" w:eastAsia="Calibri" w:hAnsi="Calibri"/>
          <w:sz w:val="24"/>
          <w:szCs w:val="24"/>
        </w:rPr>
        <w:t>Attachment</w:t>
      </w:r>
      <w:r w:rsidR="00F9621D" w:rsidRPr="00767441">
        <w:rPr>
          <w:rFonts w:ascii="Calibri" w:eastAsia="Calibri" w:hAnsi="Calibri"/>
          <w:sz w:val="24"/>
          <w:szCs w:val="24"/>
        </w:rPr>
        <w:t xml:space="preserve"> </w:t>
      </w:r>
      <w:r w:rsidRPr="00767441">
        <w:rPr>
          <w:rFonts w:ascii="Calibri" w:eastAsia="Calibri" w:hAnsi="Calibri"/>
          <w:sz w:val="24"/>
          <w:szCs w:val="24"/>
        </w:rPr>
        <w:t>is to explain the steps undertaken to transform the historical cost and activity data into the National Pricing Model, which includes the National Efficient Price (NEP), Price Weights and Adjustments.</w:t>
      </w:r>
    </w:p>
    <w:p w:rsidR="000674A1" w:rsidRPr="00547583" w:rsidRDefault="000674A1" w:rsidP="00AD4FFC">
      <w:pPr>
        <w:pStyle w:val="ListParagraph"/>
        <w:numPr>
          <w:ilvl w:val="2"/>
          <w:numId w:val="36"/>
        </w:numPr>
        <w:spacing w:before="100" w:beforeAutospacing="1" w:after="100" w:afterAutospacing="1"/>
        <w:ind w:left="284"/>
        <w:rPr>
          <w:rFonts w:ascii="Calibri" w:eastAsia="Calibri" w:hAnsi="Calibri"/>
          <w:b/>
          <w:sz w:val="28"/>
          <w:szCs w:val="28"/>
        </w:rPr>
      </w:pPr>
      <w:r w:rsidRPr="00547583">
        <w:rPr>
          <w:rFonts w:ascii="Calibri" w:eastAsia="Calibri" w:hAnsi="Calibri"/>
          <w:b/>
          <w:sz w:val="28"/>
          <w:szCs w:val="28"/>
        </w:rPr>
        <w:t>Overview</w:t>
      </w:r>
    </w:p>
    <w:p w:rsidR="00460371" w:rsidRPr="00767441" w:rsidRDefault="00460371" w:rsidP="00AD4FFC">
      <w:pPr>
        <w:spacing w:before="100" w:beforeAutospacing="1" w:after="100" w:afterAutospacing="1"/>
        <w:rPr>
          <w:rFonts w:ascii="Calibri" w:eastAsia="Calibri" w:hAnsi="Calibri"/>
          <w:sz w:val="24"/>
          <w:szCs w:val="24"/>
        </w:rPr>
      </w:pPr>
      <w:proofErr w:type="gramStart"/>
      <w:r w:rsidRPr="00767441">
        <w:rPr>
          <w:rFonts w:ascii="Calibri" w:eastAsia="Calibri" w:hAnsi="Calibri"/>
          <w:sz w:val="24"/>
          <w:szCs w:val="24"/>
        </w:rPr>
        <w:t xml:space="preserve">The </w:t>
      </w:r>
      <w:r w:rsidR="00B94FB5">
        <w:rPr>
          <w:rFonts w:ascii="Calibri" w:eastAsia="Calibri" w:hAnsi="Calibri"/>
          <w:sz w:val="24"/>
          <w:szCs w:val="24"/>
        </w:rPr>
        <w:t>2015-16</w:t>
      </w:r>
      <w:r w:rsidRPr="00767441">
        <w:rPr>
          <w:rFonts w:ascii="Calibri" w:eastAsia="Calibri" w:hAnsi="Calibri"/>
          <w:sz w:val="24"/>
          <w:szCs w:val="24"/>
        </w:rPr>
        <w:t xml:space="preserve"> National Pricing Model</w:t>
      </w:r>
      <w:proofErr w:type="gramEnd"/>
      <w:r w:rsidRPr="00767441">
        <w:rPr>
          <w:rFonts w:ascii="Calibri" w:eastAsia="Calibri" w:hAnsi="Calibri"/>
          <w:sz w:val="24"/>
          <w:szCs w:val="24"/>
        </w:rPr>
        <w:t xml:space="preserve"> is the </w:t>
      </w:r>
      <w:r w:rsidR="00F9621D">
        <w:rPr>
          <w:rFonts w:ascii="Calibri" w:eastAsia="Calibri" w:hAnsi="Calibri"/>
          <w:sz w:val="24"/>
          <w:szCs w:val="24"/>
        </w:rPr>
        <w:t>fourth</w:t>
      </w:r>
      <w:r w:rsidR="00F9621D" w:rsidRPr="00767441">
        <w:rPr>
          <w:rFonts w:ascii="Calibri" w:eastAsia="Calibri" w:hAnsi="Calibri"/>
          <w:sz w:val="24"/>
          <w:szCs w:val="24"/>
        </w:rPr>
        <w:t xml:space="preserve"> </w:t>
      </w:r>
      <w:r w:rsidRPr="00767441">
        <w:rPr>
          <w:rFonts w:ascii="Calibri" w:eastAsia="Calibri" w:hAnsi="Calibri"/>
          <w:sz w:val="24"/>
          <w:szCs w:val="24"/>
        </w:rPr>
        <w:t xml:space="preserve">annual pricing model that IHPA has produced. Each pricing model comprises a National Efficient Price (NEP), Price Weights and Adjustments, and each is based on cost and activity data from three years prior: the </w:t>
      </w:r>
      <w:r w:rsidR="00B94FB5">
        <w:rPr>
          <w:rFonts w:ascii="Calibri" w:eastAsia="Calibri" w:hAnsi="Calibri"/>
          <w:sz w:val="24"/>
          <w:szCs w:val="24"/>
        </w:rPr>
        <w:t>2015-16</w:t>
      </w:r>
      <w:r w:rsidRPr="00767441">
        <w:rPr>
          <w:rFonts w:ascii="Calibri" w:eastAsia="Calibri" w:hAnsi="Calibri"/>
          <w:sz w:val="24"/>
          <w:szCs w:val="24"/>
        </w:rPr>
        <w:t xml:space="preserve"> pricing model is based on </w:t>
      </w:r>
      <w:r w:rsidR="00B94FB5">
        <w:rPr>
          <w:rFonts w:ascii="Calibri" w:eastAsia="Calibri" w:hAnsi="Calibri"/>
          <w:sz w:val="24"/>
          <w:szCs w:val="24"/>
        </w:rPr>
        <w:t>2012-13</w:t>
      </w:r>
      <w:r w:rsidRPr="00767441">
        <w:rPr>
          <w:rFonts w:ascii="Calibri" w:eastAsia="Calibri" w:hAnsi="Calibri"/>
          <w:sz w:val="24"/>
          <w:szCs w:val="24"/>
        </w:rPr>
        <w:t xml:space="preserve"> cost and activity data.</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 xml:space="preserve">The cost and activity data for each of the historical years are used </w:t>
      </w:r>
      <w:r>
        <w:rPr>
          <w:rFonts w:ascii="Calibri" w:eastAsia="Calibri" w:hAnsi="Calibri"/>
          <w:sz w:val="24"/>
          <w:szCs w:val="24"/>
        </w:rPr>
        <w:t xml:space="preserve">to </w:t>
      </w:r>
      <w:r w:rsidRPr="00767441">
        <w:rPr>
          <w:rFonts w:ascii="Calibri" w:eastAsia="Calibri" w:hAnsi="Calibri"/>
          <w:sz w:val="24"/>
          <w:szCs w:val="24"/>
        </w:rPr>
        <w:t xml:space="preserve">derive a cost model for that year, with only those costs and activity from </w:t>
      </w:r>
      <w:r w:rsidR="001A1C94">
        <w:rPr>
          <w:rFonts w:ascii="Calibri" w:eastAsia="Calibri" w:hAnsi="Calibri"/>
          <w:sz w:val="24"/>
          <w:szCs w:val="24"/>
        </w:rPr>
        <w:t>activity based funding (</w:t>
      </w:r>
      <w:r w:rsidRPr="00767441">
        <w:rPr>
          <w:rFonts w:ascii="Calibri" w:eastAsia="Calibri" w:hAnsi="Calibri"/>
          <w:sz w:val="24"/>
          <w:szCs w:val="24"/>
        </w:rPr>
        <w:t>ABF</w:t>
      </w:r>
      <w:r w:rsidR="001A1C94">
        <w:rPr>
          <w:rFonts w:ascii="Calibri" w:eastAsia="Calibri" w:hAnsi="Calibri"/>
          <w:sz w:val="24"/>
          <w:szCs w:val="24"/>
        </w:rPr>
        <w:t>)</w:t>
      </w:r>
      <w:r w:rsidRPr="00767441">
        <w:rPr>
          <w:rFonts w:ascii="Calibri" w:eastAsia="Calibri" w:hAnsi="Calibri"/>
          <w:sz w:val="24"/>
          <w:szCs w:val="24"/>
        </w:rPr>
        <w:t xml:space="preserve"> establishments being used. The cost model is designed to ensure that the total model costs are equalised with the estimated total actual costs across the ABF establishments.</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 xml:space="preserve">The cost model is made up of cost parameters and adjustments, including the paediatric adjustment, specialist mental health age adjustment, indigenous adjustment, remoteness area adjustment and ICU adjustment, but excluding the private patient service adjustment and private patient accommodation adjustment. The latter two adjustments are introduced in the pricing model to remove out of scope </w:t>
      </w:r>
      <w:r w:rsidR="00B97568">
        <w:rPr>
          <w:rFonts w:ascii="Calibri" w:eastAsia="Calibri" w:hAnsi="Calibri"/>
          <w:sz w:val="24"/>
          <w:szCs w:val="24"/>
        </w:rPr>
        <w:t xml:space="preserve">patient </w:t>
      </w:r>
      <w:r w:rsidRPr="00767441">
        <w:rPr>
          <w:rFonts w:ascii="Calibri" w:eastAsia="Calibri" w:hAnsi="Calibri"/>
          <w:sz w:val="24"/>
          <w:szCs w:val="24"/>
        </w:rPr>
        <w:t>costs associated with private patients (see Section</w:t>
      </w:r>
      <w:r w:rsidR="004E443D">
        <w:rPr>
          <w:rFonts w:ascii="Calibri" w:eastAsia="Calibri" w:hAnsi="Calibri"/>
          <w:sz w:val="24"/>
          <w:szCs w:val="24"/>
        </w:rPr>
        <w:t xml:space="preserve"> 3</w:t>
      </w:r>
      <w:r w:rsidRPr="00767441">
        <w:rPr>
          <w:rFonts w:ascii="Calibri" w:eastAsia="Calibri" w:hAnsi="Calibri"/>
          <w:sz w:val="24"/>
          <w:szCs w:val="24"/>
        </w:rPr>
        <w:t>).</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There are four steps in the transformation of each year’s cost model into its associated pricing model, namely:</w:t>
      </w:r>
    </w:p>
    <w:p w:rsidR="00460371" w:rsidRPr="00767441" w:rsidRDefault="00460371" w:rsidP="00C245E0">
      <w:pPr>
        <w:numPr>
          <w:ilvl w:val="0"/>
          <w:numId w:val="40"/>
        </w:numPr>
        <w:spacing w:before="100" w:beforeAutospacing="1" w:after="100" w:afterAutospacing="1"/>
        <w:contextualSpacing/>
        <w:rPr>
          <w:rFonts w:ascii="Calibri" w:eastAsia="Calibri" w:hAnsi="Calibri"/>
          <w:sz w:val="24"/>
          <w:szCs w:val="24"/>
        </w:rPr>
      </w:pPr>
      <w:r w:rsidRPr="00767441">
        <w:rPr>
          <w:rFonts w:ascii="Calibri" w:eastAsia="Calibri" w:hAnsi="Calibri"/>
          <w:sz w:val="24"/>
          <w:szCs w:val="24"/>
        </w:rPr>
        <w:t>Identification and exclusion of costs and activity regarded under the National Health Reform Agreement as out of scope for the purpose</w:t>
      </w:r>
      <w:r w:rsidR="001A1C94">
        <w:rPr>
          <w:rFonts w:ascii="Calibri" w:eastAsia="Calibri" w:hAnsi="Calibri"/>
          <w:sz w:val="24"/>
          <w:szCs w:val="24"/>
        </w:rPr>
        <w:t xml:space="preserve"> of ABF</w:t>
      </w:r>
      <w:r w:rsidR="00F9621D">
        <w:rPr>
          <w:rFonts w:ascii="Calibri" w:eastAsia="Calibri" w:hAnsi="Calibri"/>
          <w:sz w:val="24"/>
          <w:szCs w:val="24"/>
        </w:rPr>
        <w:t>.</w:t>
      </w:r>
    </w:p>
    <w:p w:rsidR="00460371" w:rsidRPr="00767441" w:rsidRDefault="00460371" w:rsidP="00C245E0">
      <w:pPr>
        <w:numPr>
          <w:ilvl w:val="0"/>
          <w:numId w:val="40"/>
        </w:numPr>
        <w:spacing w:before="100" w:beforeAutospacing="1" w:after="100" w:afterAutospacing="1"/>
        <w:contextualSpacing/>
        <w:rPr>
          <w:rFonts w:ascii="Calibri" w:eastAsia="Calibri" w:hAnsi="Calibri"/>
          <w:sz w:val="24"/>
          <w:szCs w:val="24"/>
        </w:rPr>
      </w:pPr>
      <w:r w:rsidRPr="00767441">
        <w:rPr>
          <w:rFonts w:ascii="Calibri" w:eastAsia="Calibri" w:hAnsi="Calibri"/>
          <w:sz w:val="24"/>
          <w:szCs w:val="24"/>
        </w:rPr>
        <w:t xml:space="preserve">Derivation of a reference cost </w:t>
      </w:r>
      <w:r w:rsidR="00F9621D">
        <w:rPr>
          <w:rFonts w:ascii="Calibri" w:eastAsia="Calibri" w:hAnsi="Calibri"/>
          <w:sz w:val="24"/>
          <w:szCs w:val="24"/>
        </w:rPr>
        <w:t xml:space="preserve">(or standardised mean) </w:t>
      </w:r>
      <w:r w:rsidRPr="00767441">
        <w:rPr>
          <w:rFonts w:ascii="Calibri" w:eastAsia="Calibri" w:hAnsi="Calibri"/>
          <w:sz w:val="24"/>
          <w:szCs w:val="24"/>
        </w:rPr>
        <w:t>used to transform the cost model into a cost weight model</w:t>
      </w:r>
      <w:r w:rsidR="00F9621D">
        <w:rPr>
          <w:rFonts w:ascii="Calibri" w:eastAsia="Calibri" w:hAnsi="Calibri"/>
          <w:sz w:val="24"/>
          <w:szCs w:val="24"/>
        </w:rPr>
        <w:t>.</w:t>
      </w:r>
    </w:p>
    <w:p w:rsidR="00460371" w:rsidRPr="00767441" w:rsidRDefault="00460371" w:rsidP="00C245E0">
      <w:pPr>
        <w:numPr>
          <w:ilvl w:val="0"/>
          <w:numId w:val="40"/>
        </w:numPr>
        <w:spacing w:before="100" w:beforeAutospacing="1" w:after="100" w:afterAutospacing="1"/>
        <w:contextualSpacing/>
        <w:rPr>
          <w:rFonts w:ascii="Calibri" w:eastAsia="Calibri" w:hAnsi="Calibri"/>
          <w:sz w:val="24"/>
          <w:szCs w:val="24"/>
        </w:rPr>
      </w:pPr>
      <w:r w:rsidRPr="00767441">
        <w:rPr>
          <w:rFonts w:ascii="Calibri" w:eastAsia="Calibri" w:hAnsi="Calibri"/>
          <w:sz w:val="24"/>
          <w:szCs w:val="24"/>
        </w:rPr>
        <w:t>Derivation of an annual indexation rate used to inflate the cost model to a level reflective of the estimated cost of delivering hospital services in the year of the pricing model</w:t>
      </w:r>
      <w:r w:rsidR="00F9621D">
        <w:rPr>
          <w:rFonts w:ascii="Calibri" w:eastAsia="Calibri" w:hAnsi="Calibri"/>
          <w:sz w:val="24"/>
          <w:szCs w:val="24"/>
        </w:rPr>
        <w:t xml:space="preserve">. </w:t>
      </w:r>
    </w:p>
    <w:p w:rsidR="00460371" w:rsidRPr="00767441" w:rsidRDefault="00460371" w:rsidP="00C245E0">
      <w:pPr>
        <w:numPr>
          <w:ilvl w:val="0"/>
          <w:numId w:val="40"/>
        </w:numPr>
        <w:spacing w:before="100" w:beforeAutospacing="1" w:after="240"/>
        <w:ind w:left="357" w:hanging="357"/>
        <w:rPr>
          <w:rFonts w:ascii="Calibri" w:eastAsia="Calibri" w:hAnsi="Calibri"/>
          <w:sz w:val="24"/>
          <w:szCs w:val="24"/>
        </w:rPr>
      </w:pPr>
      <w:r w:rsidRPr="00767441">
        <w:rPr>
          <w:rFonts w:ascii="Calibri" w:eastAsia="Calibri" w:hAnsi="Calibri"/>
          <w:sz w:val="24"/>
          <w:szCs w:val="24"/>
        </w:rPr>
        <w:t>Transformation of the cost model to the pricing model using the results of the previous three steps.</w:t>
      </w:r>
      <w:bookmarkStart w:id="398" w:name="_Ref350415171"/>
    </w:p>
    <w:p w:rsidR="00460371" w:rsidRPr="00767441" w:rsidRDefault="00B97568" w:rsidP="00AD4FFC">
      <w:pPr>
        <w:spacing w:before="240" w:after="100" w:afterAutospacing="1"/>
        <w:rPr>
          <w:rFonts w:ascii="Calibri" w:eastAsia="Calibri" w:hAnsi="Calibri"/>
          <w:sz w:val="24"/>
          <w:szCs w:val="24"/>
        </w:rPr>
      </w:pPr>
      <w:r>
        <w:rPr>
          <w:rFonts w:ascii="Calibri" w:eastAsia="Calibri" w:hAnsi="Calibri"/>
          <w:sz w:val="24"/>
          <w:szCs w:val="24"/>
        </w:rPr>
        <w:t>Figure 1</w:t>
      </w:r>
      <w:r w:rsidR="00460371" w:rsidRPr="00767441">
        <w:rPr>
          <w:rFonts w:ascii="Calibri" w:eastAsia="Calibri" w:hAnsi="Calibri"/>
          <w:sz w:val="24"/>
          <w:szCs w:val="24"/>
        </w:rPr>
        <w:t xml:space="preserve"> summarises this process of transforming the </w:t>
      </w:r>
      <w:r w:rsidR="00B94FB5">
        <w:rPr>
          <w:rFonts w:ascii="Calibri" w:eastAsia="Calibri" w:hAnsi="Calibri"/>
          <w:sz w:val="24"/>
          <w:szCs w:val="24"/>
        </w:rPr>
        <w:t>2012-13</w:t>
      </w:r>
      <w:r w:rsidR="00460371" w:rsidRPr="00767441">
        <w:rPr>
          <w:rFonts w:ascii="Calibri" w:eastAsia="Calibri" w:hAnsi="Calibri"/>
          <w:sz w:val="24"/>
          <w:szCs w:val="24"/>
        </w:rPr>
        <w:t xml:space="preserve"> Cost Model to the </w:t>
      </w:r>
      <w:r w:rsidR="00B94FB5">
        <w:rPr>
          <w:rFonts w:ascii="Calibri" w:eastAsia="Calibri" w:hAnsi="Calibri"/>
          <w:sz w:val="24"/>
          <w:szCs w:val="24"/>
        </w:rPr>
        <w:t>2015-16</w:t>
      </w:r>
      <w:r w:rsidR="00460371" w:rsidRPr="00767441">
        <w:rPr>
          <w:rFonts w:ascii="Calibri" w:eastAsia="Calibri" w:hAnsi="Calibri"/>
          <w:sz w:val="24"/>
          <w:szCs w:val="24"/>
        </w:rPr>
        <w:t xml:space="preserve"> National Pricing Model.</w:t>
      </w:r>
    </w:p>
    <w:p w:rsidR="00460371" w:rsidRPr="00664156" w:rsidRDefault="00460371" w:rsidP="00664156">
      <w:pPr>
        <w:keepNext/>
        <w:spacing w:before="100" w:beforeAutospacing="1"/>
        <w:contextualSpacing/>
        <w:rPr>
          <w:rFonts w:ascii="Calibri" w:eastAsia="Calibri" w:hAnsi="Calibri"/>
          <w:b/>
          <w:bCs/>
        </w:rPr>
      </w:pPr>
      <w:bookmarkStart w:id="399" w:name="_Ref351380719"/>
      <w:r w:rsidRPr="00664156">
        <w:rPr>
          <w:rFonts w:ascii="Calibri" w:eastAsia="Calibri" w:hAnsi="Calibri"/>
          <w:b/>
          <w:bCs/>
        </w:rPr>
        <w:lastRenderedPageBreak/>
        <w:t xml:space="preserve">Figure </w:t>
      </w:r>
      <w:bookmarkEnd w:id="399"/>
      <w:r w:rsidR="005C0F8A" w:rsidRPr="00664156">
        <w:rPr>
          <w:rFonts w:ascii="Calibri" w:eastAsia="Calibri" w:hAnsi="Calibri"/>
          <w:b/>
          <w:bCs/>
        </w:rPr>
        <w:t>1</w:t>
      </w:r>
      <w:r w:rsidR="00664156" w:rsidRPr="00664156">
        <w:rPr>
          <w:rFonts w:ascii="Calibri" w:eastAsia="Calibri" w:hAnsi="Calibri"/>
          <w:b/>
          <w:bCs/>
        </w:rPr>
        <w:t>: P</w:t>
      </w:r>
      <w:r w:rsidRPr="00664156">
        <w:rPr>
          <w:rFonts w:ascii="Calibri" w:eastAsia="Calibri" w:hAnsi="Calibri"/>
          <w:b/>
          <w:bCs/>
        </w:rPr>
        <w:t>rocess of transforming</w:t>
      </w:r>
      <w:r w:rsidR="00750B8E" w:rsidRPr="00664156">
        <w:rPr>
          <w:rFonts w:ascii="Calibri" w:eastAsia="Calibri" w:hAnsi="Calibri"/>
          <w:b/>
          <w:bCs/>
        </w:rPr>
        <w:t xml:space="preserve"> the </w:t>
      </w:r>
      <w:r w:rsidR="00B94FB5" w:rsidRPr="00664156">
        <w:rPr>
          <w:rFonts w:ascii="Calibri" w:eastAsia="Calibri" w:hAnsi="Calibri"/>
          <w:b/>
          <w:bCs/>
        </w:rPr>
        <w:t>2012-13</w:t>
      </w:r>
      <w:r w:rsidR="00750B8E" w:rsidRPr="00664156">
        <w:rPr>
          <w:rFonts w:ascii="Calibri" w:eastAsia="Calibri" w:hAnsi="Calibri"/>
          <w:b/>
          <w:bCs/>
        </w:rPr>
        <w:t xml:space="preserve"> Cost Model </w:t>
      </w:r>
      <w:proofErr w:type="gramStart"/>
      <w:r w:rsidR="00750B8E" w:rsidRPr="00664156">
        <w:rPr>
          <w:rFonts w:ascii="Calibri" w:eastAsia="Calibri" w:hAnsi="Calibri"/>
          <w:b/>
          <w:bCs/>
        </w:rPr>
        <w:t xml:space="preserve">to the </w:t>
      </w:r>
      <w:r w:rsidR="00B94FB5" w:rsidRPr="00664156">
        <w:rPr>
          <w:rFonts w:ascii="Calibri" w:eastAsia="Calibri" w:hAnsi="Calibri"/>
          <w:b/>
          <w:bCs/>
        </w:rPr>
        <w:t>2015-16</w:t>
      </w:r>
      <w:r w:rsidRPr="00664156">
        <w:rPr>
          <w:rFonts w:ascii="Calibri" w:eastAsia="Calibri" w:hAnsi="Calibri"/>
          <w:b/>
          <w:bCs/>
        </w:rPr>
        <w:t xml:space="preserve"> National Pricing Model</w:t>
      </w:r>
      <w:proofErr w:type="gramEnd"/>
    </w:p>
    <w:p w:rsidR="00460371" w:rsidRPr="00767441" w:rsidRDefault="00460371" w:rsidP="00AD4FFC">
      <w:pPr>
        <w:spacing w:before="100" w:beforeAutospacing="1" w:after="100" w:afterAutospacing="1"/>
        <w:jc w:val="center"/>
        <w:rPr>
          <w:rFonts w:ascii="Calibri" w:eastAsia="Calibri" w:hAnsi="Calibri"/>
          <w:sz w:val="24"/>
          <w:szCs w:val="24"/>
        </w:rPr>
      </w:pPr>
      <w:r w:rsidRPr="00767441">
        <w:rPr>
          <w:rFonts w:ascii="Calibri" w:eastAsia="Calibri" w:hAnsi="Calibri"/>
          <w:noProof/>
          <w:sz w:val="24"/>
          <w:szCs w:val="24"/>
          <w:lang w:eastAsia="en-AU"/>
        </w:rPr>
        <mc:AlternateContent>
          <mc:Choice Requires="wpc">
            <w:drawing>
              <wp:inline distT="0" distB="0" distL="0" distR="0" wp14:anchorId="0C642A00" wp14:editId="79ABF459">
                <wp:extent cx="6036891" cy="1867535"/>
                <wp:effectExtent l="0" t="0" r="21590" b="18415"/>
                <wp:docPr id="80" name="Canvas 80" descr="&quot; &quot; "/>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56" name="Text Box 56"/>
                        <wps:cNvSpPr txBox="1"/>
                        <wps:spPr>
                          <a:xfrm>
                            <a:off x="197836" y="138491"/>
                            <a:ext cx="942340" cy="637540"/>
                          </a:xfrm>
                          <a:prstGeom prst="rect">
                            <a:avLst/>
                          </a:prstGeom>
                          <a:solidFill>
                            <a:sysClr val="window" lastClr="FFFFFF"/>
                          </a:solidFill>
                          <a:ln w="6350">
                            <a:noFill/>
                          </a:ln>
                          <a:effectLst/>
                        </wps:spPr>
                        <wps:txbx>
                          <w:txbxContent>
                            <w:p w:rsidR="00513719" w:rsidRPr="00EC3688" w:rsidRDefault="00513719" w:rsidP="00460371">
                              <w:pPr>
                                <w:spacing w:after="0"/>
                                <w:jc w:val="center"/>
                                <w:rPr>
                                  <w:b/>
                                  <w:szCs w:val="20"/>
                                </w:rPr>
                              </w:pPr>
                              <w:r>
                                <w:rPr>
                                  <w:b/>
                                  <w:szCs w:val="20"/>
                                </w:rPr>
                                <w:t>2012-13</w:t>
                              </w:r>
                            </w:p>
                            <w:p w:rsidR="00513719" w:rsidRPr="00EC3688" w:rsidRDefault="00513719" w:rsidP="00460371">
                              <w:pPr>
                                <w:spacing w:after="0"/>
                                <w:jc w:val="center"/>
                                <w:rPr>
                                  <w:b/>
                                  <w:szCs w:val="20"/>
                                </w:rPr>
                              </w:pPr>
                              <w:r w:rsidRPr="00EC3688">
                                <w:rPr>
                                  <w:b/>
                                  <w:szCs w:val="20"/>
                                </w:rPr>
                                <w:t>Cost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Text Box 151"/>
                        <wps:cNvSpPr txBox="1"/>
                        <wps:spPr>
                          <a:xfrm>
                            <a:off x="36320" y="869497"/>
                            <a:ext cx="1142365" cy="261620"/>
                          </a:xfrm>
                          <a:prstGeom prst="rect">
                            <a:avLst/>
                          </a:prstGeom>
                          <a:solidFill>
                            <a:sysClr val="window" lastClr="FFFFFF"/>
                          </a:solidFill>
                          <a:ln w="6350">
                            <a:noFill/>
                          </a:ln>
                          <a:effectLst/>
                        </wps:spPr>
                        <wps:txb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Cost Parameters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 name="Text Box 151"/>
                        <wps:cNvSpPr txBox="1"/>
                        <wps:spPr>
                          <a:xfrm>
                            <a:off x="136756" y="1462657"/>
                            <a:ext cx="888365" cy="261620"/>
                          </a:xfrm>
                          <a:prstGeom prst="rect">
                            <a:avLst/>
                          </a:prstGeom>
                          <a:solidFill>
                            <a:sysClr val="window" lastClr="FFFFFF"/>
                          </a:solidFill>
                          <a:ln w="6350">
                            <a:noFill/>
                          </a:ln>
                          <a:effectLst/>
                        </wps:spPr>
                        <wps:txb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Adjustments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9" name="Text Box 151"/>
                        <wps:cNvSpPr txBox="1"/>
                        <wps:spPr>
                          <a:xfrm>
                            <a:off x="1768192" y="139427"/>
                            <a:ext cx="1332230" cy="427990"/>
                          </a:xfrm>
                          <a:prstGeom prst="rect">
                            <a:avLst/>
                          </a:prstGeom>
                          <a:solidFill>
                            <a:sysClr val="window" lastClr="FFFFFF"/>
                          </a:solidFill>
                          <a:ln w="6350">
                            <a:noFill/>
                          </a:ln>
                          <a:effectLst/>
                        </wps:spPr>
                        <wps:txbx>
                          <w:txbxContent>
                            <w:p w:rsidR="00513719" w:rsidRPr="00EC3688" w:rsidRDefault="00513719" w:rsidP="00460371">
                              <w:pPr>
                                <w:pStyle w:val="NormalWeb"/>
                                <w:spacing w:before="0" w:after="0" w:line="276" w:lineRule="auto"/>
                                <w:jc w:val="center"/>
                                <w:rPr>
                                  <w:rFonts w:asciiTheme="minorHAnsi" w:hAnsiTheme="minorHAnsi"/>
                                  <w:b/>
                                  <w:sz w:val="20"/>
                                  <w:szCs w:val="20"/>
                                </w:rPr>
                              </w:pPr>
                              <w:r>
                                <w:rPr>
                                  <w:rFonts w:asciiTheme="minorHAnsi" w:eastAsia="Calibri" w:hAnsiTheme="minorHAnsi"/>
                                  <w:b/>
                                  <w:sz w:val="20"/>
                                  <w:szCs w:val="20"/>
                                </w:rPr>
                                <w:t>2012-13</w:t>
                              </w:r>
                            </w:p>
                            <w:p w:rsidR="00513719" w:rsidRPr="00EC3688" w:rsidRDefault="00513719" w:rsidP="00460371">
                              <w:pPr>
                                <w:pStyle w:val="NormalWeb"/>
                                <w:spacing w:before="0" w:after="0" w:line="276" w:lineRule="auto"/>
                                <w:jc w:val="center"/>
                                <w:rPr>
                                  <w:rFonts w:asciiTheme="minorHAnsi" w:hAnsiTheme="minorHAnsi"/>
                                  <w:b/>
                                  <w:sz w:val="20"/>
                                  <w:szCs w:val="20"/>
                                </w:rPr>
                              </w:pPr>
                              <w:r w:rsidRPr="00EC3688">
                                <w:rPr>
                                  <w:rFonts w:asciiTheme="minorHAnsi" w:eastAsia="Calibri" w:hAnsiTheme="minorHAnsi"/>
                                  <w:b/>
                                  <w:sz w:val="20"/>
                                  <w:szCs w:val="20"/>
                                </w:rPr>
                                <w:t>Cost Weight Model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0" name="Text Box 151"/>
                        <wps:cNvSpPr txBox="1"/>
                        <wps:spPr>
                          <a:xfrm>
                            <a:off x="1882217" y="715725"/>
                            <a:ext cx="1071880" cy="261620"/>
                          </a:xfrm>
                          <a:prstGeom prst="rect">
                            <a:avLst/>
                          </a:prstGeom>
                          <a:solidFill>
                            <a:sysClr val="window" lastClr="FFFFFF"/>
                          </a:solidFill>
                          <a:ln w="6350">
                            <a:noFill/>
                          </a:ln>
                          <a:effectLst/>
                        </wps:spPr>
                        <wps:txb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Reference Cost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1" name="Text Box 151"/>
                        <wps:cNvSpPr txBox="1"/>
                        <wps:spPr>
                          <a:xfrm>
                            <a:off x="1923890" y="1461504"/>
                            <a:ext cx="888365" cy="259715"/>
                          </a:xfrm>
                          <a:prstGeom prst="rect">
                            <a:avLst/>
                          </a:prstGeom>
                          <a:solidFill>
                            <a:sysClr val="window" lastClr="FFFFFF"/>
                          </a:solidFill>
                          <a:ln w="6350">
                            <a:noFill/>
                          </a:ln>
                          <a:effectLst/>
                        </wps:spPr>
                        <wps:txb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Adjustments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2" name="Text Box 151"/>
                        <wps:cNvSpPr txBox="1"/>
                        <wps:spPr>
                          <a:xfrm>
                            <a:off x="1923890" y="1050445"/>
                            <a:ext cx="944880" cy="261620"/>
                          </a:xfrm>
                          <a:prstGeom prst="rect">
                            <a:avLst/>
                          </a:prstGeom>
                          <a:solidFill>
                            <a:sysClr val="window" lastClr="FFFFFF"/>
                          </a:solidFill>
                          <a:ln w="6350">
                            <a:noFill/>
                          </a:ln>
                          <a:effectLst/>
                        </wps:spPr>
                        <wps:txb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Cost Weights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3" name="Text Box 151"/>
                        <wps:cNvSpPr txBox="1"/>
                        <wps:spPr>
                          <a:xfrm>
                            <a:off x="4478601" y="139428"/>
                            <a:ext cx="1558290" cy="427990"/>
                          </a:xfrm>
                          <a:prstGeom prst="rect">
                            <a:avLst/>
                          </a:prstGeom>
                          <a:solidFill>
                            <a:sysClr val="window" lastClr="FFFFFF"/>
                          </a:solidFill>
                          <a:ln w="6350">
                            <a:noFill/>
                          </a:ln>
                          <a:effectLst/>
                        </wps:spPr>
                        <wps:txbx>
                          <w:txbxContent>
                            <w:p w:rsidR="00513719" w:rsidRPr="00EC3688" w:rsidRDefault="00513719" w:rsidP="00460371">
                              <w:pPr>
                                <w:pStyle w:val="NormalWeb"/>
                                <w:spacing w:before="0" w:after="0" w:line="276" w:lineRule="auto"/>
                                <w:jc w:val="center"/>
                                <w:rPr>
                                  <w:rFonts w:asciiTheme="minorHAnsi" w:hAnsiTheme="minorHAnsi"/>
                                  <w:b/>
                                  <w:sz w:val="20"/>
                                  <w:szCs w:val="20"/>
                                </w:rPr>
                              </w:pPr>
                              <w:r>
                                <w:rPr>
                                  <w:rFonts w:asciiTheme="minorHAnsi" w:eastAsia="Calibri" w:hAnsiTheme="minorHAnsi"/>
                                  <w:b/>
                                  <w:sz w:val="20"/>
                                  <w:szCs w:val="20"/>
                                </w:rPr>
                                <w:t>2015-16</w:t>
                              </w:r>
                            </w:p>
                            <w:p w:rsidR="00513719" w:rsidRPr="00EC3688" w:rsidRDefault="00513719" w:rsidP="00460371">
                              <w:pPr>
                                <w:pStyle w:val="NormalWeb"/>
                                <w:spacing w:before="0" w:after="0" w:line="276" w:lineRule="auto"/>
                                <w:jc w:val="center"/>
                                <w:rPr>
                                  <w:rFonts w:asciiTheme="minorHAnsi" w:hAnsiTheme="minorHAnsi"/>
                                  <w:b/>
                                  <w:sz w:val="20"/>
                                  <w:szCs w:val="20"/>
                                </w:rPr>
                              </w:pPr>
                              <w:r w:rsidRPr="00EC3688">
                                <w:rPr>
                                  <w:rFonts w:asciiTheme="minorHAnsi" w:eastAsia="Calibri" w:hAnsiTheme="minorHAnsi"/>
                                  <w:b/>
                                  <w:sz w:val="20"/>
                                  <w:szCs w:val="20"/>
                                </w:rPr>
                                <w:t>National Pricing Model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4" name="Text Box 151"/>
                        <wps:cNvSpPr txBox="1"/>
                        <wps:spPr>
                          <a:xfrm>
                            <a:off x="4936717" y="715713"/>
                            <a:ext cx="450850" cy="261620"/>
                          </a:xfrm>
                          <a:prstGeom prst="rect">
                            <a:avLst/>
                          </a:prstGeom>
                          <a:solidFill>
                            <a:sysClr val="window" lastClr="FFFFFF"/>
                          </a:solidFill>
                          <a:ln w="6350">
                            <a:noFill/>
                          </a:ln>
                          <a:effectLst/>
                        </wps:spPr>
                        <wps:txbx>
                          <w:txbxContent>
                            <w:p w:rsidR="00513719" w:rsidRPr="005C263E" w:rsidRDefault="00513719" w:rsidP="00460371">
                              <w:pPr>
                                <w:pStyle w:val="NormalWeb"/>
                                <w:spacing w:before="0" w:after="0" w:line="276" w:lineRule="auto"/>
                                <w:jc w:val="center"/>
                                <w:rPr>
                                  <w:rFonts w:asciiTheme="minorHAnsi" w:hAnsiTheme="minorHAnsi"/>
                                  <w:sz w:val="20"/>
                                  <w:szCs w:val="20"/>
                                </w:rPr>
                              </w:pPr>
                              <w:r>
                                <w:rPr>
                                  <w:rFonts w:asciiTheme="minorHAnsi" w:eastAsia="Calibri" w:hAnsiTheme="minorHAnsi"/>
                                  <w:sz w:val="20"/>
                                  <w:szCs w:val="20"/>
                                </w:rPr>
                                <w:t>NEP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5" name="Text Box 151"/>
                        <wps:cNvSpPr txBox="1"/>
                        <wps:spPr>
                          <a:xfrm>
                            <a:off x="4711521" y="1462867"/>
                            <a:ext cx="888365" cy="259715"/>
                          </a:xfrm>
                          <a:prstGeom prst="rect">
                            <a:avLst/>
                          </a:prstGeom>
                          <a:solidFill>
                            <a:sysClr val="window" lastClr="FFFFFF"/>
                          </a:solidFill>
                          <a:ln w="6350">
                            <a:noFill/>
                          </a:ln>
                          <a:effectLst/>
                        </wps:spPr>
                        <wps:txb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Adjustments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6" name="Text Box 151"/>
                        <wps:cNvSpPr txBox="1"/>
                        <wps:spPr>
                          <a:xfrm>
                            <a:off x="4655224" y="1050596"/>
                            <a:ext cx="972820" cy="261620"/>
                          </a:xfrm>
                          <a:prstGeom prst="rect">
                            <a:avLst/>
                          </a:prstGeom>
                          <a:solidFill>
                            <a:sysClr val="window" lastClr="FFFFFF"/>
                          </a:solidFill>
                          <a:ln w="6350">
                            <a:noFill/>
                          </a:ln>
                          <a:effectLst/>
                        </wps:spPr>
                        <wps:txbx>
                          <w:txbxContent>
                            <w:p w:rsidR="00513719" w:rsidRPr="005C263E" w:rsidRDefault="00513719" w:rsidP="00460371">
                              <w:pPr>
                                <w:pStyle w:val="NormalWeb"/>
                                <w:spacing w:before="0" w:after="0" w:line="276" w:lineRule="auto"/>
                                <w:jc w:val="center"/>
                                <w:rPr>
                                  <w:rFonts w:asciiTheme="minorHAnsi" w:hAnsiTheme="minorHAnsi"/>
                                  <w:sz w:val="20"/>
                                  <w:szCs w:val="20"/>
                                </w:rPr>
                              </w:pPr>
                              <w:r>
                                <w:rPr>
                                  <w:rFonts w:asciiTheme="minorHAnsi" w:eastAsia="Calibri" w:hAnsiTheme="minorHAnsi"/>
                                  <w:sz w:val="20"/>
                                  <w:szCs w:val="20"/>
                                </w:rPr>
                                <w:t>Price</w:t>
                              </w:r>
                              <w:r w:rsidRPr="005C263E">
                                <w:rPr>
                                  <w:rFonts w:asciiTheme="minorHAnsi" w:eastAsia="Calibri" w:hAnsiTheme="minorHAnsi"/>
                                  <w:sz w:val="20"/>
                                  <w:szCs w:val="20"/>
                                </w:rPr>
                                <w:t xml:space="preserve"> Weights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7" name="Straight Arrow Connector 67"/>
                        <wps:cNvCnPr/>
                        <wps:spPr>
                          <a:xfrm flipV="1">
                            <a:off x="1077086" y="846681"/>
                            <a:ext cx="805179" cy="153793"/>
                          </a:xfrm>
                          <a:prstGeom prst="straightConnector1">
                            <a:avLst/>
                          </a:prstGeom>
                          <a:noFill/>
                          <a:ln w="9525" cap="flat" cmpd="sng" algn="ctr">
                            <a:solidFill>
                              <a:sysClr val="windowText" lastClr="000000"/>
                            </a:solidFill>
                            <a:prstDash val="solid"/>
                            <a:tailEnd type="arrow"/>
                          </a:ln>
                          <a:effectLst/>
                        </wps:spPr>
                        <wps:bodyPr/>
                      </wps:wsp>
                      <wps:wsp>
                        <wps:cNvPr id="68" name="Straight Arrow Connector 68"/>
                        <wps:cNvCnPr/>
                        <wps:spPr>
                          <a:xfrm>
                            <a:off x="1077086" y="1000474"/>
                            <a:ext cx="846853" cy="180975"/>
                          </a:xfrm>
                          <a:prstGeom prst="straightConnector1">
                            <a:avLst/>
                          </a:prstGeom>
                          <a:noFill/>
                          <a:ln w="9525" cap="flat" cmpd="sng" algn="ctr">
                            <a:solidFill>
                              <a:sysClr val="windowText" lastClr="000000"/>
                            </a:solidFill>
                            <a:prstDash val="solid"/>
                            <a:tailEnd type="arrow"/>
                          </a:ln>
                          <a:effectLst/>
                        </wps:spPr>
                        <wps:bodyPr/>
                      </wps:wsp>
                      <wps:wsp>
                        <wps:cNvPr id="69" name="Straight Arrow Connector 69"/>
                        <wps:cNvCnPr/>
                        <wps:spPr>
                          <a:xfrm flipV="1">
                            <a:off x="979404" y="1591793"/>
                            <a:ext cx="944535" cy="1926"/>
                          </a:xfrm>
                          <a:prstGeom prst="straightConnector1">
                            <a:avLst/>
                          </a:prstGeom>
                          <a:noFill/>
                          <a:ln w="9525" cap="flat" cmpd="sng" algn="ctr">
                            <a:solidFill>
                              <a:sysClr val="windowText" lastClr="000000"/>
                            </a:solidFill>
                            <a:prstDash val="solid"/>
                            <a:tailEnd type="arrow"/>
                          </a:ln>
                          <a:effectLst/>
                        </wps:spPr>
                        <wps:bodyPr/>
                      </wps:wsp>
                      <wps:wsp>
                        <wps:cNvPr id="70" name="Straight Arrow Connector 70"/>
                        <wps:cNvCnPr/>
                        <wps:spPr>
                          <a:xfrm>
                            <a:off x="2766584" y="1591793"/>
                            <a:ext cx="1945390" cy="1153"/>
                          </a:xfrm>
                          <a:prstGeom prst="straightConnector1">
                            <a:avLst/>
                          </a:prstGeom>
                          <a:noFill/>
                          <a:ln w="9525" cap="flat" cmpd="sng" algn="ctr">
                            <a:solidFill>
                              <a:sysClr val="windowText" lastClr="000000"/>
                            </a:solidFill>
                            <a:prstDash val="solid"/>
                            <a:tailEnd type="arrow"/>
                          </a:ln>
                          <a:effectLst/>
                        </wps:spPr>
                        <wps:bodyPr/>
                      </wps:wsp>
                      <wps:wsp>
                        <wps:cNvPr id="71" name="Straight Arrow Connector 71"/>
                        <wps:cNvCnPr/>
                        <wps:spPr>
                          <a:xfrm flipV="1">
                            <a:off x="2793254" y="1181406"/>
                            <a:ext cx="1862418" cy="43"/>
                          </a:xfrm>
                          <a:prstGeom prst="straightConnector1">
                            <a:avLst/>
                          </a:prstGeom>
                          <a:noFill/>
                          <a:ln w="9525" cap="flat" cmpd="sng" algn="ctr">
                            <a:solidFill>
                              <a:sysClr val="windowText" lastClr="000000"/>
                            </a:solidFill>
                            <a:prstDash val="solid"/>
                            <a:tailEnd type="arrow"/>
                          </a:ln>
                          <a:effectLst/>
                        </wps:spPr>
                        <wps:bodyPr/>
                      </wps:wsp>
                      <wps:wsp>
                        <wps:cNvPr id="72" name="Straight Arrow Connector 72"/>
                        <wps:cNvCnPr/>
                        <wps:spPr>
                          <a:xfrm flipV="1">
                            <a:off x="2852545" y="846536"/>
                            <a:ext cx="2084647" cy="145"/>
                          </a:xfrm>
                          <a:prstGeom prst="straightConnector1">
                            <a:avLst/>
                          </a:prstGeom>
                          <a:noFill/>
                          <a:ln w="9525" cap="flat" cmpd="sng" algn="ctr">
                            <a:solidFill>
                              <a:sysClr val="windowText" lastClr="000000"/>
                            </a:solidFill>
                            <a:prstDash val="solid"/>
                            <a:tailEnd type="arrow"/>
                          </a:ln>
                          <a:effectLst/>
                        </wps:spPr>
                        <wps:bodyPr/>
                      </wps:wsp>
                      <wps:wsp>
                        <wps:cNvPr id="73" name="Text Box 73"/>
                        <wps:cNvSpPr txBox="1"/>
                        <wps:spPr>
                          <a:xfrm>
                            <a:off x="1027331" y="1021190"/>
                            <a:ext cx="807085" cy="398145"/>
                          </a:xfrm>
                          <a:prstGeom prst="rect">
                            <a:avLst/>
                          </a:prstGeom>
                          <a:noFill/>
                          <a:ln w="6350">
                            <a:noFill/>
                          </a:ln>
                          <a:effectLst/>
                        </wps:spPr>
                        <wps:txbx>
                          <w:txbxContent>
                            <w:p w:rsidR="00513719" w:rsidRPr="00EC3688" w:rsidRDefault="00513719" w:rsidP="00460371">
                              <w:pPr>
                                <w:spacing w:after="0" w:line="192" w:lineRule="auto"/>
                                <w:jc w:val="center"/>
                                <w:rPr>
                                  <w:szCs w:val="20"/>
                                  <w:vertAlign w:val="subscript"/>
                                </w:rPr>
                              </w:pPr>
                              <w:r w:rsidRPr="00EC3688">
                                <w:rPr>
                                  <w:szCs w:val="20"/>
                                  <w:vertAlign w:val="subscript"/>
                                </w:rPr>
                                <w:t>Division by</w:t>
                              </w:r>
                            </w:p>
                            <w:p w:rsidR="00513719" w:rsidRPr="00EC3688" w:rsidRDefault="00513719" w:rsidP="00460371">
                              <w:pPr>
                                <w:spacing w:after="0" w:line="192" w:lineRule="auto"/>
                                <w:jc w:val="center"/>
                                <w:rPr>
                                  <w:szCs w:val="20"/>
                                  <w:vertAlign w:val="subscript"/>
                                </w:rPr>
                              </w:pPr>
                              <w:r>
                                <w:rPr>
                                  <w:szCs w:val="20"/>
                                  <w:vertAlign w:val="subscript"/>
                                </w:rPr>
                                <w:t>R</w:t>
                              </w:r>
                              <w:r w:rsidRPr="00EC3688">
                                <w:rPr>
                                  <w:szCs w:val="20"/>
                                  <w:vertAlign w:val="subscript"/>
                                </w:rPr>
                                <w:t xml:space="preserve">eference </w:t>
                              </w:r>
                              <w:r>
                                <w:rPr>
                                  <w:szCs w:val="20"/>
                                  <w:vertAlign w:val="subscript"/>
                                </w:rPr>
                                <w:t>C</w:t>
                              </w:r>
                              <w:r w:rsidRPr="00EC3688">
                                <w:rPr>
                                  <w:szCs w:val="20"/>
                                  <w:vertAlign w:val="subscript"/>
                                </w:rPr>
                                <w:t>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 name="Text Box 169"/>
                        <wps:cNvSpPr txBox="1"/>
                        <wps:spPr>
                          <a:xfrm>
                            <a:off x="2940422" y="510350"/>
                            <a:ext cx="1932940" cy="403225"/>
                          </a:xfrm>
                          <a:prstGeom prst="rect">
                            <a:avLst/>
                          </a:prstGeom>
                          <a:noFill/>
                          <a:ln w="6350">
                            <a:noFill/>
                          </a:ln>
                          <a:effectLst/>
                        </wps:spPr>
                        <wps:txbx>
                          <w:txbxContent>
                            <w:p w:rsidR="00513719" w:rsidRPr="00EC3688" w:rsidRDefault="00513719" w:rsidP="00460371">
                              <w:pPr>
                                <w:pStyle w:val="NormalWeb"/>
                                <w:spacing w:before="0" w:after="0" w:line="192" w:lineRule="auto"/>
                                <w:jc w:val="center"/>
                                <w:rPr>
                                  <w:rFonts w:asciiTheme="minorHAnsi" w:eastAsia="Calibri" w:hAnsiTheme="minorHAnsi"/>
                                  <w:sz w:val="20"/>
                                  <w:szCs w:val="20"/>
                                  <w:vertAlign w:val="subscript"/>
                                </w:rPr>
                              </w:pPr>
                              <w:r w:rsidRPr="00EC3688">
                                <w:rPr>
                                  <w:rFonts w:asciiTheme="minorHAnsi" w:eastAsia="Calibri" w:hAnsiTheme="minorHAnsi"/>
                                  <w:sz w:val="20"/>
                                  <w:szCs w:val="20"/>
                                  <w:vertAlign w:val="subscript"/>
                                </w:rPr>
                                <w:t>Deflation to remove costs</w:t>
                              </w:r>
                            </w:p>
                            <w:p w:rsidR="00513719" w:rsidRPr="00EC3688" w:rsidRDefault="00513719" w:rsidP="00460371">
                              <w:pPr>
                                <w:pStyle w:val="NormalWeb"/>
                                <w:spacing w:before="0" w:after="0" w:line="192" w:lineRule="auto"/>
                                <w:jc w:val="center"/>
                                <w:rPr>
                                  <w:rFonts w:asciiTheme="minorHAnsi" w:hAnsiTheme="minorHAnsi"/>
                                  <w:sz w:val="20"/>
                                  <w:szCs w:val="20"/>
                                  <w:vertAlign w:val="subscript"/>
                                </w:rPr>
                              </w:pPr>
                              <w:proofErr w:type="gramStart"/>
                              <w:r w:rsidRPr="00EC3688">
                                <w:rPr>
                                  <w:rFonts w:asciiTheme="minorHAnsi" w:eastAsia="Calibri" w:hAnsiTheme="minorHAnsi"/>
                                  <w:sz w:val="20"/>
                                  <w:szCs w:val="20"/>
                                  <w:vertAlign w:val="subscript"/>
                                </w:rPr>
                                <w:t>associated</w:t>
                              </w:r>
                              <w:proofErr w:type="gramEnd"/>
                              <w:r w:rsidRPr="00EC3688">
                                <w:rPr>
                                  <w:rFonts w:asciiTheme="minorHAnsi" w:eastAsia="Calibri" w:hAnsiTheme="minorHAnsi"/>
                                  <w:sz w:val="20"/>
                                  <w:szCs w:val="20"/>
                                  <w:vertAlign w:val="subscript"/>
                                </w:rPr>
                                <w:t xml:space="preserve"> with other Commonwealth programs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5" name="Text Box 169"/>
                        <wps:cNvSpPr txBox="1"/>
                        <wps:spPr>
                          <a:xfrm>
                            <a:off x="3520246" y="776206"/>
                            <a:ext cx="570230" cy="281940"/>
                          </a:xfrm>
                          <a:prstGeom prst="rect">
                            <a:avLst/>
                          </a:prstGeom>
                          <a:noFill/>
                          <a:ln w="6350">
                            <a:noFill/>
                          </a:ln>
                          <a:effectLst/>
                        </wps:spPr>
                        <wps:txbx>
                          <w:txbxContent>
                            <w:p w:rsidR="00513719" w:rsidRPr="00EC3688" w:rsidRDefault="00513719" w:rsidP="00460371">
                              <w:pPr>
                                <w:pStyle w:val="NormalWeb"/>
                                <w:spacing w:before="0" w:after="0" w:line="276" w:lineRule="auto"/>
                                <w:rPr>
                                  <w:rFonts w:asciiTheme="minorHAnsi" w:hAnsiTheme="minorHAnsi"/>
                                  <w:sz w:val="20"/>
                                  <w:szCs w:val="20"/>
                                  <w:vertAlign w:val="subscript"/>
                                </w:rPr>
                              </w:pPr>
                              <w:r w:rsidRPr="00EC3688">
                                <w:rPr>
                                  <w:rFonts w:asciiTheme="minorHAnsi" w:eastAsia="Calibri" w:hAnsiTheme="minorHAnsi"/>
                                  <w:sz w:val="20"/>
                                  <w:szCs w:val="20"/>
                                  <w:vertAlign w:val="subscript"/>
                                </w:rPr>
                                <w:t>Indexation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6" name="Text Box 169"/>
                        <wps:cNvSpPr txBox="1"/>
                        <wps:spPr>
                          <a:xfrm>
                            <a:off x="2895580" y="1361398"/>
                            <a:ext cx="1644015" cy="281940"/>
                          </a:xfrm>
                          <a:prstGeom prst="rect">
                            <a:avLst/>
                          </a:prstGeom>
                          <a:noFill/>
                          <a:ln w="6350">
                            <a:noFill/>
                          </a:ln>
                          <a:effectLst/>
                        </wps:spPr>
                        <wps:txbx>
                          <w:txbxContent>
                            <w:p w:rsidR="00513719" w:rsidRPr="00EC3688" w:rsidRDefault="00513719" w:rsidP="00460371">
                              <w:pPr>
                                <w:pStyle w:val="NormalWeb"/>
                                <w:spacing w:before="0" w:after="0" w:line="276" w:lineRule="auto"/>
                                <w:rPr>
                                  <w:rFonts w:asciiTheme="minorHAnsi" w:hAnsiTheme="minorHAnsi"/>
                                  <w:sz w:val="20"/>
                                  <w:szCs w:val="20"/>
                                </w:rPr>
                              </w:pPr>
                              <w:r w:rsidRPr="00EC3688">
                                <w:rPr>
                                  <w:rFonts w:asciiTheme="minorHAnsi" w:eastAsia="Calibri" w:hAnsiTheme="minorHAnsi"/>
                                  <w:position w:val="-4"/>
                                  <w:sz w:val="20"/>
                                  <w:szCs w:val="20"/>
                                  <w:vertAlign w:val="subscript"/>
                                </w:rPr>
                                <w:t>Inclusion of Private Patient Adjustments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 name="Straight Arrow Connector 77"/>
                        <wps:cNvCnPr/>
                        <wps:spPr>
                          <a:xfrm>
                            <a:off x="989175" y="353499"/>
                            <a:ext cx="779062" cy="261"/>
                          </a:xfrm>
                          <a:prstGeom prst="straightConnector1">
                            <a:avLst/>
                          </a:prstGeom>
                          <a:noFill/>
                          <a:ln w="9525" cap="flat" cmpd="sng" algn="ctr">
                            <a:solidFill>
                              <a:sysClr val="windowText" lastClr="000000"/>
                            </a:solidFill>
                            <a:prstDash val="dash"/>
                            <a:tailEnd type="arrow"/>
                          </a:ln>
                          <a:effectLst/>
                        </wps:spPr>
                        <wps:bodyPr/>
                      </wps:wsp>
                      <wps:wsp>
                        <wps:cNvPr id="78" name="Straight Arrow Connector 78"/>
                        <wps:cNvCnPr/>
                        <wps:spPr>
                          <a:xfrm>
                            <a:off x="2970292" y="353760"/>
                            <a:ext cx="1508550" cy="1"/>
                          </a:xfrm>
                          <a:prstGeom prst="straightConnector1">
                            <a:avLst/>
                          </a:prstGeom>
                          <a:noFill/>
                          <a:ln w="9525" cap="flat" cmpd="sng" algn="ctr">
                            <a:solidFill>
                              <a:sysClr val="windowText" lastClr="000000"/>
                            </a:solidFill>
                            <a:prstDash val="dash"/>
                            <a:tailEnd type="arrow"/>
                          </a:ln>
                          <a:effectLst/>
                        </wps:spPr>
                        <wps:bodyPr/>
                      </wps:wsp>
                      <wps:wsp>
                        <wps:cNvPr id="79" name="Text Box 169"/>
                        <wps:cNvSpPr txBox="1"/>
                        <wps:spPr>
                          <a:xfrm>
                            <a:off x="3064506" y="137936"/>
                            <a:ext cx="1281430" cy="325755"/>
                          </a:xfrm>
                          <a:prstGeom prst="rect">
                            <a:avLst/>
                          </a:prstGeom>
                          <a:noFill/>
                          <a:ln w="6350">
                            <a:noFill/>
                          </a:ln>
                          <a:effectLst/>
                        </wps:spPr>
                        <wps:txbx>
                          <w:txbxContent>
                            <w:p w:rsidR="00513719" w:rsidRPr="00EC3688" w:rsidRDefault="00513719" w:rsidP="00460371">
                              <w:pPr>
                                <w:pStyle w:val="NormalWeb"/>
                                <w:spacing w:before="0" w:after="0" w:line="192" w:lineRule="auto"/>
                                <w:jc w:val="center"/>
                                <w:rPr>
                                  <w:rFonts w:asciiTheme="minorHAnsi" w:hAnsiTheme="minorHAnsi"/>
                                </w:rPr>
                              </w:pPr>
                              <w:r>
                                <w:rPr>
                                  <w:rFonts w:asciiTheme="minorHAnsi" w:eastAsia="Calibri" w:hAnsiTheme="minorHAnsi"/>
                                  <w:position w:val="-5"/>
                                  <w:sz w:val="20"/>
                                  <w:szCs w:val="20"/>
                                  <w:vertAlign w:val="subscript"/>
                                </w:rPr>
                                <w:t>Restriction to in-scope activity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9" name="Text Box 73"/>
                        <wps:cNvSpPr txBox="1"/>
                        <wps:spPr>
                          <a:xfrm>
                            <a:off x="1015889" y="577038"/>
                            <a:ext cx="763270" cy="397510"/>
                          </a:xfrm>
                          <a:prstGeom prst="rect">
                            <a:avLst/>
                          </a:prstGeom>
                          <a:noFill/>
                          <a:ln w="6350">
                            <a:noFill/>
                          </a:ln>
                          <a:effectLst/>
                        </wps:spPr>
                        <wps:txbx>
                          <w:txbxContent>
                            <w:p w:rsidR="00513719" w:rsidRPr="000E587D" w:rsidRDefault="00513719" w:rsidP="00460371">
                              <w:pPr>
                                <w:pStyle w:val="NormalWeb"/>
                                <w:spacing w:before="0" w:after="0" w:line="192" w:lineRule="auto"/>
                                <w:jc w:val="center"/>
                                <w:rPr>
                                  <w:rFonts w:asciiTheme="minorHAnsi" w:hAnsiTheme="minorHAnsi"/>
                                </w:rPr>
                              </w:pPr>
                              <w:r>
                                <w:rPr>
                                  <w:rFonts w:asciiTheme="minorHAnsi" w:eastAsia="Calibri" w:hAnsiTheme="minorHAnsi"/>
                                  <w:position w:val="-5"/>
                                  <w:sz w:val="20"/>
                                  <w:szCs w:val="20"/>
                                  <w:vertAlign w:val="subscript"/>
                                </w:rPr>
                                <w:t>Derivation of</w:t>
                              </w:r>
                            </w:p>
                            <w:p w:rsidR="00513719" w:rsidRPr="000E587D" w:rsidRDefault="00513719" w:rsidP="00460371">
                              <w:pPr>
                                <w:pStyle w:val="NormalWeb"/>
                                <w:spacing w:before="0" w:after="0" w:line="192" w:lineRule="auto"/>
                                <w:jc w:val="center"/>
                                <w:rPr>
                                  <w:rFonts w:asciiTheme="minorHAnsi" w:hAnsiTheme="minorHAnsi"/>
                                </w:rPr>
                              </w:pPr>
                              <w:r>
                                <w:rPr>
                                  <w:rFonts w:asciiTheme="minorHAnsi" w:eastAsia="Calibri" w:hAnsiTheme="minorHAnsi"/>
                                  <w:position w:val="-5"/>
                                  <w:sz w:val="20"/>
                                  <w:szCs w:val="20"/>
                                  <w:vertAlign w:val="subscript"/>
                                </w:rPr>
                                <w:t>R</w:t>
                              </w:r>
                              <w:r w:rsidRPr="000E587D">
                                <w:rPr>
                                  <w:rFonts w:asciiTheme="minorHAnsi" w:eastAsia="Calibri" w:hAnsiTheme="minorHAnsi"/>
                                  <w:position w:val="-5"/>
                                  <w:sz w:val="20"/>
                                  <w:szCs w:val="20"/>
                                  <w:vertAlign w:val="subscript"/>
                                </w:rPr>
                                <w:t xml:space="preserve">eference </w:t>
                              </w:r>
                              <w:r>
                                <w:rPr>
                                  <w:rFonts w:asciiTheme="minorHAnsi" w:eastAsia="Calibri" w:hAnsiTheme="minorHAnsi"/>
                                  <w:position w:val="-5"/>
                                  <w:sz w:val="20"/>
                                  <w:szCs w:val="20"/>
                                  <w:vertAlign w:val="subscript"/>
                                </w:rPr>
                                <w:t>C</w:t>
                              </w:r>
                              <w:r w:rsidRPr="000E587D">
                                <w:rPr>
                                  <w:rFonts w:asciiTheme="minorHAnsi" w:eastAsia="Calibri" w:hAnsiTheme="minorHAnsi"/>
                                  <w:position w:val="-5"/>
                                  <w:sz w:val="20"/>
                                  <w:szCs w:val="20"/>
                                  <w:vertAlign w:val="subscript"/>
                                </w:rPr>
                                <w:t>ost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80" o:spid="_x0000_s1026" editas="canvas" alt="&quot; &quot; " style="width:475.35pt;height:147.05pt;mso-position-horizontal-relative:char;mso-position-vertical-relative:line" coordsize="60363,1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5DQgcAAABEAAAOAAAAZHJzL2Uyb0RvYy54bWzsXNFu2zYUfR+wfxD0vlqURJE06hRZugwD&#10;irZA2vVZkeXYgCwKkho7+/qdS8qyI8dLk3qpaigPjizRlEiee3nuvcd+/Wa9zJzbtKwWOp+47JXn&#10;Omme6Okiv5m4nz9d/iZdp6rjfBpnOk8n7l1auW/Ofv3l9aoYp76e62yalg46yavxqpi487ouxqNR&#10;lczTZVy90kWa4+JMl8u4xtvyZjQt4xV6X2Yj3/Oi0UqX06LUSVpVOPvWXnTPTP+zWZrUH2azKq2d&#10;bOLi2WrzWprXa3odnb2OxzdlXMwXSfMY8TOeYhkvcty07eptXMfO13Kx19VykZS60rP6VaKXIz2b&#10;LZLUjAGjYV5nNBdxfhtXZjAJZmfzgDg6Yr/XN5gDdDleYTFSGkOW02uls8X0cpFl5g2tR3qRlc5t&#10;jJms14xmbnSvFd7RJ0c7fa0KrGpVtOtbfd9zX83jIjXTUY2T97cfS2cxnbg8cp08XgJcn9J17fyu&#10;1w5OmUGZZlcFGtZrnAdAN+crnKSBrWflkv5jJRy6roQM0N8dDgMZKtM+HlO/CS6r0A9CwCjB9SgQ&#10;HMd2GjbdFGVV/5nqpUMHE7cE/gws4tt3VW2bbprsz/Fd1U4wED7VK9fJ4qrGyYl7af72J53m3FnR&#10;03DP3CnXtGb2VnYhU2MGzf1pRezY6aheX6+bibrW0zvMU6mtiVRFcrnAGN7hAT7GJWwCw4ad1x/w&#10;Mss0bqmbI9eZ6/Kfh85Te6w4rrrOCjY2cXM4AYzqrxxIUCykuazNm5ALH2/K3SvXu1fyr8sLDegx&#10;+JMiMYfUvs42h7NSL7/AGZzTPXEpzhPcGVjdHF7U1u7hTJL0/Nw0ghEWcf0uvyKTYmYCaX0+rb/E&#10;ZdEsYo3Vf6832IvHnbW0bWk1c33+tdazhVloml47p8YkjB2Qnb2EQYg9g2C8RT4M5ykWEUQBLQwA&#10;LyMVKkEQ3BoEY7CIiFuL8CMWoa3F3k9sEcartPP1rYYxAP3lgQ5y0fH8zwc6CyJBWwm5/jDyI96B&#10;upTYGU4R6T5Z7NZdPb4FDEh/eaSrYyJdRJIpv2E54DQdpLMg8P0ATp9oDq4qdSpOPRig3nv2EgF4&#10;x3PqUvo+Ax8CkgUDx+Qd/uIJJmUD9ZPiL+EA9f5DHcHM8aCu/EDCUzcEhnHPQGDL1e8RGK5gDgQR&#10;RO0/O1U34xgIzE5+oX8xaQS68f9A3QPQw45bV2F4ml69zWsNUSkc1zZV06f0SxQcEephKGTkYZ+g&#10;sDQAV5cdAsO59MnrnxxXN0HJ4NX77dXDY0JdIQOzw9WZida2/CXknkSS2yD9pKi6MekB6f1GOjJ/&#10;R+MvoWCM+41TR65RRp0MzMlSdTVEpf2PSvfrqc/PqocR576PbYL4C6g6V4bCbr26Er6kAhPxl5Py&#10;6swkTQe33m+33pZKr+oyXtzMa+e8LPXKudB5juK9Lh3rm2kdUTm9yD+WTbVkV0HgzLJF8femgrzR&#10;EnhCeNJWlGQYIed+n7pLjzOBvD4hn/FAKMN3DudjquYJ20ez9eqOPyH1gY2GGh3ARiGgOJKfTkJV&#10;+FkWoyqeLIvpxK3yGxTIsxuod5K6NBXw+8qPPVUCqSx2lAme+aOh4dHvfZTCs7dxNbeaEXPJzkAd&#10;L7I/8qlT3xVQbcQ04c3nH1Us2LiXbkYrAm3JC9XUo7bUeBgoLY87DBRamQfgwTCHoejm68JIcsSS&#10;Bh/SU+KRfN2Aj1Zy8QPw0RboDuOjJT+H8fGgI1FChUjmmi2UK/iMTmCEbBcPmso06npmgx3cCCjG&#10;YeHTj3IjAkzHhhEHYYImzQ5zGCY7bsQXUcTlf6CDKaBjkyFC3DHsMo3AsY/waAtCh+HRCpMOw+NB&#10;L4I6fuDzBihMstDrMHEmIz9k2OdMKnGASY9h0hZTDsOkVfU8FSYSPBH1FNptwFo51LBwR9t4zfdw&#10;NgRtNrTEFl6Gzaafm81+IUIYs26CmafIQJnniyBoUlaez5jVBG1xIT0EOw0JCRTcyyNs9TFpdKtj&#10;3sQvz1c4Wz1n6ze/tXT2kKJ5UDoj4OqP0hkh015WNtql2U+BuE8s27eyOM48EtTf83wM+yeaNPuj&#10;B41c3yDe+vxvhfig5HzxRAKi+ONBNuC+54c2xSQExPedzZoLrxVy+tB8fu/3VY7ulNvtaEAsSFQ/&#10;9QzigXrA852sVFAswIlS0jOIIGnoChoifCsI0jTDL3uJ2UFZ2f+vQInH8/po8pQ8i5LIvNmwKOBB&#10;qAzL2NJfIZRHGjeKilDGoq5PNiqaIqdvqdFPmMgXjyfy0eQpyPAVdtnm6xSAhoCA/T5vJN3KRrgy&#10;IKO3JR6qxXUlHs/e5wIvgl7JMjNGtb0OM2PY2sLNd2yQlxO8b8GEeZ6hfN3r8jUL9zH7HSkexqVE&#10;h9jCOErXQYeZCXwTmOoXtMUFqEZagcPhXe7FMzzGxAbEPhex9ocbisQwl+YnMeh3LHbfm3B5+8Md&#10;Z/8CAAD//wMAUEsDBBQABgAIAAAAIQBRvAj13AAAAAUBAAAPAAAAZHJzL2Rvd25yZXYueG1sTI9R&#10;a8IwFIXfB/sP4Q72MmZqcU5rUxmCL8Im1v6A2Fyb0uamJFHrv1+2l+3lwuEczvluvh5Nz67ofGtJ&#10;wHSSAEOqrWqpEVAdt68LYD5IUrK3hALu6GFdPD7kMlP2Rge8lqFhsYR8JgXoEIaMc19rNNJP7IAU&#10;vbN1RoYoXcOVk7dYbnqeJsmcG9lSXNBywI3GuisvRsD+c7Mtd+6l+wqHe6oVVVSdOyGen8aPFbCA&#10;Y/gLww9+RIciMp3shZRnvYD4SPi90Vu+Je/ATgLS5WwKvMj5f/riGwAA//8DAFBLAQItABQABgAI&#10;AAAAIQC2gziS/gAAAOEBAAATAAAAAAAAAAAAAAAAAAAAAABbQ29udGVudF9UeXBlc10ueG1sUEsB&#10;Ai0AFAAGAAgAAAAhADj9If/WAAAAlAEAAAsAAAAAAAAAAAAAAAAALwEAAF9yZWxzLy5yZWxzUEsB&#10;Ai0AFAAGAAgAAAAhAJMgbkNCBwAAAEQAAA4AAAAAAAAAAAAAAAAALgIAAGRycy9lMm9Eb2MueG1s&#10;UEsBAi0AFAAGAAgAAAAhAFG8CPXcAAAABQEAAA8AAAAAAAAAAAAAAAAAnAkAAGRycy9kb3ducmV2&#10;LnhtbFBLBQYAAAAABAAEAPMAAACl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 &quot; " style="position:absolute;width:60363;height:18675;visibility:visible;mso-wrap-style:square" stroked="t" strokecolor="black [3213]">
                  <v:fill o:detectmouseclick="t"/>
                  <v:path o:connecttype="none"/>
                </v:shape>
                <v:shapetype id="_x0000_t202" coordsize="21600,21600" o:spt="202" path="m,l,21600r21600,l21600,xe">
                  <v:stroke joinstyle="miter"/>
                  <v:path gradientshapeok="t" o:connecttype="rect"/>
                </v:shapetype>
                <v:shape id="Text Box 56" o:spid="_x0000_s1028" type="#_x0000_t202" style="position:absolute;left:1978;top:1384;width:9423;height:6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GesIA&#10;AADbAAAADwAAAGRycy9kb3ducmV2LnhtbESPT4vCMBTE7wt+h/AEb2va4opUY1FR0JPrn4u3R/Ns&#10;i81LaaLWb28WhD0OM/MbZpZ1phYPal1lWUE8jEAQ51ZXXCg4nzbfExDOI2usLZOCFznI5r2vGaba&#10;PvlAj6MvRICwS1FB6X2TSunykgy6oW2Ig3e1rUEfZFtI3eIzwE0tkygaS4MVh4USG1qVlN+Od6Ng&#10;hL/7It52yYvWcjlx/hLnZqfUoN8tpiA8df4//GlvtYKfMfx9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4Z6wgAAANsAAAAPAAAAAAAAAAAAAAAAAJgCAABkcnMvZG93&#10;bnJldi54bWxQSwUGAAAAAAQABAD1AAAAhwMAAAAA&#10;" fillcolor="window" stroked="f" strokeweight=".5pt">
                  <v:textbox>
                    <w:txbxContent>
                      <w:p w:rsidR="00513719" w:rsidRPr="00EC3688" w:rsidRDefault="00513719" w:rsidP="00460371">
                        <w:pPr>
                          <w:spacing w:after="0"/>
                          <w:jc w:val="center"/>
                          <w:rPr>
                            <w:b/>
                            <w:szCs w:val="20"/>
                          </w:rPr>
                        </w:pPr>
                        <w:r>
                          <w:rPr>
                            <w:b/>
                            <w:szCs w:val="20"/>
                          </w:rPr>
                          <w:t>2012-13</w:t>
                        </w:r>
                      </w:p>
                      <w:p w:rsidR="00513719" w:rsidRPr="00EC3688" w:rsidRDefault="00513719" w:rsidP="00460371">
                        <w:pPr>
                          <w:spacing w:after="0"/>
                          <w:jc w:val="center"/>
                          <w:rPr>
                            <w:b/>
                            <w:szCs w:val="20"/>
                          </w:rPr>
                        </w:pPr>
                        <w:r w:rsidRPr="00EC3688">
                          <w:rPr>
                            <w:b/>
                            <w:szCs w:val="20"/>
                          </w:rPr>
                          <w:t>Cost Model</w:t>
                        </w:r>
                      </w:p>
                    </w:txbxContent>
                  </v:textbox>
                </v:shape>
                <v:shape id="Text Box 151" o:spid="_x0000_s1029" type="#_x0000_t202" style="position:absolute;left:363;top:8694;width:1142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j4cIA&#10;AADbAAAADwAAAGRycy9kb3ducmV2LnhtbESPT4vCMBTE7wt+h/CEvWlacVWqaVFxQU/rv4u3R/Ns&#10;i81LaaLWb78RFvY4zMxvmEXWmVo8qHWVZQXxMAJBnFtdcaHgfPoezEA4j6yxtkwKXuQgS3sfC0y0&#10;ffKBHkdfiABhl6CC0vsmkdLlJRl0Q9sQB+9qW4M+yLaQusVngJtajqJoIg1WHBZKbGhdUn473o2C&#10;Me5/injbjV60kauZ85c4NzulPvvdcg7CU+f/w3/trVbwNYX3l/A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PhwgAAANsAAAAPAAAAAAAAAAAAAAAAAJgCAABkcnMvZG93&#10;bnJldi54bWxQSwUGAAAAAAQABAD1AAAAhwMAAAAA&#10;" fillcolor="window" stroked="f" strokeweight=".5pt">
                  <v:textbo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Cost Parameters</w:t>
                        </w:r>
                      </w:p>
                    </w:txbxContent>
                  </v:textbox>
                </v:shape>
                <v:shape id="Text Box 151" o:spid="_x0000_s1030" type="#_x0000_t202" style="position:absolute;left:1367;top:14626;width:88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3k7wA&#10;AADbAAAADwAAAGRycy9kb3ducmV2LnhtbERPuwrCMBTdBf8hXMFN04qKVKOoKOjkc3G7NNe22NyU&#10;Jmr9ezMIjofzni0aU4oX1a6wrCDuRyCIU6sLzhRcL9veBITzyBpLy6TgQw4W83Zrhom2bz7R6+wz&#10;EULYJagg975KpHRpTgZd31bEgbvb2qAPsM6krvEdwk0pB1E0lgYLDg05VrTOKX2cn0bBEI+HLN41&#10;gw9t5Gri/C1OzV6pbqdZTkF4avxf/HPvtIJRGBu+hB8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YLeTvAAAANsAAAAPAAAAAAAAAAAAAAAAAJgCAABkcnMvZG93bnJldi54&#10;bWxQSwUGAAAAAAQABAD1AAAAgQMAAAAA&#10;" fillcolor="window" stroked="f" strokeweight=".5pt">
                  <v:textbo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Adjustments</w:t>
                        </w:r>
                      </w:p>
                    </w:txbxContent>
                  </v:textbox>
                </v:shape>
                <v:shape id="Text Box 151" o:spid="_x0000_s1031" type="#_x0000_t202" style="position:absolute;left:17681;top:1394;width:13323;height:4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SCMIA&#10;AADbAAAADwAAAGRycy9kb3ducmV2LnhtbESPT4vCMBTE7wt+h/CEvWlacUWraVFxQU/rv4u3R/Ns&#10;i81LaaLWb78RFvY4zMxvmEXWmVo8qHWVZQXxMAJBnFtdcaHgfPoeTEE4j6yxtkwKXuQgS3sfC0y0&#10;ffKBHkdfiABhl6CC0vsmkdLlJRl0Q9sQB+9qW4M+yLaQusVngJtajqJoIg1WHBZKbGhdUn473o2C&#10;Me5/injbjV60kaup85c4NzulPvvdcg7CU+f/w3/trVbwNYP3l/A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BIIwgAAANsAAAAPAAAAAAAAAAAAAAAAAJgCAABkcnMvZG93&#10;bnJldi54bWxQSwUGAAAAAAQABAD1AAAAhwMAAAAA&#10;" fillcolor="window" stroked="f" strokeweight=".5pt">
                  <v:textbox>
                    <w:txbxContent>
                      <w:p w:rsidR="00513719" w:rsidRPr="00EC3688" w:rsidRDefault="00513719" w:rsidP="00460371">
                        <w:pPr>
                          <w:pStyle w:val="NormalWeb"/>
                          <w:spacing w:before="0" w:after="0" w:line="276" w:lineRule="auto"/>
                          <w:jc w:val="center"/>
                          <w:rPr>
                            <w:rFonts w:asciiTheme="minorHAnsi" w:hAnsiTheme="minorHAnsi"/>
                            <w:b/>
                            <w:sz w:val="20"/>
                            <w:szCs w:val="20"/>
                          </w:rPr>
                        </w:pPr>
                        <w:r>
                          <w:rPr>
                            <w:rFonts w:asciiTheme="minorHAnsi" w:eastAsia="Calibri" w:hAnsiTheme="minorHAnsi"/>
                            <w:b/>
                            <w:sz w:val="20"/>
                            <w:szCs w:val="20"/>
                          </w:rPr>
                          <w:t>2012-13</w:t>
                        </w:r>
                      </w:p>
                      <w:p w:rsidR="00513719" w:rsidRPr="00EC3688" w:rsidRDefault="00513719" w:rsidP="00460371">
                        <w:pPr>
                          <w:pStyle w:val="NormalWeb"/>
                          <w:spacing w:before="0" w:after="0" w:line="276" w:lineRule="auto"/>
                          <w:jc w:val="center"/>
                          <w:rPr>
                            <w:rFonts w:asciiTheme="minorHAnsi" w:hAnsiTheme="minorHAnsi"/>
                            <w:b/>
                            <w:sz w:val="20"/>
                            <w:szCs w:val="20"/>
                          </w:rPr>
                        </w:pPr>
                        <w:r w:rsidRPr="00EC3688">
                          <w:rPr>
                            <w:rFonts w:asciiTheme="minorHAnsi" w:eastAsia="Calibri" w:hAnsiTheme="minorHAnsi"/>
                            <w:b/>
                            <w:sz w:val="20"/>
                            <w:szCs w:val="20"/>
                          </w:rPr>
                          <w:t>Cost Weight Model</w:t>
                        </w:r>
                      </w:p>
                    </w:txbxContent>
                  </v:textbox>
                </v:shape>
                <v:shape id="Text Box 151" o:spid="_x0000_s1032" type="#_x0000_t202" style="position:absolute;left:18822;top:7157;width:1071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xKLwA&#10;AADbAAAADwAAAGRycy9kb3ducmV2LnhtbERPzQ7BQBC+S7zDZiRubCsiUpYgJJxQLm6T7mgb3dmm&#10;u6i3tweJ45fvf75sTSVe1LjSsoJ4GIEgzqwuOVdwvewGUxDOI2usLJOCDzlYLrqdOSbavvlMr9Tn&#10;IoSwS1BB4X2dSOmyggy6oa2JA3e3jUEfYJNL3eA7hJtKjqJoIg2WHBoKrGlTUPZIn0bBGE/HPN63&#10;ow9t5Xrq/C3OzEGpfq9dzUB4av1f/HPvtYJJWB++hB8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enEovAAAANsAAAAPAAAAAAAAAAAAAAAAAJgCAABkcnMvZG93bnJldi54&#10;bWxQSwUGAAAAAAQABAD1AAAAgQMAAAAA&#10;" fillcolor="window" stroked="f" strokeweight=".5pt">
                  <v:textbo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Reference Cost</w:t>
                        </w:r>
                      </w:p>
                    </w:txbxContent>
                  </v:textbox>
                </v:shape>
                <v:shape id="Text Box 151" o:spid="_x0000_s1033" type="#_x0000_t202" style="position:absolute;left:19238;top:14615;width:8884;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Us74A&#10;AADbAAAADwAAAGRycy9kb3ducmV2LnhtbESPzQrCMBCE74LvEFbwpmlFRKpRVBT05O/F29KsbbHZ&#10;lCZqfXsjCB6HmfmGmc4bU4on1a6wrCDuRyCIU6sLzhRczpveGITzyBpLy6TgTQ7ms3Zriom2Lz7S&#10;8+QzESDsElSQe18lUro0J4Oubyvi4N1sbdAHWWdS1/gKcFPKQRSNpMGCw0KOFa1ySu+nh1EwxMM+&#10;i7fN4E1ruRw7f41Ts1Oq22kWExCeGv8P/9pbrWAUw/d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21LO+AAAA2wAAAA8AAAAAAAAAAAAAAAAAmAIAAGRycy9kb3ducmV2&#10;LnhtbFBLBQYAAAAABAAEAPUAAACDAwAAAAA=&#10;" fillcolor="window" stroked="f" strokeweight=".5pt">
                  <v:textbo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Adjustments</w:t>
                        </w:r>
                      </w:p>
                    </w:txbxContent>
                  </v:textbox>
                </v:shape>
                <v:shape id="Text Box 151" o:spid="_x0000_s1034" type="#_x0000_t202" style="position:absolute;left:19238;top:10504;width:944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KxMIA&#10;AADbAAAADwAAAGRycy9kb3ducmV2LnhtbESPQYvCMBSE78L+h/AWvGnaIiLVtOwuu6AntXrx9mie&#10;bbF5KU1W6783guBxmJlvmFU+mFZcqXeNZQXxNAJBXFrdcKXgePibLEA4j6yxtUwK7uQgzz5GK0y1&#10;vfGeroWvRICwS1FB7X2XSunKmgy6qe2Ig3e2vUEfZF9J3eMtwE0rkyiaS4MNh4UaO/qpqbwU/0bB&#10;DHfbKl4PyZ1+5ffC+VNcmo1S48/hawnC0+Df4Vd7rRXME3h+C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ErEwgAAANsAAAAPAAAAAAAAAAAAAAAAAJgCAABkcnMvZG93&#10;bnJldi54bWxQSwUGAAAAAAQABAD1AAAAhwMAAAAA&#10;" fillcolor="window" stroked="f" strokeweight=".5pt">
                  <v:textbo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Cost Weights</w:t>
                        </w:r>
                      </w:p>
                    </w:txbxContent>
                  </v:textbox>
                </v:shape>
                <v:shape id="Text Box 151" o:spid="_x0000_s1035" type="#_x0000_t202" style="position:absolute;left:44786;top:1394;width:15582;height:4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vX8IA&#10;AADbAAAADwAAAGRycy9kb3ducmV2LnhtbESPT4vCMBTE7wt+h/AEb2vauohUY1FR0JPrn4u3R/Ns&#10;i81LaaLWb28WhD0OM/MbZpZ1phYPal1lWUE8jEAQ51ZXXCg4nzbfExDOI2usLZOCFznI5r2vGaba&#10;PvlAj6MvRICwS1FB6X2TSunykgy6oW2Ig3e1rUEfZFtI3eIzwE0tkygaS4MVh4USG1qVlN+Od6Pg&#10;B3/3Rbztkhet5XLi/CXOzU6pQb9bTEF46vx/+NPeagXjEfx9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O9fwgAAANsAAAAPAAAAAAAAAAAAAAAAAJgCAABkcnMvZG93&#10;bnJldi54bWxQSwUGAAAAAAQABAD1AAAAhwMAAAAA&#10;" fillcolor="window" stroked="f" strokeweight=".5pt">
                  <v:textbox>
                    <w:txbxContent>
                      <w:p w:rsidR="00513719" w:rsidRPr="00EC3688" w:rsidRDefault="00513719" w:rsidP="00460371">
                        <w:pPr>
                          <w:pStyle w:val="NormalWeb"/>
                          <w:spacing w:before="0" w:after="0" w:line="276" w:lineRule="auto"/>
                          <w:jc w:val="center"/>
                          <w:rPr>
                            <w:rFonts w:asciiTheme="minorHAnsi" w:hAnsiTheme="minorHAnsi"/>
                            <w:b/>
                            <w:sz w:val="20"/>
                            <w:szCs w:val="20"/>
                          </w:rPr>
                        </w:pPr>
                        <w:r>
                          <w:rPr>
                            <w:rFonts w:asciiTheme="minorHAnsi" w:eastAsia="Calibri" w:hAnsiTheme="minorHAnsi"/>
                            <w:b/>
                            <w:sz w:val="20"/>
                            <w:szCs w:val="20"/>
                          </w:rPr>
                          <w:t>2015-16</w:t>
                        </w:r>
                      </w:p>
                      <w:p w:rsidR="00513719" w:rsidRPr="00EC3688" w:rsidRDefault="00513719" w:rsidP="00460371">
                        <w:pPr>
                          <w:pStyle w:val="NormalWeb"/>
                          <w:spacing w:before="0" w:after="0" w:line="276" w:lineRule="auto"/>
                          <w:jc w:val="center"/>
                          <w:rPr>
                            <w:rFonts w:asciiTheme="minorHAnsi" w:hAnsiTheme="minorHAnsi"/>
                            <w:b/>
                            <w:sz w:val="20"/>
                            <w:szCs w:val="20"/>
                          </w:rPr>
                        </w:pPr>
                        <w:r w:rsidRPr="00EC3688">
                          <w:rPr>
                            <w:rFonts w:asciiTheme="minorHAnsi" w:eastAsia="Calibri" w:hAnsiTheme="minorHAnsi"/>
                            <w:b/>
                            <w:sz w:val="20"/>
                            <w:szCs w:val="20"/>
                          </w:rPr>
                          <w:t>National Pricing Model</w:t>
                        </w:r>
                      </w:p>
                    </w:txbxContent>
                  </v:textbox>
                </v:shape>
                <v:shape id="Text Box 151" o:spid="_x0000_s1036" type="#_x0000_t202" style="position:absolute;left:49367;top:7157;width:45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3K74A&#10;AADbAAAADwAAAGRycy9kb3ducmV2LnhtbESPzQrCMBCE74LvEFbwpmlFRKpRVBT05O/F29KsbbHZ&#10;lCZqfXsjCB6HmfmGmc4bU4on1a6wrCDuRyCIU6sLzhRczpveGITzyBpLy6TgTQ7ms3Zriom2Lz7S&#10;8+QzESDsElSQe18lUro0J4Oubyvi4N1sbdAHWWdS1/gKcFPKQRSNpMGCw0KOFa1ySu+nh1EwxMM+&#10;i7fN4E1ruRw7f41Ts1Oq22kWExCeGv8P/9pbrWA0hO+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Bdyu+AAAA2wAAAA8AAAAAAAAAAAAAAAAAmAIAAGRycy9kb3ducmV2&#10;LnhtbFBLBQYAAAAABAAEAPUAAACDAwAAAAA=&#10;" fillcolor="window" stroked="f" strokeweight=".5pt">
                  <v:textbox>
                    <w:txbxContent>
                      <w:p w:rsidR="00513719" w:rsidRPr="005C263E" w:rsidRDefault="00513719" w:rsidP="00460371">
                        <w:pPr>
                          <w:pStyle w:val="NormalWeb"/>
                          <w:spacing w:before="0" w:after="0" w:line="276" w:lineRule="auto"/>
                          <w:jc w:val="center"/>
                          <w:rPr>
                            <w:rFonts w:asciiTheme="minorHAnsi" w:hAnsiTheme="minorHAnsi"/>
                            <w:sz w:val="20"/>
                            <w:szCs w:val="20"/>
                          </w:rPr>
                        </w:pPr>
                        <w:r>
                          <w:rPr>
                            <w:rFonts w:asciiTheme="minorHAnsi" w:eastAsia="Calibri" w:hAnsiTheme="minorHAnsi"/>
                            <w:sz w:val="20"/>
                            <w:szCs w:val="20"/>
                          </w:rPr>
                          <w:t>NEP</w:t>
                        </w:r>
                      </w:p>
                    </w:txbxContent>
                  </v:textbox>
                </v:shape>
                <v:shape id="Text Box 151" o:spid="_x0000_s1037" type="#_x0000_t202" style="position:absolute;left:47115;top:14628;width:8883;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SsMIA&#10;AADbAAAADwAAAGRycy9kb3ducmV2LnhtbESPT4vCMBTE7wt+h/AEb2va4opUY1FR0JPrn4u3R/Ns&#10;i81LaaLWb28WhD0OM/MbZpZ1phYPal1lWUE8jEAQ51ZXXCg4nzbfExDOI2usLZOCFznI5r2vGaba&#10;PvlAj6MvRICwS1FB6X2TSunykgy6oW2Ig3e1rUEfZFtI3eIzwE0tkygaS4MVh4USG1qVlN+Od6Ng&#10;hL/7It52yYvWcjlx/hLnZqfUoN8tpiA8df4//GlvtYLxD/x9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dKwwgAAANsAAAAPAAAAAAAAAAAAAAAAAJgCAABkcnMvZG93&#10;bnJldi54bWxQSwUGAAAAAAQABAD1AAAAhwMAAAAA&#10;" fillcolor="window" stroked="f" strokeweight=".5pt">
                  <v:textbox>
                    <w:txbxContent>
                      <w:p w:rsidR="00513719" w:rsidRPr="005C263E" w:rsidRDefault="00513719" w:rsidP="00460371">
                        <w:pPr>
                          <w:pStyle w:val="NormalWeb"/>
                          <w:spacing w:before="0" w:after="0" w:line="276" w:lineRule="auto"/>
                          <w:jc w:val="center"/>
                          <w:rPr>
                            <w:rFonts w:asciiTheme="minorHAnsi" w:hAnsiTheme="minorHAnsi"/>
                            <w:sz w:val="20"/>
                            <w:szCs w:val="20"/>
                          </w:rPr>
                        </w:pPr>
                        <w:r w:rsidRPr="005C263E">
                          <w:rPr>
                            <w:rFonts w:asciiTheme="minorHAnsi" w:eastAsia="Calibri" w:hAnsiTheme="minorHAnsi"/>
                            <w:sz w:val="20"/>
                            <w:szCs w:val="20"/>
                          </w:rPr>
                          <w:t>Adjustments</w:t>
                        </w:r>
                      </w:p>
                    </w:txbxContent>
                  </v:textbox>
                </v:shape>
                <v:shape id="Text Box 151" o:spid="_x0000_s1038" type="#_x0000_t202" style="position:absolute;left:46552;top:10505;width:9728;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Mx8AA&#10;AADbAAAADwAAAGRycy9kb3ducmV2LnhtbESPzarCMBSE94LvEI7gTtOKFKlGUVHQlT/3btwdmmNb&#10;bE5KE7W+vREEl8PMfMPMFq2pxIMaV1pWEA8jEMSZ1SXnCv7/toMJCOeRNVaWScGLHCzm3c4MU22f&#10;fKLH2eciQNilqKDwvk6ldFlBBt3Q1sTBu9rGoA+yyaVu8BngppKjKEqkwZLDQoE1rQvKbue7UTDG&#10;4yGPd+3oRRu5mjh/iTOzV6rfa5dTEJ5a/wt/2zutIEng8yX8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9Mx8AAAADbAAAADwAAAAAAAAAAAAAAAACYAgAAZHJzL2Rvd25y&#10;ZXYueG1sUEsFBgAAAAAEAAQA9QAAAIUDAAAAAA==&#10;" fillcolor="window" stroked="f" strokeweight=".5pt">
                  <v:textbox>
                    <w:txbxContent>
                      <w:p w:rsidR="00513719" w:rsidRPr="005C263E" w:rsidRDefault="00513719" w:rsidP="00460371">
                        <w:pPr>
                          <w:pStyle w:val="NormalWeb"/>
                          <w:spacing w:before="0" w:after="0" w:line="276" w:lineRule="auto"/>
                          <w:jc w:val="center"/>
                          <w:rPr>
                            <w:rFonts w:asciiTheme="minorHAnsi" w:hAnsiTheme="minorHAnsi"/>
                            <w:sz w:val="20"/>
                            <w:szCs w:val="20"/>
                          </w:rPr>
                        </w:pPr>
                        <w:r>
                          <w:rPr>
                            <w:rFonts w:asciiTheme="minorHAnsi" w:eastAsia="Calibri" w:hAnsiTheme="minorHAnsi"/>
                            <w:sz w:val="20"/>
                            <w:szCs w:val="20"/>
                          </w:rPr>
                          <w:t>Price</w:t>
                        </w:r>
                        <w:r w:rsidRPr="005C263E">
                          <w:rPr>
                            <w:rFonts w:asciiTheme="minorHAnsi" w:eastAsia="Calibri" w:hAnsiTheme="minorHAnsi"/>
                            <w:sz w:val="20"/>
                            <w:szCs w:val="20"/>
                          </w:rPr>
                          <w:t xml:space="preserve"> Weights</w:t>
                        </w:r>
                      </w:p>
                    </w:txbxContent>
                  </v:textbox>
                </v:shape>
                <v:shapetype id="_x0000_t32" coordsize="21600,21600" o:spt="32" o:oned="t" path="m,l21600,21600e" filled="f">
                  <v:path arrowok="t" fillok="f" o:connecttype="none"/>
                  <o:lock v:ext="edit" shapetype="t"/>
                </v:shapetype>
                <v:shape id="Straight Arrow Connector 67" o:spid="_x0000_s1039" type="#_x0000_t32" style="position:absolute;left:10770;top:8466;width:8052;height:15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CS8UAAADbAAAADwAAAGRycy9kb3ducmV2LnhtbESPQWsCMRSE74L/ITyhN83Wwmq3RlFB&#10;6KEXbWl7fGxed5duXtYkxm1/vREEj8PMfMMsVr1pRSTnG8sKHicZCOLS6oYrBR/vu/EchA/IGlvL&#10;pOCPPKyWw8ECC23PvKd4CJVIEPYFKqhD6AopfVmTQT+xHXHyfqwzGJJ0ldQOzwluWjnNslwabDgt&#10;1NjRtqby93AyCj7/n+LzrHR5/Dqe9sfpd3ybb6JSD6N+/QIiUB/u4Vv7VSvIZ3D9kn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QCS8UAAADbAAAADwAAAAAAAAAA&#10;AAAAAAChAgAAZHJzL2Rvd25yZXYueG1sUEsFBgAAAAAEAAQA+QAAAJMDAAAAAA==&#10;" strokecolor="windowText">
                  <v:stroke endarrow="open"/>
                </v:shape>
                <v:shape id="Straight Arrow Connector 68" o:spid="_x0000_s1040" type="#_x0000_t32" style="position:absolute;left:10770;top:10004;width:8469;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4UPMAAAADbAAAADwAAAGRycy9kb3ducmV2LnhtbERPTYvCMBC9C/6HMMLeNFVQpGuUVVQW&#10;ZEGrex+ase3aTEoStfrrNwfB4+N9zxatqcWNnK8sKxgOEhDEudUVFwpOx01/CsIHZI21ZVLwIA+L&#10;ebczw1TbOx/oloVCxBD2KSooQ2hSKX1ekkE/sA1x5M7WGQwRukJqh/cYbmo5SpKJNFhxbCixoVVJ&#10;+SW7GgV2eb7q37FdTt1Pnq338u+x2z6V+ui1X58gArXhLX65v7WCSRwbv8QfIO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eFDzAAAAA2wAAAA8AAAAAAAAAAAAAAAAA&#10;oQIAAGRycy9kb3ducmV2LnhtbFBLBQYAAAAABAAEAPkAAACOAwAAAAA=&#10;" strokecolor="windowText">
                  <v:stroke endarrow="open"/>
                </v:shape>
                <v:shape id="Straight Arrow Connector 69" o:spid="_x0000_s1041" type="#_x0000_t32" style="position:absolute;left:9794;top:15917;width:9445;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zosUAAADbAAAADwAAAGRycy9kb3ducmV2LnhtbESPT2sCMRTE74LfIbxCb5qtwla3RlFB&#10;6KEX/9D2+Ni87i7dvKxJjNt++qYgeBxm5jfMYtWbVkRyvrGs4GmcgSAurW64UnA67kYzED4ga2wt&#10;k4If8rBaDgcLLLS98p7iIVQiQdgXqKAOoSuk9GVNBv3YdsTJ+7LOYEjSVVI7vCa4aeUky3JpsOG0&#10;UGNH25rK78PFKHj/ncb5c+ny+HG+7M+Tz/g220SlHh/69QuIQH24h2/tV60gn8P/l/Q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czosUAAADbAAAADwAAAAAAAAAA&#10;AAAAAAChAgAAZHJzL2Rvd25yZXYueG1sUEsFBgAAAAAEAAQA+QAAAJMDAAAAAA==&#10;" strokecolor="windowText">
                  <v:stroke endarrow="open"/>
                </v:shape>
                <v:shape id="Straight Arrow Connector 70" o:spid="_x0000_s1042" type="#_x0000_t32" style="position:absolute;left:27665;top:15917;width:1945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O58EAAADbAAAADwAAAGRycy9kb3ducmV2LnhtbERPXWvCMBR9F/wP4Qq+zVTBKZ2xWNnG&#10;QIStuvdLc227NTcliVr3683DwMfD+V5lvWnFhZxvLCuYThIQxKXVDVcKjoe3pyUIH5A1tpZJwY08&#10;ZOvhYIWptlf+oksRKhFD2KeooA6hS6X0ZU0G/cR2xJE7WWcwROgqqR1eY7hp5SxJnqXBhmNDjR1t&#10;ayp/i7NRYPPTWX/Pbb50+7J4/ZQ/t937n1LjUb95ARGoDw/xv/tDK1jE9fFL/A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sY7nwQAAANsAAAAPAAAAAAAAAAAAAAAA&#10;AKECAABkcnMvZG93bnJldi54bWxQSwUGAAAAAAQABAD5AAAAjwMAAAAA&#10;" strokecolor="windowText">
                  <v:stroke endarrow="open"/>
                </v:shape>
                <v:shape id="Straight Arrow Connector 71" o:spid="_x0000_s1043" type="#_x0000_t32" style="position:absolute;left:27932;top:11814;width:1862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pecUAAADbAAAADwAAAGRycy9kb3ducmV2LnhtbESPT2sCMRTE7wW/Q3hCb5rVgtrVKK0g&#10;9NCLf7AeH5vn7uLmZU1i3PbTNwWhx2FmfsMsVp1pRCTna8sKRsMMBHFhdc2lgsN+M5iB8AFZY2OZ&#10;FHyTh9Wy97TAXNs7bynuQikShH2OCqoQ2lxKX1Rk0A9tS5y8s3UGQ5KulNrhPcFNI8dZNpEGa04L&#10;Fba0rqi47G5GwfHnJb5OCzeJX9fb9jo+xc/Ze1Tqud+9zUEE6sJ/+NH+0AqmI/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ipecUAAADbAAAADwAAAAAAAAAA&#10;AAAAAAChAgAAZHJzL2Rvd25yZXYueG1sUEsFBgAAAAAEAAQA+QAAAJMDAAAAAA==&#10;" strokecolor="windowText">
                  <v:stroke endarrow="open"/>
                </v:shape>
                <v:shape id="Straight Arrow Connector 72" o:spid="_x0000_s1044" type="#_x0000_t32" style="position:absolute;left:28525;top:8465;width:20846;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3DsUAAADbAAAADwAAAGRycy9kb3ducmV2LnhtbESPT2sCMRTE7wW/Q3hCb5rtFtRujaKC&#10;0IMX/9D2+Ni87i7dvKxJjFs/fVMQehxm5jfMfNmbVkRyvrGs4GmcgSAurW64UnA6bkczED4ga2wt&#10;k4If8rBcDB7mWGh75T3FQ6hEgrAvUEEdQldI6cuaDPqx7YiT92WdwZCkq6R2eE1w08o8yybSYMNp&#10;ocaONjWV34eLUfB+e44v09JN4sf5sj/nn3E3W0elHof96hVEoD78h+/tN61gmsPfl/Q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3DsUAAADbAAAADwAAAAAAAAAA&#10;AAAAAAChAgAAZHJzL2Rvd25yZXYueG1sUEsFBgAAAAAEAAQA+QAAAJMDAAAAAA==&#10;" strokecolor="windowText">
                  <v:stroke endarrow="open"/>
                </v:shape>
                <v:shape id="Text Box 73" o:spid="_x0000_s1045" type="#_x0000_t202" style="position:absolute;left:10273;top:10211;width:8071;height:39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b5MUA&#10;AADbAAAADwAAAGRycy9kb3ducmV2LnhtbESPQWsCMRSE7wX/Q3iFXkSzVrB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5vkxQAAANsAAAAPAAAAAAAAAAAAAAAAAJgCAABkcnMv&#10;ZG93bnJldi54bWxQSwUGAAAAAAQABAD1AAAAigMAAAAA&#10;" filled="f" stroked="f" strokeweight=".5pt">
                  <v:textbox>
                    <w:txbxContent>
                      <w:p w:rsidR="00513719" w:rsidRPr="00EC3688" w:rsidRDefault="00513719" w:rsidP="00460371">
                        <w:pPr>
                          <w:spacing w:after="0" w:line="192" w:lineRule="auto"/>
                          <w:jc w:val="center"/>
                          <w:rPr>
                            <w:szCs w:val="20"/>
                            <w:vertAlign w:val="subscript"/>
                          </w:rPr>
                        </w:pPr>
                        <w:r w:rsidRPr="00EC3688">
                          <w:rPr>
                            <w:szCs w:val="20"/>
                            <w:vertAlign w:val="subscript"/>
                          </w:rPr>
                          <w:t>Division by</w:t>
                        </w:r>
                      </w:p>
                      <w:p w:rsidR="00513719" w:rsidRPr="00EC3688" w:rsidRDefault="00513719" w:rsidP="00460371">
                        <w:pPr>
                          <w:spacing w:after="0" w:line="192" w:lineRule="auto"/>
                          <w:jc w:val="center"/>
                          <w:rPr>
                            <w:szCs w:val="20"/>
                            <w:vertAlign w:val="subscript"/>
                          </w:rPr>
                        </w:pPr>
                        <w:r>
                          <w:rPr>
                            <w:szCs w:val="20"/>
                            <w:vertAlign w:val="subscript"/>
                          </w:rPr>
                          <w:t>R</w:t>
                        </w:r>
                        <w:r w:rsidRPr="00EC3688">
                          <w:rPr>
                            <w:szCs w:val="20"/>
                            <w:vertAlign w:val="subscript"/>
                          </w:rPr>
                          <w:t xml:space="preserve">eference </w:t>
                        </w:r>
                        <w:r>
                          <w:rPr>
                            <w:szCs w:val="20"/>
                            <w:vertAlign w:val="subscript"/>
                          </w:rPr>
                          <w:t>C</w:t>
                        </w:r>
                        <w:r w:rsidRPr="00EC3688">
                          <w:rPr>
                            <w:szCs w:val="20"/>
                            <w:vertAlign w:val="subscript"/>
                          </w:rPr>
                          <w:t>ost</w:t>
                        </w:r>
                      </w:p>
                    </w:txbxContent>
                  </v:textbox>
                </v:shape>
                <v:shape id="Text Box 169" o:spid="_x0000_s1046" type="#_x0000_t202" style="position:absolute;left:29404;top:5103;width:19329;height:4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kMUA&#10;AADbAAAADwAAAGRycy9kb3ducmV2LnhtbESPQWsCMRSE7wX/Q3iFXkSzFrF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OQxQAAANsAAAAPAAAAAAAAAAAAAAAAAJgCAABkcnMv&#10;ZG93bnJldi54bWxQSwUGAAAAAAQABAD1AAAAigMAAAAA&#10;" filled="f" stroked="f" strokeweight=".5pt">
                  <v:textbox>
                    <w:txbxContent>
                      <w:p w:rsidR="00513719" w:rsidRPr="00EC3688" w:rsidRDefault="00513719" w:rsidP="00460371">
                        <w:pPr>
                          <w:pStyle w:val="NormalWeb"/>
                          <w:spacing w:before="0" w:after="0" w:line="192" w:lineRule="auto"/>
                          <w:jc w:val="center"/>
                          <w:rPr>
                            <w:rFonts w:asciiTheme="minorHAnsi" w:eastAsia="Calibri" w:hAnsiTheme="minorHAnsi"/>
                            <w:sz w:val="20"/>
                            <w:szCs w:val="20"/>
                            <w:vertAlign w:val="subscript"/>
                          </w:rPr>
                        </w:pPr>
                        <w:r w:rsidRPr="00EC3688">
                          <w:rPr>
                            <w:rFonts w:asciiTheme="minorHAnsi" w:eastAsia="Calibri" w:hAnsiTheme="minorHAnsi"/>
                            <w:sz w:val="20"/>
                            <w:szCs w:val="20"/>
                            <w:vertAlign w:val="subscript"/>
                          </w:rPr>
                          <w:t>Deflation to remove costs</w:t>
                        </w:r>
                      </w:p>
                      <w:p w:rsidR="00513719" w:rsidRPr="00EC3688" w:rsidRDefault="00513719" w:rsidP="00460371">
                        <w:pPr>
                          <w:pStyle w:val="NormalWeb"/>
                          <w:spacing w:before="0" w:after="0" w:line="192" w:lineRule="auto"/>
                          <w:jc w:val="center"/>
                          <w:rPr>
                            <w:rFonts w:asciiTheme="minorHAnsi" w:hAnsiTheme="minorHAnsi"/>
                            <w:sz w:val="20"/>
                            <w:szCs w:val="20"/>
                            <w:vertAlign w:val="subscript"/>
                          </w:rPr>
                        </w:pPr>
                        <w:proofErr w:type="gramStart"/>
                        <w:r w:rsidRPr="00EC3688">
                          <w:rPr>
                            <w:rFonts w:asciiTheme="minorHAnsi" w:eastAsia="Calibri" w:hAnsiTheme="minorHAnsi"/>
                            <w:sz w:val="20"/>
                            <w:szCs w:val="20"/>
                            <w:vertAlign w:val="subscript"/>
                          </w:rPr>
                          <w:t>associated</w:t>
                        </w:r>
                        <w:proofErr w:type="gramEnd"/>
                        <w:r w:rsidRPr="00EC3688">
                          <w:rPr>
                            <w:rFonts w:asciiTheme="minorHAnsi" w:eastAsia="Calibri" w:hAnsiTheme="minorHAnsi"/>
                            <w:sz w:val="20"/>
                            <w:szCs w:val="20"/>
                            <w:vertAlign w:val="subscript"/>
                          </w:rPr>
                          <w:t xml:space="preserve"> with other Commonwealth programs</w:t>
                        </w:r>
                      </w:p>
                    </w:txbxContent>
                  </v:textbox>
                </v:shape>
                <v:shape id="Text Box 169" o:spid="_x0000_s1047" type="#_x0000_t202" style="position:absolute;left:35202;top:7762;width:5702;height:2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mC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qYLxQAAANsAAAAPAAAAAAAAAAAAAAAAAJgCAABkcnMv&#10;ZG93bnJldi54bWxQSwUGAAAAAAQABAD1AAAAigMAAAAA&#10;" filled="f" stroked="f" strokeweight=".5pt">
                  <v:textbox>
                    <w:txbxContent>
                      <w:p w:rsidR="00513719" w:rsidRPr="00EC3688" w:rsidRDefault="00513719" w:rsidP="00460371">
                        <w:pPr>
                          <w:pStyle w:val="NormalWeb"/>
                          <w:spacing w:before="0" w:after="0" w:line="276" w:lineRule="auto"/>
                          <w:rPr>
                            <w:rFonts w:asciiTheme="minorHAnsi" w:hAnsiTheme="minorHAnsi"/>
                            <w:sz w:val="20"/>
                            <w:szCs w:val="20"/>
                            <w:vertAlign w:val="subscript"/>
                          </w:rPr>
                        </w:pPr>
                        <w:r w:rsidRPr="00EC3688">
                          <w:rPr>
                            <w:rFonts w:asciiTheme="minorHAnsi" w:eastAsia="Calibri" w:hAnsiTheme="minorHAnsi"/>
                            <w:sz w:val="20"/>
                            <w:szCs w:val="20"/>
                            <w:vertAlign w:val="subscript"/>
                          </w:rPr>
                          <w:t>Indexation</w:t>
                        </w:r>
                      </w:p>
                    </w:txbxContent>
                  </v:textbox>
                </v:shape>
                <v:shape id="Text Box 169" o:spid="_x0000_s1048" type="#_x0000_t202" style="position:absolute;left:28955;top:13613;width:16440;height:2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4fMUA&#10;AADbAAAADwAAAGRycy9kb3ducmV2LnhtbESPQWsCMRSE7wX/Q3iFXqRm7WGVrVGq0CJilWopHh+b&#10;183i5mVJoq7/vhGEHoeZ+YaZzDrbiDP5UDtWMBxkIIhLp2uuFHzv35/HIEJE1tg4JgVXCjCb9h4m&#10;WGh34S8672IlEoRDgQpMjG0hZSgNWQwD1xIn79d5izFJX0nt8ZLgtpEvWZZLizWnBYMtLQyVx93J&#10;KjiaVX+bfXzOf/Ll1W/2J3fw64NST4/d2yuISF38D9/bS61gl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8xQAAANsAAAAPAAAAAAAAAAAAAAAAAJgCAABkcnMv&#10;ZG93bnJldi54bWxQSwUGAAAAAAQABAD1AAAAigMAAAAA&#10;" filled="f" stroked="f" strokeweight=".5pt">
                  <v:textbox>
                    <w:txbxContent>
                      <w:p w:rsidR="00513719" w:rsidRPr="00EC3688" w:rsidRDefault="00513719" w:rsidP="00460371">
                        <w:pPr>
                          <w:pStyle w:val="NormalWeb"/>
                          <w:spacing w:before="0" w:after="0" w:line="276" w:lineRule="auto"/>
                          <w:rPr>
                            <w:rFonts w:asciiTheme="minorHAnsi" w:hAnsiTheme="minorHAnsi"/>
                            <w:sz w:val="20"/>
                            <w:szCs w:val="20"/>
                          </w:rPr>
                        </w:pPr>
                        <w:r w:rsidRPr="00EC3688">
                          <w:rPr>
                            <w:rFonts w:asciiTheme="minorHAnsi" w:eastAsia="Calibri" w:hAnsiTheme="minorHAnsi"/>
                            <w:position w:val="-4"/>
                            <w:sz w:val="20"/>
                            <w:szCs w:val="20"/>
                            <w:vertAlign w:val="subscript"/>
                          </w:rPr>
                          <w:t>Inclusion of Private Patient Adjustments</w:t>
                        </w:r>
                      </w:p>
                    </w:txbxContent>
                  </v:textbox>
                </v:shape>
                <v:shape id="Straight Arrow Connector 77" o:spid="_x0000_s1049" type="#_x0000_t32" style="position:absolute;left:9891;top:3534;width:7791;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CNcMAAADbAAAADwAAAGRycy9kb3ducmV2LnhtbESPQWsCMRSE7wX/Q3iCt5q1B5WtUVQo&#10;VDx1bQveHpvXzdLNyzaJa/z3plDocZiZb5jVJtlODORD61jBbFqAIK6dbrlR8H56eVyCCBFZY+eY&#10;FNwowGY9elhhqd2V32ioYiMyhEOJCkyMfSllqA1ZDFPXE2fvy3mLMUvfSO3xmuG2k09FMZcWW84L&#10;BnvaG6q/q4tVEI9m8Kfz+edWY/XxmXZLlw5Bqck4bZ9BRErxP/zXftUKFgv4/ZJ/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TQjXDAAAA2wAAAA8AAAAAAAAAAAAA&#10;AAAAoQIAAGRycy9kb3ducmV2LnhtbFBLBQYAAAAABAAEAPkAAACRAwAAAAA=&#10;" strokecolor="windowText">
                  <v:stroke dashstyle="dash" endarrow="open"/>
                </v:shape>
                <v:shape id="Straight Arrow Connector 78" o:spid="_x0000_s1050" type="#_x0000_t32" style="position:absolute;left:29702;top:3537;width:15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zWR8AAAADbAAAADwAAAGRycy9kb3ducmV2LnhtbERPTWsCMRC9F/wPYYTeatYeWlmNokKh&#10;0lPXVvA2bMbN4mayTeIa/31zEDw+3vdilWwnBvKhdaxgOilAENdOt9wo+Nl/vMxAhIissXNMCm4U&#10;YLUcPS2w1O7K3zRUsRE5hEOJCkyMfSllqA1ZDBPXE2fu5LzFmKFvpPZ4zeG2k69F8SYttpwbDPa0&#10;NVSfq4tVEL/M4PfH49+txur3kDYzl3ZBqedxWs9BRErxIb67P7WC9zw2f8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M1kfAAAAA2wAAAA8AAAAAAAAAAAAAAAAA&#10;oQIAAGRycy9kb3ducmV2LnhtbFBLBQYAAAAABAAEAPkAAACOAwAAAAA=&#10;" strokecolor="windowText">
                  <v:stroke dashstyle="dash" endarrow="open"/>
                </v:shape>
                <v:shape id="Text Box 169" o:spid="_x0000_s1051" type="#_x0000_t202" style="position:absolute;left:30645;top:1379;width:1281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sDs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Ye/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6wOxQAAANsAAAAPAAAAAAAAAAAAAAAAAJgCAABkcnMv&#10;ZG93bnJldi54bWxQSwUGAAAAAAQABAD1AAAAigMAAAAA&#10;" filled="f" stroked="f" strokeweight=".5pt">
                  <v:textbox>
                    <w:txbxContent>
                      <w:p w:rsidR="00513719" w:rsidRPr="00EC3688" w:rsidRDefault="00513719" w:rsidP="00460371">
                        <w:pPr>
                          <w:pStyle w:val="NormalWeb"/>
                          <w:spacing w:before="0" w:after="0" w:line="192" w:lineRule="auto"/>
                          <w:jc w:val="center"/>
                          <w:rPr>
                            <w:rFonts w:asciiTheme="minorHAnsi" w:hAnsiTheme="minorHAnsi"/>
                          </w:rPr>
                        </w:pPr>
                        <w:r>
                          <w:rPr>
                            <w:rFonts w:asciiTheme="minorHAnsi" w:eastAsia="Calibri" w:hAnsiTheme="minorHAnsi"/>
                            <w:position w:val="-5"/>
                            <w:sz w:val="20"/>
                            <w:szCs w:val="20"/>
                            <w:vertAlign w:val="subscript"/>
                          </w:rPr>
                          <w:t>Restriction to in-scope activity</w:t>
                        </w:r>
                      </w:p>
                    </w:txbxContent>
                  </v:textbox>
                </v:shape>
                <v:shape id="Text Box 73" o:spid="_x0000_s1052" type="#_x0000_t202" style="position:absolute;left:10158;top:5770;width:7633;height:3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CysQA&#10;AADcAAAADwAAAGRycy9kb3ducmV2LnhtbERPTWsCMRC9F/wPYQq9iGYtIu3WKCooUmxLVYrHYTPd&#10;LG4mSxJ1/feNIPQ2j/c542lra3EmHyrHCgb9DARx4XTFpYL9btl7AREissbaMSm4UoDppPMwxly7&#10;C3/TeRtLkUI45KjAxNjkUobCkMXQdw1x4n6dtxgT9KXUHi8p3NbyOctG0mLFqcFgQwtDxXF7sgqO&#10;5r37la0+5j+j9dV/7k7u4DcHpZ4e29kbiEht/Bff3Wud5g9f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wsrEAAAA3AAAAA8AAAAAAAAAAAAAAAAAmAIAAGRycy9k&#10;b3ducmV2LnhtbFBLBQYAAAAABAAEAPUAAACJAwAAAAA=&#10;" filled="f" stroked="f" strokeweight=".5pt">
                  <v:textbox>
                    <w:txbxContent>
                      <w:p w:rsidR="00513719" w:rsidRPr="000E587D" w:rsidRDefault="00513719" w:rsidP="00460371">
                        <w:pPr>
                          <w:pStyle w:val="NormalWeb"/>
                          <w:spacing w:before="0" w:after="0" w:line="192" w:lineRule="auto"/>
                          <w:jc w:val="center"/>
                          <w:rPr>
                            <w:rFonts w:asciiTheme="minorHAnsi" w:hAnsiTheme="minorHAnsi"/>
                          </w:rPr>
                        </w:pPr>
                        <w:r>
                          <w:rPr>
                            <w:rFonts w:asciiTheme="minorHAnsi" w:eastAsia="Calibri" w:hAnsiTheme="minorHAnsi"/>
                            <w:position w:val="-5"/>
                            <w:sz w:val="20"/>
                            <w:szCs w:val="20"/>
                            <w:vertAlign w:val="subscript"/>
                          </w:rPr>
                          <w:t>Derivation of</w:t>
                        </w:r>
                      </w:p>
                      <w:p w:rsidR="00513719" w:rsidRPr="000E587D" w:rsidRDefault="00513719" w:rsidP="00460371">
                        <w:pPr>
                          <w:pStyle w:val="NormalWeb"/>
                          <w:spacing w:before="0" w:after="0" w:line="192" w:lineRule="auto"/>
                          <w:jc w:val="center"/>
                          <w:rPr>
                            <w:rFonts w:asciiTheme="minorHAnsi" w:hAnsiTheme="minorHAnsi"/>
                          </w:rPr>
                        </w:pPr>
                        <w:r>
                          <w:rPr>
                            <w:rFonts w:asciiTheme="minorHAnsi" w:eastAsia="Calibri" w:hAnsiTheme="minorHAnsi"/>
                            <w:position w:val="-5"/>
                            <w:sz w:val="20"/>
                            <w:szCs w:val="20"/>
                            <w:vertAlign w:val="subscript"/>
                          </w:rPr>
                          <w:t>R</w:t>
                        </w:r>
                        <w:r w:rsidRPr="000E587D">
                          <w:rPr>
                            <w:rFonts w:asciiTheme="minorHAnsi" w:eastAsia="Calibri" w:hAnsiTheme="minorHAnsi"/>
                            <w:position w:val="-5"/>
                            <w:sz w:val="20"/>
                            <w:szCs w:val="20"/>
                            <w:vertAlign w:val="subscript"/>
                          </w:rPr>
                          <w:t xml:space="preserve">eference </w:t>
                        </w:r>
                        <w:r>
                          <w:rPr>
                            <w:rFonts w:asciiTheme="minorHAnsi" w:eastAsia="Calibri" w:hAnsiTheme="minorHAnsi"/>
                            <w:position w:val="-5"/>
                            <w:sz w:val="20"/>
                            <w:szCs w:val="20"/>
                            <w:vertAlign w:val="subscript"/>
                          </w:rPr>
                          <w:t>C</w:t>
                        </w:r>
                        <w:r w:rsidRPr="000E587D">
                          <w:rPr>
                            <w:rFonts w:asciiTheme="minorHAnsi" w:eastAsia="Calibri" w:hAnsiTheme="minorHAnsi"/>
                            <w:position w:val="-5"/>
                            <w:sz w:val="20"/>
                            <w:szCs w:val="20"/>
                            <w:vertAlign w:val="subscript"/>
                          </w:rPr>
                          <w:t>ost</w:t>
                        </w:r>
                      </w:p>
                    </w:txbxContent>
                  </v:textbox>
                </v:shape>
                <w10:anchorlock/>
              </v:group>
            </w:pict>
          </mc:Fallback>
        </mc:AlternateContent>
      </w:r>
    </w:p>
    <w:p w:rsidR="00460371" w:rsidRPr="000674A1" w:rsidRDefault="00460371" w:rsidP="00AD4FFC">
      <w:pPr>
        <w:pStyle w:val="ListParagraph"/>
        <w:numPr>
          <w:ilvl w:val="2"/>
          <w:numId w:val="36"/>
        </w:numPr>
        <w:spacing w:before="100" w:beforeAutospacing="1" w:after="100" w:afterAutospacing="1"/>
        <w:ind w:left="284"/>
        <w:rPr>
          <w:rFonts w:ascii="Calibri" w:eastAsia="Calibri" w:hAnsi="Calibri"/>
          <w:b/>
          <w:sz w:val="28"/>
          <w:szCs w:val="28"/>
        </w:rPr>
      </w:pPr>
      <w:bookmarkStart w:id="400" w:name="_Ref350264102"/>
      <w:r w:rsidRPr="000674A1">
        <w:rPr>
          <w:rFonts w:ascii="Calibri" w:eastAsia="Calibri" w:hAnsi="Calibri"/>
          <w:b/>
          <w:sz w:val="28"/>
          <w:szCs w:val="28"/>
        </w:rPr>
        <w:t>Identification of out of scope costs</w:t>
      </w:r>
      <w:bookmarkEnd w:id="400"/>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The first step in the process of transforming cost model to pricing model involves the identification of out of scope costs, such as those associated with programs covered entirely or in part by other Commonwealth funding. These out of scope costs can be separated into three groups:</w:t>
      </w:r>
    </w:p>
    <w:p w:rsidR="00460371" w:rsidRPr="00767441" w:rsidRDefault="00460371" w:rsidP="00C245E0">
      <w:pPr>
        <w:numPr>
          <w:ilvl w:val="0"/>
          <w:numId w:val="41"/>
        </w:numPr>
        <w:spacing w:before="100" w:beforeAutospacing="1" w:after="100" w:afterAutospacing="1"/>
        <w:contextualSpacing/>
        <w:rPr>
          <w:rFonts w:ascii="Calibri" w:eastAsia="Calibri" w:hAnsi="Calibri"/>
          <w:sz w:val="24"/>
          <w:szCs w:val="24"/>
        </w:rPr>
      </w:pPr>
      <w:r w:rsidRPr="00767441">
        <w:rPr>
          <w:rFonts w:ascii="Calibri" w:eastAsia="Calibri" w:hAnsi="Calibri"/>
          <w:sz w:val="24"/>
          <w:szCs w:val="24"/>
        </w:rPr>
        <w:t>Costs associated with out of scope activity, including activity delivered to out of scope patient types such as DVA, Defence and Compensable, and activity not regarded as from an in-scope service type, such as that delivered through out of scope non-admitted Tier</w:t>
      </w:r>
      <w:r>
        <w:rPr>
          <w:rFonts w:ascii="Calibri" w:eastAsia="Calibri" w:hAnsi="Calibri"/>
          <w:sz w:val="24"/>
          <w:szCs w:val="24"/>
        </w:rPr>
        <w:t> </w:t>
      </w:r>
      <w:r w:rsidRPr="00767441">
        <w:rPr>
          <w:rFonts w:ascii="Calibri" w:eastAsia="Calibri" w:hAnsi="Calibri"/>
          <w:sz w:val="24"/>
          <w:szCs w:val="24"/>
        </w:rPr>
        <w:t>2 Clinics.</w:t>
      </w:r>
    </w:p>
    <w:p w:rsidR="00460371" w:rsidRPr="00767441" w:rsidRDefault="00460371" w:rsidP="00C245E0">
      <w:pPr>
        <w:numPr>
          <w:ilvl w:val="0"/>
          <w:numId w:val="41"/>
        </w:numPr>
        <w:spacing w:before="100" w:beforeAutospacing="1" w:after="100" w:afterAutospacing="1"/>
        <w:contextualSpacing/>
        <w:rPr>
          <w:rFonts w:ascii="Calibri" w:eastAsia="Calibri" w:hAnsi="Calibri"/>
          <w:sz w:val="24"/>
          <w:szCs w:val="24"/>
        </w:rPr>
      </w:pPr>
      <w:r w:rsidRPr="00767441">
        <w:rPr>
          <w:rFonts w:ascii="Calibri" w:eastAsia="Calibri" w:hAnsi="Calibri"/>
          <w:sz w:val="24"/>
          <w:szCs w:val="24"/>
        </w:rPr>
        <w:t>Those proportions of costs associated with private patients that are offset by non-government and Commonwealth revenue.</w:t>
      </w:r>
    </w:p>
    <w:p w:rsidR="00460371" w:rsidRPr="00767441" w:rsidRDefault="00460371" w:rsidP="00C245E0">
      <w:pPr>
        <w:numPr>
          <w:ilvl w:val="0"/>
          <w:numId w:val="41"/>
        </w:numPr>
        <w:spacing w:before="100" w:beforeAutospacing="1"/>
        <w:ind w:left="357" w:hanging="357"/>
        <w:contextualSpacing/>
        <w:rPr>
          <w:rFonts w:ascii="Calibri" w:eastAsia="Calibri" w:hAnsi="Calibri"/>
          <w:sz w:val="24"/>
          <w:szCs w:val="24"/>
        </w:rPr>
      </w:pPr>
      <w:r w:rsidRPr="00767441">
        <w:rPr>
          <w:rFonts w:ascii="Calibri" w:eastAsia="Calibri" w:hAnsi="Calibri"/>
          <w:sz w:val="24"/>
          <w:szCs w:val="24"/>
        </w:rPr>
        <w:t>Costs associated with other Commonwealth programs that are inherent within the cost data but not identifiable at a patient level, such as the Highly Specialised Drugs program and Pharmacy Reform Agreements.</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Exclusion of these costs from the cost model is undertaken as follows:</w:t>
      </w:r>
    </w:p>
    <w:p w:rsidR="00460371" w:rsidRPr="00767441" w:rsidRDefault="00460371" w:rsidP="00C245E0">
      <w:pPr>
        <w:numPr>
          <w:ilvl w:val="0"/>
          <w:numId w:val="44"/>
        </w:numPr>
        <w:spacing w:before="100" w:beforeAutospacing="1" w:after="100" w:afterAutospacing="1"/>
        <w:contextualSpacing/>
        <w:rPr>
          <w:rFonts w:ascii="Calibri" w:eastAsia="Calibri" w:hAnsi="Calibri"/>
          <w:sz w:val="24"/>
          <w:szCs w:val="24"/>
        </w:rPr>
      </w:pPr>
      <w:r w:rsidRPr="00767441">
        <w:rPr>
          <w:rFonts w:ascii="Calibri" w:eastAsia="Calibri" w:hAnsi="Calibri"/>
          <w:sz w:val="24"/>
          <w:szCs w:val="24"/>
        </w:rPr>
        <w:t>Group 1 costs are excluded by simply restricting the cost model to in-scope activity.</w:t>
      </w:r>
    </w:p>
    <w:p w:rsidR="00460371" w:rsidRPr="00767441" w:rsidRDefault="00460371" w:rsidP="00C245E0">
      <w:pPr>
        <w:numPr>
          <w:ilvl w:val="0"/>
          <w:numId w:val="44"/>
        </w:numPr>
        <w:spacing w:before="100" w:beforeAutospacing="1" w:after="100" w:afterAutospacing="1"/>
        <w:contextualSpacing/>
        <w:rPr>
          <w:rFonts w:ascii="Calibri" w:eastAsia="Calibri" w:hAnsi="Calibri"/>
          <w:sz w:val="24"/>
          <w:szCs w:val="24"/>
        </w:rPr>
      </w:pPr>
      <w:r w:rsidRPr="00767441">
        <w:rPr>
          <w:rFonts w:ascii="Calibri" w:eastAsia="Calibri" w:hAnsi="Calibri"/>
          <w:sz w:val="24"/>
          <w:szCs w:val="24"/>
        </w:rPr>
        <w:t>Group 2 costs are excluded through the implementation of the private patient service adjustment and private patient accommodation adjustment within the pricing model.</w:t>
      </w:r>
    </w:p>
    <w:p w:rsidR="000674A1" w:rsidRPr="00633B0A" w:rsidRDefault="00460371" w:rsidP="00C245E0">
      <w:pPr>
        <w:numPr>
          <w:ilvl w:val="0"/>
          <w:numId w:val="44"/>
        </w:numPr>
        <w:spacing w:before="100" w:beforeAutospacing="1" w:after="100" w:afterAutospacing="1"/>
        <w:contextualSpacing/>
        <w:rPr>
          <w:rFonts w:ascii="Calibri" w:eastAsia="Calibri" w:hAnsi="Calibri"/>
          <w:b/>
          <w:sz w:val="28"/>
          <w:szCs w:val="28"/>
        </w:rPr>
      </w:pPr>
      <w:r w:rsidRPr="00767441">
        <w:rPr>
          <w:rFonts w:ascii="Calibri" w:eastAsia="Calibri" w:hAnsi="Calibri"/>
          <w:sz w:val="24"/>
          <w:szCs w:val="24"/>
        </w:rPr>
        <w:t>Group 3 costs are excluded by first calculating the costs as a percentage of estimated total costs, and then deflating the cost model by this percentage.</w:t>
      </w:r>
      <w:bookmarkEnd w:id="398"/>
    </w:p>
    <w:p w:rsidR="00460371" w:rsidRPr="000674A1" w:rsidRDefault="00110E37" w:rsidP="00AD4FFC">
      <w:pPr>
        <w:pStyle w:val="ListParagraph"/>
        <w:numPr>
          <w:ilvl w:val="2"/>
          <w:numId w:val="36"/>
        </w:numPr>
        <w:spacing w:before="100" w:beforeAutospacing="1" w:after="100" w:afterAutospacing="1"/>
        <w:ind w:left="284"/>
        <w:rPr>
          <w:rFonts w:ascii="Calibri" w:eastAsia="Calibri" w:hAnsi="Calibri"/>
          <w:b/>
          <w:sz w:val="28"/>
          <w:szCs w:val="28"/>
        </w:rPr>
      </w:pPr>
      <w:r w:rsidRPr="000674A1">
        <w:rPr>
          <w:rFonts w:ascii="Calibri" w:eastAsia="Calibri" w:hAnsi="Calibri"/>
          <w:b/>
          <w:sz w:val="28"/>
          <w:szCs w:val="28"/>
        </w:rPr>
        <w:t xml:space="preserve">Derivation of a reference cost </w:t>
      </w:r>
    </w:p>
    <w:p w:rsidR="00460371" w:rsidRPr="00767441" w:rsidRDefault="00460371" w:rsidP="00AD4FFC">
      <w:pPr>
        <w:spacing w:before="100" w:beforeAutospacing="1" w:after="100" w:afterAutospacing="1"/>
        <w:rPr>
          <w:rFonts w:ascii="Calibri" w:eastAsia="Calibri" w:hAnsi="Calibri"/>
          <w:sz w:val="24"/>
        </w:rPr>
      </w:pPr>
      <w:r w:rsidRPr="00767441">
        <w:rPr>
          <w:rFonts w:ascii="Calibri" w:eastAsia="Calibri" w:hAnsi="Calibri"/>
          <w:sz w:val="24"/>
        </w:rPr>
        <w:t xml:space="preserve">The second step in the transformation of cost model to pricing model is the derivation of a reference cost </w:t>
      </w:r>
      <w:r w:rsidR="00F9621D">
        <w:rPr>
          <w:rFonts w:ascii="Calibri" w:eastAsia="Calibri" w:hAnsi="Calibri"/>
          <w:sz w:val="24"/>
        </w:rPr>
        <w:t xml:space="preserve">(or a mean standardised to ensure the measure of an NWAU remains constant over time) </w:t>
      </w:r>
      <w:r w:rsidRPr="00767441">
        <w:rPr>
          <w:rFonts w:ascii="Calibri" w:eastAsia="Calibri" w:hAnsi="Calibri"/>
          <w:sz w:val="24"/>
        </w:rPr>
        <w:t xml:space="preserve">that is used to convert the cost model into a cost weight model. Put </w:t>
      </w:r>
      <w:r w:rsidRPr="0070231B">
        <w:rPr>
          <w:rFonts w:ascii="Calibri" w:eastAsia="Calibri" w:hAnsi="Calibri"/>
          <w:sz w:val="24"/>
          <w:szCs w:val="24"/>
        </w:rPr>
        <w:t>simply</w:t>
      </w:r>
      <w:r w:rsidRPr="00767441">
        <w:rPr>
          <w:rFonts w:ascii="Calibri" w:eastAsia="Calibri" w:hAnsi="Calibri"/>
          <w:sz w:val="24"/>
        </w:rPr>
        <w:t>, the parameters of the cost model are divided by this reference cost, converting the parameters to cost weights.</w:t>
      </w:r>
    </w:p>
    <w:p w:rsidR="00460371" w:rsidRPr="00767441" w:rsidRDefault="00460371" w:rsidP="00AD4FFC">
      <w:pPr>
        <w:spacing w:before="100" w:beforeAutospacing="1" w:after="100" w:afterAutospacing="1"/>
        <w:rPr>
          <w:rFonts w:ascii="Calibri" w:eastAsia="Calibri" w:hAnsi="Calibri"/>
          <w:sz w:val="24"/>
        </w:rPr>
      </w:pPr>
      <w:r w:rsidRPr="00767441">
        <w:rPr>
          <w:rFonts w:ascii="Calibri" w:eastAsia="Calibri" w:hAnsi="Calibri"/>
          <w:sz w:val="24"/>
        </w:rPr>
        <w:t xml:space="preserve">A separate reference cost is derived for each year’s cost model based on the modelled costs of acute admitted activity in-scope for ABF. In particular, this activity excludes the Group 1 out of scope costs discussed in Section </w:t>
      </w:r>
      <w:r w:rsidR="004E443D">
        <w:rPr>
          <w:rFonts w:ascii="Calibri" w:eastAsia="Calibri" w:hAnsi="Calibri"/>
          <w:sz w:val="24"/>
        </w:rPr>
        <w:t>3</w:t>
      </w:r>
      <w:r w:rsidRPr="00767441">
        <w:rPr>
          <w:rFonts w:ascii="Calibri" w:eastAsia="Calibri" w:hAnsi="Calibri"/>
          <w:sz w:val="24"/>
        </w:rPr>
        <w:t>.</w:t>
      </w:r>
    </w:p>
    <w:p w:rsidR="00460371" w:rsidRPr="00767441" w:rsidRDefault="00460371" w:rsidP="00AD4FFC">
      <w:pPr>
        <w:spacing w:before="100" w:beforeAutospacing="1" w:after="100" w:afterAutospacing="1"/>
        <w:rPr>
          <w:rFonts w:ascii="Calibri" w:eastAsia="Calibri" w:hAnsi="Calibri"/>
          <w:sz w:val="24"/>
        </w:rPr>
      </w:pPr>
      <w:r w:rsidRPr="00767441">
        <w:rPr>
          <w:rFonts w:ascii="Calibri" w:eastAsia="Calibri" w:hAnsi="Calibri"/>
          <w:sz w:val="24"/>
        </w:rPr>
        <w:lastRenderedPageBreak/>
        <w:t>The 2009-10 reference cost associated with IHPA’s first National Pricing Model is defined as the mean model cost taken across all 2009</w:t>
      </w:r>
      <w:r w:rsidRPr="00767441">
        <w:rPr>
          <w:rFonts w:ascii="Calibri" w:eastAsia="Calibri" w:hAnsi="Calibri"/>
          <w:sz w:val="24"/>
        </w:rPr>
        <w:noBreakHyphen/>
        <w:t>10 acute admitted activity in-scope for ABF. This mean model cost is $4,260.</w:t>
      </w:r>
    </w:p>
    <w:p w:rsidR="00B97568" w:rsidRPr="00767441" w:rsidRDefault="00B97568" w:rsidP="00AD4FFC">
      <w:pPr>
        <w:spacing w:before="100" w:beforeAutospacing="1" w:after="100" w:afterAutospacing="1"/>
        <w:rPr>
          <w:rFonts w:ascii="Calibri" w:eastAsia="Calibri" w:hAnsi="Calibri"/>
          <w:sz w:val="24"/>
        </w:rPr>
      </w:pPr>
      <w:r w:rsidRPr="00767441">
        <w:rPr>
          <w:rFonts w:ascii="Calibri" w:eastAsia="Calibri" w:hAnsi="Calibri"/>
          <w:sz w:val="24"/>
        </w:rPr>
        <w:t xml:space="preserve">From 2010-11 onward, </w:t>
      </w:r>
      <w:r>
        <w:rPr>
          <w:rFonts w:ascii="Calibri" w:eastAsia="Calibri" w:hAnsi="Calibri"/>
          <w:sz w:val="24"/>
        </w:rPr>
        <w:t xml:space="preserve">the </w:t>
      </w:r>
      <w:r w:rsidRPr="00767441">
        <w:rPr>
          <w:rFonts w:ascii="Calibri" w:eastAsia="Calibri" w:hAnsi="Calibri"/>
          <w:sz w:val="24"/>
        </w:rPr>
        <w:t xml:space="preserve">reference cost is defined so that change in the reference cost over time reflects change in unit costs, excluding any influence of underlying changes in activity profiles between years (i.e. case-mix change). So, the 2010-11 reference cost is defined so that the change from the 2009-10 reference cost represents change in unit costs </w:t>
      </w:r>
      <w:r>
        <w:rPr>
          <w:rFonts w:ascii="Calibri" w:eastAsia="Calibri" w:hAnsi="Calibri"/>
          <w:sz w:val="24"/>
        </w:rPr>
        <w:t xml:space="preserve">of an NWAU </w:t>
      </w:r>
      <w:r w:rsidRPr="00767441">
        <w:rPr>
          <w:rFonts w:ascii="Calibri" w:eastAsia="Calibri" w:hAnsi="Calibri"/>
          <w:sz w:val="24"/>
        </w:rPr>
        <w:t xml:space="preserve">between the 2009-10 and 2010-11 cost models, excluding the effect of any changes in case-mix between 2009-10 and 2010-11. Similarly, the </w:t>
      </w:r>
      <w:r>
        <w:rPr>
          <w:rFonts w:ascii="Calibri" w:eastAsia="Calibri" w:hAnsi="Calibri"/>
          <w:sz w:val="24"/>
        </w:rPr>
        <w:t>2012-13</w:t>
      </w:r>
      <w:r w:rsidRPr="00767441">
        <w:rPr>
          <w:rFonts w:ascii="Calibri" w:eastAsia="Calibri" w:hAnsi="Calibri"/>
          <w:sz w:val="24"/>
        </w:rPr>
        <w:t xml:space="preserve"> reference cost represents the change in unit cost between the 201</w:t>
      </w:r>
      <w:r>
        <w:rPr>
          <w:rFonts w:ascii="Calibri" w:eastAsia="Calibri" w:hAnsi="Calibri"/>
          <w:sz w:val="24"/>
        </w:rPr>
        <w:t>1</w:t>
      </w:r>
      <w:r w:rsidRPr="00767441">
        <w:rPr>
          <w:rFonts w:ascii="Calibri" w:eastAsia="Calibri" w:hAnsi="Calibri"/>
          <w:sz w:val="24"/>
        </w:rPr>
        <w:t>-1</w:t>
      </w:r>
      <w:r>
        <w:rPr>
          <w:rFonts w:ascii="Calibri" w:eastAsia="Calibri" w:hAnsi="Calibri"/>
          <w:sz w:val="24"/>
        </w:rPr>
        <w:t>2</w:t>
      </w:r>
      <w:r w:rsidRPr="00767441">
        <w:rPr>
          <w:rFonts w:ascii="Calibri" w:eastAsia="Calibri" w:hAnsi="Calibri"/>
          <w:sz w:val="24"/>
        </w:rPr>
        <w:t xml:space="preserve"> and </w:t>
      </w:r>
      <w:r>
        <w:rPr>
          <w:rFonts w:ascii="Calibri" w:eastAsia="Calibri" w:hAnsi="Calibri"/>
          <w:sz w:val="24"/>
        </w:rPr>
        <w:t>2012-13</w:t>
      </w:r>
      <w:r w:rsidRPr="00767441">
        <w:rPr>
          <w:rFonts w:ascii="Calibri" w:eastAsia="Calibri" w:hAnsi="Calibri"/>
          <w:sz w:val="24"/>
        </w:rPr>
        <w:t xml:space="preserve"> cost models, excluding the effect of any changes in case-mix between 201</w:t>
      </w:r>
      <w:r>
        <w:rPr>
          <w:rFonts w:ascii="Calibri" w:eastAsia="Calibri" w:hAnsi="Calibri"/>
          <w:sz w:val="24"/>
        </w:rPr>
        <w:t>1</w:t>
      </w:r>
      <w:r w:rsidRPr="00767441">
        <w:rPr>
          <w:rFonts w:ascii="Calibri" w:eastAsia="Calibri" w:hAnsi="Calibri"/>
          <w:sz w:val="24"/>
        </w:rPr>
        <w:t>-1</w:t>
      </w:r>
      <w:r>
        <w:rPr>
          <w:rFonts w:ascii="Calibri" w:eastAsia="Calibri" w:hAnsi="Calibri"/>
          <w:sz w:val="24"/>
        </w:rPr>
        <w:t>2</w:t>
      </w:r>
      <w:r w:rsidRPr="00767441">
        <w:rPr>
          <w:rFonts w:ascii="Calibri" w:eastAsia="Calibri" w:hAnsi="Calibri"/>
          <w:sz w:val="24"/>
        </w:rPr>
        <w:t xml:space="preserve"> and </w:t>
      </w:r>
      <w:r>
        <w:rPr>
          <w:rFonts w:ascii="Calibri" w:eastAsia="Calibri" w:hAnsi="Calibri"/>
          <w:sz w:val="24"/>
        </w:rPr>
        <w:t>2012-13</w:t>
      </w:r>
      <w:r w:rsidRPr="00767441">
        <w:rPr>
          <w:rFonts w:ascii="Calibri" w:eastAsia="Calibri" w:hAnsi="Calibri"/>
          <w:sz w:val="24"/>
        </w:rPr>
        <w:t>.</w:t>
      </w:r>
    </w:p>
    <w:p w:rsidR="00460371" w:rsidRPr="00767441" w:rsidRDefault="00460371" w:rsidP="00AD4FFC">
      <w:pPr>
        <w:spacing w:before="100" w:beforeAutospacing="1" w:after="100" w:afterAutospacing="1"/>
        <w:rPr>
          <w:rFonts w:ascii="Calibri" w:eastAsia="Calibri" w:hAnsi="Calibri"/>
          <w:sz w:val="24"/>
        </w:rPr>
      </w:pPr>
      <w:r w:rsidRPr="00767441">
        <w:rPr>
          <w:rFonts w:ascii="Calibri" w:eastAsia="Calibri" w:hAnsi="Calibri"/>
          <w:sz w:val="24"/>
        </w:rPr>
        <w:t xml:space="preserve">To exclude the external effects of case-mix change between years, the two cost models are compared by first applying them to a common set of activity, namely </w:t>
      </w:r>
      <w:r w:rsidR="00B94FB5">
        <w:rPr>
          <w:rFonts w:ascii="Calibri" w:eastAsia="Calibri" w:hAnsi="Calibri"/>
          <w:sz w:val="24"/>
        </w:rPr>
        <w:t>2012-13</w:t>
      </w:r>
      <w:r w:rsidRPr="00767441">
        <w:rPr>
          <w:rFonts w:ascii="Calibri" w:eastAsia="Calibri" w:hAnsi="Calibri"/>
          <w:sz w:val="24"/>
        </w:rPr>
        <w:t xml:space="preserve"> acute admitted activity in-scope for ABF. Once applied to this activity, the resulting pair of mean model costs is calculated, and the change between the two cost models is defined as the change in these two mean values. This is referred to as the standardised change in cost models, with the associated growth referred to as the standardised growth rate. In other words, the growth between the 201</w:t>
      </w:r>
      <w:r w:rsidR="00F9621D">
        <w:rPr>
          <w:rFonts w:ascii="Calibri" w:eastAsia="Calibri" w:hAnsi="Calibri"/>
          <w:sz w:val="24"/>
        </w:rPr>
        <w:t>1</w:t>
      </w:r>
      <w:r w:rsidRPr="00767441">
        <w:rPr>
          <w:rFonts w:ascii="Calibri" w:eastAsia="Calibri" w:hAnsi="Calibri"/>
          <w:sz w:val="24"/>
        </w:rPr>
        <w:noBreakHyphen/>
        <w:t>1</w:t>
      </w:r>
      <w:r w:rsidR="00F9621D">
        <w:rPr>
          <w:rFonts w:ascii="Calibri" w:eastAsia="Calibri" w:hAnsi="Calibri"/>
          <w:sz w:val="24"/>
        </w:rPr>
        <w:t>2</w:t>
      </w:r>
      <w:r w:rsidRPr="00767441">
        <w:rPr>
          <w:rFonts w:ascii="Calibri" w:eastAsia="Calibri" w:hAnsi="Calibri"/>
          <w:sz w:val="24"/>
        </w:rPr>
        <w:t xml:space="preserve"> and </w:t>
      </w:r>
      <w:r w:rsidR="00B94FB5">
        <w:rPr>
          <w:rFonts w:ascii="Calibri" w:eastAsia="Calibri" w:hAnsi="Calibri"/>
          <w:sz w:val="24"/>
        </w:rPr>
        <w:t>2012-13</w:t>
      </w:r>
      <w:r w:rsidRPr="00767441">
        <w:rPr>
          <w:rFonts w:ascii="Calibri" w:eastAsia="Calibri" w:hAnsi="Calibri"/>
          <w:sz w:val="24"/>
        </w:rPr>
        <w:t xml:space="preserve"> cost models is standardised against </w:t>
      </w:r>
      <w:r w:rsidR="00B94FB5">
        <w:rPr>
          <w:rFonts w:ascii="Calibri" w:eastAsia="Calibri" w:hAnsi="Calibri"/>
          <w:sz w:val="24"/>
        </w:rPr>
        <w:t>2012-13</w:t>
      </w:r>
      <w:r w:rsidRPr="00767441">
        <w:rPr>
          <w:rFonts w:ascii="Calibri" w:eastAsia="Calibri" w:hAnsi="Calibri"/>
          <w:sz w:val="24"/>
        </w:rPr>
        <w:t xml:space="preserve"> activity.</w:t>
      </w:r>
    </w:p>
    <w:p w:rsidR="00460371" w:rsidRPr="00767441" w:rsidRDefault="00200D1A" w:rsidP="00AD4FFC">
      <w:pPr>
        <w:spacing w:before="100" w:beforeAutospacing="1" w:after="100" w:afterAutospacing="1"/>
        <w:rPr>
          <w:rFonts w:ascii="Calibri" w:eastAsia="Calibri" w:hAnsi="Calibri"/>
          <w:sz w:val="24"/>
        </w:rPr>
      </w:pPr>
      <w:r>
        <w:rPr>
          <w:rFonts w:ascii="Calibri" w:eastAsia="Calibri" w:hAnsi="Calibri"/>
          <w:sz w:val="24"/>
        </w:rPr>
        <w:t xml:space="preserve">Table 1 </w:t>
      </w:r>
      <w:r w:rsidR="00460371" w:rsidRPr="00767441">
        <w:rPr>
          <w:rFonts w:ascii="Calibri" w:eastAsia="Calibri" w:hAnsi="Calibri"/>
          <w:sz w:val="24"/>
        </w:rPr>
        <w:t xml:space="preserve">shows the mean model costs of each model based on their application to the </w:t>
      </w:r>
      <w:r w:rsidR="00053234">
        <w:rPr>
          <w:rFonts w:ascii="Calibri" w:eastAsia="Calibri" w:hAnsi="Calibri"/>
          <w:sz w:val="24"/>
        </w:rPr>
        <w:t>2012</w:t>
      </w:r>
      <w:r w:rsidR="00053234">
        <w:rPr>
          <w:rFonts w:ascii="Calibri" w:eastAsia="Calibri" w:hAnsi="Calibri"/>
          <w:sz w:val="24"/>
        </w:rPr>
        <w:noBreakHyphen/>
      </w:r>
      <w:r w:rsidR="00B94FB5">
        <w:rPr>
          <w:rFonts w:ascii="Calibri" w:eastAsia="Calibri" w:hAnsi="Calibri"/>
          <w:sz w:val="24"/>
        </w:rPr>
        <w:t>13</w:t>
      </w:r>
      <w:r w:rsidR="00460371" w:rsidRPr="00767441">
        <w:rPr>
          <w:rFonts w:ascii="Calibri" w:eastAsia="Calibri" w:hAnsi="Calibri"/>
          <w:sz w:val="24"/>
        </w:rPr>
        <w:t xml:space="preserve"> ABF activity along with the resulting standardised growth rate.</w:t>
      </w:r>
    </w:p>
    <w:p w:rsidR="00053234" w:rsidRPr="00664156" w:rsidRDefault="00053234" w:rsidP="00664156">
      <w:pPr>
        <w:keepNext/>
        <w:spacing w:before="100" w:beforeAutospacing="1"/>
        <w:rPr>
          <w:rFonts w:ascii="Calibri" w:eastAsia="Calibri" w:hAnsi="Calibri"/>
          <w:b/>
          <w:bCs/>
        </w:rPr>
      </w:pPr>
      <w:r w:rsidRPr="00664156">
        <w:rPr>
          <w:rFonts w:ascii="Calibri" w:eastAsia="Calibri" w:hAnsi="Calibri"/>
          <w:b/>
          <w:bCs/>
        </w:rPr>
        <w:t>Table 1: Mean model costs when each cost model is applied to 2012-13 in-scope acute admitted activity data, and resulting standardised growth rate</w:t>
      </w:r>
    </w:p>
    <w:tbl>
      <w:tblPr>
        <w:tblStyle w:val="TableGrid10"/>
        <w:tblW w:w="0" w:type="auto"/>
        <w:tblInd w:w="108" w:type="dxa"/>
        <w:tblLook w:val="04A0" w:firstRow="1" w:lastRow="0" w:firstColumn="1" w:lastColumn="0" w:noHBand="0" w:noVBand="1"/>
        <w:tblDescription w:val="A summary of table 1 is outlined in the text prior to this table."/>
      </w:tblPr>
      <w:tblGrid>
        <w:gridCol w:w="2269"/>
        <w:gridCol w:w="2269"/>
        <w:gridCol w:w="2941"/>
      </w:tblGrid>
      <w:tr w:rsidR="00053234" w:rsidRPr="00767441" w:rsidTr="00664156">
        <w:trPr>
          <w:tblHeader/>
        </w:trPr>
        <w:tc>
          <w:tcPr>
            <w:tcW w:w="2269" w:type="dxa"/>
            <w:shd w:val="clear" w:color="auto" w:fill="BFBFBF" w:themeFill="background1" w:themeFillShade="BF"/>
          </w:tcPr>
          <w:p w:rsidR="00053234" w:rsidRPr="001322FE" w:rsidRDefault="00053234" w:rsidP="001322FE">
            <w:pPr>
              <w:spacing w:before="60" w:after="60"/>
              <w:jc w:val="center"/>
              <w:rPr>
                <w:rFonts w:ascii="Calibri" w:hAnsi="Calibri"/>
                <w:b/>
                <w:sz w:val="22"/>
              </w:rPr>
            </w:pPr>
            <w:r w:rsidRPr="001322FE">
              <w:rPr>
                <w:rFonts w:ascii="Calibri" w:hAnsi="Calibri"/>
                <w:b/>
                <w:sz w:val="22"/>
              </w:rPr>
              <w:t>2011-12 cost model</w:t>
            </w:r>
          </w:p>
        </w:tc>
        <w:tc>
          <w:tcPr>
            <w:tcW w:w="2269" w:type="dxa"/>
            <w:shd w:val="clear" w:color="auto" w:fill="BFBFBF" w:themeFill="background1" w:themeFillShade="BF"/>
          </w:tcPr>
          <w:p w:rsidR="00053234" w:rsidRPr="001322FE" w:rsidRDefault="00053234" w:rsidP="001322FE">
            <w:pPr>
              <w:spacing w:before="60" w:after="60"/>
              <w:jc w:val="center"/>
              <w:rPr>
                <w:rFonts w:ascii="Calibri" w:hAnsi="Calibri"/>
                <w:b/>
                <w:sz w:val="22"/>
              </w:rPr>
            </w:pPr>
            <w:r w:rsidRPr="001322FE">
              <w:rPr>
                <w:rFonts w:ascii="Calibri" w:hAnsi="Calibri"/>
                <w:b/>
                <w:sz w:val="22"/>
              </w:rPr>
              <w:t>2012-13 cost model</w:t>
            </w:r>
          </w:p>
        </w:tc>
        <w:tc>
          <w:tcPr>
            <w:tcW w:w="2941" w:type="dxa"/>
            <w:shd w:val="clear" w:color="auto" w:fill="BFBFBF" w:themeFill="background1" w:themeFillShade="BF"/>
          </w:tcPr>
          <w:p w:rsidR="00053234" w:rsidRPr="001322FE" w:rsidRDefault="00053234" w:rsidP="001322FE">
            <w:pPr>
              <w:spacing w:before="60" w:after="60"/>
              <w:jc w:val="center"/>
              <w:rPr>
                <w:rFonts w:ascii="Calibri" w:hAnsi="Calibri"/>
                <w:b/>
                <w:sz w:val="22"/>
              </w:rPr>
            </w:pPr>
            <w:r w:rsidRPr="001322FE">
              <w:rPr>
                <w:rFonts w:ascii="Calibri" w:hAnsi="Calibri"/>
                <w:b/>
                <w:sz w:val="22"/>
              </w:rPr>
              <w:t>Standardised growth rate</w:t>
            </w:r>
          </w:p>
        </w:tc>
      </w:tr>
      <w:tr w:rsidR="00D028D9" w:rsidRPr="00767441" w:rsidTr="00664156">
        <w:tc>
          <w:tcPr>
            <w:tcW w:w="2269" w:type="dxa"/>
          </w:tcPr>
          <w:p w:rsidR="00D028D9" w:rsidRPr="001322FE" w:rsidRDefault="00D028D9" w:rsidP="001322FE">
            <w:pPr>
              <w:spacing w:before="60" w:after="60"/>
              <w:jc w:val="center"/>
              <w:rPr>
                <w:rFonts w:ascii="Calibri" w:hAnsi="Calibri"/>
                <w:sz w:val="22"/>
              </w:rPr>
            </w:pPr>
            <w:r w:rsidRPr="001322FE">
              <w:rPr>
                <w:rFonts w:ascii="Calibri" w:hAnsi="Calibri"/>
                <w:sz w:val="22"/>
              </w:rPr>
              <w:t>$4,556</w:t>
            </w:r>
          </w:p>
        </w:tc>
        <w:tc>
          <w:tcPr>
            <w:tcW w:w="2269" w:type="dxa"/>
          </w:tcPr>
          <w:p w:rsidR="00D028D9" w:rsidRPr="001322FE" w:rsidRDefault="00D028D9" w:rsidP="001322FE">
            <w:pPr>
              <w:spacing w:before="60" w:after="60"/>
              <w:jc w:val="center"/>
              <w:rPr>
                <w:rFonts w:ascii="Calibri" w:hAnsi="Calibri"/>
                <w:sz w:val="22"/>
              </w:rPr>
            </w:pPr>
            <w:r w:rsidRPr="009B622C">
              <w:rPr>
                <w:rFonts w:ascii="Calibri" w:hAnsi="Calibri"/>
              </w:rPr>
              <w:t>$4643</w:t>
            </w:r>
          </w:p>
        </w:tc>
        <w:tc>
          <w:tcPr>
            <w:tcW w:w="2941" w:type="dxa"/>
          </w:tcPr>
          <w:p w:rsidR="00D028D9" w:rsidRPr="001322FE" w:rsidRDefault="00D028D9" w:rsidP="001322FE">
            <w:pPr>
              <w:spacing w:before="60" w:after="60"/>
              <w:jc w:val="center"/>
              <w:rPr>
                <w:rFonts w:ascii="Calibri" w:hAnsi="Calibri"/>
                <w:sz w:val="22"/>
              </w:rPr>
            </w:pPr>
            <w:r w:rsidRPr="009B622C">
              <w:rPr>
                <w:rFonts w:ascii="Calibri" w:hAnsi="Calibri"/>
              </w:rPr>
              <w:t>1.9%</w:t>
            </w:r>
          </w:p>
        </w:tc>
      </w:tr>
    </w:tbl>
    <w:p w:rsidR="00053234" w:rsidRDefault="00053234" w:rsidP="00AD4FFC">
      <w:pPr>
        <w:spacing w:before="100" w:beforeAutospacing="1"/>
        <w:rPr>
          <w:rFonts w:ascii="Calibri" w:eastAsia="Calibri" w:hAnsi="Calibri"/>
          <w:sz w:val="24"/>
        </w:rPr>
      </w:pPr>
      <w:r w:rsidRPr="00767441">
        <w:rPr>
          <w:rFonts w:ascii="Calibri" w:eastAsia="Calibri" w:hAnsi="Calibri"/>
          <w:sz w:val="24"/>
        </w:rPr>
        <w:t xml:space="preserve">Finally, the </w:t>
      </w:r>
      <w:r>
        <w:rPr>
          <w:rFonts w:ascii="Calibri" w:eastAsia="Calibri" w:hAnsi="Calibri"/>
          <w:sz w:val="24"/>
        </w:rPr>
        <w:t>2012-13</w:t>
      </w:r>
      <w:r w:rsidRPr="00767441">
        <w:rPr>
          <w:rFonts w:ascii="Calibri" w:eastAsia="Calibri" w:hAnsi="Calibri"/>
          <w:sz w:val="24"/>
        </w:rPr>
        <w:t xml:space="preserve"> reference cost is defined as the 201</w:t>
      </w:r>
      <w:r w:rsidR="00D028D9">
        <w:rPr>
          <w:rFonts w:ascii="Calibri" w:eastAsia="Calibri" w:hAnsi="Calibri"/>
          <w:sz w:val="24"/>
        </w:rPr>
        <w:t>1</w:t>
      </w:r>
      <w:r w:rsidRPr="00767441">
        <w:rPr>
          <w:rFonts w:ascii="Calibri" w:eastAsia="Calibri" w:hAnsi="Calibri"/>
          <w:sz w:val="24"/>
        </w:rPr>
        <w:t>-1</w:t>
      </w:r>
      <w:r w:rsidR="00D028D9">
        <w:rPr>
          <w:rFonts w:ascii="Calibri" w:eastAsia="Calibri" w:hAnsi="Calibri"/>
          <w:sz w:val="24"/>
        </w:rPr>
        <w:t>2</w:t>
      </w:r>
      <w:r w:rsidRPr="00767441">
        <w:rPr>
          <w:rFonts w:ascii="Calibri" w:eastAsia="Calibri" w:hAnsi="Calibri"/>
          <w:sz w:val="24"/>
        </w:rPr>
        <w:t xml:space="preserve"> reference cost indexed by the sta</w:t>
      </w:r>
      <w:r>
        <w:rPr>
          <w:rFonts w:ascii="Calibri" w:eastAsia="Calibri" w:hAnsi="Calibri"/>
          <w:sz w:val="24"/>
        </w:rPr>
        <w:t xml:space="preserve">ndardised growth rate; that is, </w:t>
      </w:r>
      <w:r w:rsidRPr="00CB6085">
        <w:rPr>
          <w:rFonts w:ascii="Calibri" w:eastAsia="Calibri" w:hAnsi="Calibri"/>
          <w:sz w:val="24"/>
          <w:szCs w:val="24"/>
        </w:rPr>
        <w:t xml:space="preserve">the </w:t>
      </w:r>
      <w:r>
        <w:rPr>
          <w:rFonts w:ascii="Calibri" w:hAnsi="Calibri"/>
          <w:sz w:val="24"/>
          <w:szCs w:val="24"/>
        </w:rPr>
        <w:t>2012-13</w:t>
      </w:r>
      <w:r w:rsidRPr="00CB6085">
        <w:rPr>
          <w:rFonts w:ascii="Calibri" w:hAnsi="Calibri"/>
          <w:sz w:val="24"/>
          <w:szCs w:val="24"/>
        </w:rPr>
        <w:t xml:space="preserve"> reference cost:</w:t>
      </w:r>
    </w:p>
    <w:p w:rsidR="00053234" w:rsidRPr="000B14F1" w:rsidRDefault="00053234" w:rsidP="00AD4FFC">
      <w:pPr>
        <w:spacing w:before="120"/>
        <w:ind w:left="2880"/>
        <w:rPr>
          <w:rFonts w:ascii="Calibri" w:eastAsia="Calibri" w:hAnsi="Calibri"/>
          <w:sz w:val="24"/>
        </w:rPr>
      </w:pPr>
      <w:r w:rsidRPr="000B14F1">
        <w:rPr>
          <w:rFonts w:ascii="Calibri" w:hAnsi="Calibri"/>
        </w:rPr>
        <w:t>= (2011-12 reference cost) × (standardised growth rate)</w:t>
      </w:r>
    </w:p>
    <w:p w:rsidR="00053234" w:rsidRPr="000B14F1" w:rsidRDefault="00053234" w:rsidP="00AD4FFC">
      <w:pPr>
        <w:ind w:left="2880"/>
        <w:rPr>
          <w:rFonts w:ascii="Calibri" w:hAnsi="Calibri"/>
        </w:rPr>
      </w:pPr>
      <w:r w:rsidRPr="000B14F1">
        <w:rPr>
          <w:rFonts w:ascii="Calibri" w:hAnsi="Calibri"/>
        </w:rPr>
        <w:t>= $4,464 × 101.</w:t>
      </w:r>
      <w:r w:rsidR="00D028D9">
        <w:rPr>
          <w:rFonts w:ascii="Calibri" w:hAnsi="Calibri"/>
        </w:rPr>
        <w:t>9</w:t>
      </w:r>
      <w:r w:rsidRPr="000B14F1">
        <w:rPr>
          <w:rFonts w:ascii="Calibri" w:hAnsi="Calibri"/>
        </w:rPr>
        <w:t>%</w:t>
      </w:r>
    </w:p>
    <w:p w:rsidR="00053234" w:rsidRPr="000B14F1" w:rsidRDefault="00053234" w:rsidP="00AD4FFC">
      <w:pPr>
        <w:ind w:left="2880"/>
        <w:rPr>
          <w:rFonts w:ascii="Calibri" w:hAnsi="Calibri"/>
        </w:rPr>
      </w:pPr>
      <w:r w:rsidRPr="000B14F1">
        <w:rPr>
          <w:rFonts w:ascii="Calibri" w:hAnsi="Calibri"/>
        </w:rPr>
        <w:t>= $4,5</w:t>
      </w:r>
      <w:r w:rsidR="00D028D9">
        <w:rPr>
          <w:rFonts w:ascii="Calibri" w:hAnsi="Calibri"/>
        </w:rPr>
        <w:t>49</w:t>
      </w:r>
    </w:p>
    <w:p w:rsidR="00053234" w:rsidRDefault="00053234" w:rsidP="00AD4FFC">
      <w:pPr>
        <w:spacing w:before="100" w:beforeAutospacing="1" w:after="100" w:afterAutospacing="1"/>
        <w:rPr>
          <w:rFonts w:ascii="Calibri" w:eastAsia="Calibri" w:hAnsi="Calibri"/>
          <w:sz w:val="24"/>
        </w:rPr>
      </w:pPr>
      <w:r w:rsidRPr="00767441">
        <w:rPr>
          <w:rFonts w:ascii="Calibri" w:eastAsia="Calibri" w:hAnsi="Calibri"/>
          <w:sz w:val="24"/>
        </w:rPr>
        <w:t>Both 201</w:t>
      </w:r>
      <w:r>
        <w:rPr>
          <w:rFonts w:ascii="Calibri" w:eastAsia="Calibri" w:hAnsi="Calibri"/>
          <w:sz w:val="24"/>
        </w:rPr>
        <w:t>1</w:t>
      </w:r>
      <w:r w:rsidRPr="00767441">
        <w:rPr>
          <w:rFonts w:ascii="Calibri" w:eastAsia="Calibri" w:hAnsi="Calibri"/>
          <w:sz w:val="24"/>
        </w:rPr>
        <w:t>-1</w:t>
      </w:r>
      <w:r w:rsidR="00D028D9">
        <w:rPr>
          <w:rFonts w:ascii="Calibri" w:eastAsia="Calibri" w:hAnsi="Calibri"/>
          <w:sz w:val="24"/>
        </w:rPr>
        <w:t>2</w:t>
      </w:r>
      <w:r w:rsidRPr="00767441">
        <w:rPr>
          <w:rFonts w:ascii="Calibri" w:eastAsia="Calibri" w:hAnsi="Calibri"/>
          <w:sz w:val="24"/>
        </w:rPr>
        <w:t xml:space="preserve"> and </w:t>
      </w:r>
      <w:r>
        <w:rPr>
          <w:rFonts w:ascii="Calibri" w:eastAsia="Calibri" w:hAnsi="Calibri"/>
          <w:sz w:val="24"/>
        </w:rPr>
        <w:t>2012-13</w:t>
      </w:r>
      <w:r w:rsidRPr="00767441">
        <w:rPr>
          <w:rFonts w:ascii="Calibri" w:eastAsia="Calibri" w:hAnsi="Calibri"/>
          <w:sz w:val="24"/>
        </w:rPr>
        <w:t xml:space="preserve"> reference costs are given in</w:t>
      </w:r>
      <w:r>
        <w:rPr>
          <w:rFonts w:ascii="Calibri" w:eastAsia="Calibri" w:hAnsi="Calibri"/>
          <w:sz w:val="24"/>
        </w:rPr>
        <w:t xml:space="preserve"> Table 2.</w:t>
      </w:r>
    </w:p>
    <w:p w:rsidR="000B14F1" w:rsidRDefault="000B14F1">
      <w:pPr>
        <w:spacing w:after="200" w:line="276" w:lineRule="auto"/>
        <w:rPr>
          <w:rFonts w:ascii="Calibri" w:eastAsia="Calibri" w:hAnsi="Calibri"/>
          <w:b/>
          <w:bCs/>
        </w:rPr>
      </w:pPr>
      <w:r>
        <w:rPr>
          <w:rFonts w:ascii="Calibri" w:eastAsia="Calibri" w:hAnsi="Calibri"/>
          <w:b/>
          <w:bCs/>
        </w:rPr>
        <w:br w:type="page"/>
      </w:r>
    </w:p>
    <w:p w:rsidR="00053234" w:rsidRPr="00664156" w:rsidRDefault="00053234" w:rsidP="00664156">
      <w:pPr>
        <w:keepNext/>
        <w:spacing w:before="100" w:beforeAutospacing="1"/>
        <w:rPr>
          <w:rFonts w:ascii="Calibri" w:eastAsia="Calibri" w:hAnsi="Calibri"/>
          <w:b/>
          <w:bCs/>
        </w:rPr>
      </w:pPr>
      <w:r w:rsidRPr="00664156">
        <w:rPr>
          <w:rFonts w:ascii="Calibri" w:eastAsia="Calibri" w:hAnsi="Calibri"/>
          <w:b/>
          <w:bCs/>
        </w:rPr>
        <w:lastRenderedPageBreak/>
        <w:t>Table 2: Reference costs for 2011-12 and 2012-13 cost models</w:t>
      </w:r>
    </w:p>
    <w:tbl>
      <w:tblPr>
        <w:tblStyle w:val="TableGrid10"/>
        <w:tblW w:w="0" w:type="auto"/>
        <w:tblInd w:w="108" w:type="dxa"/>
        <w:tblLook w:val="04A0" w:firstRow="1" w:lastRow="0" w:firstColumn="1" w:lastColumn="0" w:noHBand="0" w:noVBand="1"/>
        <w:tblDescription w:val="A summary of table 2 is outlined in the text prior to this table."/>
      </w:tblPr>
      <w:tblGrid>
        <w:gridCol w:w="2268"/>
        <w:gridCol w:w="2268"/>
      </w:tblGrid>
      <w:tr w:rsidR="00053234" w:rsidRPr="00767441" w:rsidTr="001322FE">
        <w:trPr>
          <w:tblHeader/>
        </w:trPr>
        <w:tc>
          <w:tcPr>
            <w:tcW w:w="2268" w:type="dxa"/>
            <w:shd w:val="clear" w:color="auto" w:fill="BFBFBF" w:themeFill="background1" w:themeFillShade="BF"/>
          </w:tcPr>
          <w:p w:rsidR="00053234" w:rsidRPr="001322FE" w:rsidRDefault="00053234" w:rsidP="001322FE">
            <w:pPr>
              <w:spacing w:before="60" w:after="60"/>
              <w:jc w:val="center"/>
              <w:rPr>
                <w:rFonts w:ascii="Calibri" w:hAnsi="Calibri"/>
                <w:b/>
                <w:sz w:val="22"/>
              </w:rPr>
            </w:pPr>
            <w:r w:rsidRPr="001322FE">
              <w:rPr>
                <w:rFonts w:ascii="Calibri" w:hAnsi="Calibri"/>
                <w:b/>
                <w:sz w:val="22"/>
              </w:rPr>
              <w:t>2011-12</w:t>
            </w:r>
            <w:r w:rsidR="001322FE">
              <w:rPr>
                <w:rFonts w:ascii="Calibri" w:hAnsi="Calibri"/>
                <w:b/>
                <w:sz w:val="22"/>
              </w:rPr>
              <w:t xml:space="preserve"> cost model </w:t>
            </w:r>
          </w:p>
        </w:tc>
        <w:tc>
          <w:tcPr>
            <w:tcW w:w="2268" w:type="dxa"/>
            <w:shd w:val="clear" w:color="auto" w:fill="BFBFBF" w:themeFill="background1" w:themeFillShade="BF"/>
          </w:tcPr>
          <w:p w:rsidR="00053234" w:rsidRPr="001322FE" w:rsidRDefault="00053234" w:rsidP="001322FE">
            <w:pPr>
              <w:spacing w:before="60" w:after="60"/>
              <w:jc w:val="center"/>
              <w:rPr>
                <w:rFonts w:ascii="Calibri" w:hAnsi="Calibri"/>
                <w:b/>
                <w:sz w:val="22"/>
              </w:rPr>
            </w:pPr>
            <w:r w:rsidRPr="001322FE">
              <w:rPr>
                <w:rFonts w:ascii="Calibri" w:hAnsi="Calibri"/>
                <w:b/>
                <w:sz w:val="22"/>
              </w:rPr>
              <w:t>2012-13</w:t>
            </w:r>
            <w:r w:rsidR="001322FE">
              <w:rPr>
                <w:rFonts w:ascii="Calibri" w:hAnsi="Calibri"/>
                <w:b/>
                <w:sz w:val="22"/>
              </w:rPr>
              <w:t xml:space="preserve"> cost model </w:t>
            </w:r>
          </w:p>
        </w:tc>
      </w:tr>
      <w:tr w:rsidR="00053234" w:rsidRPr="00767441" w:rsidTr="001322FE">
        <w:tc>
          <w:tcPr>
            <w:tcW w:w="2268" w:type="dxa"/>
          </w:tcPr>
          <w:p w:rsidR="00053234" w:rsidRPr="001322FE" w:rsidRDefault="00053234" w:rsidP="001322FE">
            <w:pPr>
              <w:spacing w:before="60" w:after="60"/>
              <w:jc w:val="center"/>
              <w:rPr>
                <w:rFonts w:ascii="Calibri" w:hAnsi="Calibri"/>
                <w:sz w:val="22"/>
              </w:rPr>
            </w:pPr>
            <w:r w:rsidRPr="001322FE">
              <w:rPr>
                <w:rFonts w:ascii="Calibri" w:hAnsi="Calibri"/>
                <w:sz w:val="22"/>
              </w:rPr>
              <w:t>$4,464</w:t>
            </w:r>
          </w:p>
        </w:tc>
        <w:tc>
          <w:tcPr>
            <w:tcW w:w="2268" w:type="dxa"/>
          </w:tcPr>
          <w:p w:rsidR="00053234" w:rsidRPr="001322FE" w:rsidRDefault="00053234" w:rsidP="001322FE">
            <w:pPr>
              <w:spacing w:before="60" w:after="60"/>
              <w:jc w:val="center"/>
              <w:rPr>
                <w:rFonts w:ascii="Calibri" w:hAnsi="Calibri"/>
                <w:sz w:val="22"/>
              </w:rPr>
            </w:pPr>
            <w:r w:rsidRPr="001322FE">
              <w:rPr>
                <w:rFonts w:ascii="Calibri" w:hAnsi="Calibri"/>
                <w:sz w:val="22"/>
              </w:rPr>
              <w:t>$4</w:t>
            </w:r>
            <w:r w:rsidR="001322FE">
              <w:rPr>
                <w:rFonts w:ascii="Calibri" w:hAnsi="Calibri"/>
                <w:sz w:val="22"/>
              </w:rPr>
              <w:t>,</w:t>
            </w:r>
            <w:r w:rsidRPr="001322FE">
              <w:rPr>
                <w:rFonts w:ascii="Calibri" w:hAnsi="Calibri"/>
                <w:sz w:val="22"/>
              </w:rPr>
              <w:t>5</w:t>
            </w:r>
            <w:r w:rsidR="00D028D9">
              <w:rPr>
                <w:rFonts w:ascii="Calibri" w:hAnsi="Calibri"/>
                <w:sz w:val="22"/>
              </w:rPr>
              <w:t>49</w:t>
            </w:r>
          </w:p>
        </w:tc>
      </w:tr>
    </w:tbl>
    <w:p w:rsidR="00374D3A" w:rsidRDefault="00053234" w:rsidP="00374D3A">
      <w:pPr>
        <w:spacing w:before="100" w:beforeAutospacing="1" w:after="100" w:afterAutospacing="1"/>
        <w:rPr>
          <w:rFonts w:ascii="Calibri" w:eastAsia="Calibri" w:hAnsi="Calibri"/>
          <w:sz w:val="24"/>
        </w:rPr>
      </w:pPr>
      <w:r w:rsidRPr="00767441">
        <w:rPr>
          <w:rFonts w:ascii="Calibri" w:eastAsia="Calibri" w:hAnsi="Calibri"/>
          <w:sz w:val="24"/>
        </w:rPr>
        <w:t xml:space="preserve">The conversion of the </w:t>
      </w:r>
      <w:r>
        <w:rPr>
          <w:rFonts w:ascii="Calibri" w:eastAsia="Calibri" w:hAnsi="Calibri"/>
          <w:sz w:val="24"/>
        </w:rPr>
        <w:t>2012-13</w:t>
      </w:r>
      <w:r w:rsidRPr="00767441">
        <w:rPr>
          <w:rFonts w:ascii="Calibri" w:eastAsia="Calibri" w:hAnsi="Calibri"/>
          <w:sz w:val="24"/>
        </w:rPr>
        <w:t xml:space="preserve"> unadjusted mean model cost given in </w:t>
      </w:r>
      <w:r>
        <w:rPr>
          <w:rFonts w:ascii="Calibri" w:eastAsia="Calibri" w:hAnsi="Calibri"/>
          <w:sz w:val="24"/>
        </w:rPr>
        <w:t xml:space="preserve">Table 1 </w:t>
      </w:r>
      <w:r w:rsidRPr="00767441">
        <w:rPr>
          <w:rFonts w:ascii="Calibri" w:eastAsia="Calibri" w:hAnsi="Calibri"/>
          <w:sz w:val="24"/>
        </w:rPr>
        <w:t xml:space="preserve">to the </w:t>
      </w:r>
      <w:r>
        <w:rPr>
          <w:rFonts w:ascii="Calibri" w:eastAsia="Calibri" w:hAnsi="Calibri"/>
          <w:sz w:val="24"/>
        </w:rPr>
        <w:t>2012-13</w:t>
      </w:r>
      <w:r w:rsidRPr="00767441">
        <w:rPr>
          <w:rFonts w:ascii="Calibri" w:eastAsia="Calibri" w:hAnsi="Calibri"/>
          <w:sz w:val="24"/>
        </w:rPr>
        <w:t xml:space="preserve"> reference cost given in </w:t>
      </w:r>
      <w:r>
        <w:rPr>
          <w:rFonts w:ascii="Calibri" w:eastAsia="Calibri" w:hAnsi="Calibri"/>
          <w:sz w:val="24"/>
        </w:rPr>
        <w:t xml:space="preserve">Table 2 </w:t>
      </w:r>
      <w:r w:rsidRPr="00767441">
        <w:rPr>
          <w:rFonts w:ascii="Calibri" w:eastAsia="Calibri" w:hAnsi="Calibri"/>
          <w:sz w:val="24"/>
        </w:rPr>
        <w:t>(i.e. $4,</w:t>
      </w:r>
      <w:r>
        <w:rPr>
          <w:rFonts w:ascii="Calibri" w:eastAsia="Calibri" w:hAnsi="Calibri"/>
          <w:sz w:val="24"/>
        </w:rPr>
        <w:t>6</w:t>
      </w:r>
      <w:r w:rsidR="00D028D9">
        <w:rPr>
          <w:rFonts w:ascii="Calibri" w:eastAsia="Calibri" w:hAnsi="Calibri"/>
          <w:sz w:val="24"/>
        </w:rPr>
        <w:t>43</w:t>
      </w:r>
      <w:r w:rsidRPr="00767441">
        <w:rPr>
          <w:rFonts w:ascii="Calibri" w:eastAsia="Calibri" w:hAnsi="Calibri"/>
          <w:sz w:val="24"/>
        </w:rPr>
        <w:t>→$4,</w:t>
      </w:r>
      <w:r>
        <w:rPr>
          <w:rFonts w:ascii="Calibri" w:eastAsia="Calibri" w:hAnsi="Calibri"/>
          <w:sz w:val="24"/>
        </w:rPr>
        <w:t>5</w:t>
      </w:r>
      <w:r w:rsidR="00D028D9">
        <w:rPr>
          <w:rFonts w:ascii="Calibri" w:eastAsia="Calibri" w:hAnsi="Calibri"/>
          <w:sz w:val="24"/>
        </w:rPr>
        <w:t>49</w:t>
      </w:r>
      <w:r w:rsidRPr="00767441">
        <w:rPr>
          <w:rFonts w:ascii="Calibri" w:eastAsia="Calibri" w:hAnsi="Calibri"/>
          <w:sz w:val="24"/>
        </w:rPr>
        <w:t>) is often referred to as ‘rebasing’.</w:t>
      </w:r>
      <w:r>
        <w:rPr>
          <w:rFonts w:ascii="Calibri" w:eastAsia="Calibri" w:hAnsi="Calibri"/>
          <w:sz w:val="24"/>
        </w:rPr>
        <w:t xml:space="preserve"> </w:t>
      </w:r>
      <w:r w:rsidRPr="00200D1A">
        <w:rPr>
          <w:rFonts w:ascii="Calibri" w:eastAsia="Calibri" w:hAnsi="Calibri"/>
          <w:sz w:val="24"/>
        </w:rPr>
        <w:t>Figure 2</w:t>
      </w:r>
      <w:r w:rsidRPr="00767441">
        <w:rPr>
          <w:rFonts w:ascii="Calibri" w:eastAsia="Calibri" w:hAnsi="Calibri"/>
          <w:sz w:val="24"/>
        </w:rPr>
        <w:t xml:space="preserve"> illustrates this rebasing process in the context of the derivation of the </w:t>
      </w:r>
      <w:r>
        <w:rPr>
          <w:rFonts w:ascii="Calibri" w:eastAsia="Calibri" w:hAnsi="Calibri"/>
          <w:sz w:val="24"/>
        </w:rPr>
        <w:t>2012-13</w:t>
      </w:r>
      <w:r w:rsidRPr="00767441">
        <w:rPr>
          <w:rFonts w:ascii="Calibri" w:eastAsia="Calibri" w:hAnsi="Calibri"/>
          <w:sz w:val="24"/>
        </w:rPr>
        <w:t xml:space="preserve"> reference cost.</w:t>
      </w:r>
      <w:bookmarkStart w:id="401" w:name="_Ref350865271"/>
    </w:p>
    <w:p w:rsidR="00460371" w:rsidRPr="00664156" w:rsidRDefault="00460371" w:rsidP="00374D3A">
      <w:pPr>
        <w:spacing w:before="100" w:beforeAutospacing="1" w:after="100" w:afterAutospacing="1"/>
        <w:rPr>
          <w:rFonts w:ascii="Calibri" w:eastAsia="Calibri" w:hAnsi="Calibri"/>
          <w:b/>
          <w:bCs/>
        </w:rPr>
      </w:pPr>
      <w:r w:rsidRPr="00664156">
        <w:rPr>
          <w:rFonts w:ascii="Calibri" w:eastAsia="Calibri" w:hAnsi="Calibri"/>
          <w:b/>
          <w:bCs/>
        </w:rPr>
        <w:t xml:space="preserve">Figure </w:t>
      </w:r>
      <w:bookmarkEnd w:id="401"/>
      <w:r w:rsidR="005C0F8A" w:rsidRPr="00664156">
        <w:rPr>
          <w:rFonts w:ascii="Calibri" w:eastAsia="Calibri" w:hAnsi="Calibri"/>
          <w:b/>
          <w:bCs/>
        </w:rPr>
        <w:t>2</w:t>
      </w:r>
      <w:r w:rsidRPr="00664156">
        <w:rPr>
          <w:rFonts w:ascii="Calibri" w:eastAsia="Calibri" w:hAnsi="Calibri"/>
          <w:b/>
          <w:bCs/>
        </w:rPr>
        <w:t>: Derivation of 2010-11 reference cost</w:t>
      </w:r>
    </w:p>
    <w:p w:rsidR="00460371" w:rsidRPr="00767441" w:rsidRDefault="00053234" w:rsidP="00AD4FFC">
      <w:pPr>
        <w:spacing w:before="100" w:beforeAutospacing="1" w:after="100" w:afterAutospacing="1"/>
        <w:jc w:val="center"/>
        <w:rPr>
          <w:rFonts w:ascii="Calibri" w:eastAsia="Calibri" w:hAnsi="Calibri"/>
          <w:sz w:val="24"/>
        </w:rPr>
      </w:pPr>
      <w:r w:rsidRPr="00767441">
        <w:rPr>
          <w:rFonts w:ascii="Calibri" w:eastAsia="Calibri" w:hAnsi="Calibri"/>
          <w:noProof/>
          <w:sz w:val="24"/>
          <w:lang w:eastAsia="en-AU"/>
        </w:rPr>
        <mc:AlternateContent>
          <mc:Choice Requires="wpc">
            <w:drawing>
              <wp:inline distT="0" distB="0" distL="0" distR="0" wp14:anchorId="54C9FCEE" wp14:editId="63F92760">
                <wp:extent cx="4914900" cy="3171824"/>
                <wp:effectExtent l="0" t="0" r="19050" b="10160"/>
                <wp:docPr id="15" name="Canvas 15" descr="A summary of Figure 2 is outlined in the text prior to this figure. "/>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3" name="Text Box 1"/>
                        <wps:cNvSpPr txBox="1"/>
                        <wps:spPr>
                          <a:xfrm>
                            <a:off x="941403" y="54167"/>
                            <a:ext cx="3046351" cy="662403"/>
                          </a:xfrm>
                          <a:prstGeom prst="rect">
                            <a:avLst/>
                          </a:prstGeom>
                          <a:solidFill>
                            <a:sysClr val="window" lastClr="FFFFFF"/>
                          </a:solidFill>
                          <a:ln w="6350">
                            <a:noFill/>
                          </a:ln>
                          <a:effectLst/>
                        </wps:spPr>
                        <wps:txbx>
                          <w:txbxContent>
                            <w:p w:rsidR="00513719" w:rsidRPr="006D207E" w:rsidRDefault="00513719" w:rsidP="00053234">
                              <w:pPr>
                                <w:spacing w:after="0"/>
                                <w:jc w:val="center"/>
                                <w:rPr>
                                  <w:b/>
                                  <w:szCs w:val="20"/>
                                </w:rPr>
                              </w:pPr>
                              <w:r w:rsidRPr="006D207E">
                                <w:rPr>
                                  <w:b/>
                                  <w:szCs w:val="20"/>
                                </w:rPr>
                                <w:t>Year of activity data</w:t>
                              </w:r>
                            </w:p>
                            <w:p w:rsidR="00513719" w:rsidRPr="006D207E" w:rsidRDefault="00513719" w:rsidP="00053234">
                              <w:pPr>
                                <w:spacing w:after="0"/>
                                <w:jc w:val="center"/>
                                <w:rPr>
                                  <w:b/>
                                  <w:szCs w:val="20"/>
                                </w:rPr>
                              </w:pPr>
                              <w:r w:rsidRPr="006D207E">
                                <w:rPr>
                                  <w:b/>
                                  <w:szCs w:val="20"/>
                                </w:rPr>
                                <w:t>20</w:t>
                              </w:r>
                              <w:r>
                                <w:rPr>
                                  <w:b/>
                                  <w:szCs w:val="20"/>
                                </w:rPr>
                                <w:t>11</w:t>
                              </w:r>
                              <w:r w:rsidRPr="006D207E">
                                <w:rPr>
                                  <w:b/>
                                  <w:szCs w:val="20"/>
                                </w:rPr>
                                <w:t>-1</w:t>
                              </w:r>
                              <w:r>
                                <w:rPr>
                                  <w:b/>
                                  <w:szCs w:val="20"/>
                                </w:rPr>
                                <w:t>2</w:t>
                              </w:r>
                              <w:r w:rsidRPr="006D207E">
                                <w:rPr>
                                  <w:b/>
                                  <w:szCs w:val="20"/>
                                </w:rPr>
                                <w:tab/>
                              </w:r>
                              <w:r>
                                <w:rPr>
                                  <w:b/>
                                  <w:szCs w:val="20"/>
                                </w:rPr>
                                <w:t xml:space="preserve">        </w:t>
                              </w:r>
                              <w:r w:rsidRPr="006D207E">
                                <w:rPr>
                                  <w:b/>
                                  <w:szCs w:val="20"/>
                                </w:rPr>
                                <w:tab/>
                              </w:r>
                              <w:r w:rsidRPr="006D207E">
                                <w:rPr>
                                  <w:b/>
                                  <w:szCs w:val="20"/>
                                </w:rPr>
                                <w:tab/>
                              </w:r>
                              <w:r>
                                <w:rPr>
                                  <w:b/>
                                  <w:szCs w:val="20"/>
                                </w:rPr>
                                <w:t>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2"/>
                        <wps:cNvSpPr txBox="1"/>
                        <wps:spPr>
                          <a:xfrm>
                            <a:off x="1159511" y="1377276"/>
                            <a:ext cx="757300" cy="239395"/>
                          </a:xfrm>
                          <a:prstGeom prst="rect">
                            <a:avLst/>
                          </a:prstGeom>
                          <a:solidFill>
                            <a:sysClr val="window" lastClr="FFFFFF"/>
                          </a:solidFill>
                          <a:ln w="6350">
                            <a:noFill/>
                          </a:ln>
                          <a:effectLst/>
                        </wps:spPr>
                        <wps:txbx>
                          <w:txbxContent>
                            <w:p w:rsidR="00513719" w:rsidRPr="00C20DE0" w:rsidRDefault="00513719" w:rsidP="00F10B79">
                              <w:pPr>
                                <w:pStyle w:val="NormalWeb"/>
                                <w:spacing w:before="0" w:after="200" w:line="276" w:lineRule="auto"/>
                                <w:rPr>
                                  <w:rFonts w:asciiTheme="minorHAnsi" w:hAnsiTheme="minorHAnsi"/>
                                  <w:vertAlign w:val="subscript"/>
                                </w:rPr>
                              </w:pPr>
                              <w:r>
                                <w:rPr>
                                  <w:rFonts w:asciiTheme="minorHAnsi" w:eastAsia="Calibri" w:hAnsiTheme="minorHAnsi"/>
                                  <w:sz w:val="20"/>
                                  <w:szCs w:val="20"/>
                                </w:rPr>
                                <w:t>$4,464(A)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Text Box 3"/>
                        <wps:cNvSpPr txBox="1"/>
                        <wps:spPr>
                          <a:xfrm>
                            <a:off x="2974342" y="597233"/>
                            <a:ext cx="775560" cy="238760"/>
                          </a:xfrm>
                          <a:prstGeom prst="rect">
                            <a:avLst/>
                          </a:prstGeom>
                          <a:solidFill>
                            <a:sysClr val="window" lastClr="FFFFFF"/>
                          </a:solidFill>
                          <a:ln w="6350">
                            <a:noFill/>
                          </a:ln>
                          <a:effectLst/>
                        </wps:spPr>
                        <wps:txbx>
                          <w:txbxContent>
                            <w:p w:rsidR="00513719" w:rsidRPr="00C20DE0" w:rsidRDefault="00513719" w:rsidP="00053234">
                              <w:pPr>
                                <w:pStyle w:val="NormalWeb"/>
                                <w:spacing w:before="0" w:after="200" w:line="276" w:lineRule="auto"/>
                                <w:jc w:val="right"/>
                                <w:rPr>
                                  <w:rFonts w:asciiTheme="minorHAnsi" w:hAnsiTheme="minorHAnsi"/>
                                  <w:vertAlign w:val="subscript"/>
                                </w:rPr>
                              </w:pPr>
                              <w:r>
                                <w:rPr>
                                  <w:rFonts w:asciiTheme="minorHAnsi" w:eastAsia="Calibri" w:hAnsiTheme="minorHAnsi"/>
                                  <w:sz w:val="20"/>
                                  <w:szCs w:val="20"/>
                                </w:rPr>
                                <w:t>$4,643(B)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3"/>
                        <wps:cNvSpPr txBox="1"/>
                        <wps:spPr>
                          <a:xfrm>
                            <a:off x="2974338" y="1231998"/>
                            <a:ext cx="775281" cy="238760"/>
                          </a:xfrm>
                          <a:prstGeom prst="rect">
                            <a:avLst/>
                          </a:prstGeom>
                          <a:solidFill>
                            <a:sysClr val="window" lastClr="FFFFFF"/>
                          </a:solidFill>
                          <a:ln w="6350">
                            <a:noFill/>
                          </a:ln>
                          <a:effectLst/>
                        </wps:spPr>
                        <wps:txbx>
                          <w:txbxContent>
                            <w:p w:rsidR="00513719" w:rsidRPr="00C20DE0" w:rsidRDefault="00513719" w:rsidP="00F10B79">
                              <w:pPr>
                                <w:pStyle w:val="NormalWeb"/>
                                <w:spacing w:before="0" w:after="200" w:line="276" w:lineRule="auto"/>
                                <w:jc w:val="center"/>
                                <w:rPr>
                                  <w:rFonts w:asciiTheme="minorHAnsi" w:hAnsiTheme="minorHAnsi"/>
                                  <w:vertAlign w:val="subscript"/>
                                </w:rPr>
                              </w:pPr>
                              <w:r w:rsidRPr="00CB7046">
                                <w:rPr>
                                  <w:rFonts w:asciiTheme="minorHAnsi" w:eastAsia="Calibri" w:hAnsiTheme="minorHAnsi"/>
                                  <w:sz w:val="20"/>
                                  <w:szCs w:val="20"/>
                                </w:rPr>
                                <w:t>$4,</w:t>
                              </w:r>
                              <w:r>
                                <w:rPr>
                                  <w:rFonts w:asciiTheme="minorHAnsi" w:eastAsia="Calibri" w:hAnsiTheme="minorHAnsi"/>
                                  <w:sz w:val="20"/>
                                  <w:szCs w:val="20"/>
                                </w:rPr>
                                <w:t>549(C)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Straight Arrow Connector 6"/>
                        <wps:cNvCnPr>
                          <a:endCxn id="3" idx="1"/>
                        </wps:cNvCnPr>
                        <wps:spPr>
                          <a:xfrm flipV="1">
                            <a:off x="1916811" y="716613"/>
                            <a:ext cx="1057531" cy="780361"/>
                          </a:xfrm>
                          <a:prstGeom prst="straightConnector1">
                            <a:avLst/>
                          </a:prstGeom>
                          <a:noFill/>
                          <a:ln w="9525" cap="flat" cmpd="sng" algn="ctr">
                            <a:solidFill>
                              <a:sysClr val="windowText" lastClr="000000"/>
                            </a:solidFill>
                            <a:prstDash val="solid"/>
                            <a:tailEnd type="arrow"/>
                          </a:ln>
                          <a:effectLst/>
                        </wps:spPr>
                        <wps:bodyPr/>
                      </wps:wsp>
                      <wps:wsp>
                        <wps:cNvPr id="11" name="Straight Arrow Connector 7"/>
                        <wps:cNvCnPr>
                          <a:endCxn id="5" idx="1"/>
                        </wps:cNvCnPr>
                        <wps:spPr>
                          <a:xfrm flipV="1">
                            <a:off x="1916811" y="1351378"/>
                            <a:ext cx="1057527" cy="145596"/>
                          </a:xfrm>
                          <a:prstGeom prst="straightConnector1">
                            <a:avLst/>
                          </a:prstGeom>
                          <a:noFill/>
                          <a:ln w="9525" cap="flat" cmpd="sng" algn="ctr">
                            <a:solidFill>
                              <a:sysClr val="windowText" lastClr="000000"/>
                            </a:solidFill>
                            <a:prstDash val="solid"/>
                            <a:tailEnd type="arrow"/>
                          </a:ln>
                          <a:effectLst/>
                        </wps:spPr>
                        <wps:bodyPr/>
                      </wps:wsp>
                      <wps:wsp>
                        <wps:cNvPr id="12" name="Straight Arrow Connector 8"/>
                        <wps:cNvCnPr>
                          <a:stCxn id="3" idx="2"/>
                          <a:endCxn id="5" idx="0"/>
                        </wps:cNvCnPr>
                        <wps:spPr>
                          <a:xfrm flipH="1">
                            <a:off x="3361979" y="835993"/>
                            <a:ext cx="143" cy="396005"/>
                          </a:xfrm>
                          <a:prstGeom prst="straightConnector1">
                            <a:avLst/>
                          </a:prstGeom>
                          <a:noFill/>
                          <a:ln w="9525" cap="flat" cmpd="sng" algn="ctr">
                            <a:solidFill>
                              <a:sysClr val="windowText" lastClr="000000"/>
                            </a:solidFill>
                            <a:prstDash val="solid"/>
                            <a:tailEnd type="arrow"/>
                          </a:ln>
                          <a:effectLst/>
                        </wps:spPr>
                        <wps:bodyPr/>
                      </wps:wsp>
                      <wps:wsp>
                        <wps:cNvPr id="14" name="Text Box 3"/>
                        <wps:cNvSpPr txBox="1"/>
                        <wps:spPr>
                          <a:xfrm>
                            <a:off x="2158598" y="882714"/>
                            <a:ext cx="453623" cy="238760"/>
                          </a:xfrm>
                          <a:prstGeom prst="rect">
                            <a:avLst/>
                          </a:prstGeom>
                          <a:noFill/>
                          <a:ln w="6350">
                            <a:noFill/>
                          </a:ln>
                          <a:effectLst/>
                        </wps:spPr>
                        <wps:txbx>
                          <w:txbxContent>
                            <w:p w:rsidR="00513719" w:rsidRPr="009040AC" w:rsidRDefault="00513719" w:rsidP="00053234">
                              <w:pPr>
                                <w:pStyle w:val="NormalWeb"/>
                                <w:spacing w:before="0" w:after="200" w:line="276" w:lineRule="auto"/>
                                <w:jc w:val="center"/>
                                <w:rPr>
                                  <w:rFonts w:asciiTheme="minorHAnsi" w:hAnsiTheme="minorHAnsi"/>
                                </w:rPr>
                              </w:pPr>
                              <w:r>
                                <w:rPr>
                                  <w:rFonts w:asciiTheme="minorHAnsi" w:eastAsia="Calibri" w:hAnsiTheme="minorHAnsi"/>
                                  <w:sz w:val="20"/>
                                  <w:szCs w:val="2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Text Box 3"/>
                        <wps:cNvSpPr txBox="1"/>
                        <wps:spPr>
                          <a:xfrm>
                            <a:off x="2299243" y="1388609"/>
                            <a:ext cx="453390" cy="238125"/>
                          </a:xfrm>
                          <a:prstGeom prst="rect">
                            <a:avLst/>
                          </a:prstGeom>
                          <a:noFill/>
                          <a:ln w="6350">
                            <a:noFill/>
                          </a:ln>
                          <a:effectLst/>
                        </wps:spPr>
                        <wps:txbx>
                          <w:txbxContent>
                            <w:p w:rsidR="00513719" w:rsidRPr="009040AC" w:rsidRDefault="00513719" w:rsidP="00053234">
                              <w:pPr>
                                <w:pStyle w:val="NormalWeb"/>
                                <w:spacing w:before="0" w:after="200" w:line="276" w:lineRule="auto"/>
                                <w:jc w:val="center"/>
                                <w:rPr>
                                  <w:rFonts w:asciiTheme="minorHAnsi" w:hAnsiTheme="minorHAnsi"/>
                                </w:rPr>
                              </w:pPr>
                              <w:r w:rsidRPr="009040AC">
                                <w:rPr>
                                  <w:rFonts w:asciiTheme="minorHAnsi" w:eastAsia="Calibri" w:hAnsiTheme="minorHAnsi"/>
                                  <w:sz w:val="20"/>
                                  <w:szCs w:val="20"/>
                                </w:rPr>
                                <w:t>(</w:t>
                              </w:r>
                              <w:r>
                                <w:rPr>
                                  <w:rFonts w:asciiTheme="minorHAnsi" w:eastAsia="Calibri" w:hAnsiTheme="minorHAnsi"/>
                                  <w:sz w:val="20"/>
                                  <w:szCs w:val="20"/>
                                </w:rPr>
                                <w:t>Y</w:t>
                              </w:r>
                              <w:r w:rsidRPr="009040AC">
                                <w:rPr>
                                  <w:rFonts w:asciiTheme="minorHAnsi" w:eastAsia="Calibri" w:hAnsiTheme="minorHAnsi"/>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 Box 3"/>
                        <wps:cNvSpPr txBox="1"/>
                        <wps:spPr>
                          <a:xfrm>
                            <a:off x="3256501" y="878997"/>
                            <a:ext cx="453390" cy="238125"/>
                          </a:xfrm>
                          <a:prstGeom prst="rect">
                            <a:avLst/>
                          </a:prstGeom>
                          <a:noFill/>
                          <a:ln w="6350">
                            <a:noFill/>
                          </a:ln>
                          <a:effectLst/>
                        </wps:spPr>
                        <wps:txbx>
                          <w:txbxContent>
                            <w:p w:rsidR="00513719" w:rsidRPr="009040AC" w:rsidRDefault="00513719" w:rsidP="00053234">
                              <w:pPr>
                                <w:pStyle w:val="NormalWeb"/>
                                <w:spacing w:before="0" w:after="200" w:line="276" w:lineRule="auto"/>
                                <w:jc w:val="center"/>
                                <w:rPr>
                                  <w:rFonts w:asciiTheme="minorHAnsi" w:hAnsiTheme="minorHAnsi"/>
                                </w:rPr>
                              </w:pPr>
                              <w:r w:rsidRPr="009040AC">
                                <w:rPr>
                                  <w:rFonts w:asciiTheme="minorHAnsi" w:eastAsia="Calibri" w:hAnsiTheme="minorHAnsi"/>
                                  <w:sz w:val="20"/>
                                  <w:szCs w:val="20"/>
                                </w:rPr>
                                <w:t>(</w:t>
                              </w:r>
                              <w:r>
                                <w:rPr>
                                  <w:rFonts w:asciiTheme="minorHAnsi" w:eastAsia="Calibri" w:hAnsiTheme="minorHAnsi"/>
                                  <w:sz w:val="20"/>
                                  <w:szCs w:val="20"/>
                                </w:rPr>
                                <w:t>Z</w:t>
                              </w:r>
                              <w:r w:rsidRPr="009040AC">
                                <w:rPr>
                                  <w:rFonts w:asciiTheme="minorHAnsi" w:eastAsia="Calibri" w:hAnsiTheme="minorHAnsi"/>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3"/>
                        <wps:cNvSpPr txBox="1"/>
                        <wps:spPr>
                          <a:xfrm>
                            <a:off x="36001" y="1833428"/>
                            <a:ext cx="2838888" cy="925675"/>
                          </a:xfrm>
                          <a:prstGeom prst="rect">
                            <a:avLst/>
                          </a:prstGeom>
                          <a:solidFill>
                            <a:sysClr val="window" lastClr="FFFFFF"/>
                          </a:solidFill>
                          <a:ln w="6350">
                            <a:noFill/>
                          </a:ln>
                          <a:effectLst/>
                        </wps:spPr>
                        <wps:txbx>
                          <w:txbxContent>
                            <w:p w:rsidR="00513719" w:rsidRDefault="00513719" w:rsidP="00053234">
                              <w:pPr>
                                <w:pStyle w:val="NormalWeb"/>
                                <w:spacing w:before="0" w:after="200" w:line="276" w:lineRule="auto"/>
                                <w:rPr>
                                  <w:rFonts w:asciiTheme="minorHAnsi" w:eastAsia="Calibri" w:hAnsiTheme="minorHAnsi"/>
                                  <w:sz w:val="20"/>
                                  <w:szCs w:val="20"/>
                                </w:rPr>
                              </w:pPr>
                              <w:r w:rsidRPr="00BE3D51">
                                <w:rPr>
                                  <w:rFonts w:asciiTheme="minorHAnsi" w:eastAsia="Calibri" w:hAnsiTheme="minorHAnsi"/>
                                  <w:sz w:val="20"/>
                                  <w:szCs w:val="20"/>
                                </w:rPr>
                                <w:t>A</w:t>
                              </w:r>
                              <w:r>
                                <w:rPr>
                                  <w:rFonts w:asciiTheme="minorHAnsi" w:eastAsia="Calibri" w:hAnsiTheme="minorHAnsi"/>
                                  <w:sz w:val="20"/>
                                  <w:szCs w:val="20"/>
                                </w:rPr>
                                <w:t xml:space="preserve"> – 2011-12 reference cost </w:t>
                              </w:r>
                            </w:p>
                            <w:p w:rsidR="00513719" w:rsidRDefault="00513719" w:rsidP="00053234">
                              <w:pPr>
                                <w:pStyle w:val="NormalWeb"/>
                                <w:spacing w:before="0" w:after="200" w:line="276" w:lineRule="auto"/>
                                <w:rPr>
                                  <w:rFonts w:asciiTheme="minorHAnsi" w:eastAsia="Calibri" w:hAnsiTheme="minorHAnsi"/>
                                  <w:sz w:val="20"/>
                                  <w:szCs w:val="20"/>
                                </w:rPr>
                              </w:pPr>
                              <w:r>
                                <w:rPr>
                                  <w:rFonts w:asciiTheme="minorHAnsi" w:eastAsia="Calibri" w:hAnsiTheme="minorHAnsi"/>
                                  <w:sz w:val="20"/>
                                  <w:szCs w:val="20"/>
                                </w:rPr>
                                <w:t>B – 2012-13 mean cost</w:t>
                              </w:r>
                            </w:p>
                            <w:p w:rsidR="00513719" w:rsidRPr="00BE3D51" w:rsidRDefault="00513719" w:rsidP="00053234">
                              <w:pPr>
                                <w:pStyle w:val="NormalWeb"/>
                                <w:spacing w:before="0" w:after="200" w:line="276" w:lineRule="auto"/>
                                <w:rPr>
                                  <w:rFonts w:asciiTheme="minorHAnsi" w:eastAsia="Calibri" w:hAnsiTheme="minorHAnsi"/>
                                  <w:sz w:val="20"/>
                                  <w:szCs w:val="20"/>
                                </w:rPr>
                              </w:pPr>
                              <w:r>
                                <w:rPr>
                                  <w:rFonts w:asciiTheme="minorHAnsi" w:eastAsia="Calibri" w:hAnsiTheme="minorHAnsi"/>
                                  <w:sz w:val="20"/>
                                  <w:szCs w:val="20"/>
                                </w:rPr>
                                <w:t>C – 2012-13 reference cost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Text Box 3"/>
                        <wps:cNvSpPr txBox="1"/>
                        <wps:spPr>
                          <a:xfrm>
                            <a:off x="2862204" y="1833328"/>
                            <a:ext cx="2010084" cy="1214672"/>
                          </a:xfrm>
                          <a:prstGeom prst="rect">
                            <a:avLst/>
                          </a:prstGeom>
                          <a:solidFill>
                            <a:sysClr val="window" lastClr="FFFFFF"/>
                          </a:solidFill>
                          <a:ln w="6350">
                            <a:noFill/>
                          </a:ln>
                          <a:effectLst/>
                        </wps:spPr>
                        <wps:txbx>
                          <w:txbxContent>
                            <w:p w:rsidR="00513719" w:rsidRPr="00BE3D51" w:rsidRDefault="00513719" w:rsidP="00053234">
                              <w:pPr>
                                <w:pStyle w:val="NormalWeb"/>
                                <w:spacing w:before="0" w:after="200" w:line="276" w:lineRule="auto"/>
                                <w:rPr>
                                  <w:rFonts w:asciiTheme="minorHAnsi" w:hAnsiTheme="minorHAnsi"/>
                                </w:rPr>
                              </w:pPr>
                              <w:r>
                                <w:rPr>
                                  <w:rFonts w:asciiTheme="minorHAnsi" w:eastAsia="Calibri" w:hAnsiTheme="minorHAnsi"/>
                                  <w:sz w:val="20"/>
                                  <w:szCs w:val="20"/>
                                </w:rPr>
                                <w:t>X</w:t>
                              </w:r>
                              <w:r w:rsidRPr="00BE3D51">
                                <w:rPr>
                                  <w:rFonts w:asciiTheme="minorHAnsi" w:eastAsia="Calibri" w:hAnsiTheme="minorHAnsi"/>
                                  <w:sz w:val="20"/>
                                  <w:szCs w:val="20"/>
                                </w:rPr>
                                <w:t xml:space="preserve"> – </w:t>
                              </w:r>
                              <w:proofErr w:type="gramStart"/>
                              <w:r>
                                <w:rPr>
                                  <w:rFonts w:asciiTheme="minorHAnsi" w:eastAsia="Calibri" w:hAnsiTheme="minorHAnsi"/>
                                  <w:sz w:val="20"/>
                                  <w:szCs w:val="20"/>
                                </w:rPr>
                                <w:t>crude</w:t>
                              </w:r>
                              <w:proofErr w:type="gramEnd"/>
                              <w:r>
                                <w:rPr>
                                  <w:rFonts w:asciiTheme="minorHAnsi" w:eastAsia="Calibri" w:hAnsiTheme="minorHAnsi"/>
                                  <w:sz w:val="20"/>
                                  <w:szCs w:val="20"/>
                                </w:rPr>
                                <w:t xml:space="preserve"> growth rate to mean cost</w:t>
                              </w:r>
                            </w:p>
                            <w:p w:rsidR="00513719" w:rsidRPr="00BE3D51" w:rsidRDefault="00513719" w:rsidP="00053234">
                              <w:pPr>
                                <w:pStyle w:val="NormalWeb"/>
                                <w:spacing w:before="0" w:after="200" w:line="276" w:lineRule="auto"/>
                                <w:rPr>
                                  <w:rFonts w:asciiTheme="minorHAnsi" w:hAnsiTheme="minorHAnsi"/>
                                </w:rPr>
                              </w:pPr>
                              <w:r>
                                <w:rPr>
                                  <w:rFonts w:asciiTheme="minorHAnsi" w:eastAsia="Calibri" w:hAnsiTheme="minorHAnsi"/>
                                  <w:sz w:val="20"/>
                                  <w:szCs w:val="20"/>
                                </w:rPr>
                                <w:t>Y</w:t>
                              </w:r>
                              <w:r w:rsidRPr="00BE3D51">
                                <w:rPr>
                                  <w:rFonts w:asciiTheme="minorHAnsi" w:eastAsia="Calibri" w:hAnsiTheme="minorHAnsi"/>
                                  <w:sz w:val="20"/>
                                  <w:szCs w:val="20"/>
                                </w:rPr>
                                <w:t xml:space="preserve"> – </w:t>
                              </w:r>
                              <w:proofErr w:type="gramStart"/>
                              <w:r>
                                <w:rPr>
                                  <w:rFonts w:asciiTheme="minorHAnsi" w:eastAsia="Calibri" w:hAnsiTheme="minorHAnsi"/>
                                  <w:sz w:val="20"/>
                                  <w:szCs w:val="20"/>
                                </w:rPr>
                                <w:t>standardised</w:t>
                              </w:r>
                              <w:proofErr w:type="gramEnd"/>
                              <w:r>
                                <w:rPr>
                                  <w:rFonts w:asciiTheme="minorHAnsi" w:eastAsia="Calibri" w:hAnsiTheme="minorHAnsi"/>
                                  <w:sz w:val="20"/>
                                  <w:szCs w:val="20"/>
                                </w:rPr>
                                <w:t xml:space="preserve"> growth rate</w:t>
                              </w:r>
                            </w:p>
                            <w:p w:rsidR="00513719" w:rsidRPr="00BE3D51" w:rsidRDefault="00513719" w:rsidP="00053234">
                              <w:pPr>
                                <w:pStyle w:val="NormalWeb"/>
                                <w:spacing w:before="0" w:after="200" w:line="276" w:lineRule="auto"/>
                                <w:rPr>
                                  <w:rFonts w:asciiTheme="minorHAnsi" w:hAnsiTheme="minorHAnsi"/>
                                </w:rPr>
                              </w:pPr>
                              <w:r>
                                <w:rPr>
                                  <w:rFonts w:asciiTheme="minorHAnsi" w:eastAsia="Calibri" w:hAnsiTheme="minorHAnsi"/>
                                  <w:sz w:val="20"/>
                                  <w:szCs w:val="20"/>
                                </w:rPr>
                                <w:t xml:space="preserve">Z – </w:t>
                              </w:r>
                              <w:proofErr w:type="gramStart"/>
                              <w:r>
                                <w:rPr>
                                  <w:rFonts w:asciiTheme="minorHAnsi" w:eastAsia="Calibri" w:hAnsiTheme="minorHAnsi"/>
                                  <w:sz w:val="20"/>
                                  <w:szCs w:val="20"/>
                                </w:rPr>
                                <w:t>rebasing</w:t>
                              </w:r>
                              <w:proofErr w:type="gramEnd"/>
                              <w:r>
                                <w:rPr>
                                  <w:rFonts w:asciiTheme="minorHAnsi" w:eastAsia="Calibri" w:hAnsiTheme="minorHAnsi"/>
                                  <w:sz w:val="20"/>
                                  <w:szCs w:val="20"/>
                                </w:rPr>
                                <w:t xml:space="preserve"> factor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Straight Connector 14"/>
                        <wps:cNvCnPr/>
                        <wps:spPr>
                          <a:xfrm>
                            <a:off x="842838" y="482512"/>
                            <a:ext cx="3291840" cy="0"/>
                          </a:xfrm>
                          <a:prstGeom prst="line">
                            <a:avLst/>
                          </a:prstGeom>
                          <a:noFill/>
                          <a:ln w="6350" cap="flat" cmpd="dbl" algn="ctr">
                            <a:solidFill>
                              <a:sysClr val="window" lastClr="FFFFFF">
                                <a:lumMod val="75000"/>
                              </a:sysClr>
                            </a:solidFill>
                            <a:prstDash val="solid"/>
                          </a:ln>
                          <a:effectLst/>
                        </wps:spPr>
                        <wps:bodyPr/>
                      </wps:wsp>
                    </wpc:wpc>
                  </a:graphicData>
                </a:graphic>
              </wp:inline>
            </w:drawing>
          </mc:Choice>
          <mc:Fallback>
            <w:pict>
              <v:group id="Canvas 15" o:spid="_x0000_s1053" editas="canvas" alt="A summary of Figure 2 is outlined in the text prior to this figure. " style="width:387pt;height:249.75pt;mso-position-horizontal-relative:char;mso-position-vertical-relative:line" coordsize="49149,3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rF0wUAACwlAAAOAAAAZHJzL2Uyb0RvYy54bWzsWltv2zYYfR+w/yDofbVI6mrUKTJ32QZk&#10;bYF06zOjiy1AEjWKiZ3++h2SknxrkKVx27RwHhRKpClezvd953zUy1frunJuc9mVopm55IXnOnmT&#10;iqxsFjP37/cXv8Su0yneZLwSTT5z7/LOfXX2808vV+00p2IpqiyXDjppuumqnblLpdrpZNKly7zm&#10;3QvR5g0qCyFrrnArF5NM8hV6r6sJ9bxwshIya6VI867D09e20j0z/RdFnqq3RdHlyqlmLsamzFWa&#10;67W+Ts5e8ulC8nZZpv0w+GeMouZlg5eOXb3mijs3sjzoqi5TKTpRqBepqCeiKMo0N3PAbIi3N5s5&#10;b255ZyaTYnWGAaJ0xH6vF1gDdDldYTNyPYeq0ddOVGV2UVaVudH7kc8r6dxyrKRaE71yk51WuNO/&#10;nGz1tWqxq1077m/3tHFfLXmbm+Xopumb23fSKbOZy1yn4TWw9T5fK+dXsXbM4PS70eiqRTO1xmPA&#10;Uw9aP+/wUE9rXcha/8c+OKhPfOJ76O5u5gY+CSOLDt1rilrm+SELiOukqA9DqpvaRRi6aWWnfs9F&#10;7ejCzJVAnwEFv73slG06NDlc4btuXF7gOxMr16l4p/Bw5l6Yv8Ml1yvurDAaFnjmTY3QO2ZfZbcx&#10;N0bQv38zd11S6+u1WUFiZqofXYvsDuslhTWUrk0vSszlEgN5xyUsAzYEa1dvcSkqgVeLvuQ6SyE/&#10;fuq5bo99R63rrGBpM7f794bLHPP7swEiEuL72jTNjR9EFDdyu+Z6u6a5qecCEMQ+YHSmqNuraigW&#10;UtQf4BTO9VtRxZsU7wZmh+JcWfuHU0nz83PTCMbYcnXZXGnTImYp9U69X3/gsu23UwEIb8SAQT7d&#10;21XbVu9rI85vlChKs+WbVTWmYezBgvCLG0ZwYBh0MIBHGgYhQRIQLDmQT1gU0SjctY0oiJiHxdam&#10;QVnCkuBHMY14WLL/axonqGvfiijwNaEOlrEXA4xv1oN4JNRpEvnMpzYIJBFlpiM+HaJAFAVBOCI9&#10;jlD+QYJAckL6d+DUk+MincFytFOnjCSJ8XU7UKdxz3co+4GgDoYBm91E5of5zsmpfwOnTuBmrVe/&#10;UpKXi6VyzqUUK2cumgbcWkjH0JDey88bS+rzJpuvm0EalNlA/E1IQjSw7fSPtmWAU1Rl+89A/npB&#10;QBISxj3viUgYkr1gQLwgClhvIlHssXDQRfdIgq6fyDgDyzX3qKTWEJZI9mx+4PlJQEHqUs2hi4qD&#10;0aZ1m4FPNwuQ22oBBZ4qadjrrno70BZaKm3pC8/89YFs56eaBb/m3dLqPlOlm/Gp4mX1W5M56q6F&#10;9OJ6X/rfP6g7LJPSUVNvAmjwV+LDeiMfwNMohEacwB1u8ITFPxqeCLQki/ZcrgEUjSyRJn4QJAbh&#10;kNYnQN0vZL8ZoEATHwDUKB+2AAVRv+efjC77JNIsu9zxcJ/0XH/seS4GV5REIAsI7jELkmTfc/nI&#10;c2i1xpLQ8x5QayevBT/1zUDmDyAb81ufrW1IEAdgeQYUMY2Ib335oG38gIW0x8UxCN+YjRri1xPz&#10;VHRM4J3EOKInn25yVM8p70QOE0+fjViaJFS7Kq1RWByHnlGpG40CyLJkI8cJ+NGT5PjRITum3E6Q&#10;fc6QDY/mZBkNwsCzudI4ipNk7xjh2SN2tNUTYp8zYiESjpTyZGCAFq8kZsh97mkSGsPxxmANmi4m&#10;QHf0RB+7IzC7A226pUu/8LkXNfxH8+kT1J8z1I+Y3Y9DSj0was0nAHZ2AHacwnsxGmiwE0r8MDIR&#10;/H4F/t2c8lpqdEL7zln88zu1JWOGf8x6jtlCxyq2rXRAn8fezmRqKdDnL2M48z7D78c0IEOeYfii&#10;gSYk1mfvGuwPnGNVZaM/vTg4Ibk3V2m03mGuMruuHpmrPIwHehjVTf2XyGxaMgqQv+x5v40nxpvt&#10;xJl7Epn9RysQFI9KL9mPXNrUvKf/fEh/87N9j/L2R05n/wEAAP//AwBQSwMEFAAGAAgAAAAhAKyt&#10;a4DbAAAABQEAAA8AAABkcnMvZG93bnJldi54bWxMj8FOwzAQRO9I/IO1SFwQdUAtoSFOhRBw4EbL&#10;AW6uvU2i2uvIdtr071m4wGWk0axm3taryTtxwJj6QApuZgUIJBNsT62Cj83L9T2IlDVZ7QKhghMm&#10;WDXnZ7WubDjSOx7WuRVcQqnSCrqch0rKZDr0Os3CgMTZLkSvM9vYShv1kcu9k7dFcSe97okXOj3g&#10;U4dmvx69gvLr9Pr26WLeL8zV7nkMaYPOKHV5MT0+gMg45b9j+MFndGiYaRtGskk4BfxI/lXOynLO&#10;dqtgvlwuQDa1/E/ffAMAAP//AwBQSwECLQAUAAYACAAAACEAtoM4kv4AAADhAQAAEwAAAAAAAAAA&#10;AAAAAAAAAAAAW0NvbnRlbnRfVHlwZXNdLnhtbFBLAQItABQABgAIAAAAIQA4/SH/1gAAAJQBAAAL&#10;AAAAAAAAAAAAAAAAAC8BAABfcmVscy8ucmVsc1BLAQItABQABgAIAAAAIQBzl5rF0wUAACwlAAAO&#10;AAAAAAAAAAAAAAAAAC4CAABkcnMvZTJvRG9jLnhtbFBLAQItABQABgAIAAAAIQCsrWuA2wAAAAUB&#10;AAAPAAAAAAAAAAAAAAAAAC0IAABkcnMvZG93bnJldi54bWxQSwUGAAAAAAQABADzAAAANQkAAAAA&#10;">
                <v:shape id="_x0000_s1054" type="#_x0000_t75" alt="A summary of Figure 2 is outlined in the text prior to this figure. " style="position:absolute;width:49149;height:31711;visibility:visible;mso-wrap-style:square" stroked="t" strokecolor="black [3213]">
                  <v:fill o:detectmouseclick="t"/>
                  <v:path o:connecttype="none"/>
                </v:shape>
                <v:shape id="Text Box 1" o:spid="_x0000_s1055" type="#_x0000_t202" style="position:absolute;left:9414;top:541;width:30463;height:6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msQA&#10;AADaAAAADwAAAGRycy9kb3ducmV2LnhtbESPQWvCQBSE7wX/w/KE3urGFkq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25rEAAAA2gAAAA8AAAAAAAAAAAAAAAAAmAIAAGRycy9k&#10;b3ducmV2LnhtbFBLBQYAAAAABAAEAPUAAACJAwAAAAA=&#10;" fillcolor="window" stroked="f" strokeweight=".5pt">
                  <v:textbox>
                    <w:txbxContent>
                      <w:p w:rsidR="00513719" w:rsidRPr="006D207E" w:rsidRDefault="00513719" w:rsidP="00053234">
                        <w:pPr>
                          <w:spacing w:after="0"/>
                          <w:jc w:val="center"/>
                          <w:rPr>
                            <w:b/>
                            <w:szCs w:val="20"/>
                          </w:rPr>
                        </w:pPr>
                        <w:r w:rsidRPr="006D207E">
                          <w:rPr>
                            <w:b/>
                            <w:szCs w:val="20"/>
                          </w:rPr>
                          <w:t>Year of activity data</w:t>
                        </w:r>
                      </w:p>
                      <w:p w:rsidR="00513719" w:rsidRPr="006D207E" w:rsidRDefault="00513719" w:rsidP="00053234">
                        <w:pPr>
                          <w:spacing w:after="0"/>
                          <w:jc w:val="center"/>
                          <w:rPr>
                            <w:b/>
                            <w:szCs w:val="20"/>
                          </w:rPr>
                        </w:pPr>
                        <w:r w:rsidRPr="006D207E">
                          <w:rPr>
                            <w:b/>
                            <w:szCs w:val="20"/>
                          </w:rPr>
                          <w:t>20</w:t>
                        </w:r>
                        <w:r>
                          <w:rPr>
                            <w:b/>
                            <w:szCs w:val="20"/>
                          </w:rPr>
                          <w:t>11</w:t>
                        </w:r>
                        <w:r w:rsidRPr="006D207E">
                          <w:rPr>
                            <w:b/>
                            <w:szCs w:val="20"/>
                          </w:rPr>
                          <w:t>-1</w:t>
                        </w:r>
                        <w:r>
                          <w:rPr>
                            <w:b/>
                            <w:szCs w:val="20"/>
                          </w:rPr>
                          <w:t>2</w:t>
                        </w:r>
                        <w:r w:rsidRPr="006D207E">
                          <w:rPr>
                            <w:b/>
                            <w:szCs w:val="20"/>
                          </w:rPr>
                          <w:tab/>
                        </w:r>
                        <w:r>
                          <w:rPr>
                            <w:b/>
                            <w:szCs w:val="20"/>
                          </w:rPr>
                          <w:t xml:space="preserve">        </w:t>
                        </w:r>
                        <w:r w:rsidRPr="006D207E">
                          <w:rPr>
                            <w:b/>
                            <w:szCs w:val="20"/>
                          </w:rPr>
                          <w:tab/>
                        </w:r>
                        <w:r w:rsidRPr="006D207E">
                          <w:rPr>
                            <w:b/>
                            <w:szCs w:val="20"/>
                          </w:rPr>
                          <w:tab/>
                        </w:r>
                        <w:r>
                          <w:rPr>
                            <w:b/>
                            <w:szCs w:val="20"/>
                          </w:rPr>
                          <w:t>2012-13</w:t>
                        </w:r>
                      </w:p>
                    </w:txbxContent>
                  </v:textbox>
                </v:shape>
                <v:shape id="Text Box 2" o:spid="_x0000_s1056" type="#_x0000_t202" style="position:absolute;left:11595;top:13772;width:7573;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dcQA&#10;AADaAAAADwAAAGRycy9kb3ducmV2LnhtbESPQWvCQBSE7wX/w/KE3urGQku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5nXEAAAA2gAAAA8AAAAAAAAAAAAAAAAAmAIAAGRycy9k&#10;b3ducmV2LnhtbFBLBQYAAAAABAAEAPUAAACJAwAAAAA=&#10;" fillcolor="window" stroked="f" strokeweight=".5pt">
                  <v:textbox>
                    <w:txbxContent>
                      <w:p w:rsidR="00513719" w:rsidRPr="00C20DE0" w:rsidRDefault="00513719" w:rsidP="00F10B79">
                        <w:pPr>
                          <w:pStyle w:val="NormalWeb"/>
                          <w:spacing w:before="0" w:after="200" w:line="276" w:lineRule="auto"/>
                          <w:rPr>
                            <w:rFonts w:asciiTheme="minorHAnsi" w:hAnsiTheme="minorHAnsi"/>
                            <w:vertAlign w:val="subscript"/>
                          </w:rPr>
                        </w:pPr>
                        <w:r>
                          <w:rPr>
                            <w:rFonts w:asciiTheme="minorHAnsi" w:eastAsia="Calibri" w:hAnsiTheme="minorHAnsi"/>
                            <w:sz w:val="20"/>
                            <w:szCs w:val="20"/>
                          </w:rPr>
                          <w:t>$4,464(A)</w:t>
                        </w:r>
                      </w:p>
                    </w:txbxContent>
                  </v:textbox>
                </v:shape>
                <v:shape id="Text Box 3" o:spid="_x0000_s1057" type="#_x0000_t202" style="position:absolute;left:29743;top:5972;width:775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513719" w:rsidRPr="00C20DE0" w:rsidRDefault="00513719" w:rsidP="00053234">
                        <w:pPr>
                          <w:pStyle w:val="NormalWeb"/>
                          <w:spacing w:before="0" w:after="200" w:line="276" w:lineRule="auto"/>
                          <w:jc w:val="right"/>
                          <w:rPr>
                            <w:rFonts w:asciiTheme="minorHAnsi" w:hAnsiTheme="minorHAnsi"/>
                            <w:vertAlign w:val="subscript"/>
                          </w:rPr>
                        </w:pPr>
                        <w:r>
                          <w:rPr>
                            <w:rFonts w:asciiTheme="minorHAnsi" w:eastAsia="Calibri" w:hAnsiTheme="minorHAnsi"/>
                            <w:sz w:val="20"/>
                            <w:szCs w:val="20"/>
                          </w:rPr>
                          <w:t>$4,643(B)</w:t>
                        </w:r>
                      </w:p>
                    </w:txbxContent>
                  </v:textbox>
                </v:shape>
                <v:shape id="Text Box 3" o:spid="_x0000_s1058" type="#_x0000_t202" style="position:absolute;left:29743;top:12319;width:7753;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fillcolor="window" stroked="f" strokeweight=".5pt">
                  <v:textbox>
                    <w:txbxContent>
                      <w:p w:rsidR="00513719" w:rsidRPr="00C20DE0" w:rsidRDefault="00513719" w:rsidP="00F10B79">
                        <w:pPr>
                          <w:pStyle w:val="NormalWeb"/>
                          <w:spacing w:before="0" w:after="200" w:line="276" w:lineRule="auto"/>
                          <w:jc w:val="center"/>
                          <w:rPr>
                            <w:rFonts w:asciiTheme="minorHAnsi" w:hAnsiTheme="minorHAnsi"/>
                            <w:vertAlign w:val="subscript"/>
                          </w:rPr>
                        </w:pPr>
                        <w:r w:rsidRPr="00CB7046">
                          <w:rPr>
                            <w:rFonts w:asciiTheme="minorHAnsi" w:eastAsia="Calibri" w:hAnsiTheme="minorHAnsi"/>
                            <w:sz w:val="20"/>
                            <w:szCs w:val="20"/>
                          </w:rPr>
                          <w:t>$4,</w:t>
                        </w:r>
                        <w:r>
                          <w:rPr>
                            <w:rFonts w:asciiTheme="minorHAnsi" w:eastAsia="Calibri" w:hAnsiTheme="minorHAnsi"/>
                            <w:sz w:val="20"/>
                            <w:szCs w:val="20"/>
                          </w:rPr>
                          <w:t>549(C)</w:t>
                        </w:r>
                      </w:p>
                    </w:txbxContent>
                  </v:textbox>
                </v:shape>
                <v:shape id="Straight Arrow Connector 6" o:spid="_x0000_s1059" type="#_x0000_t32" style="position:absolute;left:19168;top:7166;width:10575;height:78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pQsYAAADbAAAADwAAAGRycy9kb3ducmV2LnhtbESPQU8CMRCF7yT+h2ZMuElXSBBXClES&#10;Eg5eQKMeJ9txd+N2urSlLP5652DCbSbvzXvfLNeD61SmEFvPBu4nBSjiytuWawPvb9u7BaiYkC12&#10;nsnAhSKsVzejJZbWn3lP+ZBqJSEcSzTQpNSXWseqIYdx4nti0b59cJhkDbW2Ac8S7jo9LYq5dtiy&#10;NDTY06ah6udwcgY+fmf58aEK8/x5PO2P06/8unjJxoxvh+cnUImGdDX/X++s4Au9/CID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6ULGAAAA2wAAAA8AAAAAAAAA&#10;AAAAAAAAoQIAAGRycy9kb3ducmV2LnhtbFBLBQYAAAAABAAEAPkAAACUAwAAAAA=&#10;" strokecolor="windowText">
                  <v:stroke endarrow="open"/>
                </v:shape>
                <v:shape id="Straight Arrow Connector 7" o:spid="_x0000_s1060" type="#_x0000_t32" style="position:absolute;left:19168;top:13513;width:10575;height:14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M2cMAAADbAAAADwAAAGRycy9kb3ducmV2LnhtbERPS2sCMRC+C/0PYQrealYLPrZGaQsF&#10;D1580HocNtPdpZvJmsS4+uuNUPA2H99z5svONCKS87VlBcNBBoK4sLrmUsF+9/UyBeEDssbGMim4&#10;kIfl4qk3x1zbM28obkMpUgj7HBVUIbS5lL6oyKAf2JY4cb/WGQwJulJqh+cUbho5yrKxNFhzaqiw&#10;pc+Kir/tySj4vr7G2aRw4/hzPG2Oo0NcTz+iUv3n7v0NRKAuPMT/7pVO84dw/yUd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nTNnDAAAA2wAAAA8AAAAAAAAAAAAA&#10;AAAAoQIAAGRycy9kb3ducmV2LnhtbFBLBQYAAAAABAAEAPkAAACRAwAAAAA=&#10;" strokecolor="windowText">
                  <v:stroke endarrow="open"/>
                </v:shape>
                <v:shape id="Straight Arrow Connector 8" o:spid="_x0000_s1061" type="#_x0000_t32" style="position:absolute;left:33619;top:8359;width:2;height:3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SrsMAAADbAAAADwAAAGRycy9kb3ducmV2LnhtbERPS2sCMRC+F/wPYQreNNstWLs1igoF&#10;D734wPY4bKa7SzeTNYlx6683BaG3+fieM1v0phWRnG8sK3gaZyCIS6sbrhQc9u+jKQgfkDW2lknB&#10;L3lYzAcPMyy0vfCW4i5UIoWwL1BBHUJXSOnLmgz6se2IE/dtncGQoKukdnhJ4aaVeZZNpMGGU0ON&#10;Ha1rKn92Z6PgeH2Ory+lm8TP03l7yr/ix3QVlRo+9ss3EIH68C++uzc6zc/h75d0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10q7DAAAA2wAAAA8AAAAAAAAAAAAA&#10;AAAAoQIAAGRycy9kb3ducmV2LnhtbFBLBQYAAAAABAAEAPkAAACRAwAAAAA=&#10;" strokecolor="windowText">
                  <v:stroke endarrow="open"/>
                </v:shape>
                <v:shape id="Text Box 3" o:spid="_x0000_s1062" type="#_x0000_t202" style="position:absolute;left:21585;top:8827;width:4537;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513719" w:rsidRPr="009040AC" w:rsidRDefault="00513719" w:rsidP="00053234">
                        <w:pPr>
                          <w:pStyle w:val="NormalWeb"/>
                          <w:spacing w:before="0" w:after="200" w:line="276" w:lineRule="auto"/>
                          <w:jc w:val="center"/>
                          <w:rPr>
                            <w:rFonts w:asciiTheme="minorHAnsi" w:hAnsiTheme="minorHAnsi"/>
                          </w:rPr>
                        </w:pPr>
                        <w:r>
                          <w:rPr>
                            <w:rFonts w:asciiTheme="minorHAnsi" w:eastAsia="Calibri" w:hAnsiTheme="minorHAnsi"/>
                            <w:sz w:val="20"/>
                            <w:szCs w:val="20"/>
                          </w:rPr>
                          <w:t>(X)</w:t>
                        </w:r>
                      </w:p>
                    </w:txbxContent>
                  </v:textbox>
                </v:shape>
                <v:shape id="Text Box 3" o:spid="_x0000_s1063" type="#_x0000_t202" style="position:absolute;left:22992;top:13886;width:453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513719" w:rsidRPr="009040AC" w:rsidRDefault="00513719" w:rsidP="00053234">
                        <w:pPr>
                          <w:pStyle w:val="NormalWeb"/>
                          <w:spacing w:before="0" w:after="200" w:line="276" w:lineRule="auto"/>
                          <w:jc w:val="center"/>
                          <w:rPr>
                            <w:rFonts w:asciiTheme="minorHAnsi" w:hAnsiTheme="minorHAnsi"/>
                          </w:rPr>
                        </w:pPr>
                        <w:r w:rsidRPr="009040AC">
                          <w:rPr>
                            <w:rFonts w:asciiTheme="minorHAnsi" w:eastAsia="Calibri" w:hAnsiTheme="minorHAnsi"/>
                            <w:sz w:val="20"/>
                            <w:szCs w:val="20"/>
                          </w:rPr>
                          <w:t>(</w:t>
                        </w:r>
                        <w:r>
                          <w:rPr>
                            <w:rFonts w:asciiTheme="minorHAnsi" w:eastAsia="Calibri" w:hAnsiTheme="minorHAnsi"/>
                            <w:sz w:val="20"/>
                            <w:szCs w:val="20"/>
                          </w:rPr>
                          <w:t>Y</w:t>
                        </w:r>
                        <w:r w:rsidRPr="009040AC">
                          <w:rPr>
                            <w:rFonts w:asciiTheme="minorHAnsi" w:eastAsia="Calibri" w:hAnsiTheme="minorHAnsi"/>
                            <w:sz w:val="20"/>
                            <w:szCs w:val="20"/>
                          </w:rPr>
                          <w:t>)</w:t>
                        </w:r>
                      </w:p>
                    </w:txbxContent>
                  </v:textbox>
                </v:shape>
                <v:shape id="Text Box 3" o:spid="_x0000_s1064" type="#_x0000_t202" style="position:absolute;left:32565;top:8789;width:4533;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513719" w:rsidRPr="009040AC" w:rsidRDefault="00513719" w:rsidP="00053234">
                        <w:pPr>
                          <w:pStyle w:val="NormalWeb"/>
                          <w:spacing w:before="0" w:after="200" w:line="276" w:lineRule="auto"/>
                          <w:jc w:val="center"/>
                          <w:rPr>
                            <w:rFonts w:asciiTheme="minorHAnsi" w:hAnsiTheme="minorHAnsi"/>
                          </w:rPr>
                        </w:pPr>
                        <w:r w:rsidRPr="009040AC">
                          <w:rPr>
                            <w:rFonts w:asciiTheme="minorHAnsi" w:eastAsia="Calibri" w:hAnsiTheme="minorHAnsi"/>
                            <w:sz w:val="20"/>
                            <w:szCs w:val="20"/>
                          </w:rPr>
                          <w:t>(</w:t>
                        </w:r>
                        <w:r>
                          <w:rPr>
                            <w:rFonts w:asciiTheme="minorHAnsi" w:eastAsia="Calibri" w:hAnsiTheme="minorHAnsi"/>
                            <w:sz w:val="20"/>
                            <w:szCs w:val="20"/>
                          </w:rPr>
                          <w:t>Z</w:t>
                        </w:r>
                        <w:r w:rsidRPr="009040AC">
                          <w:rPr>
                            <w:rFonts w:asciiTheme="minorHAnsi" w:eastAsia="Calibri" w:hAnsiTheme="minorHAnsi"/>
                            <w:sz w:val="20"/>
                            <w:szCs w:val="20"/>
                          </w:rPr>
                          <w:t>)</w:t>
                        </w:r>
                      </w:p>
                    </w:txbxContent>
                  </v:textbox>
                </v:shape>
                <v:shape id="Text Box 3" o:spid="_x0000_s1065" type="#_x0000_t202" style="position:absolute;left:360;top:18334;width:28388;height:9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rsidR="00513719" w:rsidRDefault="00513719" w:rsidP="00053234">
                        <w:pPr>
                          <w:pStyle w:val="NormalWeb"/>
                          <w:spacing w:before="0" w:after="200" w:line="276" w:lineRule="auto"/>
                          <w:rPr>
                            <w:rFonts w:asciiTheme="minorHAnsi" w:eastAsia="Calibri" w:hAnsiTheme="minorHAnsi"/>
                            <w:sz w:val="20"/>
                            <w:szCs w:val="20"/>
                          </w:rPr>
                        </w:pPr>
                        <w:r w:rsidRPr="00BE3D51">
                          <w:rPr>
                            <w:rFonts w:asciiTheme="minorHAnsi" w:eastAsia="Calibri" w:hAnsiTheme="minorHAnsi"/>
                            <w:sz w:val="20"/>
                            <w:szCs w:val="20"/>
                          </w:rPr>
                          <w:t>A</w:t>
                        </w:r>
                        <w:r>
                          <w:rPr>
                            <w:rFonts w:asciiTheme="minorHAnsi" w:eastAsia="Calibri" w:hAnsiTheme="minorHAnsi"/>
                            <w:sz w:val="20"/>
                            <w:szCs w:val="20"/>
                          </w:rPr>
                          <w:t xml:space="preserve"> – 2011-12 reference cost </w:t>
                        </w:r>
                      </w:p>
                      <w:p w:rsidR="00513719" w:rsidRDefault="00513719" w:rsidP="00053234">
                        <w:pPr>
                          <w:pStyle w:val="NormalWeb"/>
                          <w:spacing w:before="0" w:after="200" w:line="276" w:lineRule="auto"/>
                          <w:rPr>
                            <w:rFonts w:asciiTheme="minorHAnsi" w:eastAsia="Calibri" w:hAnsiTheme="minorHAnsi"/>
                            <w:sz w:val="20"/>
                            <w:szCs w:val="20"/>
                          </w:rPr>
                        </w:pPr>
                        <w:r>
                          <w:rPr>
                            <w:rFonts w:asciiTheme="minorHAnsi" w:eastAsia="Calibri" w:hAnsiTheme="minorHAnsi"/>
                            <w:sz w:val="20"/>
                            <w:szCs w:val="20"/>
                          </w:rPr>
                          <w:t>B – 2012-13 mean cost</w:t>
                        </w:r>
                      </w:p>
                      <w:p w:rsidR="00513719" w:rsidRPr="00BE3D51" w:rsidRDefault="00513719" w:rsidP="00053234">
                        <w:pPr>
                          <w:pStyle w:val="NormalWeb"/>
                          <w:spacing w:before="0" w:after="200" w:line="276" w:lineRule="auto"/>
                          <w:rPr>
                            <w:rFonts w:asciiTheme="minorHAnsi" w:eastAsia="Calibri" w:hAnsiTheme="minorHAnsi"/>
                            <w:sz w:val="20"/>
                            <w:szCs w:val="20"/>
                          </w:rPr>
                        </w:pPr>
                        <w:r>
                          <w:rPr>
                            <w:rFonts w:asciiTheme="minorHAnsi" w:eastAsia="Calibri" w:hAnsiTheme="minorHAnsi"/>
                            <w:sz w:val="20"/>
                            <w:szCs w:val="20"/>
                          </w:rPr>
                          <w:t>C – 2012-13 reference cost</w:t>
                        </w:r>
                      </w:p>
                    </w:txbxContent>
                  </v:textbox>
                </v:shape>
                <v:shape id="Text Box 3" o:spid="_x0000_s1066" type="#_x0000_t202" style="position:absolute;left:28622;top:18333;width:20100;height:1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rsidR="00513719" w:rsidRPr="00BE3D51" w:rsidRDefault="00513719" w:rsidP="00053234">
                        <w:pPr>
                          <w:pStyle w:val="NormalWeb"/>
                          <w:spacing w:before="0" w:after="200" w:line="276" w:lineRule="auto"/>
                          <w:rPr>
                            <w:rFonts w:asciiTheme="minorHAnsi" w:hAnsiTheme="minorHAnsi"/>
                          </w:rPr>
                        </w:pPr>
                        <w:r>
                          <w:rPr>
                            <w:rFonts w:asciiTheme="minorHAnsi" w:eastAsia="Calibri" w:hAnsiTheme="minorHAnsi"/>
                            <w:sz w:val="20"/>
                            <w:szCs w:val="20"/>
                          </w:rPr>
                          <w:t>X</w:t>
                        </w:r>
                        <w:r w:rsidRPr="00BE3D51">
                          <w:rPr>
                            <w:rFonts w:asciiTheme="minorHAnsi" w:eastAsia="Calibri" w:hAnsiTheme="minorHAnsi"/>
                            <w:sz w:val="20"/>
                            <w:szCs w:val="20"/>
                          </w:rPr>
                          <w:t xml:space="preserve"> – </w:t>
                        </w:r>
                        <w:proofErr w:type="gramStart"/>
                        <w:r>
                          <w:rPr>
                            <w:rFonts w:asciiTheme="minorHAnsi" w:eastAsia="Calibri" w:hAnsiTheme="minorHAnsi"/>
                            <w:sz w:val="20"/>
                            <w:szCs w:val="20"/>
                          </w:rPr>
                          <w:t>crude</w:t>
                        </w:r>
                        <w:proofErr w:type="gramEnd"/>
                        <w:r>
                          <w:rPr>
                            <w:rFonts w:asciiTheme="minorHAnsi" w:eastAsia="Calibri" w:hAnsiTheme="minorHAnsi"/>
                            <w:sz w:val="20"/>
                            <w:szCs w:val="20"/>
                          </w:rPr>
                          <w:t xml:space="preserve"> growth rate to mean cost</w:t>
                        </w:r>
                      </w:p>
                      <w:p w:rsidR="00513719" w:rsidRPr="00BE3D51" w:rsidRDefault="00513719" w:rsidP="00053234">
                        <w:pPr>
                          <w:pStyle w:val="NormalWeb"/>
                          <w:spacing w:before="0" w:after="200" w:line="276" w:lineRule="auto"/>
                          <w:rPr>
                            <w:rFonts w:asciiTheme="minorHAnsi" w:hAnsiTheme="minorHAnsi"/>
                          </w:rPr>
                        </w:pPr>
                        <w:r>
                          <w:rPr>
                            <w:rFonts w:asciiTheme="minorHAnsi" w:eastAsia="Calibri" w:hAnsiTheme="minorHAnsi"/>
                            <w:sz w:val="20"/>
                            <w:szCs w:val="20"/>
                          </w:rPr>
                          <w:t>Y</w:t>
                        </w:r>
                        <w:r w:rsidRPr="00BE3D51">
                          <w:rPr>
                            <w:rFonts w:asciiTheme="minorHAnsi" w:eastAsia="Calibri" w:hAnsiTheme="minorHAnsi"/>
                            <w:sz w:val="20"/>
                            <w:szCs w:val="20"/>
                          </w:rPr>
                          <w:t xml:space="preserve"> – </w:t>
                        </w:r>
                        <w:proofErr w:type="gramStart"/>
                        <w:r>
                          <w:rPr>
                            <w:rFonts w:asciiTheme="minorHAnsi" w:eastAsia="Calibri" w:hAnsiTheme="minorHAnsi"/>
                            <w:sz w:val="20"/>
                            <w:szCs w:val="20"/>
                          </w:rPr>
                          <w:t>standardised</w:t>
                        </w:r>
                        <w:proofErr w:type="gramEnd"/>
                        <w:r>
                          <w:rPr>
                            <w:rFonts w:asciiTheme="minorHAnsi" w:eastAsia="Calibri" w:hAnsiTheme="minorHAnsi"/>
                            <w:sz w:val="20"/>
                            <w:szCs w:val="20"/>
                          </w:rPr>
                          <w:t xml:space="preserve"> growth rate</w:t>
                        </w:r>
                      </w:p>
                      <w:p w:rsidR="00513719" w:rsidRPr="00BE3D51" w:rsidRDefault="00513719" w:rsidP="00053234">
                        <w:pPr>
                          <w:pStyle w:val="NormalWeb"/>
                          <w:spacing w:before="0" w:after="200" w:line="276" w:lineRule="auto"/>
                          <w:rPr>
                            <w:rFonts w:asciiTheme="minorHAnsi" w:hAnsiTheme="minorHAnsi"/>
                          </w:rPr>
                        </w:pPr>
                        <w:r>
                          <w:rPr>
                            <w:rFonts w:asciiTheme="minorHAnsi" w:eastAsia="Calibri" w:hAnsiTheme="minorHAnsi"/>
                            <w:sz w:val="20"/>
                            <w:szCs w:val="20"/>
                          </w:rPr>
                          <w:t xml:space="preserve">Z – </w:t>
                        </w:r>
                        <w:proofErr w:type="gramStart"/>
                        <w:r>
                          <w:rPr>
                            <w:rFonts w:asciiTheme="minorHAnsi" w:eastAsia="Calibri" w:hAnsiTheme="minorHAnsi"/>
                            <w:sz w:val="20"/>
                            <w:szCs w:val="20"/>
                          </w:rPr>
                          <w:t>rebasing</w:t>
                        </w:r>
                        <w:proofErr w:type="gramEnd"/>
                        <w:r>
                          <w:rPr>
                            <w:rFonts w:asciiTheme="minorHAnsi" w:eastAsia="Calibri" w:hAnsiTheme="minorHAnsi"/>
                            <w:sz w:val="20"/>
                            <w:szCs w:val="20"/>
                          </w:rPr>
                          <w:t xml:space="preserve"> factor</w:t>
                        </w:r>
                      </w:p>
                    </w:txbxContent>
                  </v:textbox>
                </v:shape>
                <v:line id="Straight Connector 14" o:spid="_x0000_s1067" style="position:absolute;visibility:visible;mso-wrap-style:square" from="8428,4825" to="41346,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PwsMAAADbAAAADwAAAGRycy9kb3ducmV2LnhtbERPTWvCQBC9F/wPyxR6Kc3GHsSmrlIi&#10;QiiIaNJDb0N2TEKzs3F31fTfdwuCt3m8z1msRtOLCznfWVYwTVIQxLXVHTcKqnLzMgfhA7LG3jIp&#10;+CUPq+XkYYGZtlfe0+UQGhFD2GeooA1hyKT0dUsGfWIH4sgdrTMYInSN1A6vMdz08jVNZ9Jgx7Gh&#10;xYHyluqfw9koKJ93xec2l0env/em8l+703qUSj09jh/vIAKN4S6+uQsd57/B/y/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6T8LDAAAA2wAAAA8AAAAAAAAAAAAA&#10;AAAAoQIAAGRycy9kb3ducmV2LnhtbFBLBQYAAAAABAAEAPkAAACRAwAAAAA=&#10;" strokecolor="#bfbfbf" strokeweight=".5pt">
                  <v:stroke linestyle="thinThin"/>
                </v:line>
                <w10:anchorlock/>
              </v:group>
            </w:pict>
          </mc:Fallback>
        </mc:AlternateContent>
      </w:r>
    </w:p>
    <w:p w:rsidR="00460371" w:rsidRPr="00767441" w:rsidRDefault="00460371" w:rsidP="00AD4FFC">
      <w:pPr>
        <w:spacing w:before="100" w:beforeAutospacing="1" w:after="100" w:afterAutospacing="1"/>
        <w:rPr>
          <w:rFonts w:ascii="Calibri" w:eastAsia="Calibri" w:hAnsi="Calibri"/>
          <w:sz w:val="24"/>
        </w:rPr>
      </w:pPr>
      <w:r w:rsidRPr="00767441">
        <w:rPr>
          <w:rFonts w:ascii="Calibri" w:eastAsia="Calibri" w:hAnsi="Calibri"/>
          <w:sz w:val="24"/>
        </w:rPr>
        <w:t>There are two intended consequences of the selection of the reference costs:</w:t>
      </w:r>
    </w:p>
    <w:p w:rsidR="00460371" w:rsidRPr="00767441" w:rsidRDefault="00460371" w:rsidP="00C245E0">
      <w:pPr>
        <w:numPr>
          <w:ilvl w:val="0"/>
          <w:numId w:val="45"/>
        </w:numPr>
        <w:spacing w:before="100" w:beforeAutospacing="1" w:after="100" w:afterAutospacing="1"/>
        <w:contextualSpacing/>
        <w:rPr>
          <w:rFonts w:ascii="Calibri" w:eastAsia="Calibri" w:hAnsi="Calibri"/>
          <w:sz w:val="24"/>
        </w:rPr>
      </w:pPr>
      <w:r w:rsidRPr="00767441">
        <w:rPr>
          <w:rFonts w:ascii="Calibri" w:eastAsia="Calibri" w:hAnsi="Calibri"/>
          <w:sz w:val="24"/>
        </w:rPr>
        <w:t>The change in reference costs represents change in unit costs excluding the effect of any changes in case-mix; and</w:t>
      </w:r>
    </w:p>
    <w:p w:rsidR="00110E37" w:rsidRPr="006216CA" w:rsidRDefault="00460371" w:rsidP="00C245E0">
      <w:pPr>
        <w:numPr>
          <w:ilvl w:val="0"/>
          <w:numId w:val="45"/>
        </w:numPr>
        <w:spacing w:before="100" w:beforeAutospacing="1" w:after="100" w:afterAutospacing="1"/>
        <w:contextualSpacing/>
        <w:rPr>
          <w:rFonts w:ascii="Calibri" w:eastAsia="Calibri" w:hAnsi="Calibri"/>
          <w:sz w:val="24"/>
        </w:rPr>
      </w:pPr>
      <w:r w:rsidRPr="00767441">
        <w:rPr>
          <w:rFonts w:ascii="Calibri" w:eastAsia="Calibri" w:hAnsi="Calibri"/>
          <w:sz w:val="24"/>
        </w:rPr>
        <w:t>The 201</w:t>
      </w:r>
      <w:r w:rsidR="00F12589">
        <w:rPr>
          <w:rFonts w:ascii="Calibri" w:eastAsia="Calibri" w:hAnsi="Calibri"/>
          <w:sz w:val="24"/>
        </w:rPr>
        <w:t>1</w:t>
      </w:r>
      <w:r w:rsidRPr="00767441">
        <w:rPr>
          <w:rFonts w:ascii="Calibri" w:eastAsia="Calibri" w:hAnsi="Calibri"/>
          <w:sz w:val="24"/>
        </w:rPr>
        <w:t>-1</w:t>
      </w:r>
      <w:r w:rsidR="00F12589">
        <w:rPr>
          <w:rFonts w:ascii="Calibri" w:eastAsia="Calibri" w:hAnsi="Calibri"/>
          <w:sz w:val="24"/>
        </w:rPr>
        <w:t>2</w:t>
      </w:r>
      <w:r w:rsidRPr="00767441">
        <w:rPr>
          <w:rFonts w:ascii="Calibri" w:eastAsia="Calibri" w:hAnsi="Calibri"/>
          <w:sz w:val="24"/>
        </w:rPr>
        <w:t xml:space="preserve"> and </w:t>
      </w:r>
      <w:r w:rsidR="00B94FB5">
        <w:rPr>
          <w:rFonts w:ascii="Calibri" w:eastAsia="Calibri" w:hAnsi="Calibri"/>
          <w:sz w:val="24"/>
        </w:rPr>
        <w:t>2012-13</w:t>
      </w:r>
      <w:r w:rsidRPr="00767441">
        <w:rPr>
          <w:rFonts w:ascii="Calibri" w:eastAsia="Calibri" w:hAnsi="Calibri"/>
          <w:sz w:val="24"/>
        </w:rPr>
        <w:t xml:space="preserve"> cost weight models give the same total weighted volume when applied to the </w:t>
      </w:r>
      <w:r w:rsidR="00B94FB5">
        <w:rPr>
          <w:rFonts w:ascii="Calibri" w:eastAsia="Calibri" w:hAnsi="Calibri"/>
          <w:sz w:val="24"/>
        </w:rPr>
        <w:t>2012-13</w:t>
      </w:r>
      <w:r w:rsidRPr="00767441">
        <w:rPr>
          <w:rFonts w:ascii="Calibri" w:eastAsia="Calibri" w:hAnsi="Calibri"/>
          <w:sz w:val="24"/>
        </w:rPr>
        <w:t xml:space="preserve"> activity data on which the standardised growth rate is derived.</w:t>
      </w:r>
    </w:p>
    <w:p w:rsidR="00110E37" w:rsidRPr="000674A1" w:rsidRDefault="00110E37" w:rsidP="00AD4FFC">
      <w:pPr>
        <w:pStyle w:val="ListParagraph"/>
        <w:numPr>
          <w:ilvl w:val="2"/>
          <w:numId w:val="36"/>
        </w:numPr>
        <w:spacing w:before="100" w:beforeAutospacing="1" w:after="100" w:afterAutospacing="1"/>
        <w:ind w:left="284"/>
        <w:rPr>
          <w:rFonts w:ascii="Calibri" w:eastAsia="Calibri" w:hAnsi="Calibri"/>
          <w:b/>
          <w:sz w:val="28"/>
          <w:szCs w:val="28"/>
        </w:rPr>
      </w:pPr>
      <w:r w:rsidRPr="000674A1">
        <w:rPr>
          <w:rFonts w:ascii="Calibri" w:eastAsia="Calibri" w:hAnsi="Calibri"/>
          <w:b/>
          <w:sz w:val="28"/>
          <w:szCs w:val="28"/>
        </w:rPr>
        <w:t xml:space="preserve">Indexation </w:t>
      </w:r>
    </w:p>
    <w:p w:rsidR="006216CA"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 xml:space="preserve">The final step in the transformation of the cost model to pricing model is the indexation of costs to estimate those in the year of the pricing model. Describing the methodology in the context of the </w:t>
      </w:r>
      <w:r w:rsidR="00B94FB5">
        <w:rPr>
          <w:rFonts w:ascii="Calibri" w:eastAsia="Calibri" w:hAnsi="Calibri"/>
          <w:sz w:val="24"/>
          <w:szCs w:val="24"/>
        </w:rPr>
        <w:t>2015-16</w:t>
      </w:r>
      <w:r w:rsidRPr="00767441">
        <w:rPr>
          <w:rFonts w:ascii="Calibri" w:eastAsia="Calibri" w:hAnsi="Calibri"/>
          <w:sz w:val="24"/>
          <w:szCs w:val="24"/>
        </w:rPr>
        <w:t xml:space="preserve"> pricing model, the objective is to derive an annual indexation rate that is used to inflate the </w:t>
      </w:r>
      <w:r w:rsidR="00B94FB5">
        <w:rPr>
          <w:rFonts w:ascii="Calibri" w:eastAsia="Calibri" w:hAnsi="Calibri"/>
          <w:sz w:val="24"/>
          <w:szCs w:val="24"/>
        </w:rPr>
        <w:t>2012-13</w:t>
      </w:r>
      <w:r w:rsidRPr="00767441">
        <w:rPr>
          <w:rFonts w:ascii="Calibri" w:eastAsia="Calibri" w:hAnsi="Calibri"/>
          <w:sz w:val="24"/>
          <w:szCs w:val="24"/>
        </w:rPr>
        <w:t xml:space="preserve"> cost </w:t>
      </w:r>
      <w:proofErr w:type="gramStart"/>
      <w:r w:rsidRPr="00767441">
        <w:rPr>
          <w:rFonts w:ascii="Calibri" w:eastAsia="Calibri" w:hAnsi="Calibri"/>
          <w:sz w:val="24"/>
          <w:szCs w:val="24"/>
        </w:rPr>
        <w:t>model</w:t>
      </w:r>
      <w:proofErr w:type="gramEnd"/>
      <w:r w:rsidRPr="00767441">
        <w:rPr>
          <w:rFonts w:ascii="Calibri" w:eastAsia="Calibri" w:hAnsi="Calibri"/>
          <w:sz w:val="24"/>
          <w:szCs w:val="24"/>
        </w:rPr>
        <w:t xml:space="preserve"> over three years to a level reflective of estimated </w:t>
      </w:r>
      <w:r w:rsidR="00B94FB5">
        <w:rPr>
          <w:rFonts w:ascii="Calibri" w:eastAsia="Calibri" w:hAnsi="Calibri"/>
          <w:sz w:val="24"/>
          <w:szCs w:val="24"/>
        </w:rPr>
        <w:t>2015-16</w:t>
      </w:r>
      <w:r w:rsidRPr="00767441">
        <w:rPr>
          <w:rFonts w:ascii="Calibri" w:eastAsia="Calibri" w:hAnsi="Calibri"/>
          <w:sz w:val="24"/>
          <w:szCs w:val="24"/>
        </w:rPr>
        <w:t xml:space="preserve"> costs.</w:t>
      </w:r>
    </w:p>
    <w:p w:rsidR="00460371" w:rsidRPr="00767441" w:rsidRDefault="00460371" w:rsidP="007A2FE5">
      <w:pPr>
        <w:spacing w:after="0"/>
        <w:rPr>
          <w:rFonts w:ascii="Calibri" w:eastAsia="Calibri" w:hAnsi="Calibri"/>
          <w:sz w:val="24"/>
          <w:szCs w:val="24"/>
        </w:rPr>
      </w:pPr>
      <w:r w:rsidRPr="00767441">
        <w:rPr>
          <w:rFonts w:ascii="Calibri" w:eastAsia="Calibri" w:hAnsi="Calibri"/>
          <w:sz w:val="24"/>
          <w:szCs w:val="24"/>
        </w:rPr>
        <w:t xml:space="preserve">To derive this rate, the </w:t>
      </w:r>
      <w:r w:rsidR="00B94FB5">
        <w:rPr>
          <w:rFonts w:ascii="Calibri" w:eastAsia="Calibri" w:hAnsi="Calibri"/>
          <w:sz w:val="24"/>
          <w:szCs w:val="24"/>
        </w:rPr>
        <w:t>2012-13</w:t>
      </w:r>
      <w:r w:rsidRPr="00767441">
        <w:rPr>
          <w:rFonts w:ascii="Calibri" w:eastAsia="Calibri" w:hAnsi="Calibri"/>
          <w:sz w:val="24"/>
          <w:szCs w:val="24"/>
        </w:rPr>
        <w:t xml:space="preserve"> cost model is applied retrospectively to the five years of patient costed acute admitted activity data</w:t>
      </w:r>
      <w:r w:rsidRPr="00767441">
        <w:rPr>
          <w:rFonts w:ascii="Calibri" w:eastAsia="Calibri" w:hAnsi="Calibri"/>
          <w:sz w:val="24"/>
          <w:szCs w:val="24"/>
          <w:vertAlign w:val="superscript"/>
        </w:rPr>
        <w:footnoteReference w:id="24"/>
      </w:r>
      <w:r w:rsidRPr="00767441">
        <w:rPr>
          <w:rFonts w:ascii="Calibri" w:eastAsia="Calibri" w:hAnsi="Calibri"/>
          <w:sz w:val="24"/>
          <w:szCs w:val="24"/>
        </w:rPr>
        <w:t xml:space="preserve"> up to </w:t>
      </w:r>
      <w:r w:rsidR="00B94FB5">
        <w:rPr>
          <w:rFonts w:ascii="Calibri" w:eastAsia="Calibri" w:hAnsi="Calibri"/>
          <w:sz w:val="24"/>
          <w:szCs w:val="24"/>
        </w:rPr>
        <w:t>2012-13</w:t>
      </w:r>
      <w:r w:rsidRPr="00767441">
        <w:rPr>
          <w:rFonts w:ascii="Calibri" w:eastAsia="Calibri" w:hAnsi="Calibri"/>
          <w:sz w:val="24"/>
          <w:szCs w:val="24"/>
        </w:rPr>
        <w:t xml:space="preserve">, and comparisons are made between actual and model costs to determine the scaling of the </w:t>
      </w:r>
      <w:r w:rsidR="00B94FB5">
        <w:rPr>
          <w:rFonts w:ascii="Calibri" w:eastAsia="Calibri" w:hAnsi="Calibri"/>
          <w:sz w:val="24"/>
          <w:szCs w:val="24"/>
        </w:rPr>
        <w:t>2012-13</w:t>
      </w:r>
      <w:r w:rsidRPr="00767441">
        <w:rPr>
          <w:rFonts w:ascii="Calibri" w:eastAsia="Calibri" w:hAnsi="Calibri"/>
          <w:sz w:val="24"/>
          <w:szCs w:val="24"/>
        </w:rPr>
        <w:t xml:space="preserve"> cost model required to equalise each </w:t>
      </w:r>
      <w:r w:rsidRPr="00767441">
        <w:rPr>
          <w:rFonts w:ascii="Calibri" w:eastAsia="Calibri" w:hAnsi="Calibri"/>
          <w:sz w:val="24"/>
          <w:szCs w:val="24"/>
        </w:rPr>
        <w:lastRenderedPageBreak/>
        <w:t>year’s model costs and actual costs. The trend of these scaling factors from 200</w:t>
      </w:r>
      <w:r w:rsidR="00F12589">
        <w:rPr>
          <w:rFonts w:ascii="Calibri" w:eastAsia="Calibri" w:hAnsi="Calibri"/>
          <w:sz w:val="24"/>
          <w:szCs w:val="24"/>
        </w:rPr>
        <w:t>8</w:t>
      </w:r>
      <w:r w:rsidRPr="00767441">
        <w:rPr>
          <w:rFonts w:ascii="Calibri" w:eastAsia="Calibri" w:hAnsi="Calibri"/>
          <w:sz w:val="24"/>
          <w:szCs w:val="24"/>
        </w:rPr>
        <w:t>-0</w:t>
      </w:r>
      <w:r w:rsidR="00F12589">
        <w:rPr>
          <w:rFonts w:ascii="Calibri" w:eastAsia="Calibri" w:hAnsi="Calibri"/>
          <w:sz w:val="24"/>
          <w:szCs w:val="24"/>
        </w:rPr>
        <w:t>9</w:t>
      </w:r>
      <w:r w:rsidRPr="00767441">
        <w:rPr>
          <w:rFonts w:ascii="Calibri" w:eastAsia="Calibri" w:hAnsi="Calibri"/>
          <w:sz w:val="24"/>
          <w:szCs w:val="24"/>
        </w:rPr>
        <w:t xml:space="preserve"> to </w:t>
      </w:r>
      <w:r w:rsidR="00B94FB5">
        <w:rPr>
          <w:rFonts w:ascii="Calibri" w:eastAsia="Calibri" w:hAnsi="Calibri"/>
          <w:sz w:val="24"/>
          <w:szCs w:val="24"/>
        </w:rPr>
        <w:t>2012-13</w:t>
      </w:r>
      <w:r w:rsidRPr="00767441">
        <w:rPr>
          <w:rFonts w:ascii="Calibri" w:eastAsia="Calibri" w:hAnsi="Calibri"/>
          <w:sz w:val="24"/>
          <w:szCs w:val="24"/>
        </w:rPr>
        <w:t xml:space="preserve"> is then projected to model the indexation rate for the following three years.</w:t>
      </w:r>
    </w:p>
    <w:p w:rsidR="00460371" w:rsidRPr="00767441" w:rsidRDefault="009419AC" w:rsidP="00AD4FFC">
      <w:pPr>
        <w:spacing w:before="100" w:beforeAutospacing="1" w:after="100" w:afterAutospacing="1"/>
        <w:rPr>
          <w:rFonts w:ascii="Calibri" w:eastAsia="Calibri" w:hAnsi="Calibri"/>
          <w:sz w:val="24"/>
          <w:szCs w:val="24"/>
        </w:rPr>
      </w:pPr>
      <w:r>
        <w:rPr>
          <w:rFonts w:ascii="Calibri" w:eastAsia="Calibri" w:hAnsi="Calibri"/>
          <w:sz w:val="24"/>
          <w:szCs w:val="24"/>
        </w:rPr>
        <w:t>Figure 3</w:t>
      </w:r>
      <w:r w:rsidR="00460371" w:rsidRPr="00767441">
        <w:rPr>
          <w:rFonts w:ascii="Calibri" w:eastAsia="Calibri" w:hAnsi="Calibri"/>
          <w:sz w:val="24"/>
          <w:szCs w:val="24"/>
        </w:rPr>
        <w:t xml:space="preserve"> illustrates the </w:t>
      </w:r>
      <w:r w:rsidR="00B94FB5">
        <w:rPr>
          <w:rFonts w:ascii="Calibri" w:eastAsia="Calibri" w:hAnsi="Calibri"/>
          <w:sz w:val="24"/>
          <w:szCs w:val="24"/>
        </w:rPr>
        <w:t>2012-13</w:t>
      </w:r>
      <w:r w:rsidR="00460371" w:rsidRPr="00767441">
        <w:rPr>
          <w:rFonts w:ascii="Calibri" w:eastAsia="Calibri" w:hAnsi="Calibri"/>
          <w:sz w:val="24"/>
          <w:szCs w:val="24"/>
        </w:rPr>
        <w:t xml:space="preserve"> cost model applied to patient costed acute admitted activity data and shows the scaling factors required to ensure the model costs are equalised with actual costs. Since the </w:t>
      </w:r>
      <w:r w:rsidR="00B94FB5">
        <w:rPr>
          <w:rFonts w:ascii="Calibri" w:eastAsia="Calibri" w:hAnsi="Calibri"/>
          <w:sz w:val="24"/>
          <w:szCs w:val="24"/>
        </w:rPr>
        <w:t>2012-13</w:t>
      </w:r>
      <w:r w:rsidR="00460371" w:rsidRPr="00767441">
        <w:rPr>
          <w:rFonts w:ascii="Calibri" w:eastAsia="Calibri" w:hAnsi="Calibri"/>
          <w:sz w:val="24"/>
          <w:szCs w:val="24"/>
        </w:rPr>
        <w:t xml:space="preserve"> cost model itself is equalised against </w:t>
      </w:r>
      <w:r w:rsidR="00B94FB5">
        <w:rPr>
          <w:rFonts w:ascii="Calibri" w:eastAsia="Calibri" w:hAnsi="Calibri"/>
          <w:sz w:val="24"/>
          <w:szCs w:val="24"/>
        </w:rPr>
        <w:t>2012-13</w:t>
      </w:r>
      <w:r w:rsidR="00460371" w:rsidRPr="00767441">
        <w:rPr>
          <w:rFonts w:ascii="Calibri" w:eastAsia="Calibri" w:hAnsi="Calibri"/>
          <w:sz w:val="24"/>
          <w:szCs w:val="24"/>
        </w:rPr>
        <w:t xml:space="preserve"> actual costs, the scaling factor for </w:t>
      </w:r>
      <w:r w:rsidR="00B94FB5">
        <w:rPr>
          <w:rFonts w:ascii="Calibri" w:eastAsia="Calibri" w:hAnsi="Calibri"/>
          <w:sz w:val="24"/>
          <w:szCs w:val="24"/>
        </w:rPr>
        <w:t>2012-13</w:t>
      </w:r>
      <w:r w:rsidR="00460371" w:rsidRPr="00767441">
        <w:rPr>
          <w:rFonts w:ascii="Calibri" w:eastAsia="Calibri" w:hAnsi="Calibri"/>
          <w:sz w:val="24"/>
          <w:szCs w:val="24"/>
        </w:rPr>
        <w:t xml:space="preserve"> is equal to 1 (i.e. no scaling required). Going back through the prior four years of cost data, scaling factors of less than 1 are required to deflate the modelled costs down to the level of the actual costs. This time series of scaling factors</w:t>
      </w:r>
    </w:p>
    <w:p w:rsidR="00053234" w:rsidRPr="00767441" w:rsidRDefault="00053234" w:rsidP="00AD4FFC">
      <w:pPr>
        <w:spacing w:before="100" w:beforeAutospacing="1" w:after="100" w:afterAutospacing="1"/>
        <w:jc w:val="center"/>
        <w:rPr>
          <w:rFonts w:ascii="Calibri" w:eastAsia="Calibri" w:hAnsi="Calibri"/>
          <w:sz w:val="24"/>
          <w:szCs w:val="24"/>
        </w:rPr>
      </w:pPr>
      <w:proofErr w:type="gramStart"/>
      <w:r w:rsidRPr="00767441">
        <w:rPr>
          <w:rFonts w:ascii="Calibri" w:eastAsia="Calibri" w:hAnsi="Calibri"/>
          <w:i/>
          <w:sz w:val="24"/>
          <w:szCs w:val="24"/>
        </w:rPr>
        <w:t>s</w:t>
      </w:r>
      <w:r w:rsidRPr="00767441">
        <w:rPr>
          <w:rFonts w:ascii="Calibri" w:eastAsia="Calibri" w:hAnsi="Calibri"/>
          <w:i/>
          <w:sz w:val="24"/>
          <w:szCs w:val="24"/>
          <w:vertAlign w:val="subscript"/>
        </w:rPr>
        <w:t>2008</w:t>
      </w:r>
      <w:r>
        <w:rPr>
          <w:rFonts w:ascii="Calibri" w:eastAsia="Calibri" w:hAnsi="Calibri"/>
          <w:i/>
          <w:sz w:val="24"/>
          <w:szCs w:val="24"/>
          <w:vertAlign w:val="subscript"/>
        </w:rPr>
        <w:t>-09</w:t>
      </w:r>
      <w:proofErr w:type="gramEnd"/>
      <w:r w:rsidRPr="00767441">
        <w:rPr>
          <w:rFonts w:ascii="Calibri" w:eastAsia="Calibri" w:hAnsi="Calibri"/>
          <w:sz w:val="24"/>
          <w:szCs w:val="24"/>
        </w:rPr>
        <w:t xml:space="preserve"> </w:t>
      </w:r>
      <w:r w:rsidRPr="00767441">
        <w:rPr>
          <w:rFonts w:ascii="Calibri" w:eastAsia="Calibri" w:hAnsi="Calibri"/>
          <w:sz w:val="24"/>
          <w:szCs w:val="24"/>
        </w:rPr>
        <w:sym w:font="Wingdings" w:char="F0E0"/>
      </w:r>
      <w:r w:rsidRPr="00767441">
        <w:rPr>
          <w:rFonts w:ascii="Calibri" w:eastAsia="Calibri" w:hAnsi="Calibri"/>
          <w:sz w:val="24"/>
          <w:szCs w:val="24"/>
        </w:rPr>
        <w:t xml:space="preserve"> </w:t>
      </w:r>
      <w:r w:rsidRPr="00767441">
        <w:rPr>
          <w:rFonts w:ascii="Calibri" w:eastAsia="Calibri" w:hAnsi="Calibri"/>
          <w:b/>
          <w:sz w:val="24"/>
          <w:szCs w:val="24"/>
        </w:rPr>
        <w:t>…</w:t>
      </w:r>
      <w:r w:rsidRPr="00767441">
        <w:rPr>
          <w:rFonts w:ascii="Calibri" w:eastAsia="Calibri" w:hAnsi="Calibri"/>
          <w:sz w:val="24"/>
          <w:szCs w:val="24"/>
        </w:rPr>
        <w:t xml:space="preserve"> </w:t>
      </w:r>
      <w:r w:rsidRPr="00767441">
        <w:rPr>
          <w:rFonts w:ascii="Calibri" w:eastAsia="Calibri" w:hAnsi="Calibri"/>
          <w:sz w:val="24"/>
          <w:szCs w:val="24"/>
        </w:rPr>
        <w:sym w:font="Wingdings" w:char="F0E0"/>
      </w:r>
      <w:r w:rsidRPr="00767441">
        <w:rPr>
          <w:rFonts w:ascii="Calibri" w:eastAsia="Calibri" w:hAnsi="Calibri"/>
          <w:sz w:val="24"/>
          <w:szCs w:val="24"/>
        </w:rPr>
        <w:t xml:space="preserve"> </w:t>
      </w:r>
      <w:r w:rsidRPr="00767441">
        <w:rPr>
          <w:rFonts w:ascii="Calibri" w:eastAsia="Calibri" w:hAnsi="Calibri"/>
          <w:i/>
          <w:sz w:val="24"/>
          <w:szCs w:val="24"/>
        </w:rPr>
        <w:t>s</w:t>
      </w:r>
      <w:r>
        <w:rPr>
          <w:rFonts w:ascii="Calibri" w:eastAsia="Calibri" w:hAnsi="Calibri"/>
          <w:i/>
          <w:sz w:val="24"/>
          <w:szCs w:val="24"/>
          <w:vertAlign w:val="subscript"/>
        </w:rPr>
        <w:t>2012-13</w:t>
      </w:r>
    </w:p>
    <w:p w:rsidR="00460371" w:rsidRPr="00767441" w:rsidRDefault="00460371" w:rsidP="000539FD">
      <w:pPr>
        <w:spacing w:before="100" w:beforeAutospacing="1" w:after="100" w:afterAutospacing="1"/>
        <w:ind w:left="851"/>
        <w:rPr>
          <w:rFonts w:ascii="Calibri" w:eastAsia="Calibri" w:hAnsi="Calibri"/>
          <w:sz w:val="24"/>
          <w:szCs w:val="24"/>
        </w:rPr>
      </w:pPr>
      <w:proofErr w:type="gramStart"/>
      <w:r w:rsidRPr="00767441">
        <w:rPr>
          <w:rFonts w:ascii="Calibri" w:eastAsia="Calibri" w:hAnsi="Calibri"/>
          <w:sz w:val="24"/>
          <w:szCs w:val="24"/>
        </w:rPr>
        <w:t>is</w:t>
      </w:r>
      <w:proofErr w:type="gramEnd"/>
      <w:r w:rsidRPr="00767441">
        <w:rPr>
          <w:rFonts w:ascii="Calibri" w:eastAsia="Calibri" w:hAnsi="Calibri"/>
          <w:sz w:val="24"/>
          <w:szCs w:val="24"/>
        </w:rPr>
        <w:t xml:space="preserve"> then used to model an annual scaling factor, denoted </w:t>
      </w:r>
      <w:r w:rsidRPr="00767441">
        <w:rPr>
          <w:rFonts w:ascii="Calibri" w:eastAsia="Calibri" w:hAnsi="Calibri"/>
          <w:i/>
          <w:sz w:val="24"/>
          <w:szCs w:val="24"/>
        </w:rPr>
        <w:t>s</w:t>
      </w:r>
      <w:r w:rsidRPr="00767441">
        <w:rPr>
          <w:rFonts w:ascii="Calibri" w:eastAsia="Calibri" w:hAnsi="Calibri"/>
          <w:sz w:val="24"/>
          <w:szCs w:val="24"/>
        </w:rPr>
        <w:t xml:space="preserve">, which would inflate the </w:t>
      </w:r>
      <w:r w:rsidR="00B94FB5">
        <w:rPr>
          <w:rFonts w:ascii="Calibri" w:eastAsia="Calibri" w:hAnsi="Calibri"/>
          <w:sz w:val="24"/>
          <w:szCs w:val="24"/>
        </w:rPr>
        <w:t>2012-13</w:t>
      </w:r>
      <w:r w:rsidRPr="00767441">
        <w:rPr>
          <w:rFonts w:ascii="Calibri" w:eastAsia="Calibri" w:hAnsi="Calibri"/>
          <w:sz w:val="24"/>
          <w:szCs w:val="24"/>
        </w:rPr>
        <w:t xml:space="preserve"> cost model up to </w:t>
      </w:r>
      <w:r w:rsidR="00B94FB5">
        <w:rPr>
          <w:rFonts w:ascii="Calibri" w:eastAsia="Calibri" w:hAnsi="Calibri"/>
          <w:sz w:val="24"/>
          <w:szCs w:val="24"/>
        </w:rPr>
        <w:t>2015-16</w:t>
      </w:r>
      <w:r w:rsidRPr="00767441">
        <w:rPr>
          <w:rFonts w:ascii="Calibri" w:eastAsia="Calibri" w:hAnsi="Calibri"/>
          <w:sz w:val="24"/>
          <w:szCs w:val="24"/>
        </w:rPr>
        <w:t xml:space="preserve"> projected actual costs. The indexation rate is then based on this annual scaling factor.</w:t>
      </w:r>
    </w:p>
    <w:p w:rsidR="000B14F1" w:rsidRDefault="00053234" w:rsidP="000B14F1">
      <w:pPr>
        <w:spacing w:before="100" w:beforeAutospacing="1" w:after="100" w:afterAutospacing="1"/>
        <w:rPr>
          <w:rFonts w:ascii="Calibri" w:eastAsia="Calibri" w:hAnsi="Calibri"/>
          <w:sz w:val="24"/>
          <w:szCs w:val="24"/>
        </w:rPr>
      </w:pPr>
      <w:r>
        <w:rPr>
          <w:rFonts w:ascii="Calibri" w:eastAsia="Calibri" w:hAnsi="Calibri"/>
          <w:sz w:val="24"/>
          <w:szCs w:val="24"/>
        </w:rPr>
        <w:t>Figure 3</w:t>
      </w:r>
      <w:r w:rsidR="00460371" w:rsidRPr="00767441">
        <w:rPr>
          <w:rFonts w:ascii="Calibri" w:eastAsia="Calibri" w:hAnsi="Calibri"/>
          <w:sz w:val="24"/>
          <w:szCs w:val="24"/>
        </w:rPr>
        <w:t xml:space="preserve"> also illustrates the projected annual scaling factor </w:t>
      </w:r>
      <w:r w:rsidR="00460371" w:rsidRPr="00767441">
        <w:rPr>
          <w:rFonts w:ascii="Calibri" w:eastAsia="Calibri" w:hAnsi="Calibri"/>
          <w:i/>
          <w:sz w:val="24"/>
          <w:szCs w:val="24"/>
        </w:rPr>
        <w:t>s</w:t>
      </w:r>
      <w:r w:rsidR="00460371" w:rsidRPr="00767441">
        <w:rPr>
          <w:rFonts w:ascii="Calibri" w:eastAsia="Calibri" w:hAnsi="Calibri"/>
          <w:sz w:val="24"/>
          <w:szCs w:val="24"/>
        </w:rPr>
        <w:t xml:space="preserve"> together with projected actual and model costs. The </w:t>
      </w:r>
      <w:r w:rsidR="00B94FB5">
        <w:rPr>
          <w:rFonts w:ascii="Calibri" w:eastAsia="Calibri" w:hAnsi="Calibri"/>
          <w:sz w:val="24"/>
          <w:szCs w:val="24"/>
        </w:rPr>
        <w:t>2015-16</w:t>
      </w:r>
      <w:r w:rsidR="00460371" w:rsidRPr="00767441">
        <w:rPr>
          <w:rFonts w:ascii="Calibri" w:eastAsia="Calibri" w:hAnsi="Calibri"/>
          <w:sz w:val="24"/>
          <w:szCs w:val="24"/>
        </w:rPr>
        <w:t xml:space="preserve"> projected scaling factor of </w:t>
      </w:r>
      <w:r w:rsidR="00460371" w:rsidRPr="00767441">
        <w:rPr>
          <w:rFonts w:ascii="Calibri" w:eastAsia="Calibri" w:hAnsi="Calibri"/>
          <w:i/>
          <w:sz w:val="24"/>
          <w:szCs w:val="24"/>
        </w:rPr>
        <w:t>s</w:t>
      </w:r>
      <w:r w:rsidR="00460371" w:rsidRPr="00767441">
        <w:rPr>
          <w:rFonts w:ascii="Calibri" w:eastAsia="Calibri" w:hAnsi="Calibri"/>
          <w:i/>
          <w:sz w:val="24"/>
          <w:szCs w:val="24"/>
          <w:vertAlign w:val="superscript"/>
        </w:rPr>
        <w:t>3</w:t>
      </w:r>
      <w:r w:rsidR="00460371" w:rsidRPr="00767441">
        <w:rPr>
          <w:rFonts w:ascii="Calibri" w:eastAsia="Calibri" w:hAnsi="Calibri"/>
          <w:sz w:val="24"/>
          <w:szCs w:val="24"/>
        </w:rPr>
        <w:t xml:space="preserve"> is pictured alongside projected actual and model costs to illustrate that the </w:t>
      </w:r>
      <w:r w:rsidR="00B94FB5">
        <w:rPr>
          <w:rFonts w:ascii="Calibri" w:eastAsia="Calibri" w:hAnsi="Calibri"/>
          <w:sz w:val="24"/>
          <w:szCs w:val="24"/>
        </w:rPr>
        <w:t>2012-13</w:t>
      </w:r>
      <w:r w:rsidR="00460371" w:rsidRPr="00767441">
        <w:rPr>
          <w:rFonts w:ascii="Calibri" w:eastAsia="Calibri" w:hAnsi="Calibri"/>
          <w:sz w:val="24"/>
          <w:szCs w:val="24"/>
        </w:rPr>
        <w:t xml:space="preserve"> cost model would require scaling by </w:t>
      </w:r>
      <w:r w:rsidR="00460371" w:rsidRPr="00767441">
        <w:rPr>
          <w:rFonts w:ascii="Calibri" w:eastAsia="Calibri" w:hAnsi="Calibri"/>
          <w:i/>
          <w:sz w:val="24"/>
          <w:szCs w:val="24"/>
        </w:rPr>
        <w:t>s</w:t>
      </w:r>
      <w:r w:rsidR="00460371" w:rsidRPr="00767441">
        <w:rPr>
          <w:rFonts w:ascii="Calibri" w:eastAsia="Calibri" w:hAnsi="Calibri"/>
          <w:i/>
          <w:sz w:val="24"/>
          <w:szCs w:val="24"/>
          <w:vertAlign w:val="superscript"/>
        </w:rPr>
        <w:t>3</w:t>
      </w:r>
      <w:r w:rsidR="00460371" w:rsidRPr="00767441">
        <w:rPr>
          <w:rFonts w:ascii="Calibri" w:eastAsia="Calibri" w:hAnsi="Calibri"/>
          <w:sz w:val="24"/>
          <w:szCs w:val="24"/>
        </w:rPr>
        <w:t xml:space="preserve"> to ensure that the resulting ‘</w:t>
      </w:r>
      <w:r w:rsidR="00460371" w:rsidRPr="00767441">
        <w:rPr>
          <w:rFonts w:ascii="Calibri" w:eastAsia="Calibri" w:hAnsi="Calibri"/>
          <w:i/>
          <w:sz w:val="24"/>
          <w:szCs w:val="24"/>
        </w:rPr>
        <w:t>s</w:t>
      </w:r>
      <w:r w:rsidR="00460371" w:rsidRPr="00767441">
        <w:rPr>
          <w:rFonts w:ascii="Calibri" w:eastAsia="Calibri" w:hAnsi="Calibri"/>
          <w:i/>
          <w:sz w:val="24"/>
          <w:szCs w:val="24"/>
          <w:vertAlign w:val="superscript"/>
        </w:rPr>
        <w:t>3</w:t>
      </w:r>
      <w:r w:rsidR="00460371" w:rsidRPr="00767441">
        <w:rPr>
          <w:rFonts w:ascii="Calibri" w:eastAsia="Calibri" w:hAnsi="Calibri"/>
          <w:sz w:val="24"/>
          <w:szCs w:val="24"/>
        </w:rPr>
        <w:t xml:space="preserve">-scaled </w:t>
      </w:r>
      <w:r w:rsidR="00B94FB5">
        <w:rPr>
          <w:rFonts w:ascii="Calibri" w:eastAsia="Calibri" w:hAnsi="Calibri"/>
          <w:sz w:val="24"/>
          <w:szCs w:val="24"/>
        </w:rPr>
        <w:t>2012-13</w:t>
      </w:r>
      <w:r w:rsidR="00460371" w:rsidRPr="00767441">
        <w:rPr>
          <w:rFonts w:ascii="Calibri" w:eastAsia="Calibri" w:hAnsi="Calibri"/>
          <w:sz w:val="24"/>
          <w:szCs w:val="24"/>
        </w:rPr>
        <w:t xml:space="preserve"> cost model’, when applied to </w:t>
      </w:r>
      <w:r w:rsidR="00B94FB5">
        <w:rPr>
          <w:rFonts w:ascii="Calibri" w:eastAsia="Calibri" w:hAnsi="Calibri"/>
          <w:sz w:val="24"/>
          <w:szCs w:val="24"/>
        </w:rPr>
        <w:t>2015-16</w:t>
      </w:r>
      <w:r w:rsidR="00460371" w:rsidRPr="00767441">
        <w:rPr>
          <w:rFonts w:ascii="Calibri" w:eastAsia="Calibri" w:hAnsi="Calibri"/>
          <w:sz w:val="24"/>
          <w:szCs w:val="24"/>
        </w:rPr>
        <w:t xml:space="preserve"> patient costed activity, would estimate the actual costs of the activity.</w:t>
      </w:r>
      <w:bookmarkStart w:id="402" w:name="_Ref351020948"/>
    </w:p>
    <w:p w:rsidR="00460371" w:rsidRPr="00767441" w:rsidRDefault="00460371" w:rsidP="007A2FE5">
      <w:pPr>
        <w:spacing w:before="100" w:beforeAutospacing="1" w:after="100" w:afterAutospacing="1"/>
        <w:rPr>
          <w:rFonts w:ascii="Calibri" w:eastAsia="Calibri" w:hAnsi="Calibri"/>
          <w:sz w:val="24"/>
          <w:szCs w:val="24"/>
        </w:rPr>
      </w:pPr>
      <w:r w:rsidRPr="005D6C78">
        <w:rPr>
          <w:rFonts w:ascii="Calibri" w:eastAsia="Calibri" w:hAnsi="Calibri"/>
          <w:b/>
          <w:bCs/>
        </w:rPr>
        <w:t xml:space="preserve">Figure </w:t>
      </w:r>
      <w:bookmarkEnd w:id="402"/>
      <w:r w:rsidR="009330A3" w:rsidRPr="005D6C78">
        <w:rPr>
          <w:rFonts w:ascii="Calibri" w:eastAsia="Calibri" w:hAnsi="Calibri"/>
          <w:b/>
          <w:bCs/>
        </w:rPr>
        <w:t>3</w:t>
      </w:r>
      <w:r w:rsidRPr="005D6C78">
        <w:rPr>
          <w:rFonts w:ascii="Calibri" w:eastAsia="Calibri" w:hAnsi="Calibri"/>
          <w:b/>
          <w:bCs/>
        </w:rPr>
        <w:t>: Illustration of scaling factors required to equalise model and actual costs</w:t>
      </w:r>
    </w:p>
    <w:p w:rsidR="00633B0A" w:rsidRDefault="007A2FE5" w:rsidP="00C64511">
      <w:pPr>
        <w:jc w:val="center"/>
        <w:rPr>
          <w:rFonts w:ascii="Calibri" w:eastAsia="Calibri" w:hAnsi="Calibri"/>
          <w:sz w:val="24"/>
          <w:szCs w:val="24"/>
        </w:rPr>
      </w:pPr>
      <w:r w:rsidRPr="00767441">
        <w:rPr>
          <w:rFonts w:ascii="Calibri" w:eastAsia="Calibri" w:hAnsi="Calibri"/>
          <w:noProof/>
          <w:sz w:val="24"/>
          <w:lang w:eastAsia="en-AU"/>
        </w:rPr>
        <mc:AlternateContent>
          <mc:Choice Requires="wpc">
            <w:drawing>
              <wp:inline distT="0" distB="0" distL="0" distR="0" wp14:anchorId="686883CF" wp14:editId="0C9598A9">
                <wp:extent cx="4857750" cy="3371850"/>
                <wp:effectExtent l="0" t="0" r="19050" b="19050"/>
                <wp:docPr id="162" name="Canvas 162" descr="A summary of Figure 3 is outlined in the text prior to this figure. "/>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20" name="Rectangle 19"/>
                        <wps:cNvSpPr/>
                        <wps:spPr>
                          <a:xfrm>
                            <a:off x="555070" y="1755249"/>
                            <a:ext cx="166254" cy="504173"/>
                          </a:xfrm>
                          <a:prstGeom prst="rect">
                            <a:avLst/>
                          </a:prstGeom>
                          <a:solidFill>
                            <a:srgbClr val="9BBB59">
                              <a:lumMod val="75000"/>
                            </a:srgbClr>
                          </a:solidFill>
                          <a:ln w="127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0"/>
                        <wps:cNvSpPr/>
                        <wps:spPr>
                          <a:xfrm>
                            <a:off x="721324" y="1470067"/>
                            <a:ext cx="165735" cy="78935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rsidR="00513719" w:rsidRDefault="00513719" w:rsidP="007A2FE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Straight Arrow Connector 21"/>
                        <wps:cNvCnPr/>
                        <wps:spPr>
                          <a:xfrm>
                            <a:off x="634583" y="1470067"/>
                            <a:ext cx="0" cy="285182"/>
                          </a:xfrm>
                          <a:prstGeom prst="straightConnector1">
                            <a:avLst/>
                          </a:prstGeom>
                          <a:noFill/>
                          <a:ln w="9525" cap="flat" cmpd="sng" algn="ctr">
                            <a:solidFill>
                              <a:sysClr val="windowText" lastClr="000000"/>
                            </a:solidFill>
                            <a:prstDash val="solid"/>
                            <a:tailEnd type="arrow" w="sm" len="sm"/>
                          </a:ln>
                          <a:effectLst/>
                        </wps:spPr>
                        <wps:bodyPr/>
                      </wps:wsp>
                      <wps:wsp>
                        <wps:cNvPr id="23" name="Oval 22"/>
                        <wps:cNvSpPr/>
                        <wps:spPr>
                          <a:xfrm>
                            <a:off x="1110006" y="1881684"/>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3"/>
                        <wps:cNvSpPr/>
                        <wps:spPr>
                          <a:xfrm>
                            <a:off x="1317836" y="1882318"/>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rsidR="00513719" w:rsidRDefault="00513719" w:rsidP="007A2FE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Oval 24"/>
                        <wps:cNvSpPr/>
                        <wps:spPr>
                          <a:xfrm>
                            <a:off x="1524570" y="1881684"/>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rsidR="00513719" w:rsidRDefault="00513719" w:rsidP="007A2FE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11"/>
                        <wps:cNvSpPr txBox="1"/>
                        <wps:spPr>
                          <a:xfrm>
                            <a:off x="1299430" y="1151787"/>
                            <a:ext cx="603885" cy="298450"/>
                          </a:xfrm>
                          <a:prstGeom prst="rect">
                            <a:avLst/>
                          </a:prstGeom>
                          <a:noFill/>
                          <a:ln w="6350">
                            <a:noFill/>
                          </a:ln>
                          <a:effectLst/>
                        </wps:spPr>
                        <wps:txbx>
                          <w:txbxContent>
                            <w:p w:rsidR="00513719" w:rsidRPr="00490D61" w:rsidRDefault="00513719" w:rsidP="007A2FE5">
                              <w:pPr>
                                <w:pStyle w:val="NormalWeb"/>
                                <w:spacing w:before="0" w:after="200" w:line="276" w:lineRule="auto"/>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20</w:t>
                              </w:r>
                              <w:r>
                                <w:rPr>
                                  <w:rFonts w:asciiTheme="minorHAnsi" w:eastAsia="Calibri" w:hAnsiTheme="minorHAnsi"/>
                                  <w:position w:val="-6"/>
                                  <w:sz w:val="22"/>
                                  <w:szCs w:val="22"/>
                                  <w:vertAlign w:val="subscript"/>
                                </w:rPr>
                                <w:t>10</w:t>
                              </w:r>
                              <w:r w:rsidRPr="00490D61">
                                <w:rPr>
                                  <w:rFonts w:asciiTheme="minorHAnsi" w:eastAsia="Calibri" w:hAnsiTheme="minorHAnsi"/>
                                  <w:position w:val="-6"/>
                                  <w:sz w:val="22"/>
                                  <w:szCs w:val="22"/>
                                  <w:vertAlign w:val="subscript"/>
                                </w:rPr>
                                <w:t>-1</w:t>
                              </w:r>
                              <w:r>
                                <w:rPr>
                                  <w:rFonts w:asciiTheme="minorHAnsi" w:eastAsia="Calibri" w:hAnsiTheme="minorHAnsi"/>
                                  <w:position w:val="-6"/>
                                  <w:sz w:val="22"/>
                                  <w:szCs w:val="22"/>
                                  <w:vertAlign w:val="subscript"/>
                                </w:rPr>
                                <w:t>1</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Rectangle 26"/>
                        <wps:cNvSpPr/>
                        <wps:spPr>
                          <a:xfrm>
                            <a:off x="1756345" y="1404607"/>
                            <a:ext cx="165735" cy="854182"/>
                          </a:xfrm>
                          <a:prstGeom prst="rect">
                            <a:avLst/>
                          </a:prstGeom>
                          <a:solidFill>
                            <a:srgbClr val="9BBB59">
                              <a:lumMod val="75000"/>
                            </a:srgbClr>
                          </a:solidFill>
                          <a:ln w="12700" cap="flat" cmpd="sng" algn="ctr">
                            <a:solidFill>
                              <a:srgbClr val="9BBB59">
                                <a:lumMod val="50000"/>
                              </a:srgbClr>
                            </a:solidFill>
                            <a:prstDash val="solid"/>
                          </a:ln>
                          <a:effectLst/>
                        </wps:spPr>
                        <wps:txbx>
                          <w:txbxContent>
                            <w:p w:rsidR="00513719" w:rsidRDefault="00513719" w:rsidP="007A2FE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7"/>
                        <wps:cNvSpPr/>
                        <wps:spPr>
                          <a:xfrm>
                            <a:off x="1922715" y="1293288"/>
                            <a:ext cx="165735" cy="96613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rsidR="00513719" w:rsidRDefault="00513719" w:rsidP="007A2FE5">
                              <w:pPr>
                                <w:pStyle w:val="NormalWeb"/>
                                <w:spacing w:before="0"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Straight Arrow Connector 28"/>
                        <wps:cNvCnPr/>
                        <wps:spPr>
                          <a:xfrm>
                            <a:off x="1835720" y="1293288"/>
                            <a:ext cx="0" cy="108081"/>
                          </a:xfrm>
                          <a:prstGeom prst="straightConnector1">
                            <a:avLst/>
                          </a:prstGeom>
                          <a:noFill/>
                          <a:ln w="9525" cap="flat" cmpd="sng" algn="ctr">
                            <a:solidFill>
                              <a:sysClr val="windowText" lastClr="000000"/>
                            </a:solidFill>
                            <a:prstDash val="solid"/>
                            <a:tailEnd type="arrow" w="sm" len="sm"/>
                          </a:ln>
                          <a:effectLst/>
                        </wps:spPr>
                        <wps:bodyPr/>
                      </wps:wsp>
                      <wps:wsp>
                        <wps:cNvPr id="30" name="Text Box 11"/>
                        <wps:cNvSpPr txBox="1"/>
                        <wps:spPr>
                          <a:xfrm>
                            <a:off x="2195878" y="891747"/>
                            <a:ext cx="823825" cy="298450"/>
                          </a:xfrm>
                          <a:prstGeom prst="rect">
                            <a:avLst/>
                          </a:prstGeom>
                          <a:noFill/>
                          <a:ln w="6350">
                            <a:noFill/>
                          </a:ln>
                          <a:effectLst/>
                        </wps:spPr>
                        <wps:txbx>
                          <w:txbxContent>
                            <w:p w:rsidR="00513719" w:rsidRPr="00490D61" w:rsidRDefault="00513719" w:rsidP="007A2FE5">
                              <w:pPr>
                                <w:pStyle w:val="NormalWeb"/>
                                <w:spacing w:before="0" w:after="200" w:line="276" w:lineRule="auto"/>
                                <w:rPr>
                                  <w:rFonts w:asciiTheme="minorHAnsi" w:hAnsiTheme="minorHAnsi"/>
                                </w:rPr>
                              </w:pPr>
                              <w:proofErr w:type="gramStart"/>
                              <w:r>
                                <w:rPr>
                                  <w:rFonts w:asciiTheme="minorHAnsi" w:eastAsia="Calibri" w:hAnsiTheme="minorHAnsi"/>
                                  <w:i/>
                                  <w:iCs/>
                                  <w:sz w:val="22"/>
                                  <w:szCs w:val="22"/>
                                </w:rPr>
                                <w:t>s</w:t>
                              </w:r>
                              <w:r>
                                <w:rPr>
                                  <w:rFonts w:asciiTheme="minorHAnsi" w:eastAsia="Calibri" w:hAnsiTheme="minorHAnsi"/>
                                  <w:position w:val="-6"/>
                                  <w:sz w:val="22"/>
                                  <w:szCs w:val="22"/>
                                  <w:vertAlign w:val="subscript"/>
                                </w:rPr>
                                <w:t>2012-13</w:t>
                              </w:r>
                              <w:proofErr w:type="gramEnd"/>
                              <w:r w:rsidRPr="00490D61">
                                <w:rPr>
                                  <w:rFonts w:asciiTheme="minorHAnsi" w:eastAsia="Calibri" w:hAnsiTheme="minorHAnsi"/>
                                  <w:position w:val="-6"/>
                                  <w:sz w:val="22"/>
                                  <w:szCs w:val="22"/>
                                </w:rPr>
                                <w:t>=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Rectangle 30"/>
                        <wps:cNvSpPr/>
                        <wps:spPr>
                          <a:xfrm>
                            <a:off x="2377694" y="1155763"/>
                            <a:ext cx="165735" cy="111110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rsidR="00513719" w:rsidRDefault="00513719" w:rsidP="007A2FE5">
                              <w:pPr>
                                <w:pStyle w:val="NormalWeb"/>
                                <w:spacing w:before="0"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1"/>
                        <wps:cNvSpPr/>
                        <wps:spPr>
                          <a:xfrm>
                            <a:off x="2544064" y="1155763"/>
                            <a:ext cx="165735" cy="111110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rsidR="00513719" w:rsidRDefault="00513719" w:rsidP="007A2FE5">
                              <w:pPr>
                                <w:pStyle w:val="NormalWeb"/>
                                <w:spacing w:before="0"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11"/>
                        <wps:cNvSpPr txBox="1"/>
                        <wps:spPr>
                          <a:xfrm>
                            <a:off x="3257600" y="802291"/>
                            <a:ext cx="257736" cy="320034"/>
                          </a:xfrm>
                          <a:prstGeom prst="rect">
                            <a:avLst/>
                          </a:prstGeom>
                          <a:noFill/>
                          <a:ln w="6350">
                            <a:noFill/>
                          </a:ln>
                          <a:effectLst/>
                        </wps:spPr>
                        <wps:txbx>
                          <w:txbxContent>
                            <w:p w:rsidR="00513719" w:rsidRPr="00490D61" w:rsidRDefault="00513719" w:rsidP="007A2FE5">
                              <w:pPr>
                                <w:pStyle w:val="NormalWeb"/>
                                <w:spacing w:before="0" w:after="200" w:line="276" w:lineRule="auto"/>
                                <w:rPr>
                                  <w:rFonts w:asciiTheme="minorHAnsi" w:hAnsiTheme="minorHAnsi"/>
                                </w:rPr>
                              </w:pPr>
                              <w:proofErr w:type="gramStart"/>
                              <w:r>
                                <w:rPr>
                                  <w:rFonts w:asciiTheme="minorHAnsi" w:eastAsia="Calibri" w:hAnsiTheme="minorHAnsi"/>
                                  <w:i/>
                                  <w:iCs/>
                                  <w:sz w:val="22"/>
                                  <w:szCs w:val="22"/>
                                </w:rPr>
                                <w:t>s</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Rectangle 33"/>
                        <wps:cNvSpPr/>
                        <wps:spPr>
                          <a:xfrm>
                            <a:off x="3019705" y="923552"/>
                            <a:ext cx="165735" cy="1342173"/>
                          </a:xfrm>
                          <a:prstGeom prst="rect">
                            <a:avLst/>
                          </a:prstGeom>
                          <a:solidFill>
                            <a:srgbClr val="9BBB59">
                              <a:lumMod val="75000"/>
                            </a:srgbClr>
                          </a:solidFill>
                          <a:ln w="12700" cap="flat" cmpd="sng" algn="ctr">
                            <a:solidFill>
                              <a:srgbClr val="9BBB59">
                                <a:lumMod val="50000"/>
                              </a:srgbClr>
                            </a:solidFill>
                            <a:prstDash val="solid"/>
                          </a:ln>
                          <a:effectLst/>
                        </wps:spPr>
                        <wps:txbx>
                          <w:txbxContent>
                            <w:p w:rsidR="00513719" w:rsidRDefault="00513719" w:rsidP="007A2FE5">
                              <w:pPr>
                                <w:pStyle w:val="NormalWeb"/>
                                <w:spacing w:before="0"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4"/>
                        <wps:cNvSpPr/>
                        <wps:spPr>
                          <a:xfrm>
                            <a:off x="3180137" y="1031502"/>
                            <a:ext cx="165735" cy="1234223"/>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rsidR="00513719" w:rsidRDefault="00513719" w:rsidP="007A2FE5">
                              <w:pPr>
                                <w:pStyle w:val="NormalWeb"/>
                                <w:spacing w:before="0"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Straight Arrow Connector 35"/>
                        <wps:cNvCnPr/>
                        <wps:spPr>
                          <a:xfrm>
                            <a:off x="3266109" y="923552"/>
                            <a:ext cx="0" cy="107950"/>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37" name="Text Box 11"/>
                        <wps:cNvSpPr txBox="1"/>
                        <wps:spPr>
                          <a:xfrm>
                            <a:off x="3870569" y="593469"/>
                            <a:ext cx="420221" cy="298122"/>
                          </a:xfrm>
                          <a:prstGeom prst="rect">
                            <a:avLst/>
                          </a:prstGeom>
                          <a:noFill/>
                          <a:ln w="6350">
                            <a:noFill/>
                          </a:ln>
                          <a:effectLst/>
                        </wps:spPr>
                        <wps:txbx>
                          <w:txbxContent>
                            <w:p w:rsidR="00513719" w:rsidRPr="00490D61" w:rsidRDefault="00513719" w:rsidP="007A2FE5">
                              <w:pPr>
                                <w:pStyle w:val="NormalWeb"/>
                                <w:spacing w:before="0" w:after="200" w:line="276" w:lineRule="auto"/>
                                <w:rPr>
                                  <w:rFonts w:asciiTheme="minorHAnsi" w:hAnsiTheme="minorHAnsi"/>
                                  <w:vertAlign w:val="superscript"/>
                                </w:rPr>
                              </w:pPr>
                              <w:r>
                                <w:rPr>
                                  <w:rFonts w:asciiTheme="minorHAnsi" w:eastAsia="Calibri" w:hAnsiTheme="minorHAnsi"/>
                                  <w:i/>
                                  <w:iCs/>
                                  <w:sz w:val="22"/>
                                  <w:szCs w:val="22"/>
                                </w:rPr>
                                <w:t>s</w:t>
                              </w:r>
                              <w:r w:rsidRPr="00490D61">
                                <w:rPr>
                                  <w:rFonts w:asciiTheme="minorHAnsi" w:eastAsia="Calibri" w:hAnsiTheme="minorHAnsi"/>
                                  <w:i/>
                                  <w:iCs/>
                                  <w:sz w:val="22"/>
                                  <w:szCs w:val="22"/>
                                  <w:vertAlign w:val="super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Rectangle 37"/>
                        <wps:cNvSpPr/>
                        <wps:spPr>
                          <a:xfrm>
                            <a:off x="3660062" y="593573"/>
                            <a:ext cx="165735" cy="167146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rsidR="00513719" w:rsidRDefault="00513719" w:rsidP="007A2FE5">
                              <w:pPr>
                                <w:pStyle w:val="NormalWeb"/>
                                <w:spacing w:before="0"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8"/>
                        <wps:cNvSpPr/>
                        <wps:spPr>
                          <a:xfrm>
                            <a:off x="3826432" y="831843"/>
                            <a:ext cx="165735" cy="143319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rsidR="00513719" w:rsidRDefault="00513719" w:rsidP="007A2FE5">
                              <w:pPr>
                                <w:pStyle w:val="NormalWeb"/>
                                <w:spacing w:before="0"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Straight Arrow Connector 39"/>
                        <wps:cNvCnPr/>
                        <wps:spPr>
                          <a:xfrm flipH="1">
                            <a:off x="3918507" y="601227"/>
                            <a:ext cx="1" cy="230616"/>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41" name="Text Box 11"/>
                        <wps:cNvSpPr txBox="1"/>
                        <wps:spPr>
                          <a:xfrm>
                            <a:off x="4488610" y="291808"/>
                            <a:ext cx="354482" cy="333540"/>
                          </a:xfrm>
                          <a:prstGeom prst="rect">
                            <a:avLst/>
                          </a:prstGeom>
                          <a:noFill/>
                          <a:ln w="6350">
                            <a:noFill/>
                          </a:ln>
                          <a:effectLst/>
                        </wps:spPr>
                        <wps:txbx>
                          <w:txbxContent>
                            <w:p w:rsidR="00513719" w:rsidRPr="00490D61" w:rsidRDefault="00513719" w:rsidP="007A2FE5">
                              <w:pPr>
                                <w:pStyle w:val="NormalWeb"/>
                                <w:spacing w:before="0" w:after="200" w:line="276" w:lineRule="auto"/>
                                <w:rPr>
                                  <w:rFonts w:asciiTheme="minorHAnsi" w:hAnsiTheme="minorHAnsi"/>
                                  <w:i/>
                                  <w:vertAlign w:val="superscript"/>
                                </w:rPr>
                              </w:pPr>
                              <w:r>
                                <w:rPr>
                                  <w:rFonts w:asciiTheme="minorHAnsi" w:hAnsiTheme="minorHAnsi"/>
                                  <w:i/>
                                </w:rPr>
                                <w:t>s</w:t>
                              </w:r>
                              <w:r w:rsidRPr="00490D61">
                                <w:rPr>
                                  <w:rFonts w:asciiTheme="minorHAnsi" w:hAnsiTheme="minorHAnsi"/>
                                  <w:i/>
                                  <w:vertAlign w:val="super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Rectangle 41"/>
                        <wps:cNvSpPr/>
                        <wps:spPr>
                          <a:xfrm>
                            <a:off x="4247481" y="251667"/>
                            <a:ext cx="165100" cy="2008146"/>
                          </a:xfrm>
                          <a:prstGeom prst="rect">
                            <a:avLst/>
                          </a:prstGeom>
                          <a:solidFill>
                            <a:srgbClr val="9BBB59">
                              <a:lumMod val="75000"/>
                            </a:srgbClr>
                          </a:solidFill>
                          <a:ln w="12700" cap="flat" cmpd="sng" algn="ctr">
                            <a:solidFill>
                              <a:srgbClr val="9BBB59">
                                <a:lumMod val="50000"/>
                              </a:srgbClr>
                            </a:solidFill>
                            <a:prstDash val="solid"/>
                          </a:ln>
                          <a:effectLst/>
                        </wps:spPr>
                        <wps:txbx>
                          <w:txbxContent>
                            <w:p w:rsidR="00513719" w:rsidRDefault="00513719" w:rsidP="007A2FE5">
                              <w:pPr>
                                <w:pStyle w:val="NormalWeb"/>
                                <w:spacing w:before="0"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2"/>
                        <wps:cNvSpPr/>
                        <wps:spPr>
                          <a:xfrm>
                            <a:off x="4413847" y="625378"/>
                            <a:ext cx="165100" cy="163443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rsidR="00513719" w:rsidRDefault="00513719" w:rsidP="007A2FE5">
                              <w:pPr>
                                <w:pStyle w:val="NormalWeb"/>
                                <w:spacing w:before="0"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Arrow Connector 43"/>
                        <wps:cNvCnPr/>
                        <wps:spPr>
                          <a:xfrm>
                            <a:off x="4496243" y="251667"/>
                            <a:ext cx="154" cy="373711"/>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45" name="Text Box 11"/>
                        <wps:cNvSpPr txBox="1"/>
                        <wps:spPr>
                          <a:xfrm>
                            <a:off x="421611" y="2355488"/>
                            <a:ext cx="609449" cy="241608"/>
                          </a:xfrm>
                          <a:prstGeom prst="rect">
                            <a:avLst/>
                          </a:prstGeom>
                          <a:noFill/>
                          <a:ln w="6350">
                            <a:noFill/>
                          </a:ln>
                          <a:effectLst/>
                        </wps:spPr>
                        <wps:txbx>
                          <w:txbxContent>
                            <w:p w:rsidR="00513719" w:rsidRPr="001A297C" w:rsidRDefault="00513719" w:rsidP="007A2FE5">
                              <w:pPr>
                                <w:pStyle w:val="NormalWeb"/>
                                <w:spacing w:before="0" w:after="200" w:line="276" w:lineRule="auto"/>
                                <w:jc w:val="center"/>
                                <w:rPr>
                                  <w:rFonts w:asciiTheme="minorHAnsi" w:hAnsiTheme="minorHAnsi"/>
                                  <w:sz w:val="18"/>
                                  <w:szCs w:val="18"/>
                                </w:rPr>
                              </w:pPr>
                              <w:r w:rsidRPr="001A297C">
                                <w:rPr>
                                  <w:rFonts w:asciiTheme="minorHAnsi" w:eastAsia="Calibri" w:hAnsiTheme="minorHAnsi"/>
                                  <w:iCs/>
                                  <w:sz w:val="18"/>
                                  <w:szCs w:val="18"/>
                                </w:rPr>
                                <w:t>200</w:t>
                              </w:r>
                              <w:r>
                                <w:rPr>
                                  <w:rFonts w:asciiTheme="minorHAnsi" w:eastAsia="Calibri" w:hAnsiTheme="minorHAnsi"/>
                                  <w:iCs/>
                                  <w:sz w:val="18"/>
                                  <w:szCs w:val="18"/>
                                </w:rPr>
                                <w:t>8</w:t>
                              </w:r>
                              <w:r w:rsidRPr="001A297C">
                                <w:rPr>
                                  <w:rFonts w:asciiTheme="minorHAnsi" w:eastAsia="Calibri" w:hAnsiTheme="minorHAnsi"/>
                                  <w:iCs/>
                                  <w:sz w:val="18"/>
                                  <w:szCs w:val="18"/>
                                </w:rPr>
                                <w:t>-0</w:t>
                              </w:r>
                              <w:r>
                                <w:rPr>
                                  <w:rFonts w:asciiTheme="minorHAnsi" w:eastAsia="Calibri" w:hAnsiTheme="minorHAnsi"/>
                                  <w:iCs/>
                                  <w:sz w:val="18"/>
                                  <w:szCs w:val="18"/>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11"/>
                        <wps:cNvSpPr txBox="1"/>
                        <wps:spPr>
                          <a:xfrm>
                            <a:off x="1620552" y="2355401"/>
                            <a:ext cx="608965" cy="241300"/>
                          </a:xfrm>
                          <a:prstGeom prst="rect">
                            <a:avLst/>
                          </a:prstGeom>
                          <a:noFill/>
                          <a:ln w="6350">
                            <a:noFill/>
                          </a:ln>
                          <a:effectLst/>
                        </wps:spPr>
                        <wps:txbx>
                          <w:txbxContent>
                            <w:p w:rsidR="00513719" w:rsidRPr="001A297C" w:rsidRDefault="00513719" w:rsidP="007A2FE5">
                              <w:pPr>
                                <w:pStyle w:val="NormalWeb"/>
                                <w:spacing w:before="0" w:after="200" w:line="276" w:lineRule="auto"/>
                                <w:jc w:val="center"/>
                                <w:rPr>
                                  <w:rFonts w:asciiTheme="minorHAnsi" w:hAnsiTheme="minorHAnsi"/>
                                </w:rPr>
                              </w:pPr>
                              <w:r w:rsidRPr="001A297C">
                                <w:rPr>
                                  <w:rFonts w:asciiTheme="minorHAnsi" w:eastAsia="Calibri" w:hAnsiTheme="minorHAnsi"/>
                                  <w:sz w:val="18"/>
                                  <w:szCs w:val="18"/>
                                </w:rPr>
                                <w:t>20</w:t>
                              </w:r>
                              <w:r>
                                <w:rPr>
                                  <w:rFonts w:asciiTheme="minorHAnsi" w:eastAsia="Calibri" w:hAnsiTheme="minorHAnsi"/>
                                  <w:sz w:val="18"/>
                                  <w:szCs w:val="18"/>
                                </w:rPr>
                                <w:t>11</w:t>
                              </w:r>
                              <w:r w:rsidRPr="001A297C">
                                <w:rPr>
                                  <w:rFonts w:asciiTheme="minorHAnsi" w:eastAsia="Calibri" w:hAnsiTheme="minorHAnsi"/>
                                  <w:sz w:val="18"/>
                                  <w:szCs w:val="18"/>
                                </w:rPr>
                                <w:t>-1</w:t>
                              </w:r>
                              <w:r>
                                <w:rPr>
                                  <w:rFonts w:asciiTheme="minorHAnsi" w:eastAsia="Calibri" w:hAnsiTheme="minorHAnsi"/>
                                  <w:sz w:val="18"/>
                                  <w:szCs w:val="1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xt Box 11"/>
                        <wps:cNvSpPr txBox="1"/>
                        <wps:spPr>
                          <a:xfrm>
                            <a:off x="2241364" y="2362290"/>
                            <a:ext cx="711385" cy="240665"/>
                          </a:xfrm>
                          <a:prstGeom prst="rect">
                            <a:avLst/>
                          </a:prstGeom>
                          <a:noFill/>
                          <a:ln w="6350">
                            <a:noFill/>
                          </a:ln>
                          <a:effectLst/>
                        </wps:spPr>
                        <wps:txbx>
                          <w:txbxContent>
                            <w:p w:rsidR="00513719" w:rsidRPr="001A297C" w:rsidRDefault="00513719" w:rsidP="007A2FE5">
                              <w:pPr>
                                <w:pStyle w:val="NormalWeb"/>
                                <w:spacing w:before="0" w:after="200" w:line="276" w:lineRule="auto"/>
                                <w:jc w:val="center"/>
                                <w:rPr>
                                  <w:rFonts w:asciiTheme="minorHAnsi" w:hAnsiTheme="minorHAnsi"/>
                                </w:rPr>
                              </w:pPr>
                              <w:r>
                                <w:rPr>
                                  <w:rFonts w:asciiTheme="minorHAnsi" w:eastAsia="Calibri" w:hAnsiTheme="minorHAnsi"/>
                                  <w:sz w:val="18"/>
                                  <w:szCs w:val="18"/>
                                </w:rPr>
                                <w:t>2012-13131313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xt Box 11"/>
                        <wps:cNvSpPr txBox="1"/>
                        <wps:spPr>
                          <a:xfrm>
                            <a:off x="2888167" y="2362413"/>
                            <a:ext cx="607695" cy="240030"/>
                          </a:xfrm>
                          <a:prstGeom prst="rect">
                            <a:avLst/>
                          </a:prstGeom>
                          <a:noFill/>
                          <a:ln w="6350">
                            <a:noFill/>
                          </a:ln>
                          <a:effectLst/>
                        </wps:spPr>
                        <wps:txbx>
                          <w:txbxContent>
                            <w:p w:rsidR="00513719" w:rsidRPr="001A297C" w:rsidRDefault="00513719" w:rsidP="007A2FE5">
                              <w:pPr>
                                <w:pStyle w:val="NormalWeb"/>
                                <w:spacing w:before="0" w:after="200" w:line="276" w:lineRule="auto"/>
                                <w:jc w:val="center"/>
                                <w:rPr>
                                  <w:rFonts w:asciiTheme="minorHAnsi" w:hAnsiTheme="minorHAnsi"/>
                                </w:rPr>
                              </w:pPr>
                              <w:r w:rsidRPr="001A297C">
                                <w:rPr>
                                  <w:rFonts w:asciiTheme="minorHAnsi" w:eastAsia="Calibri" w:hAnsiTheme="minorHAnsi"/>
                                  <w:sz w:val="18"/>
                                  <w:szCs w:val="18"/>
                                </w:rPr>
                                <w:t>201</w:t>
                              </w:r>
                              <w:r>
                                <w:rPr>
                                  <w:rFonts w:asciiTheme="minorHAnsi" w:eastAsia="Calibri" w:hAnsiTheme="minorHAnsi"/>
                                  <w:sz w:val="18"/>
                                  <w:szCs w:val="18"/>
                                </w:rPr>
                                <w:t>3</w:t>
                              </w:r>
                              <w:r w:rsidRPr="001A297C">
                                <w:rPr>
                                  <w:rFonts w:asciiTheme="minorHAnsi" w:eastAsia="Calibri" w:hAnsiTheme="minorHAnsi"/>
                                  <w:sz w:val="18"/>
                                  <w:szCs w:val="18"/>
                                </w:rPr>
                                <w:t>-</w:t>
                              </w:r>
                              <w:r>
                                <w:rPr>
                                  <w:rFonts w:asciiTheme="minorHAnsi" w:eastAsia="Calibri" w:hAnsiTheme="minorHAnsi"/>
                                  <w:sz w:val="18"/>
                                  <w:szCs w:val="18"/>
                                </w:rPr>
                                <w:t>1414</w:t>
                              </w:r>
                              <w:r w:rsidRPr="001A297C">
                                <w:rPr>
                                  <w:rFonts w:asciiTheme="minorHAnsi" w:eastAsia="Calibri" w:hAnsiTheme="minorHAnsi"/>
                                  <w:sz w:val="18"/>
                                  <w:szCs w:val="18"/>
                                </w:rPr>
                                <w:t>1</w:t>
                              </w:r>
                              <w:r>
                                <w:rPr>
                                  <w:rFonts w:asciiTheme="minorHAnsi" w:eastAsia="Calibri" w:hAnsiTheme="minorHAnsi"/>
                                  <w:sz w:val="18"/>
                                  <w:szCs w:val="18"/>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11"/>
                        <wps:cNvSpPr txBox="1"/>
                        <wps:spPr>
                          <a:xfrm>
                            <a:off x="3524887" y="2359072"/>
                            <a:ext cx="607695" cy="240030"/>
                          </a:xfrm>
                          <a:prstGeom prst="rect">
                            <a:avLst/>
                          </a:prstGeom>
                          <a:noFill/>
                          <a:ln w="6350">
                            <a:noFill/>
                          </a:ln>
                          <a:effectLst/>
                        </wps:spPr>
                        <wps:txbx>
                          <w:txbxContent>
                            <w:p w:rsidR="00513719" w:rsidRPr="001A297C" w:rsidRDefault="00513719" w:rsidP="007A2FE5">
                              <w:pPr>
                                <w:pStyle w:val="NormalWeb"/>
                                <w:spacing w:before="0" w:after="200" w:line="276" w:lineRule="auto"/>
                                <w:jc w:val="center"/>
                                <w:rPr>
                                  <w:rFonts w:asciiTheme="minorHAnsi" w:hAnsiTheme="minorHAnsi"/>
                                </w:rPr>
                              </w:pPr>
                              <w:r w:rsidRPr="001A297C">
                                <w:rPr>
                                  <w:rFonts w:asciiTheme="minorHAnsi" w:eastAsia="Calibri" w:hAnsiTheme="minorHAnsi"/>
                                  <w:sz w:val="18"/>
                                  <w:szCs w:val="18"/>
                                </w:rPr>
                                <w:t>20</w:t>
                              </w:r>
                              <w:r>
                                <w:rPr>
                                  <w:rFonts w:asciiTheme="minorHAnsi" w:eastAsia="Calibri" w:hAnsiTheme="minorHAnsi"/>
                                  <w:sz w:val="18"/>
                                  <w:szCs w:val="18"/>
                                </w:rPr>
                                <w:t>14-</w:t>
                              </w:r>
                              <w:r w:rsidRPr="001A297C">
                                <w:rPr>
                                  <w:rFonts w:asciiTheme="minorHAnsi" w:eastAsia="Calibri" w:hAnsiTheme="minorHAnsi"/>
                                  <w:sz w:val="18"/>
                                  <w:szCs w:val="18"/>
                                </w:rPr>
                                <w:t>1</w:t>
                              </w:r>
                              <w:r>
                                <w:rPr>
                                  <w:rFonts w:asciiTheme="minorHAnsi" w:eastAsia="Calibri" w:hAnsiTheme="minorHAnsi"/>
                                  <w:sz w:val="18"/>
                                  <w:szCs w:val="18"/>
                                </w:rPr>
                                <w:t>4</w:t>
                              </w:r>
                              <w:r w:rsidRPr="001A297C">
                                <w:rPr>
                                  <w:rFonts w:asciiTheme="minorHAnsi" w:eastAsia="Calibri" w:hAnsiTheme="minorHAnsi"/>
                                  <w:sz w:val="18"/>
                                  <w:szCs w:val="18"/>
                                </w:rPr>
                                <w:t>-1</w:t>
                              </w:r>
                              <w:r>
                                <w:rPr>
                                  <w:rFonts w:asciiTheme="minorHAnsi" w:eastAsia="Calibri" w:hAnsiTheme="minorHAnsi"/>
                                  <w:sz w:val="18"/>
                                  <w:szCs w:val="18"/>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11"/>
                        <wps:cNvSpPr txBox="1"/>
                        <wps:spPr>
                          <a:xfrm>
                            <a:off x="4112568" y="2349632"/>
                            <a:ext cx="607695" cy="240030"/>
                          </a:xfrm>
                          <a:prstGeom prst="rect">
                            <a:avLst/>
                          </a:prstGeom>
                          <a:noFill/>
                          <a:ln w="6350">
                            <a:noFill/>
                          </a:ln>
                          <a:effectLst/>
                        </wps:spPr>
                        <wps:txbx>
                          <w:txbxContent>
                            <w:p w:rsidR="00513719" w:rsidRPr="001A297C" w:rsidRDefault="00513719" w:rsidP="007A2FE5">
                              <w:pPr>
                                <w:pStyle w:val="NormalWeb"/>
                                <w:spacing w:before="0" w:after="200" w:line="276" w:lineRule="auto"/>
                                <w:jc w:val="center"/>
                                <w:rPr>
                                  <w:rFonts w:asciiTheme="minorHAnsi" w:hAnsiTheme="minorHAnsi"/>
                                </w:rPr>
                              </w:pPr>
                              <w:r>
                                <w:rPr>
                                  <w:rFonts w:asciiTheme="minorHAnsi" w:eastAsia="Calibri" w:hAnsiTheme="minorHAnsi"/>
                                  <w:sz w:val="18"/>
                                  <w:szCs w:val="18"/>
                                </w:rPr>
                                <w:t>2015-1616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11"/>
                        <wps:cNvSpPr txBox="1"/>
                        <wps:spPr>
                          <a:xfrm>
                            <a:off x="222880" y="387566"/>
                            <a:ext cx="972524" cy="241300"/>
                          </a:xfrm>
                          <a:prstGeom prst="rect">
                            <a:avLst/>
                          </a:prstGeom>
                          <a:noFill/>
                          <a:ln w="6350">
                            <a:noFill/>
                          </a:ln>
                          <a:effectLst/>
                        </wps:spPr>
                        <wps:txbx>
                          <w:txbxContent>
                            <w:p w:rsidR="00513719" w:rsidRPr="001A297C" w:rsidRDefault="00513719" w:rsidP="007A2FE5">
                              <w:pPr>
                                <w:pStyle w:val="NormalWeb"/>
                                <w:spacing w:before="0" w:after="200" w:line="276" w:lineRule="auto"/>
                                <w:rPr>
                                  <w:rFonts w:asciiTheme="minorHAnsi" w:hAnsiTheme="minorHAnsi"/>
                                  <w:sz w:val="16"/>
                                  <w:szCs w:val="16"/>
                                </w:rPr>
                              </w:pPr>
                              <w:r w:rsidRPr="001A297C">
                                <w:rPr>
                                  <w:rFonts w:asciiTheme="minorHAnsi" w:eastAsia="Calibri" w:hAnsiTheme="minorHAnsi"/>
                                  <w:sz w:val="16"/>
                                  <w:szCs w:val="16"/>
                                </w:rPr>
                                <w:t>Actual costs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Rectangle 51"/>
                        <wps:cNvSpPr/>
                        <wps:spPr>
                          <a:xfrm>
                            <a:off x="77107" y="430425"/>
                            <a:ext cx="165735" cy="139107"/>
                          </a:xfrm>
                          <a:prstGeom prst="rect">
                            <a:avLst/>
                          </a:prstGeom>
                          <a:solidFill>
                            <a:srgbClr val="9BBB59">
                              <a:lumMod val="75000"/>
                            </a:srgbClr>
                          </a:solidFill>
                          <a:ln w="12700" cap="flat" cmpd="sng" algn="ctr">
                            <a:solidFill>
                              <a:srgbClr val="9BBB59">
                                <a:lumMod val="50000"/>
                              </a:srgbClr>
                            </a:solidFill>
                            <a:prstDash val="solid"/>
                          </a:ln>
                          <a:effectLst/>
                        </wps:spPr>
                        <wps:txbx>
                          <w:txbxContent>
                            <w:p w:rsidR="00513719" w:rsidRDefault="00513719" w:rsidP="007A2FE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2"/>
                        <wps:cNvSpPr/>
                        <wps:spPr>
                          <a:xfrm>
                            <a:off x="72064" y="649855"/>
                            <a:ext cx="165735" cy="13906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rsidR="00513719" w:rsidRDefault="00513719" w:rsidP="007A2FE5">
                              <w:pPr>
                                <w:pStyle w:val="NormalWeb"/>
                                <w:spacing w:before="0"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Text Box 11"/>
                        <wps:cNvSpPr txBox="1"/>
                        <wps:spPr>
                          <a:xfrm>
                            <a:off x="413381" y="2599989"/>
                            <a:ext cx="603885" cy="298450"/>
                          </a:xfrm>
                          <a:prstGeom prst="rect">
                            <a:avLst/>
                          </a:prstGeom>
                          <a:noFill/>
                          <a:ln w="6350">
                            <a:noFill/>
                          </a:ln>
                          <a:effectLst/>
                        </wps:spPr>
                        <wps:txbx>
                          <w:txbxContent>
                            <w:p w:rsidR="00513719" w:rsidRPr="00490D61" w:rsidRDefault="00513719" w:rsidP="007A2FE5">
                              <w:pPr>
                                <w:pStyle w:val="NormalWeb"/>
                                <w:spacing w:before="0" w:after="200" w:line="276" w:lineRule="auto"/>
                                <w:jc w:val="center"/>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2006-07</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11"/>
                        <wps:cNvSpPr txBox="1"/>
                        <wps:spPr>
                          <a:xfrm>
                            <a:off x="1596756" y="2594231"/>
                            <a:ext cx="603885" cy="298450"/>
                          </a:xfrm>
                          <a:prstGeom prst="rect">
                            <a:avLst/>
                          </a:prstGeom>
                          <a:noFill/>
                          <a:ln w="6350">
                            <a:noFill/>
                          </a:ln>
                          <a:effectLst/>
                        </wps:spPr>
                        <wps:txbx>
                          <w:txbxContent>
                            <w:p w:rsidR="00513719" w:rsidRPr="00490D61" w:rsidRDefault="00513719" w:rsidP="007A2FE5">
                              <w:pPr>
                                <w:pStyle w:val="NormalWeb"/>
                                <w:spacing w:before="0" w:after="200" w:line="276" w:lineRule="auto"/>
                                <w:jc w:val="center"/>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2009-10</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11"/>
                        <wps:cNvSpPr txBox="1"/>
                        <wps:spPr>
                          <a:xfrm>
                            <a:off x="2241365" y="2598994"/>
                            <a:ext cx="603885" cy="299445"/>
                          </a:xfrm>
                          <a:prstGeom prst="rect">
                            <a:avLst/>
                          </a:prstGeom>
                          <a:noFill/>
                          <a:ln w="6350">
                            <a:noFill/>
                          </a:ln>
                          <a:effectLst/>
                        </wps:spPr>
                        <wps:txbx>
                          <w:txbxContent>
                            <w:p w:rsidR="00513719" w:rsidRPr="00490D61" w:rsidRDefault="00513719" w:rsidP="007A2FE5">
                              <w:pPr>
                                <w:pStyle w:val="NormalWeb"/>
                                <w:spacing w:before="0" w:after="200" w:line="276" w:lineRule="auto"/>
                                <w:jc w:val="center"/>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2010-11</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Text Box 11"/>
                        <wps:cNvSpPr txBox="1"/>
                        <wps:spPr>
                          <a:xfrm>
                            <a:off x="3028321" y="2613284"/>
                            <a:ext cx="337104" cy="260346"/>
                          </a:xfrm>
                          <a:prstGeom prst="rect">
                            <a:avLst/>
                          </a:prstGeom>
                          <a:noFill/>
                          <a:ln w="6350">
                            <a:noFill/>
                          </a:ln>
                          <a:effectLst/>
                        </wps:spPr>
                        <wps:txbx>
                          <w:txbxContent>
                            <w:p w:rsidR="00513719" w:rsidRPr="00490D61" w:rsidRDefault="00513719" w:rsidP="007A2FE5">
                              <w:pPr>
                                <w:pStyle w:val="NormalWeb"/>
                                <w:spacing w:before="0" w:after="200" w:line="276" w:lineRule="auto"/>
                                <w:jc w:val="center"/>
                                <w:rPr>
                                  <w:rFonts w:asciiTheme="minorHAnsi" w:hAnsiTheme="minorHAnsi"/>
                                </w:rPr>
                              </w:pPr>
                              <w:proofErr w:type="gramStart"/>
                              <w:r>
                                <w:rPr>
                                  <w:rFonts w:asciiTheme="minorHAnsi" w:eastAsia="Calibri" w:hAnsiTheme="minorHAnsi"/>
                                  <w:i/>
                                  <w:iCs/>
                                  <w:sz w:val="22"/>
                                  <w:szCs w:val="22"/>
                                </w:rPr>
                                <w:t>s</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Straight Arrow Connector 81"/>
                        <wps:cNvCnPr/>
                        <wps:spPr>
                          <a:xfrm>
                            <a:off x="2115242" y="2743200"/>
                            <a:ext cx="228273" cy="0"/>
                          </a:xfrm>
                          <a:prstGeom prst="straightConnector1">
                            <a:avLst/>
                          </a:prstGeom>
                          <a:noFill/>
                          <a:ln w="9525" cap="flat" cmpd="sng" algn="ctr">
                            <a:solidFill>
                              <a:sysClr val="windowText" lastClr="000000"/>
                            </a:solidFill>
                            <a:prstDash val="solid"/>
                            <a:tailEnd type="arrow"/>
                          </a:ln>
                          <a:effectLst/>
                        </wps:spPr>
                        <wps:bodyPr/>
                      </wps:wsp>
                      <wps:wsp>
                        <wps:cNvPr id="84" name="Straight Arrow Connector 82"/>
                        <wps:cNvCnPr/>
                        <wps:spPr>
                          <a:xfrm>
                            <a:off x="2784454"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85" name="Straight Arrow Connector 83"/>
                        <wps:cNvCnPr/>
                        <wps:spPr>
                          <a:xfrm>
                            <a:off x="3395959" y="2743200"/>
                            <a:ext cx="227965" cy="0"/>
                          </a:xfrm>
                          <a:prstGeom prst="straightConnector1">
                            <a:avLst/>
                          </a:prstGeom>
                          <a:noFill/>
                          <a:ln w="9525" cap="flat" cmpd="sng" algn="ctr">
                            <a:solidFill>
                              <a:sysClr val="windowText" lastClr="000000"/>
                            </a:solidFill>
                            <a:prstDash val="solid"/>
                            <a:tailEnd type="arrow"/>
                          </a:ln>
                          <a:effectLst/>
                        </wps:spPr>
                        <wps:bodyPr/>
                      </wps:wsp>
                      <wps:wsp>
                        <wps:cNvPr id="86" name="Straight Arrow Connector 84"/>
                        <wps:cNvCnPr/>
                        <wps:spPr>
                          <a:xfrm>
                            <a:off x="4036992" y="2742225"/>
                            <a:ext cx="227965" cy="0"/>
                          </a:xfrm>
                          <a:prstGeom prst="straightConnector1">
                            <a:avLst/>
                          </a:prstGeom>
                          <a:noFill/>
                          <a:ln w="9525" cap="flat" cmpd="sng" algn="ctr">
                            <a:solidFill>
                              <a:sysClr val="windowText" lastClr="000000"/>
                            </a:solidFill>
                            <a:prstDash val="solid"/>
                            <a:tailEnd type="arrow"/>
                          </a:ln>
                          <a:effectLst/>
                        </wps:spPr>
                        <wps:bodyPr/>
                      </wps:wsp>
                      <wps:wsp>
                        <wps:cNvPr id="87" name="Straight Arrow Connector 85"/>
                        <wps:cNvCnPr/>
                        <wps:spPr>
                          <a:xfrm>
                            <a:off x="976316"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88" name="Straight Arrow Connector 86"/>
                        <wps:cNvCnPr/>
                        <wps:spPr>
                          <a:xfrm>
                            <a:off x="1435965"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89" name="Straight Connector 87"/>
                        <wps:cNvCnPr/>
                        <wps:spPr>
                          <a:xfrm>
                            <a:off x="1256829" y="2751750"/>
                            <a:ext cx="140970" cy="0"/>
                          </a:xfrm>
                          <a:prstGeom prst="line">
                            <a:avLst/>
                          </a:prstGeom>
                          <a:noFill/>
                          <a:ln w="9525" cap="flat" cmpd="sng" algn="ctr">
                            <a:solidFill>
                              <a:sysClr val="windowText" lastClr="000000"/>
                            </a:solidFill>
                            <a:prstDash val="sysDash"/>
                          </a:ln>
                          <a:effectLst/>
                        </wps:spPr>
                        <wps:bodyPr/>
                      </wps:wsp>
                      <wps:wsp>
                        <wps:cNvPr id="90" name="Text Box 11"/>
                        <wps:cNvSpPr txBox="1"/>
                        <wps:spPr>
                          <a:xfrm>
                            <a:off x="219270" y="554760"/>
                            <a:ext cx="1943254" cy="368629"/>
                          </a:xfrm>
                          <a:prstGeom prst="rect">
                            <a:avLst/>
                          </a:prstGeom>
                          <a:noFill/>
                          <a:ln w="6350">
                            <a:noFill/>
                          </a:ln>
                          <a:effectLst/>
                        </wps:spPr>
                        <wps:txbx>
                          <w:txbxContent>
                            <w:p w:rsidR="00513719" w:rsidRPr="001A297C" w:rsidRDefault="00513719" w:rsidP="007A2FE5">
                              <w:pPr>
                                <w:pStyle w:val="NormalWeb"/>
                                <w:spacing w:before="0" w:after="200" w:line="276" w:lineRule="auto"/>
                                <w:rPr>
                                  <w:rFonts w:asciiTheme="minorHAnsi" w:hAnsiTheme="minorHAnsi"/>
                                  <w:sz w:val="16"/>
                                  <w:szCs w:val="16"/>
                                </w:rPr>
                              </w:pPr>
                              <w:r w:rsidRPr="001A297C">
                                <w:rPr>
                                  <w:rFonts w:asciiTheme="minorHAnsi" w:eastAsia="Calibri" w:hAnsiTheme="minorHAnsi"/>
                                  <w:sz w:val="16"/>
                                  <w:szCs w:val="16"/>
                                </w:rPr>
                                <w:t xml:space="preserve">Model costs derived by applying </w:t>
                              </w:r>
                              <w:r>
                                <w:rPr>
                                  <w:rFonts w:asciiTheme="minorHAnsi" w:eastAsia="Calibri" w:hAnsiTheme="minorHAnsi"/>
                                  <w:sz w:val="16"/>
                                  <w:szCs w:val="16"/>
                                </w:rPr>
                                <w:t>2012-13</w:t>
                              </w:r>
                              <w:r w:rsidRPr="001A297C">
                                <w:rPr>
                                  <w:rFonts w:asciiTheme="minorHAnsi" w:eastAsia="Calibri" w:hAnsiTheme="minorHAnsi"/>
                                  <w:sz w:val="16"/>
                                  <w:szCs w:val="16"/>
                                </w:rPr>
                                <w:t xml:space="preserve"> cost </w:t>
                              </w:r>
                              <w:proofErr w:type="gramStart"/>
                              <w:r w:rsidRPr="001A297C">
                                <w:rPr>
                                  <w:rFonts w:asciiTheme="minorHAnsi" w:eastAsia="Calibri" w:hAnsiTheme="minorHAnsi"/>
                                  <w:sz w:val="16"/>
                                  <w:szCs w:val="16"/>
                                </w:rPr>
                                <w:t>model</w:t>
                              </w:r>
                              <w:proofErr w:type="gramEnd"/>
                              <w:r w:rsidRPr="001A297C">
                                <w:rPr>
                                  <w:rFonts w:asciiTheme="minorHAnsi" w:eastAsia="Calibri" w:hAnsiTheme="minorHAnsi"/>
                                  <w:sz w:val="16"/>
                                  <w:szCs w:val="16"/>
                                </w:rPr>
                                <w:t xml:space="preserve"> to costed activity data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Straight Connector 89"/>
                        <wps:cNvCnPr/>
                        <wps:spPr>
                          <a:xfrm flipV="1">
                            <a:off x="2873545" y="137082"/>
                            <a:ext cx="0" cy="3139959"/>
                          </a:xfrm>
                          <a:prstGeom prst="line">
                            <a:avLst/>
                          </a:prstGeom>
                          <a:noFill/>
                          <a:ln w="9525" cap="flat" cmpd="sng" algn="ctr">
                            <a:solidFill>
                              <a:sysClr val="windowText" lastClr="000000"/>
                            </a:solidFill>
                            <a:prstDash val="dash"/>
                          </a:ln>
                          <a:effectLst/>
                        </wps:spPr>
                        <wps:bodyPr/>
                      </wps:wsp>
                      <wps:wsp>
                        <wps:cNvPr id="92" name="Straight Arrow Connector 90"/>
                        <wps:cNvCnPr/>
                        <wps:spPr>
                          <a:xfrm>
                            <a:off x="3026294" y="378422"/>
                            <a:ext cx="768641" cy="0"/>
                          </a:xfrm>
                          <a:prstGeom prst="straightConnector1">
                            <a:avLst/>
                          </a:prstGeom>
                          <a:noFill/>
                          <a:ln w="9525" cap="flat" cmpd="sng" algn="ctr">
                            <a:solidFill>
                              <a:sysClr val="windowText" lastClr="000000"/>
                            </a:solidFill>
                            <a:prstDash val="solid"/>
                            <a:tailEnd type="arrow"/>
                          </a:ln>
                          <a:effectLst/>
                        </wps:spPr>
                        <wps:bodyPr/>
                      </wps:wsp>
                      <wps:wsp>
                        <wps:cNvPr id="93" name="Text Box 11"/>
                        <wps:cNvSpPr txBox="1"/>
                        <wps:spPr>
                          <a:xfrm>
                            <a:off x="3051109" y="166662"/>
                            <a:ext cx="677602" cy="241300"/>
                          </a:xfrm>
                          <a:prstGeom prst="rect">
                            <a:avLst/>
                          </a:prstGeom>
                          <a:noFill/>
                          <a:ln w="6350">
                            <a:noFill/>
                          </a:ln>
                          <a:effectLst/>
                        </wps:spPr>
                        <wps:txbx>
                          <w:txbxContent>
                            <w:p w:rsidR="00513719" w:rsidRPr="001A297C" w:rsidRDefault="00513719" w:rsidP="007A2FE5">
                              <w:pPr>
                                <w:pStyle w:val="NormalWeb"/>
                                <w:spacing w:before="0" w:after="200" w:line="276" w:lineRule="auto"/>
                                <w:rPr>
                                  <w:rFonts w:asciiTheme="minorHAnsi" w:hAnsiTheme="minorHAnsi"/>
                                </w:rPr>
                              </w:pPr>
                              <w:r w:rsidRPr="001A297C">
                                <w:rPr>
                                  <w:rFonts w:asciiTheme="minorHAnsi" w:eastAsia="Calibri" w:hAnsiTheme="minorHAnsi"/>
                                  <w:sz w:val="16"/>
                                  <w:szCs w:val="16"/>
                                </w:rPr>
                                <w:t>Projected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Straight Arrow Connector 92"/>
                        <wps:cNvCnPr/>
                        <wps:spPr>
                          <a:xfrm>
                            <a:off x="1970951" y="376504"/>
                            <a:ext cx="768350" cy="0"/>
                          </a:xfrm>
                          <a:prstGeom prst="straightConnector1">
                            <a:avLst/>
                          </a:prstGeom>
                          <a:noFill/>
                          <a:ln w="9525" cap="flat" cmpd="sng" algn="ctr">
                            <a:solidFill>
                              <a:sysClr val="windowText" lastClr="000000"/>
                            </a:solidFill>
                            <a:prstDash val="solid"/>
                            <a:headEnd type="arrow" w="med" len="med"/>
                            <a:tailEnd type="none" w="med" len="med"/>
                          </a:ln>
                          <a:effectLst/>
                        </wps:spPr>
                        <wps:bodyPr/>
                      </wps:wsp>
                      <wps:wsp>
                        <wps:cNvPr id="95" name="Text Box 11"/>
                        <wps:cNvSpPr txBox="1"/>
                        <wps:spPr>
                          <a:xfrm>
                            <a:off x="2076697" y="165049"/>
                            <a:ext cx="728361" cy="241300"/>
                          </a:xfrm>
                          <a:prstGeom prst="rect">
                            <a:avLst/>
                          </a:prstGeom>
                          <a:noFill/>
                          <a:ln w="6350">
                            <a:noFill/>
                          </a:ln>
                          <a:effectLst/>
                        </wps:spPr>
                        <wps:txbx>
                          <w:txbxContent>
                            <w:p w:rsidR="00513719" w:rsidRPr="001A297C" w:rsidRDefault="00513719" w:rsidP="007A2FE5">
                              <w:pPr>
                                <w:pStyle w:val="NormalWeb"/>
                                <w:spacing w:before="0" w:after="200" w:line="276" w:lineRule="auto"/>
                                <w:rPr>
                                  <w:rFonts w:asciiTheme="minorHAnsi" w:hAnsiTheme="minorHAnsi"/>
                                </w:rPr>
                              </w:pPr>
                              <w:r w:rsidRPr="001A297C">
                                <w:rPr>
                                  <w:rFonts w:asciiTheme="minorHAnsi" w:eastAsia="Calibri" w:hAnsiTheme="minorHAnsi"/>
                                  <w:sz w:val="16"/>
                                  <w:szCs w:val="16"/>
                                </w:rPr>
                                <w:t>Historical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Text Box 11"/>
                        <wps:cNvSpPr txBox="1"/>
                        <wps:spPr>
                          <a:xfrm>
                            <a:off x="117439" y="1342695"/>
                            <a:ext cx="603885" cy="298450"/>
                          </a:xfrm>
                          <a:prstGeom prst="rect">
                            <a:avLst/>
                          </a:prstGeom>
                          <a:noFill/>
                          <a:ln w="6350">
                            <a:noFill/>
                          </a:ln>
                          <a:effectLst/>
                        </wps:spPr>
                        <wps:txbx>
                          <w:txbxContent>
                            <w:p w:rsidR="00513719" w:rsidRPr="00490D61" w:rsidRDefault="00513719" w:rsidP="007A2FE5">
                              <w:pPr>
                                <w:pStyle w:val="NormalWeb"/>
                                <w:spacing w:before="0" w:after="200" w:line="276" w:lineRule="auto"/>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200</w:t>
                              </w:r>
                              <w:r>
                                <w:rPr>
                                  <w:rFonts w:asciiTheme="minorHAnsi" w:eastAsia="Calibri" w:hAnsiTheme="minorHAnsi"/>
                                  <w:position w:val="-6"/>
                                  <w:sz w:val="22"/>
                                  <w:szCs w:val="22"/>
                                  <w:vertAlign w:val="subscript"/>
                                </w:rPr>
                                <w:t>7</w:t>
                              </w:r>
                              <w:r w:rsidRPr="00490D61">
                                <w:rPr>
                                  <w:rFonts w:asciiTheme="minorHAnsi" w:eastAsia="Calibri" w:hAnsiTheme="minorHAnsi"/>
                                  <w:position w:val="-6"/>
                                  <w:sz w:val="22"/>
                                  <w:szCs w:val="22"/>
                                  <w:vertAlign w:val="subscript"/>
                                </w:rPr>
                                <w:t>-0</w:t>
                              </w:r>
                              <w:r>
                                <w:rPr>
                                  <w:rFonts w:asciiTheme="minorHAnsi" w:eastAsia="Calibri" w:hAnsiTheme="minorHAnsi"/>
                                  <w:position w:val="-6"/>
                                  <w:sz w:val="22"/>
                                  <w:szCs w:val="22"/>
                                  <w:vertAlign w:val="subscript"/>
                                </w:rPr>
                                <w:t>8</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Text Box 11"/>
                        <wps:cNvSpPr txBox="1"/>
                        <wps:spPr>
                          <a:xfrm>
                            <a:off x="3702929" y="2603165"/>
                            <a:ext cx="334063" cy="324633"/>
                          </a:xfrm>
                          <a:prstGeom prst="rect">
                            <a:avLst/>
                          </a:prstGeom>
                          <a:noFill/>
                          <a:ln w="6350">
                            <a:noFill/>
                          </a:ln>
                          <a:effectLst/>
                        </wps:spPr>
                        <wps:txbx>
                          <w:txbxContent>
                            <w:p w:rsidR="00513719" w:rsidRPr="00490D61" w:rsidRDefault="00513719" w:rsidP="007A2FE5">
                              <w:pPr>
                                <w:pStyle w:val="NormalWeb"/>
                                <w:spacing w:before="0" w:after="200" w:line="276" w:lineRule="auto"/>
                                <w:rPr>
                                  <w:rFonts w:asciiTheme="minorHAnsi" w:hAnsiTheme="minorHAnsi"/>
                                  <w:vertAlign w:val="superscript"/>
                                </w:rPr>
                              </w:pPr>
                              <w:r>
                                <w:rPr>
                                  <w:rFonts w:asciiTheme="minorHAnsi" w:eastAsia="Calibri" w:hAnsiTheme="minorHAnsi"/>
                                  <w:i/>
                                  <w:iCs/>
                                  <w:position w:val="7"/>
                                  <w:sz w:val="22"/>
                                  <w:szCs w:val="22"/>
                                </w:rPr>
                                <w:t>s</w:t>
                              </w:r>
                              <w:r w:rsidRPr="00490D61">
                                <w:rPr>
                                  <w:rFonts w:asciiTheme="minorHAnsi" w:eastAsia="Calibri" w:hAnsiTheme="minorHAnsi"/>
                                  <w:i/>
                                  <w:iCs/>
                                  <w:position w:val="7"/>
                                  <w:sz w:val="22"/>
                                  <w:szCs w:val="22"/>
                                  <w:vertAlign w:val="super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Text Box 11"/>
                        <wps:cNvSpPr txBox="1"/>
                        <wps:spPr>
                          <a:xfrm>
                            <a:off x="4286846" y="2592981"/>
                            <a:ext cx="334010" cy="324485"/>
                          </a:xfrm>
                          <a:prstGeom prst="rect">
                            <a:avLst/>
                          </a:prstGeom>
                          <a:noFill/>
                          <a:ln w="6350">
                            <a:noFill/>
                          </a:ln>
                          <a:effectLst/>
                        </wps:spPr>
                        <wps:txbx>
                          <w:txbxContent>
                            <w:p w:rsidR="00513719" w:rsidRPr="00490D61" w:rsidRDefault="00513719" w:rsidP="007A2FE5">
                              <w:pPr>
                                <w:pStyle w:val="NormalWeb"/>
                                <w:spacing w:before="0" w:after="200" w:line="276" w:lineRule="auto"/>
                                <w:rPr>
                                  <w:rFonts w:asciiTheme="minorHAnsi" w:hAnsiTheme="minorHAnsi"/>
                                  <w:i/>
                                  <w:vertAlign w:val="superscript"/>
                                </w:rPr>
                              </w:pPr>
                              <w:r>
                                <w:rPr>
                                  <w:rFonts w:asciiTheme="minorHAnsi" w:hAnsiTheme="minorHAnsi"/>
                                  <w:i/>
                                </w:rPr>
                                <w:t>s</w:t>
                              </w:r>
                              <w:r w:rsidRPr="00490D61">
                                <w:rPr>
                                  <w:rFonts w:asciiTheme="minorHAnsi" w:hAnsiTheme="minorHAnsi"/>
                                  <w:i/>
                                  <w:vertAlign w:val="super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Text Box 11"/>
                        <wps:cNvSpPr txBox="1"/>
                        <wps:spPr>
                          <a:xfrm>
                            <a:off x="21259" y="822829"/>
                            <a:ext cx="329871" cy="297815"/>
                          </a:xfrm>
                          <a:prstGeom prst="rect">
                            <a:avLst/>
                          </a:prstGeom>
                          <a:noFill/>
                          <a:ln w="6350">
                            <a:noFill/>
                          </a:ln>
                          <a:effectLst/>
                        </wps:spPr>
                        <wps:txbx>
                          <w:txbxContent>
                            <w:p w:rsidR="00513719" w:rsidRPr="00490D61" w:rsidRDefault="00513719" w:rsidP="007A2FE5">
                              <w:pPr>
                                <w:pStyle w:val="NormalWeb"/>
                                <w:spacing w:before="0" w:after="200" w:line="276" w:lineRule="auto"/>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Text Box 11"/>
                        <wps:cNvSpPr txBox="1"/>
                        <wps:spPr>
                          <a:xfrm>
                            <a:off x="201975" y="848838"/>
                            <a:ext cx="1943100" cy="338455"/>
                          </a:xfrm>
                          <a:prstGeom prst="rect">
                            <a:avLst/>
                          </a:prstGeom>
                          <a:noFill/>
                          <a:ln w="6350">
                            <a:noFill/>
                          </a:ln>
                          <a:effectLst/>
                        </wps:spPr>
                        <wps:txbx>
                          <w:txbxContent>
                            <w:p w:rsidR="00513719" w:rsidRPr="002A19E2" w:rsidRDefault="00513719" w:rsidP="007A2FE5">
                              <w:pPr>
                                <w:pStyle w:val="NormalWeb"/>
                                <w:spacing w:before="0" w:after="200" w:line="276" w:lineRule="auto"/>
                                <w:rPr>
                                  <w:rFonts w:asciiTheme="minorHAnsi" w:hAnsiTheme="minorHAnsi"/>
                                </w:rPr>
                              </w:pPr>
                              <w:r>
                                <w:rPr>
                                  <w:rFonts w:asciiTheme="minorHAnsi" w:eastAsia="Calibri" w:hAnsiTheme="minorHAnsi"/>
                                  <w:sz w:val="16"/>
                                  <w:szCs w:val="16"/>
                                </w:rPr>
                                <w:t xml:space="preserve">Scaling factor required to equalise </w:t>
                              </w:r>
                              <w:r w:rsidRPr="002A19E2">
                                <w:rPr>
                                  <w:rFonts w:asciiTheme="minorHAnsi" w:eastAsia="Calibri" w:hAnsiTheme="minorHAnsi"/>
                                  <w:sz w:val="16"/>
                                  <w:szCs w:val="16"/>
                                </w:rPr>
                                <w:t xml:space="preserve">model </w:t>
                              </w:r>
                              <w:r>
                                <w:rPr>
                                  <w:rFonts w:asciiTheme="minorHAnsi" w:eastAsia="Calibri" w:hAnsiTheme="minorHAnsi"/>
                                  <w:sz w:val="16"/>
                                  <w:szCs w:val="16"/>
                                </w:rPr>
                                <w:t>costs with actual costs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Left Brace 131"/>
                        <wps:cNvSpPr/>
                        <wps:spPr>
                          <a:xfrm rot="16200000">
                            <a:off x="1464727" y="1899884"/>
                            <a:ext cx="272566" cy="2216679"/>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Left Brace 132"/>
                        <wps:cNvSpPr/>
                        <wps:spPr>
                          <a:xfrm rot="16200000">
                            <a:off x="3652930" y="2323638"/>
                            <a:ext cx="272415" cy="1370843"/>
                          </a:xfrm>
                          <a:prstGeom prst="leftBrace">
                            <a:avLst/>
                          </a:prstGeom>
                          <a:noFill/>
                          <a:ln w="9525" cap="flat" cmpd="sng" algn="ctr">
                            <a:solidFill>
                              <a:sysClr val="windowText" lastClr="000000"/>
                            </a:solidFill>
                            <a:prstDash val="solid"/>
                          </a:ln>
                          <a:effectLst/>
                        </wps:spPr>
                        <wps:txbx>
                          <w:txbxContent>
                            <w:p w:rsidR="00513719" w:rsidRDefault="00513719" w:rsidP="007A2FE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Text Box 11"/>
                        <wps:cNvSpPr txBox="1"/>
                        <wps:spPr>
                          <a:xfrm>
                            <a:off x="1238899" y="3096885"/>
                            <a:ext cx="735827" cy="240665"/>
                          </a:xfrm>
                          <a:prstGeom prst="rect">
                            <a:avLst/>
                          </a:prstGeom>
                          <a:noFill/>
                          <a:ln w="6350">
                            <a:noFill/>
                          </a:ln>
                          <a:effectLst/>
                        </wps:spPr>
                        <wps:txbx>
                          <w:txbxContent>
                            <w:p w:rsidR="00513719" w:rsidRPr="00D8224F" w:rsidRDefault="00513719" w:rsidP="007A2FE5">
                              <w:pPr>
                                <w:pStyle w:val="NormalWeb"/>
                                <w:spacing w:before="0" w:after="200" w:line="276" w:lineRule="auto"/>
                                <w:jc w:val="center"/>
                                <w:rPr>
                                  <w:rFonts w:asciiTheme="minorHAnsi" w:hAnsiTheme="minorHAnsi"/>
                                </w:rPr>
                              </w:pPr>
                              <w:r>
                                <w:rPr>
                                  <w:rFonts w:asciiTheme="minorHAnsi" w:eastAsia="Calibri" w:hAnsiTheme="minorHAnsi"/>
                                  <w:sz w:val="16"/>
                                  <w:szCs w:val="16"/>
                                </w:rPr>
                                <w:t>Time series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 name="Text Box 11"/>
                        <wps:cNvSpPr txBox="1"/>
                        <wps:spPr>
                          <a:xfrm>
                            <a:off x="3081199" y="3107501"/>
                            <a:ext cx="1418734" cy="240030"/>
                          </a:xfrm>
                          <a:prstGeom prst="rect">
                            <a:avLst/>
                          </a:prstGeom>
                          <a:noFill/>
                          <a:ln w="6350">
                            <a:noFill/>
                          </a:ln>
                          <a:effectLst/>
                        </wps:spPr>
                        <wps:txbx>
                          <w:txbxContent>
                            <w:p w:rsidR="00513719" w:rsidRPr="00D8224F" w:rsidRDefault="00513719" w:rsidP="007A2FE5">
                              <w:pPr>
                                <w:pStyle w:val="NormalWeb"/>
                                <w:spacing w:before="0" w:after="200" w:line="276" w:lineRule="auto"/>
                                <w:jc w:val="center"/>
                                <w:rPr>
                                  <w:rFonts w:asciiTheme="minorHAnsi" w:hAnsiTheme="minorHAnsi"/>
                                </w:rPr>
                              </w:pPr>
                              <w:r>
                                <w:rPr>
                                  <w:rFonts w:asciiTheme="minorHAnsi" w:eastAsia="Calibri" w:hAnsiTheme="minorHAnsi"/>
                                  <w:sz w:val="16"/>
                                  <w:szCs w:val="16"/>
                                </w:rPr>
                                <w:t>Projection of t</w:t>
                              </w:r>
                              <w:r w:rsidRPr="00D8224F">
                                <w:rPr>
                                  <w:rFonts w:asciiTheme="minorHAnsi" w:eastAsia="Calibri" w:hAnsiTheme="minorHAnsi"/>
                                  <w:sz w:val="16"/>
                                  <w:szCs w:val="16"/>
                                </w:rPr>
                                <w:t>ime series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62" o:spid="_x0000_s1068" editas="canvas" alt="A summary of Figure 3 is outlined in the text prior to this figure. " style="width:382.5pt;height:265.5pt;mso-position-horizontal-relative:char;mso-position-vertical-relative:line" coordsize="48577,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8q3g4AAEurAAAOAAAAZHJzL2Uyb0RvYy54bWzsXV1zo0YWfd+q/Q8U7xvT3Xy6okl5PDu7&#10;qZqdmdrJbp4xQpaqECiAx578+pzbjRqBjcVYZAIjkoqDLIxQc+695372jz89bBPjc5wXmyxdmOwH&#10;yzTiNMqWm/R2Yf7vl7f/8E2jKMN0GSZZGi/ML3Fh/vTq73/78X53GfNsnSXLODdwkbS4vN8tzHVZ&#10;7i4vLopoHW/D4odsF6d4c5Xl27DEy/z2YpmH97j6NrngluVe3Gf5cpdnUVwU+O0b9ab5Sl5/tYqj&#10;8sNqVcSlkSxM3Fspf+by5w39vHj1Y3h5m4e79SaqbiN8wV1sw02KD9WXehOWoXGXbx5daruJ8qzI&#10;VuUPUba9yFarTRTL74Bvw6zWt7kO089hIb9MhNXZ3yCOBrzuzS3WAJe8vMfDiOk7JCn9LLJks3y7&#10;SRL5gp5HfJ3kxucQK1k+MFq5i8ZZeEV/eXFwrfsdnmqx08+3OO2+P63DXSyXo7iM3n/+mBub5cLk&#10;eK5puAW4/ovHHaa3SWywgO6PPh7nfdp9zKtXBQ7p+zys8i39Hw/AeFiYjuNYHi7zBRD2HIfb8s/D&#10;y/ihNCK8z1yXO7ZpRDjBsWzmierr76+zy4vyX3G2NehgYea4EQmH8PO7olQrtT/l8drmtzd6ZYPX&#10;r187gfzb5G77n2ypFtxzLEuClZZcnd9eflp94x73yj2cakQhpGmVhCUOtzssU5HemkaY3EJMozKX&#10;n9B8xD1ug+7i6G3QF30TFmt15/IzqtVSwIqlWFbrQo9IPRQ6usmWX/BU80zJabGL3m5wtXdhUX4M&#10;cwgmvhiUTfkBP1ZJhm+bVUemsc7y35/6PZ0P2OFd07iHoGMlfrsL89g0kp9TADJgto3LlvKF7XgE&#10;p/zwnZvDd9K77XUGCWBQa7tIHtL5ZbI/XOXZ9lfopCv6VLwVphE+W6159eK6VAoIWi2Kr67kadAG&#10;u7B8l34i2Wby6dA6/vLwa5jvKlSVgOP7bC8E4WULXOpcgleaXd2V2WojkVevq5RNKZBKNP58ycQq&#10;tSUTy/s1kulxJjgkjyTTBrBdj/78UDIdTzhKMj0/EI77jSXT3YsE5O9uC2OjYG/vf/19C2z5cPOg&#10;lLBc9xprx2V4lknSdd9eJvleJj+Vebi5XZfGVZ5n98Z1lqYwW1lucGnc6VnCeF6nx4ynK2zHF90i&#10;CiVIdpP7DvP589JZVLek70VpwpaiI0Or1BzRE6kOlOkLHE6q4Kst35dC219Qy2V2/ws0LewDzA7e&#10;gH6W/1S3Lg3anhd12Lrwsgw3yT/TpVF+2YGYhLTCMD+wPVtcN4YNxoHiBT2NIp1MjwRK+1tpbzxT&#10;pb0/gPQZXD67ChXHKRVjDKvmKlj4PnN9m75wrblhasHSJDTUoVqODkYVJ8lmVxD5e2T39nBoPJji&#10;5c9UYQl872U06uUf3AGmildj5WbidC7ECYznUPSku9Ff9ATzfKFFjwvmt0XP8ivOZDt0OIvey32W&#10;mgJJakpPqa8bM1Ogv4YCAfuH0iUNU3/pQnjA2QcLnjZss3Q1o0cnGLZauqQOm6WrxYVH6PTD8Cjp&#10;IhZtvM4eDHboUBB1NMoH/J4CHbA89Ew74nKMB4Et4ECQ+88cmLWW++9awt+bMh74sGbP27Jjgbk0&#10;a7kUrsAlG85GHzpWo1bHISdkE+D6qKjV+QSqvD1m6xAy1xGNXiFkxI3JEa7cYMt2rRZUmVtHqnzH&#10;PuoLH4Nq093pEbw9kxiylj3ojUq7TEj2IoTmz076kCNUFuNA+jSZ7id9Aeceq6SPB4L7LZfnUPoC&#10;12Vwj551egaXvjlOLOPEQpv8WSgPEoMjpHGIzSmh7I4Ta0reK07MfKGya0TmnpLRKlDMLN/yJUxA&#10;tTrCgXOgWOf22tlTUmtEqb9doJgI+lCMn7PA8T0YBIDED5hnt1iUz4Uvg/yUURgh4Rc6Sj4h/XZ+&#10;hB9m6BHlqPliL8rBhee5AQK1yjd1PFdGaesExyHlQDYE+ZAjgdbBOcfZMX4dJ5+Q8J0j44eWfCx+&#10;mhn2Ez8HZTvuqMVvpvyK8uv4+iyVo6b8Qif8T4/cCg6DSAl04nEW54GU7to44m2PUpRUGSJQyCsk&#10;SLoJ/zHbOHTgFjVl0wsenSGPgwFoh44A4+rR9TIkwmKBB2pGSA24QPUv/XmN1AaNEzafi38hpZ01&#10;yEOk+lRsbk71jT7VR4W3j6RPW/t+0sd8iwmkX8iLsgRzrOfEj0P+uBTvl1uKr86bzDRO0TgdkZ9p&#10;3LhpnE7Ad0Zua3YDIT1e4Ss4MiYWAsIdJlIHbr3gWAL++wncruNw2aPCt10KnKINbmqVwKSfhwrw&#10;Ch9ky1VYcgJh47BBt2wObwHROVkyHvhMlR2/XN0P7hjopMeE1OAZOgZP5JQB469yDFxYfheRKmg9&#10;IBXVG02kNhwD12O2O8d3/2THYIrVVGcZ39XJ47qiQ2jF2c8x8LlrU5wY0uejgt1+TvpsIZA3JPF8&#10;uaGY/QK5AtUiHu1K0mVWaJ6ttOqEDOI5CiV1OSsW1+0XaAXb7RcYK3Ri/ZtqdylKVjXQi4D5aKGX&#10;0upaIG2ttP2e0AnLZUcqr2YPYYIegq3z6aenDmzb9+FuSiwhb4BioCbvEsj8oZFUpQ4EXo2s5htr&#10;MT2FeH4egv1EDrp+dL04is1tz0apGnEU7mBISFvruQ6aYCtf1kJRm31E9x3Lcn01Rzm3ChA81OnJ&#10;3lmSEZ1rrj2E+uH1kz6bCR/1gSR9GM8jUDWIZ99I3GnpY+jNsFXUc/YQqplCf/Ywn9pD0AnZ2UMY&#10;debA1tn0Tg9BueGUm+32EA78AtsOXI6/6bSQ+6lawhOeahPsls/ZM5iiZ6BzxAN4Bpy5AIkEEwo1&#10;4Cc0Nb5rBQBcxbds5irPoRtQx+jW0LkDyNf02MkZegY6gXo6ZJnLLSop0pi1WoVwAGmAxIHKd4HR&#10;6Pl6HZ0v3xyzcyHc45FD42vXIh48VIqWc+CwKq3mwkXxpoyw1MwallrorntUYZ+a+Bpcz+rW7QkR&#10;zjPUszpHe7qeRcMvZowpZ5AwCwS3uQG6dbSeRcHx2KKGOjk9Y1am8aiSdIR6Vmc2T8eswCQhHxNN&#10;Km4QWF6r9hEzJMaNWZ3SnTE7YsyiJm8wbmAzxh1X9eeiGjdwVcNrzQ1Gj1md4pwxO2bMDphQ5Bzs&#10;QOUTUX3ouJId1ogNPA5FPF4PTJXUTqwd4vzYLDn57WYIR6eCe2U0PI9VNRQYemZjzEE7n6FHnTMU&#10;XKgBUy+Pbs3JxPLJTQh03qJ+ehMyFeeYTHSeSCaqNr4qUUEzB6vIa8ekQWz7UEU8XDvwnedFzzo1&#10;4PHVojf3IMkepPqhzhI56kwipfWGCkcilCN0kU0QBH6rY2TsM0Chneasz/g3q4HOHwyyzAlcOBpV&#10;2juwMYK9yeVGj9k5UzmFrA+pxaHUrMr6QAhkMSO0LGZbNfyPJmaRaT+x4WLorI8ibbOf3NhxbnwR&#10;dCrdHgqzwuK+oG5RwiyGuvL2JjMCVUXWPrYDAJ9agDs4ZudM5ST0rHYwOwvj1MTS3oVxHOPsOZWg&#10;E3I9NLqpuo86KomYJUfHqawLOZKq/H7q4p7aNQs2CDGuo/1oyiGkk+kZfLvhp9A4lTrrhoYuSu9V&#10;M8k9H7YVl5XQwKYHKgB8CA1PlwzN0BgxNLRH0Q0N7Rv2goYQgYN/n9MaMzTkXntj1xq6xLAbGtoF&#10;6wUN2xJuEGiDgpxXK4aJnsxZa9A2jGOHhq7k64aGfLS9uUaA0cToup3tiak73NtTedQGnWNHhq6X&#10;60aG9id6KQ2GniipFGaqMXFo6LI0DQ29h66hNs3qrS5kgQ/fk4wn+CezLUzM7OWaJBtMu6J+oNYs&#10;w/2erY/86b98C98vBe1dP3YjgYrswYIo2HKBV/sZoqcGU3ubYT+GHdiwGa563ML1XUBDKcqRdCg4&#10;c+XsYwEbX9wPE6DbjvKBitJVed12Sw4e+X9r8Aj3UROz33ZNeJbaYbz2lSs1JVAwQ47Ts8CdnLJa&#10;TkFT6XCvtkzt/eZVe0lv+4SgL3SQio+g6RsTYZsKy4OOonkkNEFwDo+MNzwS6KDqAKX0loP9VRRn&#10;wRwOF2P7IOq1GnCxVwsmC4+2y86ZK+knYcOOB3sRggHyeiszmj0foNCQnHPhuQ6SVQ3gQpnRDrTn&#10;pcy6Rutu46VpJHG6MOlIrlMzY6CH6z46c8wpBGpLGyojytEy5AaqpwgDSi20wzfxhISpWxlHapIb&#10;W7ux4mgkPhOq8CvPbstWxnUs6nTjzbDNn6hsNwb8U8tbA7PNwpPxbfKtPOYZsyMvPMGeo8PpWbia&#10;PNgHyQBQ6NomaIVAY3yVvxfcdtWuNC/v1ngUKTtxZ3oYAQjZDNqxg3bIzVVt7rs+SqBkJsgBfFXR&#10;Su0mEWhp8qbalQtjNiWoRwRaTa5ndjDi5k1Wb696OjvgyEcocuBTTVSLzwqA2Nvz2cDzsQc81NqI&#10;EKsLPGbEjhqxOkw5AGJpRzlVSO1jwIMafF8rWUqo6MGUaG2xVeHyiDCrK09mzI4aszqA+i5elcbr&#10;PIxig3RvReyQSulofDTyrEQiBbPJ6J/DQe4YUWx7mN5OFIGhB8BvV1RzdMujg15FUjGPz/WOZVVw&#10;b/LWppUHzpKNDDFBLHvWnqpFBXsqdtHbDabXvAuL8mOYh5SGMD7HefkBP1ZJdr8ws+rINNZZ/vtT&#10;v6fzFya9i92i8nC3MIvf7sI8RgDs57TAVpUM+x+bRilf2A76V00jP3zn5vCd9G57nSWUO6O7k4d0&#10;fpnsD1d5tv01y5dX9Kl4K0wjfPbCjMp8/+K6xGu8tcryKL66ksdRtt2F5bv00y7aJ+bquT0GHS7M&#10;Mn4o32ef1uHuyVKA8WUqGTajrQJyDcHS5PMlgiVchwdE5qnURmBEVdssQLBssBcpWNgR0ap2POk2&#10;C8n3L1i6FV951xPzVs9TdgYMZjMufNgglRyxAtdX/mhNpZD7R5dEZYxGOIhQjZqZGGzPMJpNO5EP&#10;lYER2OeB7UGLIS1Oe+IrsxmKVmBi5BaH9vhGEaptLGbUvjw0iB6k6BL/Se/hFuxtvYnehGV4+BrH&#10;97vLmGfrLFnG+as/AAAA//8DAFBLAwQUAAYACAAAACEAmcbvJdwAAAAFAQAADwAAAGRycy9kb3du&#10;cmV2LnhtbEyPzU7DMBCE70i8g7VIXBC1C6RFIZsq4k9w4EDLA7jxkkSN11HstuHtWbjAZaTRrGa+&#10;LVaT79WBxtgFRpjPDCjiOriOG4SPzdPlLaiYLDvbByaEL4qwKk9PCpu7cOR3OqxTo6SEY24R2pSG&#10;XOtYt+RtnIWBWLLPMHqbxI6NdqM9Srnv9ZUxC+1tx7LQ2oHuW6p3671HIH2ze94Mb4/L12rKYvdS&#10;mYuHBvH8bKruQCWa0t8x/OALOpTCtA17dlH1CPJI+lXJlotM7BYhu54b0GWh/9OX3wAAAP//AwBQ&#10;SwECLQAUAAYACAAAACEAtoM4kv4AAADhAQAAEwAAAAAAAAAAAAAAAAAAAAAAW0NvbnRlbnRfVHlw&#10;ZXNdLnhtbFBLAQItABQABgAIAAAAIQA4/SH/1gAAAJQBAAALAAAAAAAAAAAAAAAAAC8BAABfcmVs&#10;cy8ucmVsc1BLAQItABQABgAIAAAAIQDYtT8q3g4AAEurAAAOAAAAAAAAAAAAAAAAAC4CAABkcnMv&#10;ZTJvRG9jLnhtbFBLAQItABQABgAIAAAAIQCZxu8l3AAAAAUBAAAPAAAAAAAAAAAAAAAAADgRAABk&#10;cnMvZG93bnJldi54bWxQSwUGAAAAAAQABADzAAAAQRIAAAAA&#10;">
                <v:shape id="_x0000_s1069" type="#_x0000_t75" alt="A summary of Figure 3 is outlined in the text prior to this figure. " style="position:absolute;width:48577;height:33718;visibility:visible;mso-wrap-style:square" stroked="t" strokecolor="black [3213]">
                  <v:fill o:detectmouseclick="t"/>
                  <v:path o:connecttype="none"/>
                </v:shape>
                <v:rect id="Rectangle 19" o:spid="_x0000_s1070" style="position:absolute;left:5550;top:17552;width:1663;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4cAA&#10;AADbAAAADwAAAGRycy9kb3ducmV2LnhtbERPy4rCMBTdC/5DuIIb0VSFoVajiCKIjIqPjbtLc22L&#10;zU1pota/nywGXB7Oe7ZoTCleVLvCsoLhIAJBnFpdcKbgetn0YxDOI2ssLZOCDzlYzNutGSbavvlE&#10;r7PPRAhhl6CC3PsqkdKlORl0A1sRB+5ua4M+wDqTusZ3CDelHEXRjzRYcGjIsaJVTunj/DQKHOFy&#10;P74ddr+x58k43veOh/VTqW6nWU5BeGr8V/zv3moFo7A+fAk/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24cAAAADbAAAADwAAAAAAAAAAAAAAAACYAgAAZHJzL2Rvd25y&#10;ZXYueG1sUEsFBgAAAAAEAAQA9QAAAIUDAAAAAA==&#10;" fillcolor="#77933c" strokecolor="#4f6228" strokeweight="1pt"/>
                <v:rect id="Rectangle 20" o:spid="_x0000_s1071" style="position:absolute;left:7213;top:14700;width:1657;height:7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mksUA&#10;AADbAAAADwAAAGRycy9kb3ducmV2LnhtbESP0WrCQBRE3wv+w3IFX0rdGGsrqauEYErAJ60fcJu9&#10;TUKzd0N2TeLfdwuFPg4zc4bZHSbTioF611hWsFpGIIhLqxuuFFw/8qctCOeRNbaWScGdHBz2s4cd&#10;JtqOfKbh4isRIOwSVFB73yVSurImg25pO+LgfdneoA+yr6TucQxw08o4il6kwYbDQo0dZTWV35eb&#10;UUCPRXFP81O2fn3evtPncbjmm0GpxXxK30B4mvx/+K9daAXxCn6/hB8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CaSxQAAANsAAAAPAAAAAAAAAAAAAAAAAJgCAABkcnMv&#10;ZG93bnJldi54bWxQSwUGAAAAAAQABAD1AAAAigMAAAAA&#10;" fillcolor="#c3d69b" strokecolor="#4f6228" strokeweight="1pt">
                  <v:textbox>
                    <w:txbxContent>
                      <w:p w:rsidR="00513719" w:rsidRDefault="00513719" w:rsidP="007A2FE5"/>
                    </w:txbxContent>
                  </v:textbox>
                </v:rect>
                <v:shape id="Straight Arrow Connector 21" o:spid="_x0000_s1072" type="#_x0000_t32" style="position:absolute;left:6345;top:14700;width:0;height:2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SsMAAADbAAAADwAAAGRycy9kb3ducmV2LnhtbESPT4vCMBTE74LfIbyFvWm6PSzSNYoU&#10;BBEP67+Dt0fzti02LzWJtuunN4LgcZiZ3zDTeW8acSPna8sKvsYJCOLC6ppLBYf9cjQB4QOyxsYy&#10;KfgnD/PZcDDFTNuOt3TbhVJECPsMFVQhtJmUvqjIoB/bljh6f9YZDFG6UmqHXYSbRqZJ8i0N1hwX&#10;Kmwpr6g4765GwWVy6jZ2vVzdg8vpmJ8w+XVrpT4/+sUPiEB9eIdf7ZVWkKb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pkrDAAAA2wAAAA8AAAAAAAAAAAAA&#10;AAAAoQIAAGRycy9kb3ducmV2LnhtbFBLBQYAAAAABAAEAPkAAACRAwAAAAA=&#10;" strokecolor="windowText">
                  <v:stroke endarrow="open" endarrowwidth="narrow" endarrowlength="short"/>
                </v:shape>
                <v:oval id="Oval 22" o:spid="_x0000_s1073" style="position:absolute;left:11100;top:18816;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J3sYA&#10;AADbAAAADwAAAGRycy9kb3ducmV2LnhtbESPQWvCQBSE7wX/w/KEXkqzUUFs6ioilhYvpYkXb8/s&#10;M0nNvg3ZTUz7692C0OMwM98wy/VgatFT6yrLCiZRDII4t7riQsEhe3tegHAeWWNtmRT8kIP1avSw&#10;xETbK39Rn/pCBAi7BBWU3jeJlC4vyaCLbEMcvLNtDfog20LqFq8Bbmo5jeO5NFhxWCixoW1J+SXt&#10;jILt7Ijp8Nl0vy8nu3//forr7LxT6nE8bF5BeBr8f/je/tAKpjP4+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tJ3sYAAADbAAAADwAAAAAAAAAAAAAAAACYAgAAZHJz&#10;L2Rvd25yZXYueG1sUEsFBgAAAAAEAAQA9QAAAIsDAAAAAA==&#10;" fillcolor="windowText" strokecolor="windowText" strokeweight="2pt"/>
                <v:oval id="Oval 23" o:spid="_x0000_s1074" style="position:absolute;left:13178;top:18823;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qsYA&#10;AADbAAAADwAAAGRycy9kb3ducmV2LnhtbESPQWvCQBSE74L/YXkFL6VutEU0ZiMiitJLaezF2zP7&#10;TFKzb0N21dRf3y0UPA4z8w2TLDpTiyu1rrKsYDSMQBDnVldcKPjab16mIJxH1lhbJgU/5GCR9nsJ&#10;xtre+JOumS9EgLCLUUHpfRNL6fKSDLqhbYiDd7KtQR9kW0jd4i3ATS3HUTSRBisOCyU2tCopP2cX&#10;o2D1esCs+2gu99nRvm+/n6N6f1orNXjqlnMQnjr/CP+3d1rB+A3+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qsYAAADbAAAADwAAAAAAAAAAAAAAAACYAgAAZHJz&#10;L2Rvd25yZXYueG1sUEsFBgAAAAAEAAQA9QAAAIsDAAAAAA==&#10;" fillcolor="windowText" strokecolor="windowText" strokeweight="2pt">
                  <v:textbox>
                    <w:txbxContent>
                      <w:p w:rsidR="00513719" w:rsidRDefault="00513719" w:rsidP="007A2FE5"/>
                    </w:txbxContent>
                  </v:textbox>
                </v:oval>
                <v:oval id="Oval 24" o:spid="_x0000_s1075" style="position:absolute;left:15245;top:1881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0McYA&#10;AADbAAAADwAAAGRycy9kb3ducmV2LnhtbESPQWvCQBSE74L/YXkFL6VutFQ0ZiMiitJLaezF2zP7&#10;TFKzb0N21dRf3y0UPA4z8w2TLDpTiyu1rrKsYDSMQBDnVldcKPjab16mIJxH1lhbJgU/5GCR9nsJ&#10;xtre+JOumS9EgLCLUUHpfRNL6fKSDLqhbYiDd7KtQR9kW0jd4i3ATS3HUTSRBisOCyU2tCopP2cX&#10;o2D1esCs+2gu99nRvm+/n6N6f1orNXjqlnMQnjr/CP+3d1rB+A3+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50McYAAADbAAAADwAAAAAAAAAAAAAAAACYAgAAZHJz&#10;L2Rvd25yZXYueG1sUEsFBgAAAAAEAAQA9QAAAIsDAAAAAA==&#10;" fillcolor="windowText" strokecolor="windowText" strokeweight="2pt">
                  <v:textbox>
                    <w:txbxContent>
                      <w:p w:rsidR="00513719" w:rsidRDefault="00513719" w:rsidP="007A2FE5"/>
                    </w:txbxContent>
                  </v:textbox>
                </v:oval>
                <v:shape id="Text Box 11" o:spid="_x0000_s1076" type="#_x0000_t202" style="position:absolute;left:12994;top:11517;width:6039;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513719" w:rsidRPr="00490D61" w:rsidRDefault="00513719" w:rsidP="007A2FE5">
                        <w:pPr>
                          <w:pStyle w:val="NormalWeb"/>
                          <w:spacing w:before="0" w:after="200" w:line="276" w:lineRule="auto"/>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20</w:t>
                        </w:r>
                        <w:r>
                          <w:rPr>
                            <w:rFonts w:asciiTheme="minorHAnsi" w:eastAsia="Calibri" w:hAnsiTheme="minorHAnsi"/>
                            <w:position w:val="-6"/>
                            <w:sz w:val="22"/>
                            <w:szCs w:val="22"/>
                            <w:vertAlign w:val="subscript"/>
                          </w:rPr>
                          <w:t>10</w:t>
                        </w:r>
                        <w:r w:rsidRPr="00490D61">
                          <w:rPr>
                            <w:rFonts w:asciiTheme="minorHAnsi" w:eastAsia="Calibri" w:hAnsiTheme="minorHAnsi"/>
                            <w:position w:val="-6"/>
                            <w:sz w:val="22"/>
                            <w:szCs w:val="22"/>
                            <w:vertAlign w:val="subscript"/>
                          </w:rPr>
                          <w:t>-1</w:t>
                        </w:r>
                        <w:r>
                          <w:rPr>
                            <w:rFonts w:asciiTheme="minorHAnsi" w:eastAsia="Calibri" w:hAnsiTheme="minorHAnsi"/>
                            <w:position w:val="-6"/>
                            <w:sz w:val="22"/>
                            <w:szCs w:val="22"/>
                            <w:vertAlign w:val="subscript"/>
                          </w:rPr>
                          <w:t>1</w:t>
                        </w:r>
                        <w:proofErr w:type="gramEnd"/>
                      </w:p>
                    </w:txbxContent>
                  </v:textbox>
                </v:shape>
                <v:rect id="Rectangle 26" o:spid="_x0000_s1077" style="position:absolute;left:17563;top:14046;width:1657;height:8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1ulcUA&#10;AADbAAAADwAAAGRycy9kb3ducmV2LnhtbESPQWvCQBSE74X+h+UJvRTdNEIbo6uEFkGkWqpevD2y&#10;zyQ0+zZkNyb++25B6HGYmW+YxWowtbhS6yrLCl4mEQji3OqKCwWn43qcgHAeWWNtmRTcyMFq+fiw&#10;wFTbnr/pevCFCBB2KSoovW9SKV1ekkE3sQ1x8C62NeiDbAupW+wD3NQyjqJXabDisFBiQ+8l5T+H&#10;zihwhNluet5vPxPPs2mye/7af3RKPY2GbA7C0+D/w/f2RiuI3+D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W6VxQAAANsAAAAPAAAAAAAAAAAAAAAAAJgCAABkcnMv&#10;ZG93bnJldi54bWxQSwUGAAAAAAQABAD1AAAAigMAAAAA&#10;" fillcolor="#77933c" strokecolor="#4f6228" strokeweight="1pt">
                  <v:textbox>
                    <w:txbxContent>
                      <w:p w:rsidR="00513719" w:rsidRDefault="00513719" w:rsidP="007A2FE5"/>
                    </w:txbxContent>
                  </v:textbox>
                </v:rect>
                <v:rect id="Rectangle 27" o:spid="_x0000_s1078" style="position:absolute;left:19227;top:12932;width:1657;height:9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PD8EA&#10;AADbAAAADwAAAGRycy9kb3ducmV2LnhtbERPy4rCMBTdC/MP4Q64EU3Hxygdo4hYKbiy4wdcm2tb&#10;prkpTabWvzcLweXhvNfb3tSio9ZVlhV8TSIQxLnVFRcKLr/JeAXCeWSNtWVS8CAH283HYI2xtnc+&#10;U5f5QoQQdjEqKL1vYildXpJBN7ENceButjXoA2wLqVu8h3BTy2kUfUuDFYeGEhval5T/Zf9GAY3S&#10;9LFLTvvZcr460vXQXZJFp9Tws9/9gPDU+7f45U61gmkYG76EH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mjw/BAAAA2wAAAA8AAAAAAAAAAAAAAAAAmAIAAGRycy9kb3du&#10;cmV2LnhtbFBLBQYAAAAABAAEAPUAAACGAwAAAAA=&#10;" fillcolor="#c3d69b" strokecolor="#4f6228" strokeweight="1pt">
                  <v:textbox>
                    <w:txbxContent>
                      <w:p w:rsidR="00513719" w:rsidRDefault="00513719" w:rsidP="007A2FE5">
                        <w:pPr>
                          <w:pStyle w:val="NormalWeb"/>
                          <w:spacing w:before="0" w:after="200" w:line="276" w:lineRule="auto"/>
                        </w:pPr>
                        <w:r>
                          <w:rPr>
                            <w:sz w:val="22"/>
                            <w:szCs w:val="22"/>
                          </w:rPr>
                          <w:t> </w:t>
                        </w:r>
                      </w:p>
                    </w:txbxContent>
                  </v:textbox>
                </v:rect>
                <v:shape id="Straight Arrow Connector 28" o:spid="_x0000_s1079" type="#_x0000_t32" style="position:absolute;left:18357;top:12932;width:0;height:1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0O8MAAADbAAAADwAAAGRycy9kb3ducmV2LnhtbESPT4vCMBTE78J+h/AW9qbpeli0axQp&#10;CCIe/Hvw9mjetsXmpZtEW/30RhA8DjPzG2Yy60wtruR8ZVnB9yABQZxbXXGh4LBf9EcgfEDWWFsm&#10;BTfyMJt+9CaYatvylq67UIgIYZ+igjKEJpXS5yUZ9APbEEfvzzqDIUpXSO2wjXBTy2GS/EiDFceF&#10;EhvKSsrPu4tR8D86tWu7WizvwWV0zE6YbNxKqa/Pbv4LIlAX3uFXe6kVDM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bNDvDAAAA2wAAAA8AAAAAAAAAAAAA&#10;AAAAoQIAAGRycy9kb3ducmV2LnhtbFBLBQYAAAAABAAEAPkAAACRAwAAAAA=&#10;" strokecolor="windowText">
                  <v:stroke endarrow="open" endarrowwidth="narrow" endarrowlength="short"/>
                </v:shape>
                <v:shape id="Text Box 11" o:spid="_x0000_s1080" type="#_x0000_t202" style="position:absolute;left:21958;top:8917;width:823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513719" w:rsidRPr="00490D61" w:rsidRDefault="00513719" w:rsidP="007A2FE5">
                        <w:pPr>
                          <w:pStyle w:val="NormalWeb"/>
                          <w:spacing w:before="0" w:after="200" w:line="276" w:lineRule="auto"/>
                          <w:rPr>
                            <w:rFonts w:asciiTheme="minorHAnsi" w:hAnsiTheme="minorHAnsi"/>
                          </w:rPr>
                        </w:pPr>
                        <w:proofErr w:type="gramStart"/>
                        <w:r>
                          <w:rPr>
                            <w:rFonts w:asciiTheme="minorHAnsi" w:eastAsia="Calibri" w:hAnsiTheme="minorHAnsi"/>
                            <w:i/>
                            <w:iCs/>
                            <w:sz w:val="22"/>
                            <w:szCs w:val="22"/>
                          </w:rPr>
                          <w:t>s</w:t>
                        </w:r>
                        <w:r>
                          <w:rPr>
                            <w:rFonts w:asciiTheme="minorHAnsi" w:eastAsia="Calibri" w:hAnsiTheme="minorHAnsi"/>
                            <w:position w:val="-6"/>
                            <w:sz w:val="22"/>
                            <w:szCs w:val="22"/>
                            <w:vertAlign w:val="subscript"/>
                          </w:rPr>
                          <w:t>2012-13</w:t>
                        </w:r>
                        <w:proofErr w:type="gramEnd"/>
                        <w:r w:rsidRPr="00490D61">
                          <w:rPr>
                            <w:rFonts w:asciiTheme="minorHAnsi" w:eastAsia="Calibri" w:hAnsiTheme="minorHAnsi"/>
                            <w:position w:val="-6"/>
                            <w:sz w:val="22"/>
                            <w:szCs w:val="22"/>
                          </w:rPr>
                          <w:t>= 1</w:t>
                        </w:r>
                      </w:p>
                    </w:txbxContent>
                  </v:textbox>
                </v:shape>
                <v:rect id="Rectangle 30" o:spid="_x0000_s1081" style="position:absolute;left:23776;top:11557;width:1658;height:1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Fp8MA&#10;AADbAAAADwAAAGRycy9kb3ducmV2LnhtbESPQYvCMBSE74L/IbyFvYimbkG61SiiCCKrsurF26N5&#10;tmWbl9JErf/eLAgeh5n5hpnMWlOJGzWutKxgOIhAEGdWl5wrOB1X/QSE88gaK8uk4EEOZtNuZ4Kp&#10;tnf+pdvB5yJA2KWooPC+TqV0WUEG3cDWxMG72MagD7LJpW7wHuCmkl9RNJIGSw4LBda0KCj7O1yN&#10;Akc438bn3eYn8fwdJ9vefre8KvX50c7HIDy1/h1+tddaQTyE/y/h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HFp8MAAADbAAAADwAAAAAAAAAAAAAAAACYAgAAZHJzL2Rv&#10;d25yZXYueG1sUEsFBgAAAAAEAAQA9QAAAIgDAAAAAA==&#10;" fillcolor="#77933c" strokecolor="#4f6228" strokeweight="1pt">
                  <v:textbox>
                    <w:txbxContent>
                      <w:p w:rsidR="00513719" w:rsidRDefault="00513719" w:rsidP="007A2FE5">
                        <w:pPr>
                          <w:pStyle w:val="NormalWeb"/>
                          <w:spacing w:before="0" w:after="200" w:line="276" w:lineRule="auto"/>
                        </w:pPr>
                        <w:r>
                          <w:rPr>
                            <w:sz w:val="22"/>
                            <w:szCs w:val="22"/>
                          </w:rPr>
                          <w:t> </w:t>
                        </w:r>
                      </w:p>
                    </w:txbxContent>
                  </v:textbox>
                </v:rect>
                <v:rect id="Rectangle 31" o:spid="_x0000_s1082" style="position:absolute;left:25440;top:11557;width:1657;height:1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uOMUA&#10;AADbAAAADwAAAGRycy9kb3ducmV2LnhtbESP0WrCQBRE3wv+w3KFvpS6MamtRFeR0JSAT1o/4DZ7&#10;mwSzd0N2TeLfdwuFPg4zc4bZ7ifTioF611hWsFxEIIhLqxuuFFw+8+c1COeRNbaWScGdHOx3s4ct&#10;ptqOfKLh7CsRIOxSVFB736VSurImg25hO+LgfdveoA+yr6TucQxw08o4il6lwYbDQo0dZTWV1/PN&#10;KKCnorgf8mOWvL2sP+jrfbjkq0Gpx/l02IDwNPn/8F+70AqSGH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y44xQAAANsAAAAPAAAAAAAAAAAAAAAAAJgCAABkcnMv&#10;ZG93bnJldi54bWxQSwUGAAAAAAQABAD1AAAAigMAAAAA&#10;" fillcolor="#c3d69b" strokecolor="#4f6228" strokeweight="1pt">
                  <v:textbox>
                    <w:txbxContent>
                      <w:p w:rsidR="00513719" w:rsidRDefault="00513719" w:rsidP="007A2FE5">
                        <w:pPr>
                          <w:pStyle w:val="NormalWeb"/>
                          <w:spacing w:before="0" w:after="200" w:line="276" w:lineRule="auto"/>
                        </w:pPr>
                        <w:r>
                          <w:rPr>
                            <w:sz w:val="22"/>
                            <w:szCs w:val="22"/>
                          </w:rPr>
                          <w:t> </w:t>
                        </w:r>
                      </w:p>
                    </w:txbxContent>
                  </v:textbox>
                </v:rect>
                <v:shape id="Text Box 11" o:spid="_x0000_s1083" type="#_x0000_t202" style="position:absolute;left:32576;top:8022;width:2577;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513719" w:rsidRPr="00490D61" w:rsidRDefault="00513719" w:rsidP="007A2FE5">
                        <w:pPr>
                          <w:pStyle w:val="NormalWeb"/>
                          <w:spacing w:before="0" w:after="200" w:line="276" w:lineRule="auto"/>
                          <w:rPr>
                            <w:rFonts w:asciiTheme="minorHAnsi" w:hAnsiTheme="minorHAnsi"/>
                          </w:rPr>
                        </w:pPr>
                        <w:proofErr w:type="gramStart"/>
                        <w:r>
                          <w:rPr>
                            <w:rFonts w:asciiTheme="minorHAnsi" w:eastAsia="Calibri" w:hAnsiTheme="minorHAnsi"/>
                            <w:i/>
                            <w:iCs/>
                            <w:sz w:val="22"/>
                            <w:szCs w:val="22"/>
                          </w:rPr>
                          <w:t>s</w:t>
                        </w:r>
                        <w:proofErr w:type="gramEnd"/>
                      </w:p>
                    </w:txbxContent>
                  </v:textbox>
                </v:shape>
                <v:rect id="Rectangle 33" o:spid="_x0000_s1084" style="position:absolute;left:30197;top:9235;width:1657;height:1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mP8YA&#10;AADbAAAADwAAAGRycy9kb3ducmV2LnhtbESPT2vCQBTE70K/w/IKvYhu2ojE1FWkRZDiH4y99PbI&#10;viah2bchuybpt3eFQo/DzPyGWa4HU4uOWldZVvA8jUAQ51ZXXCj4vGwnCQjnkTXWlknBLzlYrx5G&#10;S0y17flMXeYLESDsUlRQet+kUrq8JINuahvi4H3b1qAPsi2kbrEPcFPLlyiaS4MVh4USG3orKf/J&#10;rkaBI9wc4q/jxz7xvIiTw/h0fL8q9fQ4bF5BeBr8f/ivvdMK4hncv4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ZmP8YAAADbAAAADwAAAAAAAAAAAAAAAACYAgAAZHJz&#10;L2Rvd25yZXYueG1sUEsFBgAAAAAEAAQA9QAAAIsDAAAAAA==&#10;" fillcolor="#77933c" strokecolor="#4f6228" strokeweight="1pt">
                  <v:textbox>
                    <w:txbxContent>
                      <w:p w:rsidR="00513719" w:rsidRDefault="00513719" w:rsidP="007A2FE5">
                        <w:pPr>
                          <w:pStyle w:val="NormalWeb"/>
                          <w:spacing w:before="0" w:after="200" w:line="276" w:lineRule="auto"/>
                        </w:pPr>
                        <w:r>
                          <w:rPr>
                            <w:sz w:val="22"/>
                            <w:szCs w:val="22"/>
                          </w:rPr>
                          <w:t> </w:t>
                        </w:r>
                      </w:p>
                    </w:txbxContent>
                  </v:textbox>
                </v:rect>
                <v:rect id="Rectangle 34" o:spid="_x0000_s1085" style="position:absolute;left:31801;top:10315;width:1657;height:12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2TMQA&#10;AADbAAAADwAAAGRycy9kb3ducmV2LnhtbESP3YrCMBSE7xd8h3AEbxZN1dWVrlFErBS88ucBzjZn&#10;22JzUppY69sbQdjLYWa+YZbrzlSipcaVlhWMRxEI4szqknMFl3MyXIBwHlljZZkUPMjBetX7WGKs&#10;7Z2P1J58LgKEXYwKCu/rWEqXFWTQjWxNHLw/2xj0QTa51A3eA9xUchJFc2mw5LBQYE3bgrLr6WYU&#10;0GeaPjbJYTv9/lrs6XfXXpJZq9Sg321+QHjq/H/43U61gukMXl/C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kzEAAAA2wAAAA8AAAAAAAAAAAAAAAAAmAIAAGRycy9k&#10;b3ducmV2LnhtbFBLBQYAAAAABAAEAPUAAACJAwAAAAA=&#10;" fillcolor="#c3d69b" strokecolor="#4f6228" strokeweight="1pt">
                  <v:textbox>
                    <w:txbxContent>
                      <w:p w:rsidR="00513719" w:rsidRDefault="00513719" w:rsidP="007A2FE5">
                        <w:pPr>
                          <w:pStyle w:val="NormalWeb"/>
                          <w:spacing w:before="0" w:after="200" w:line="276" w:lineRule="auto"/>
                        </w:pPr>
                        <w:r>
                          <w:rPr>
                            <w:sz w:val="22"/>
                            <w:szCs w:val="22"/>
                          </w:rPr>
                          <w:t> </w:t>
                        </w:r>
                      </w:p>
                    </w:txbxContent>
                  </v:textbox>
                </v:rect>
                <v:shape id="Straight Arrow Connector 35" o:spid="_x0000_s1086" type="#_x0000_t32" style="position:absolute;left:32661;top:923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P6uMUAAADbAAAADwAAAGRycy9kb3ducmV2LnhtbESPQWvCQBSE70L/w/IK3nRTRVtSN0EK&#10;goKHVusht0f2NZs2+zZmVxP/vVso9DjMzDfMKh9sI67U+dqxgqdpAoK4dLrmSsHncTN5AeEDssbG&#10;MSm4kYc8exitMNWu5w+6HkIlIoR9igpMCG0qpS8NWfRT1xJH78t1FkOUXSV1h32E20bOkmQpLdYc&#10;Fwy29Gao/DlcrIL1uX9//g52YYqCt6fdqT3e9oVS48dh/Qoi0BD+w3/trVYwX8Lvl/gD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P6uMUAAADbAAAADwAAAAAAAAAA&#10;AAAAAAChAgAAZHJzL2Rvd25yZXYueG1sUEsFBgAAAAAEAAQA+QAAAJMDAAAAAA==&#10;" strokecolor="windowText">
                  <v:stroke startarrow="open" startarrowwidth="narrow" startarrowlength="short" endarrowwidth="narrow" endarrowlength="short"/>
                </v:shape>
                <v:shape id="Text Box 11" o:spid="_x0000_s1087" type="#_x0000_t202" style="position:absolute;left:38705;top:5934;width:4202;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513719" w:rsidRPr="00490D61" w:rsidRDefault="00513719" w:rsidP="007A2FE5">
                        <w:pPr>
                          <w:pStyle w:val="NormalWeb"/>
                          <w:spacing w:before="0" w:after="200" w:line="276" w:lineRule="auto"/>
                          <w:rPr>
                            <w:rFonts w:asciiTheme="minorHAnsi" w:hAnsiTheme="minorHAnsi"/>
                            <w:vertAlign w:val="superscript"/>
                          </w:rPr>
                        </w:pPr>
                        <w:r>
                          <w:rPr>
                            <w:rFonts w:asciiTheme="minorHAnsi" w:eastAsia="Calibri" w:hAnsiTheme="minorHAnsi"/>
                            <w:i/>
                            <w:iCs/>
                            <w:sz w:val="22"/>
                            <w:szCs w:val="22"/>
                          </w:rPr>
                          <w:t>s</w:t>
                        </w:r>
                        <w:r w:rsidRPr="00490D61">
                          <w:rPr>
                            <w:rFonts w:asciiTheme="minorHAnsi" w:eastAsia="Calibri" w:hAnsiTheme="minorHAnsi"/>
                            <w:i/>
                            <w:iCs/>
                            <w:sz w:val="22"/>
                            <w:szCs w:val="22"/>
                            <w:vertAlign w:val="superscript"/>
                          </w:rPr>
                          <w:t>2</w:t>
                        </w:r>
                      </w:p>
                    </w:txbxContent>
                  </v:textbox>
                </v:shape>
                <v:rect id="Rectangle 37" o:spid="_x0000_s1088" style="position:absolute;left:36600;top:5935;width:1657;height:1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OsIA&#10;AADbAAAADwAAAGRycy9kb3ducmV2LnhtbERPz2vCMBS+C/sfwhvsIpq6gtRqFJkMxlg7rLvs9mie&#10;bVnzUpKo3X+/HIQdP77fm91oenEl5zvLChbzBARxbXXHjYKv0+ssA+EDssbeMin4JQ+77cNkg7m2&#10;Nz7StQqNiCHsc1TQhjDkUvq6JYN+bgfiyJ2tMxgidI3UDm8x3PTyOUmW0mDHsaHFgV5aqn+qi1Hg&#10;CfdF+l2+f2SBV2lWTD/Lw0Wpp8dxvwYRaAz/4rv7TStI49j4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2w6wgAAANsAAAAPAAAAAAAAAAAAAAAAAJgCAABkcnMvZG93&#10;bnJldi54bWxQSwUGAAAAAAQABAD1AAAAhwMAAAAA&#10;" fillcolor="#77933c" strokecolor="#4f6228" strokeweight="1pt">
                  <v:textbox>
                    <w:txbxContent>
                      <w:p w:rsidR="00513719" w:rsidRDefault="00513719" w:rsidP="007A2FE5">
                        <w:pPr>
                          <w:pStyle w:val="NormalWeb"/>
                          <w:spacing w:before="0" w:after="200" w:line="276" w:lineRule="auto"/>
                        </w:pPr>
                        <w:r>
                          <w:rPr>
                            <w:sz w:val="22"/>
                            <w:szCs w:val="22"/>
                          </w:rPr>
                          <w:t> </w:t>
                        </w:r>
                      </w:p>
                    </w:txbxContent>
                  </v:textbox>
                </v:rect>
                <v:rect id="Rectangle 38" o:spid="_x0000_s1089" style="position:absolute;left:38264;top:8318;width:1657;height:14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8ScUA&#10;AADbAAAADwAAAGRycy9kb3ducmV2LnhtbESP0WrCQBRE3wv9h+UWfCnNplVbG7OKiCkBn5r6AbfZ&#10;2ySYvRuya4x/7xYEH4eZOcOk69G0YqDeNZYVvEYxCOLS6oYrBYef7GUBwnlkja1lUnAhB+vV40OK&#10;ibZn/qah8JUIEHYJKqi97xIpXVmTQRfZjjh4f7Y36IPsK6l7PAe4aeVbHL9Lgw2HhRo72tZUHouT&#10;UUDPeX7ZZPvt9GO2+KLf3XDI5oNSk6dxswThafT38K2dawXTT/j/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7xJxQAAANsAAAAPAAAAAAAAAAAAAAAAAJgCAABkcnMv&#10;ZG93bnJldi54bWxQSwUGAAAAAAQABAD1AAAAigMAAAAA&#10;" fillcolor="#c3d69b" strokecolor="#4f6228" strokeweight="1pt">
                  <v:textbox>
                    <w:txbxContent>
                      <w:p w:rsidR="00513719" w:rsidRDefault="00513719" w:rsidP="007A2FE5">
                        <w:pPr>
                          <w:pStyle w:val="NormalWeb"/>
                          <w:spacing w:before="0" w:after="200" w:line="276" w:lineRule="auto"/>
                        </w:pPr>
                        <w:r>
                          <w:rPr>
                            <w:sz w:val="22"/>
                            <w:szCs w:val="22"/>
                          </w:rPr>
                          <w:t> </w:t>
                        </w:r>
                      </w:p>
                    </w:txbxContent>
                  </v:textbox>
                </v:rect>
                <v:shape id="Straight Arrow Connector 39" o:spid="_x0000_s1090" type="#_x0000_t32" style="position:absolute;left:39185;top:6012;width:0;height:23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3D678AAADbAAAADwAAAGRycy9kb3ducmV2LnhtbERPTWvCQBC9F/wPywi91Y2liI2uItZC&#10;sSdtwOuQHZNodjbsrhr/vXMoeHy87/myd626UoiNZwPjUQaKuPS24cpA8ff9NgUVE7LF1jMZuFOE&#10;5WLwMsfc+hvv6LpPlZIQjjkaqFPqcq1jWZPDOPIdsXBHHxwmgaHSNuBNwl2r37Nsoh02LA01drSu&#10;qTzvL87AR9C/5eaLTpdNX023q89ifGgKY16H/WoGKlGfnuJ/948Vn6yXL/ID9O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e3D678AAADbAAAADwAAAAAAAAAAAAAAAACh&#10;AgAAZHJzL2Rvd25yZXYueG1sUEsFBgAAAAAEAAQA+QAAAI0DAAAAAA==&#10;" strokecolor="windowText">
                  <v:stroke startarrow="open" startarrowwidth="narrow" startarrowlength="short" endarrowwidth="narrow" endarrowlength="short"/>
                </v:shape>
                <v:shape id="Text Box 11" o:spid="_x0000_s1091" type="#_x0000_t202" style="position:absolute;left:44886;top:2918;width:3544;height: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513719" w:rsidRPr="00490D61" w:rsidRDefault="00513719" w:rsidP="007A2FE5">
                        <w:pPr>
                          <w:pStyle w:val="NormalWeb"/>
                          <w:spacing w:before="0" w:after="200" w:line="276" w:lineRule="auto"/>
                          <w:rPr>
                            <w:rFonts w:asciiTheme="minorHAnsi" w:hAnsiTheme="minorHAnsi"/>
                            <w:i/>
                            <w:vertAlign w:val="superscript"/>
                          </w:rPr>
                        </w:pPr>
                        <w:r>
                          <w:rPr>
                            <w:rFonts w:asciiTheme="minorHAnsi" w:hAnsiTheme="minorHAnsi"/>
                            <w:i/>
                          </w:rPr>
                          <w:t>s</w:t>
                        </w:r>
                        <w:r w:rsidRPr="00490D61">
                          <w:rPr>
                            <w:rFonts w:asciiTheme="minorHAnsi" w:hAnsiTheme="minorHAnsi"/>
                            <w:i/>
                            <w:vertAlign w:val="superscript"/>
                          </w:rPr>
                          <w:t>3</w:t>
                        </w:r>
                      </w:p>
                    </w:txbxContent>
                  </v:textbox>
                </v:shape>
                <v:rect id="Rectangle 41" o:spid="_x0000_s1092" style="position:absolute;left:42474;top:2516;width:1651;height:20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orcUA&#10;AADbAAAADwAAAGRycy9kb3ducmV2LnhtbESPQWvCQBSE74X+h+UJvRTdNJYSo6uEFkGkWqpevD2y&#10;zyQ0+zZkNyb++25B6HGYmW+YxWowtbhS6yrLCl4mEQji3OqKCwWn43qcgHAeWWNtmRTcyMFq+fiw&#10;wFTbnr/pevCFCBB2KSoovW9SKV1ekkE3sQ1x8C62NeiDbAupW+wD3NQyjqI3abDisFBiQ+8l5T+H&#10;zihwhNluet5vPxPPs2mye/7af3RKPY2GbA7C0+D/w/f2Rit4jeH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SitxQAAANsAAAAPAAAAAAAAAAAAAAAAAJgCAABkcnMv&#10;ZG93bnJldi54bWxQSwUGAAAAAAQABAD1AAAAigMAAAAA&#10;" fillcolor="#77933c" strokecolor="#4f6228" strokeweight="1pt">
                  <v:textbox>
                    <w:txbxContent>
                      <w:p w:rsidR="00513719" w:rsidRDefault="00513719" w:rsidP="007A2FE5">
                        <w:pPr>
                          <w:pStyle w:val="NormalWeb"/>
                          <w:spacing w:before="0" w:after="200" w:line="276" w:lineRule="auto"/>
                        </w:pPr>
                        <w:r>
                          <w:rPr>
                            <w:sz w:val="22"/>
                            <w:szCs w:val="22"/>
                          </w:rPr>
                          <w:t> </w:t>
                        </w:r>
                      </w:p>
                    </w:txbxContent>
                  </v:textbox>
                </v:rect>
                <v:rect id="Rectangle 42" o:spid="_x0000_s1093" style="position:absolute;left:44138;top:6253;width:1651;height:16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43sMA&#10;AADbAAAADwAAAGRycy9kb3ducmV2LnhtbESP0YrCMBRE34X9h3AX9kU03dVVqUYRsVLwadUPuDbX&#10;ttjclCZb698bQfBxmJkzzGLVmUq01LjSsoLvYQSCOLO65FzB6ZgMZiCcR9ZYWSYFd3KwWn70Fhhr&#10;e+M/ag8+FwHCLkYFhfd1LKXLCjLohrYmDt7FNgZ9kE0udYO3ADeV/ImiiTRYclgosKZNQdn18G8U&#10;UD9N7+tkvxlNx7MdnbftKfltlfr67NZzEJ46/w6/2qlWMB7B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343sMAAADbAAAADwAAAAAAAAAAAAAAAACYAgAAZHJzL2Rv&#10;d25yZXYueG1sUEsFBgAAAAAEAAQA9QAAAIgDAAAAAA==&#10;" fillcolor="#c3d69b" strokecolor="#4f6228" strokeweight="1pt">
                  <v:textbox>
                    <w:txbxContent>
                      <w:p w:rsidR="00513719" w:rsidRDefault="00513719" w:rsidP="007A2FE5">
                        <w:pPr>
                          <w:pStyle w:val="NormalWeb"/>
                          <w:spacing w:before="0" w:after="200" w:line="276" w:lineRule="auto"/>
                        </w:pPr>
                        <w:r>
                          <w:rPr>
                            <w:sz w:val="22"/>
                            <w:szCs w:val="22"/>
                          </w:rPr>
                          <w:t> </w:t>
                        </w:r>
                      </w:p>
                    </w:txbxContent>
                  </v:textbox>
                </v:rect>
                <v:shape id="Straight Arrow Connector 43" o:spid="_x0000_s1094" type="#_x0000_t32" style="position:absolute;left:44962;top:2516;width:1;height:3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yKcUAAADbAAAADwAAAGRycy9kb3ducmV2LnhtbESPT2vCQBTE70K/w/IK3nRT8U9JXUUK&#10;goKHqvWQ2yP7mk2bfRuzq4nfvisIHoeZ+Q0zX3a2EldqfOlYwdswAUGcO11yoeD7uB68g/ABWWPl&#10;mBTcyMNy8dKbY6pdy3u6HkIhIoR9igpMCHUqpc8NWfRDVxNH78c1FkOUTSF1g22E20qOkmQqLZYc&#10;FwzW9Gko/ztcrILVuf2a/QY7MVnGm9P2VB9vu0yp/mu3+gARqAvP8KO90QrGY7h/iT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uyKcUAAADbAAAADwAAAAAAAAAA&#10;AAAAAAChAgAAZHJzL2Rvd25yZXYueG1sUEsFBgAAAAAEAAQA+QAAAJMDAAAAAA==&#10;" strokecolor="windowText">
                  <v:stroke startarrow="open" startarrowwidth="narrow" startarrowlength="short" endarrowwidth="narrow" endarrowlength="short"/>
                </v:shape>
                <v:shape id="Text Box 11" o:spid="_x0000_s1095" type="#_x0000_t202" style="position:absolute;left:4216;top:23554;width:609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513719" w:rsidRPr="001A297C" w:rsidRDefault="00513719" w:rsidP="007A2FE5">
                        <w:pPr>
                          <w:pStyle w:val="NormalWeb"/>
                          <w:spacing w:before="0" w:after="200" w:line="276" w:lineRule="auto"/>
                          <w:jc w:val="center"/>
                          <w:rPr>
                            <w:rFonts w:asciiTheme="minorHAnsi" w:hAnsiTheme="minorHAnsi"/>
                            <w:sz w:val="18"/>
                            <w:szCs w:val="18"/>
                          </w:rPr>
                        </w:pPr>
                        <w:r w:rsidRPr="001A297C">
                          <w:rPr>
                            <w:rFonts w:asciiTheme="minorHAnsi" w:eastAsia="Calibri" w:hAnsiTheme="minorHAnsi"/>
                            <w:iCs/>
                            <w:sz w:val="18"/>
                            <w:szCs w:val="18"/>
                          </w:rPr>
                          <w:t>200</w:t>
                        </w:r>
                        <w:r>
                          <w:rPr>
                            <w:rFonts w:asciiTheme="minorHAnsi" w:eastAsia="Calibri" w:hAnsiTheme="minorHAnsi"/>
                            <w:iCs/>
                            <w:sz w:val="18"/>
                            <w:szCs w:val="18"/>
                          </w:rPr>
                          <w:t>8</w:t>
                        </w:r>
                        <w:r w:rsidRPr="001A297C">
                          <w:rPr>
                            <w:rFonts w:asciiTheme="minorHAnsi" w:eastAsia="Calibri" w:hAnsiTheme="minorHAnsi"/>
                            <w:iCs/>
                            <w:sz w:val="18"/>
                            <w:szCs w:val="18"/>
                          </w:rPr>
                          <w:t>-0</w:t>
                        </w:r>
                        <w:r>
                          <w:rPr>
                            <w:rFonts w:asciiTheme="minorHAnsi" w:eastAsia="Calibri" w:hAnsiTheme="minorHAnsi"/>
                            <w:iCs/>
                            <w:sz w:val="18"/>
                            <w:szCs w:val="18"/>
                          </w:rPr>
                          <w:t>9</w:t>
                        </w:r>
                      </w:p>
                    </w:txbxContent>
                  </v:textbox>
                </v:shape>
                <v:shape id="Text Box 11" o:spid="_x0000_s1096" type="#_x0000_t202" style="position:absolute;left:16205;top:23554;width:609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513719" w:rsidRPr="001A297C" w:rsidRDefault="00513719" w:rsidP="007A2FE5">
                        <w:pPr>
                          <w:pStyle w:val="NormalWeb"/>
                          <w:spacing w:before="0" w:after="200" w:line="276" w:lineRule="auto"/>
                          <w:jc w:val="center"/>
                          <w:rPr>
                            <w:rFonts w:asciiTheme="minorHAnsi" w:hAnsiTheme="minorHAnsi"/>
                          </w:rPr>
                        </w:pPr>
                        <w:r w:rsidRPr="001A297C">
                          <w:rPr>
                            <w:rFonts w:asciiTheme="minorHAnsi" w:eastAsia="Calibri" w:hAnsiTheme="minorHAnsi"/>
                            <w:sz w:val="18"/>
                            <w:szCs w:val="18"/>
                          </w:rPr>
                          <w:t>20</w:t>
                        </w:r>
                        <w:r>
                          <w:rPr>
                            <w:rFonts w:asciiTheme="minorHAnsi" w:eastAsia="Calibri" w:hAnsiTheme="minorHAnsi"/>
                            <w:sz w:val="18"/>
                            <w:szCs w:val="18"/>
                          </w:rPr>
                          <w:t>11</w:t>
                        </w:r>
                        <w:r w:rsidRPr="001A297C">
                          <w:rPr>
                            <w:rFonts w:asciiTheme="minorHAnsi" w:eastAsia="Calibri" w:hAnsiTheme="minorHAnsi"/>
                            <w:sz w:val="18"/>
                            <w:szCs w:val="18"/>
                          </w:rPr>
                          <w:t>-1</w:t>
                        </w:r>
                        <w:r>
                          <w:rPr>
                            <w:rFonts w:asciiTheme="minorHAnsi" w:eastAsia="Calibri" w:hAnsiTheme="minorHAnsi"/>
                            <w:sz w:val="18"/>
                            <w:szCs w:val="18"/>
                          </w:rPr>
                          <w:t>2</w:t>
                        </w:r>
                      </w:p>
                    </w:txbxContent>
                  </v:textbox>
                </v:shape>
                <v:shape id="Text Box 11" o:spid="_x0000_s1097" type="#_x0000_t202" style="position:absolute;left:22413;top:23622;width:711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513719" w:rsidRPr="001A297C" w:rsidRDefault="00513719" w:rsidP="007A2FE5">
                        <w:pPr>
                          <w:pStyle w:val="NormalWeb"/>
                          <w:spacing w:before="0" w:after="200" w:line="276" w:lineRule="auto"/>
                          <w:jc w:val="center"/>
                          <w:rPr>
                            <w:rFonts w:asciiTheme="minorHAnsi" w:hAnsiTheme="minorHAnsi"/>
                          </w:rPr>
                        </w:pPr>
                        <w:r>
                          <w:rPr>
                            <w:rFonts w:asciiTheme="minorHAnsi" w:eastAsia="Calibri" w:hAnsiTheme="minorHAnsi"/>
                            <w:sz w:val="18"/>
                            <w:szCs w:val="18"/>
                          </w:rPr>
                          <w:t>2012-13131313</w:t>
                        </w:r>
                      </w:p>
                    </w:txbxContent>
                  </v:textbox>
                </v:shape>
                <v:shape id="Text Box 11" o:spid="_x0000_s1098" type="#_x0000_t202" style="position:absolute;left:28881;top:23624;width:607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513719" w:rsidRPr="001A297C" w:rsidRDefault="00513719" w:rsidP="007A2FE5">
                        <w:pPr>
                          <w:pStyle w:val="NormalWeb"/>
                          <w:spacing w:before="0" w:after="200" w:line="276" w:lineRule="auto"/>
                          <w:jc w:val="center"/>
                          <w:rPr>
                            <w:rFonts w:asciiTheme="minorHAnsi" w:hAnsiTheme="minorHAnsi"/>
                          </w:rPr>
                        </w:pPr>
                        <w:r w:rsidRPr="001A297C">
                          <w:rPr>
                            <w:rFonts w:asciiTheme="minorHAnsi" w:eastAsia="Calibri" w:hAnsiTheme="minorHAnsi"/>
                            <w:sz w:val="18"/>
                            <w:szCs w:val="18"/>
                          </w:rPr>
                          <w:t>201</w:t>
                        </w:r>
                        <w:r>
                          <w:rPr>
                            <w:rFonts w:asciiTheme="minorHAnsi" w:eastAsia="Calibri" w:hAnsiTheme="minorHAnsi"/>
                            <w:sz w:val="18"/>
                            <w:szCs w:val="18"/>
                          </w:rPr>
                          <w:t>3</w:t>
                        </w:r>
                        <w:r w:rsidRPr="001A297C">
                          <w:rPr>
                            <w:rFonts w:asciiTheme="minorHAnsi" w:eastAsia="Calibri" w:hAnsiTheme="minorHAnsi"/>
                            <w:sz w:val="18"/>
                            <w:szCs w:val="18"/>
                          </w:rPr>
                          <w:t>-</w:t>
                        </w:r>
                        <w:r>
                          <w:rPr>
                            <w:rFonts w:asciiTheme="minorHAnsi" w:eastAsia="Calibri" w:hAnsiTheme="minorHAnsi"/>
                            <w:sz w:val="18"/>
                            <w:szCs w:val="18"/>
                          </w:rPr>
                          <w:t>1414</w:t>
                        </w:r>
                        <w:r w:rsidRPr="001A297C">
                          <w:rPr>
                            <w:rFonts w:asciiTheme="minorHAnsi" w:eastAsia="Calibri" w:hAnsiTheme="minorHAnsi"/>
                            <w:sz w:val="18"/>
                            <w:szCs w:val="18"/>
                          </w:rPr>
                          <w:t>1</w:t>
                        </w:r>
                        <w:r>
                          <w:rPr>
                            <w:rFonts w:asciiTheme="minorHAnsi" w:eastAsia="Calibri" w:hAnsiTheme="minorHAnsi"/>
                            <w:sz w:val="18"/>
                            <w:szCs w:val="18"/>
                          </w:rPr>
                          <w:t>3</w:t>
                        </w:r>
                      </w:p>
                    </w:txbxContent>
                  </v:textbox>
                </v:shape>
                <v:shape id="Text Box 11" o:spid="_x0000_s1099" type="#_x0000_t202" style="position:absolute;left:35248;top:23590;width:6077;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513719" w:rsidRPr="001A297C" w:rsidRDefault="00513719" w:rsidP="007A2FE5">
                        <w:pPr>
                          <w:pStyle w:val="NormalWeb"/>
                          <w:spacing w:before="0" w:after="200" w:line="276" w:lineRule="auto"/>
                          <w:jc w:val="center"/>
                          <w:rPr>
                            <w:rFonts w:asciiTheme="minorHAnsi" w:hAnsiTheme="minorHAnsi"/>
                          </w:rPr>
                        </w:pPr>
                        <w:r w:rsidRPr="001A297C">
                          <w:rPr>
                            <w:rFonts w:asciiTheme="minorHAnsi" w:eastAsia="Calibri" w:hAnsiTheme="minorHAnsi"/>
                            <w:sz w:val="18"/>
                            <w:szCs w:val="18"/>
                          </w:rPr>
                          <w:t>20</w:t>
                        </w:r>
                        <w:r>
                          <w:rPr>
                            <w:rFonts w:asciiTheme="minorHAnsi" w:eastAsia="Calibri" w:hAnsiTheme="minorHAnsi"/>
                            <w:sz w:val="18"/>
                            <w:szCs w:val="18"/>
                          </w:rPr>
                          <w:t>14-</w:t>
                        </w:r>
                        <w:r w:rsidRPr="001A297C">
                          <w:rPr>
                            <w:rFonts w:asciiTheme="minorHAnsi" w:eastAsia="Calibri" w:hAnsiTheme="minorHAnsi"/>
                            <w:sz w:val="18"/>
                            <w:szCs w:val="18"/>
                          </w:rPr>
                          <w:t>1</w:t>
                        </w:r>
                        <w:r>
                          <w:rPr>
                            <w:rFonts w:asciiTheme="minorHAnsi" w:eastAsia="Calibri" w:hAnsiTheme="minorHAnsi"/>
                            <w:sz w:val="18"/>
                            <w:szCs w:val="18"/>
                          </w:rPr>
                          <w:t>4</w:t>
                        </w:r>
                        <w:r w:rsidRPr="001A297C">
                          <w:rPr>
                            <w:rFonts w:asciiTheme="minorHAnsi" w:eastAsia="Calibri" w:hAnsiTheme="minorHAnsi"/>
                            <w:sz w:val="18"/>
                            <w:szCs w:val="18"/>
                          </w:rPr>
                          <w:t>-1</w:t>
                        </w:r>
                        <w:r>
                          <w:rPr>
                            <w:rFonts w:asciiTheme="minorHAnsi" w:eastAsia="Calibri" w:hAnsiTheme="minorHAnsi"/>
                            <w:sz w:val="18"/>
                            <w:szCs w:val="18"/>
                          </w:rPr>
                          <w:t>4</w:t>
                        </w:r>
                      </w:p>
                    </w:txbxContent>
                  </v:textbox>
                </v:shape>
                <v:shape id="Text Box 11" o:spid="_x0000_s1100" type="#_x0000_t202" style="position:absolute;left:41125;top:23496;width:607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513719" w:rsidRPr="001A297C" w:rsidRDefault="00513719" w:rsidP="007A2FE5">
                        <w:pPr>
                          <w:pStyle w:val="NormalWeb"/>
                          <w:spacing w:before="0" w:after="200" w:line="276" w:lineRule="auto"/>
                          <w:jc w:val="center"/>
                          <w:rPr>
                            <w:rFonts w:asciiTheme="minorHAnsi" w:hAnsiTheme="minorHAnsi"/>
                          </w:rPr>
                        </w:pPr>
                        <w:r>
                          <w:rPr>
                            <w:rFonts w:asciiTheme="minorHAnsi" w:eastAsia="Calibri" w:hAnsiTheme="minorHAnsi"/>
                            <w:sz w:val="18"/>
                            <w:szCs w:val="18"/>
                          </w:rPr>
                          <w:t>2015-1616</w:t>
                        </w:r>
                      </w:p>
                    </w:txbxContent>
                  </v:textbox>
                </v:shape>
                <v:shape id="Text Box 11" o:spid="_x0000_s1101" type="#_x0000_t202" style="position:absolute;left:2228;top:3875;width:972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513719" w:rsidRPr="001A297C" w:rsidRDefault="00513719" w:rsidP="007A2FE5">
                        <w:pPr>
                          <w:pStyle w:val="NormalWeb"/>
                          <w:spacing w:before="0" w:after="200" w:line="276" w:lineRule="auto"/>
                          <w:rPr>
                            <w:rFonts w:asciiTheme="minorHAnsi" w:hAnsiTheme="minorHAnsi"/>
                            <w:sz w:val="16"/>
                            <w:szCs w:val="16"/>
                          </w:rPr>
                        </w:pPr>
                        <w:r w:rsidRPr="001A297C">
                          <w:rPr>
                            <w:rFonts w:asciiTheme="minorHAnsi" w:eastAsia="Calibri" w:hAnsiTheme="minorHAnsi"/>
                            <w:sz w:val="16"/>
                            <w:szCs w:val="16"/>
                          </w:rPr>
                          <w:t>Actual costs</w:t>
                        </w:r>
                      </w:p>
                    </w:txbxContent>
                  </v:textbox>
                </v:shape>
                <v:rect id="Rectangle 51" o:spid="_x0000_s1102" style="position:absolute;left:771;top:4304;width:1657;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cMUA&#10;AADbAAAADwAAAGRycy9kb3ducmV2LnhtbESPQWvCQBSE74X+h+UJvRTdNNISo6uEFkGkWqpevD2y&#10;zyQ0+zZkNyb++25B6HGYmW+YxWowtbhS6yrLCl4mEQji3OqKCwWn43qcgHAeWWNtmRTcyMFq+fiw&#10;wFTbnr/pevCFCBB2KSoovW9SKV1ekkE3sQ1x8C62NeiDbAupW+wD3NQyjqI3abDisFBiQ+8l5T+H&#10;zihwhNluet5vPxPPs2mye/7af3RKPY2GbA7C0+D/w/f2Rit4jeH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5wxQAAANsAAAAPAAAAAAAAAAAAAAAAAJgCAABkcnMv&#10;ZG93bnJldi54bWxQSwUGAAAAAAQABAD1AAAAigMAAAAA&#10;" fillcolor="#77933c" strokecolor="#4f6228" strokeweight="1pt">
                  <v:textbox>
                    <w:txbxContent>
                      <w:p w:rsidR="00513719" w:rsidRDefault="00513719" w:rsidP="007A2FE5"/>
                    </w:txbxContent>
                  </v:textbox>
                </v:rect>
                <v:rect id="Rectangle 52" o:spid="_x0000_s1103" style="position:absolute;left:720;top:6498;width:1657;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uA8QA&#10;AADbAAAADwAAAGRycy9kb3ducmV2LnhtbESP3YrCMBSE7xd8h3AEbxZN1dWVrlFErBS88ucBzjZn&#10;22JzUppY69sbQdjLYWa+YZbrzlSipcaVlhWMRxEI4szqknMFl3MyXIBwHlljZZkUPMjBetX7WGKs&#10;7Z2P1J58LgKEXYwKCu/rWEqXFWTQjWxNHLw/2xj0QTa51A3eA9xUchJFc2mw5LBQYE3bgrLr6WYU&#10;0GeaPjbJYTv9/lrs6XfXXpJZq9Sg321+QHjq/H/43U61gtkUXl/C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bgPEAAAA2wAAAA8AAAAAAAAAAAAAAAAAmAIAAGRycy9k&#10;b3ducmV2LnhtbFBLBQYAAAAABAAEAPUAAACJAwAAAAA=&#10;" fillcolor="#c3d69b" strokecolor="#4f6228" strokeweight="1pt">
                  <v:textbox>
                    <w:txbxContent>
                      <w:p w:rsidR="00513719" w:rsidRDefault="00513719" w:rsidP="007A2FE5">
                        <w:pPr>
                          <w:pStyle w:val="NormalWeb"/>
                          <w:spacing w:before="0" w:after="200" w:line="276" w:lineRule="auto"/>
                        </w:pPr>
                        <w:r>
                          <w:rPr>
                            <w:sz w:val="22"/>
                            <w:szCs w:val="22"/>
                          </w:rPr>
                          <w:t> </w:t>
                        </w:r>
                      </w:p>
                    </w:txbxContent>
                  </v:textbox>
                </v:rect>
                <v:shape id="Text Box 11" o:spid="_x0000_s1104" type="#_x0000_t202" style="position:absolute;left:4133;top:25999;width:6039;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513719" w:rsidRPr="00490D61" w:rsidRDefault="00513719" w:rsidP="007A2FE5">
                        <w:pPr>
                          <w:pStyle w:val="NormalWeb"/>
                          <w:spacing w:before="0" w:after="200" w:line="276" w:lineRule="auto"/>
                          <w:jc w:val="center"/>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2006-07</w:t>
                        </w:r>
                        <w:proofErr w:type="gramEnd"/>
                      </w:p>
                    </w:txbxContent>
                  </v:textbox>
                </v:shape>
                <v:shape id="Text Box 11" o:spid="_x0000_s1105" type="#_x0000_t202" style="position:absolute;left:15967;top:25942;width:603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513719" w:rsidRPr="00490D61" w:rsidRDefault="00513719" w:rsidP="007A2FE5">
                        <w:pPr>
                          <w:pStyle w:val="NormalWeb"/>
                          <w:spacing w:before="0" w:after="200" w:line="276" w:lineRule="auto"/>
                          <w:jc w:val="center"/>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2009-10</w:t>
                        </w:r>
                        <w:proofErr w:type="gramEnd"/>
                      </w:p>
                    </w:txbxContent>
                  </v:textbox>
                </v:shape>
                <v:shape id="Text Box 11" o:spid="_x0000_s1106" type="#_x0000_t202" style="position:absolute;left:22413;top:25989;width:6039;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513719" w:rsidRPr="00490D61" w:rsidRDefault="00513719" w:rsidP="007A2FE5">
                        <w:pPr>
                          <w:pStyle w:val="NormalWeb"/>
                          <w:spacing w:before="0" w:after="200" w:line="276" w:lineRule="auto"/>
                          <w:jc w:val="center"/>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2010-11</w:t>
                        </w:r>
                        <w:proofErr w:type="gramEnd"/>
                      </w:p>
                    </w:txbxContent>
                  </v:textbox>
                </v:shape>
                <v:shape id="Text Box 11" o:spid="_x0000_s1107" type="#_x0000_t202" style="position:absolute;left:30283;top:26132;width:337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513719" w:rsidRPr="00490D61" w:rsidRDefault="00513719" w:rsidP="007A2FE5">
                        <w:pPr>
                          <w:pStyle w:val="NormalWeb"/>
                          <w:spacing w:before="0" w:after="200" w:line="276" w:lineRule="auto"/>
                          <w:jc w:val="center"/>
                          <w:rPr>
                            <w:rFonts w:asciiTheme="minorHAnsi" w:hAnsiTheme="minorHAnsi"/>
                          </w:rPr>
                        </w:pPr>
                        <w:proofErr w:type="gramStart"/>
                        <w:r>
                          <w:rPr>
                            <w:rFonts w:asciiTheme="minorHAnsi" w:eastAsia="Calibri" w:hAnsiTheme="minorHAnsi"/>
                            <w:i/>
                            <w:iCs/>
                            <w:sz w:val="22"/>
                            <w:szCs w:val="22"/>
                          </w:rPr>
                          <w:t>s</w:t>
                        </w:r>
                        <w:proofErr w:type="gramEnd"/>
                      </w:p>
                    </w:txbxContent>
                  </v:textbox>
                </v:shape>
                <v:shape id="Straight Arrow Connector 81" o:spid="_x0000_s1108" type="#_x0000_t32" style="position:absolute;left:21152;top:27432;width:2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Zgt8QAAADbAAAADwAAAGRycy9kb3ducmV2LnhtbESPQWvCQBSE70L/w/IKvemmlkpIXaVK&#10;K4IImrb3R/aZRLNvw+6qsb/eFQSPw8x8w4ynnWnEiZyvLSt4HSQgiAuray4V/P5891MQPiBrbCyT&#10;ggt5mE6eemPMtD3zlk55KEWEsM9QQRVCm0npi4oM+oFtiaO3s85giNKVUjs8R7hp5DBJRtJgzXGh&#10;wpbmFRWH/GgU2NnuqP/e7Sx16yL/2sj9ZbX4V+rlufv8ABGoC4/wvb3UCtI3uH2JP0B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mC3xAAAANsAAAAPAAAAAAAAAAAA&#10;AAAAAKECAABkcnMvZG93bnJldi54bWxQSwUGAAAAAAQABAD5AAAAkgMAAAAA&#10;" strokecolor="windowText">
                  <v:stroke endarrow="open"/>
                </v:shape>
                <v:shape id="Straight Arrow Connector 82" o:spid="_x0000_s1109" type="#_x0000_t32" style="position:absolute;left:27844;top:27517;width:2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4w8QAAADbAAAADwAAAGRycy9kb3ducmV2LnhtbESPQWvCQBSE70L/w/IKvemm0kpIXaVK&#10;K4IImrb3R/aZRLNvw+6qsb/eFQSPw8x8w4ynnWnEiZyvLSt4HSQgiAuray4V/P5891MQPiBrbCyT&#10;ggt5mE6eemPMtD3zlk55KEWEsM9QQRVCm0npi4oM+oFtiaO3s85giNKVUjs8R7hp5DBJRtJgzXGh&#10;wpbmFRWH/GgU2NnuqP/e7Sx16yL/2sj9ZbX4V+rlufv8ABGoC4/wvb3UCtI3uH2JP0B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jDxAAAANsAAAAPAAAAAAAAAAAA&#10;AAAAAKECAABkcnMvZG93bnJldi54bWxQSwUGAAAAAAQABAD5AAAAkgMAAAAA&#10;" strokecolor="windowText">
                  <v:stroke endarrow="open"/>
                </v:shape>
                <v:shape id="Straight Arrow Connector 83" o:spid="_x0000_s1110" type="#_x0000_t32" style="position:absolute;left:33959;top:27432;width:2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dWMQAAADbAAAADwAAAGRycy9kb3ducmV2LnhtbESP3WoCMRSE74W+QzgF7zRbwbJszUot&#10;tghFsNv2/rA5+9NuTpYk6urTG0HwcpiZb5jFcjCdOJDzrWUFT9MEBHFpdcu1gp/v90kKwgdkjZ1l&#10;UnAiD8v8YbTATNsjf9GhCLWIEPYZKmhC6DMpfdmQQT+1PXH0KusMhihdLbXDY4SbTs6S5FkabDku&#10;NNjTW0Plf7E3Cuyq2uvfuV2lblsW6538O31+nJUaPw6vLyACDeEevrU3WkE6h+uX+A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11YxAAAANsAAAAPAAAAAAAAAAAA&#10;AAAAAKECAABkcnMvZG93bnJldi54bWxQSwUGAAAAAAQABAD5AAAAkgMAAAAA&#10;" strokecolor="windowText">
                  <v:stroke endarrow="open"/>
                </v:shape>
                <v:shape id="Straight Arrow Connector 84" o:spid="_x0000_s1111" type="#_x0000_t32" style="position:absolute;left:40369;top:27422;width:2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DL8MAAADbAAAADwAAAGRycy9kb3ducmV2LnhtbESPQWvCQBSE70L/w/IEb7qxoITUVWqp&#10;Iohg0/b+yD6TtNm3YXfV6K93BcHjMDPfMLNFZxpxIudrywrGowQEcWF1zaWCn+/VMAXhA7LGxjIp&#10;uJCHxfylN8NM2zN/0SkPpYgQ9hkqqEJoMyl9UZFBP7ItcfQO1hkMUbpSaofnCDeNfE2SqTRYc1yo&#10;sKWPior//GgU2OXhqH8ndpm6XZF/7uXfZbu+KjXod+9vIAJ14Rl+tDdaQTqF+5f4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wy/DAAAA2wAAAA8AAAAAAAAAAAAA&#10;AAAAoQIAAGRycy9kb3ducmV2LnhtbFBLBQYAAAAABAAEAPkAAACRAwAAAAA=&#10;" strokecolor="windowText">
                  <v:stroke endarrow="open"/>
                </v:shape>
                <v:shape id="Straight Arrow Connector 85" o:spid="_x0000_s1112" type="#_x0000_t32" style="position:absolute;left:9763;top:27517;width:22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mtMQAAADbAAAADwAAAGRycy9kb3ducmV2LnhtbESPQWvCQBSE70L/w/IKvemmQmtIXaVK&#10;K4IImrb3R/aZRLNvw+6qsb/eFQSPw8x8w4ynnWnEiZyvLSt4HSQgiAuray4V/P5891MQPiBrbCyT&#10;ggt5mE6eemPMtD3zlk55KEWEsM9QQRVCm0npi4oM+oFtiaO3s85giNKVUjs8R7hp5DBJ3qXBmuNC&#10;hS3NKyoO+dEosLPdUf+92Vnq1kX+tZH7y2rxr9TLc/f5ASJQFx7he3upFaQjuH2JP0B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Wa0xAAAANsAAAAPAAAAAAAAAAAA&#10;AAAAAKECAABkcnMvZG93bnJldi54bWxQSwUGAAAAAAQABAD5AAAAkgMAAAAA&#10;" strokecolor="windowText">
                  <v:stroke endarrow="open"/>
                </v:shape>
                <v:shape id="Straight Arrow Connector 86" o:spid="_x0000_s1113" type="#_x0000_t32" style="position:absolute;left:14359;top:27517;width:2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yxsEAAADbAAAADwAAAGRycy9kb3ducmV2LnhtbERPXWvCMBR9H+w/hDvwbU03cJRqWnRM&#10;GYyB6/T90lzbanNTkqh1v355EHw8nO95OZpenMn5zrKClyQFQVxb3XGjYPu7es5A+ICssbdMCq7k&#10;oSweH+aYa3vhHzpXoRExhH2OCtoQhlxKX7dk0Cd2II7c3jqDIULXSO3wEsNNL1/T9E0a7Dg2tDjQ&#10;e0v1sToZBXa5P+nd1C4z911XHxt5uH6t/5SaPI2LGYhAY7iLb+5PrSCLY+OX+AN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vLGwQAAANsAAAAPAAAAAAAAAAAAAAAA&#10;AKECAABkcnMvZG93bnJldi54bWxQSwUGAAAAAAQABAD5AAAAjwMAAAAA&#10;" strokecolor="windowText">
                  <v:stroke endarrow="open"/>
                </v:shape>
                <v:line id="Straight Connector 87" o:spid="_x0000_s1114" style="position:absolute;visibility:visible;mso-wrap-style:square" from="12568,27517" to="13977,2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3A8UAAADbAAAADwAAAGRycy9kb3ducmV2LnhtbESPT2vCQBTE7wW/w/IEb3VjD9ZEVxGh&#10;tEWw+AfF2yP7zIZk34bsVtNv7xYEj8PM/IaZLTpbiyu1vnSsYDRMQBDnTpdcKDjsP14nIHxA1lg7&#10;JgV/5GEx773MMNPuxlu67kIhIoR9hgpMCE0mpc8NWfRD1xBH7+JaiyHKtpC6xVuE21q+JclYWiw5&#10;LhhsaGUor3a/VsE6Ne/7H/zejk5cVcd0czqv/adSg363nIII1IVn+NH+0gomKfx/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O3A8UAAADbAAAADwAAAAAAAAAA&#10;AAAAAAChAgAAZHJzL2Rvd25yZXYueG1sUEsFBgAAAAAEAAQA+QAAAJMDAAAAAA==&#10;" strokecolor="windowText">
                  <v:stroke dashstyle="3 1"/>
                </v:line>
                <v:shape id="Text Box 11" o:spid="_x0000_s1115" type="#_x0000_t202" style="position:absolute;left:2192;top:5547;width:19433;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513719" w:rsidRPr="001A297C" w:rsidRDefault="00513719" w:rsidP="007A2FE5">
                        <w:pPr>
                          <w:pStyle w:val="NormalWeb"/>
                          <w:spacing w:before="0" w:after="200" w:line="276" w:lineRule="auto"/>
                          <w:rPr>
                            <w:rFonts w:asciiTheme="minorHAnsi" w:hAnsiTheme="minorHAnsi"/>
                            <w:sz w:val="16"/>
                            <w:szCs w:val="16"/>
                          </w:rPr>
                        </w:pPr>
                        <w:r w:rsidRPr="001A297C">
                          <w:rPr>
                            <w:rFonts w:asciiTheme="minorHAnsi" w:eastAsia="Calibri" w:hAnsiTheme="minorHAnsi"/>
                            <w:sz w:val="16"/>
                            <w:szCs w:val="16"/>
                          </w:rPr>
                          <w:t xml:space="preserve">Model costs derived by applying </w:t>
                        </w:r>
                        <w:r>
                          <w:rPr>
                            <w:rFonts w:asciiTheme="minorHAnsi" w:eastAsia="Calibri" w:hAnsiTheme="minorHAnsi"/>
                            <w:sz w:val="16"/>
                            <w:szCs w:val="16"/>
                          </w:rPr>
                          <w:t>2012-13</w:t>
                        </w:r>
                        <w:r w:rsidRPr="001A297C">
                          <w:rPr>
                            <w:rFonts w:asciiTheme="minorHAnsi" w:eastAsia="Calibri" w:hAnsiTheme="minorHAnsi"/>
                            <w:sz w:val="16"/>
                            <w:szCs w:val="16"/>
                          </w:rPr>
                          <w:t xml:space="preserve"> cost </w:t>
                        </w:r>
                        <w:proofErr w:type="gramStart"/>
                        <w:r w:rsidRPr="001A297C">
                          <w:rPr>
                            <w:rFonts w:asciiTheme="minorHAnsi" w:eastAsia="Calibri" w:hAnsiTheme="minorHAnsi"/>
                            <w:sz w:val="16"/>
                            <w:szCs w:val="16"/>
                          </w:rPr>
                          <w:t>model</w:t>
                        </w:r>
                        <w:proofErr w:type="gramEnd"/>
                        <w:r w:rsidRPr="001A297C">
                          <w:rPr>
                            <w:rFonts w:asciiTheme="minorHAnsi" w:eastAsia="Calibri" w:hAnsiTheme="minorHAnsi"/>
                            <w:sz w:val="16"/>
                            <w:szCs w:val="16"/>
                          </w:rPr>
                          <w:t xml:space="preserve"> to costed activity data</w:t>
                        </w:r>
                      </w:p>
                    </w:txbxContent>
                  </v:textbox>
                </v:shape>
                <v:line id="Straight Connector 89" o:spid="_x0000_s1116" style="position:absolute;flip:y;visibility:visible;mso-wrap-style:square" from="28735,1370" to="28735,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1f8QAAADbAAAADwAAAGRycy9kb3ducmV2LnhtbESPT2vCQBTE7wW/w/KEXopuIvgvdZUq&#10;FXo1FcHbI/vMhmbfhuxqUj+9WxB6HGbmN8xq09ta3Kj1lWMF6TgBQVw4XXGp4Pi9Hy1A+ICssXZM&#10;Cn7Jw2Y9eFlhpl3HB7rloRQRwj5DBSaEJpPSF4Ys+rFriKN3ca3FEGVbSt1iF+G2lpMkmUmLFccF&#10;gw3tDBU/+dUq2L6ZyWd3zbe76UzPT+6enqe4V+p12H+8gwjUh//ws/2lFSxT+PsSf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jV/xAAAANsAAAAPAAAAAAAAAAAA&#10;AAAAAKECAABkcnMvZG93bnJldi54bWxQSwUGAAAAAAQABAD5AAAAkgMAAAAA&#10;" strokecolor="windowText">
                  <v:stroke dashstyle="dash"/>
                </v:line>
                <v:shape id="Straight Arrow Connector 90" o:spid="_x0000_s1117" type="#_x0000_t32" style="position:absolute;left:30262;top:3784;width:76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T8cQAAADbAAAADwAAAGRycy9kb3ducmV2LnhtbESP3WoCMRSE7wt9h3AK3tVsBYtdzYoW&#10;FaEI7VbvD5uzP7o5WZKoa5++EQq9HGbmG2Y2700rLuR8Y1nByzABQVxY3XClYP+9fp6A8AFZY2uZ&#10;FNzIwzx7fJhhqu2Vv+iSh0pECPsUFdQhdKmUvqjJoB/ajjh6pXUGQ5SuktrhNcJNK0dJ8ioNNhwX&#10;auzovabilJ+NArssz/owtsuJ2xX56lMebx+bH6UGT/1iCiJQH/7Df+2tVvA2gvu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1PxxAAAANsAAAAPAAAAAAAAAAAA&#10;AAAAAKECAABkcnMvZG93bnJldi54bWxQSwUGAAAAAAQABAD5AAAAkgMAAAAA&#10;" strokecolor="windowText">
                  <v:stroke endarrow="open"/>
                </v:shape>
                <v:shape id="Text Box 11" o:spid="_x0000_s1118" type="#_x0000_t202" style="position:absolute;left:30511;top:1666;width:677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513719" w:rsidRPr="001A297C" w:rsidRDefault="00513719" w:rsidP="007A2FE5">
                        <w:pPr>
                          <w:pStyle w:val="NormalWeb"/>
                          <w:spacing w:before="0" w:after="200" w:line="276" w:lineRule="auto"/>
                          <w:rPr>
                            <w:rFonts w:asciiTheme="minorHAnsi" w:hAnsiTheme="minorHAnsi"/>
                          </w:rPr>
                        </w:pPr>
                        <w:r w:rsidRPr="001A297C">
                          <w:rPr>
                            <w:rFonts w:asciiTheme="minorHAnsi" w:eastAsia="Calibri" w:hAnsiTheme="minorHAnsi"/>
                            <w:sz w:val="16"/>
                            <w:szCs w:val="16"/>
                          </w:rPr>
                          <w:t>Projected</w:t>
                        </w:r>
                      </w:p>
                    </w:txbxContent>
                  </v:textbox>
                </v:shape>
                <v:shape id="Straight Arrow Connector 92" o:spid="_x0000_s1119" type="#_x0000_t32" style="position:absolute;left:19709;top:3765;width:76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ew8MAAADbAAAADwAAAGRycy9kb3ducmV2LnhtbESPW2sCMRSE34X+h3AKfdOkUrysG0UE&#10;oX1cWwq+HTfHvXRzsm6iu/77plDwcZiZb5h0M9hG3KjzlWMNrxMFgjh3puJCw9fnfrwA4QOywcYx&#10;abiTh836aZRiYlzPGd0OoRARwj5BDWUIbSKlz0uy6CeuJY7e2XUWQ5RdIU2HfYTbRk6VmkmLFceF&#10;ElvalZT/HK5Ww/fFeJrL+pT1VfZxrIeFUstc65fnYbsCEWgIj/B/+91oWL7B35f4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oHsPDAAAA2wAAAA8AAAAAAAAAAAAA&#10;AAAAoQIAAGRycy9kb3ducmV2LnhtbFBLBQYAAAAABAAEAPkAAACRAwAAAAA=&#10;" strokecolor="windowText">
                  <v:stroke startarrow="open"/>
                </v:shape>
                <v:shape id="Text Box 11" o:spid="_x0000_s1120" type="#_x0000_t202" style="position:absolute;left:20766;top:1650;width:728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513719" w:rsidRPr="001A297C" w:rsidRDefault="00513719" w:rsidP="007A2FE5">
                        <w:pPr>
                          <w:pStyle w:val="NormalWeb"/>
                          <w:spacing w:before="0" w:after="200" w:line="276" w:lineRule="auto"/>
                          <w:rPr>
                            <w:rFonts w:asciiTheme="minorHAnsi" w:hAnsiTheme="minorHAnsi"/>
                          </w:rPr>
                        </w:pPr>
                        <w:r w:rsidRPr="001A297C">
                          <w:rPr>
                            <w:rFonts w:asciiTheme="minorHAnsi" w:eastAsia="Calibri" w:hAnsiTheme="minorHAnsi"/>
                            <w:sz w:val="16"/>
                            <w:szCs w:val="16"/>
                          </w:rPr>
                          <w:t>Historical</w:t>
                        </w:r>
                      </w:p>
                    </w:txbxContent>
                  </v:textbox>
                </v:shape>
                <v:shape id="Text Box 11" o:spid="_x0000_s1121" type="#_x0000_t202" style="position:absolute;left:1174;top:13426;width:6039;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513719" w:rsidRPr="00490D61" w:rsidRDefault="00513719" w:rsidP="007A2FE5">
                        <w:pPr>
                          <w:pStyle w:val="NormalWeb"/>
                          <w:spacing w:before="0" w:after="200" w:line="276" w:lineRule="auto"/>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200</w:t>
                        </w:r>
                        <w:r>
                          <w:rPr>
                            <w:rFonts w:asciiTheme="minorHAnsi" w:eastAsia="Calibri" w:hAnsiTheme="minorHAnsi"/>
                            <w:position w:val="-6"/>
                            <w:sz w:val="22"/>
                            <w:szCs w:val="22"/>
                            <w:vertAlign w:val="subscript"/>
                          </w:rPr>
                          <w:t>7</w:t>
                        </w:r>
                        <w:r w:rsidRPr="00490D61">
                          <w:rPr>
                            <w:rFonts w:asciiTheme="minorHAnsi" w:eastAsia="Calibri" w:hAnsiTheme="minorHAnsi"/>
                            <w:position w:val="-6"/>
                            <w:sz w:val="22"/>
                            <w:szCs w:val="22"/>
                            <w:vertAlign w:val="subscript"/>
                          </w:rPr>
                          <w:t>-0</w:t>
                        </w:r>
                        <w:r>
                          <w:rPr>
                            <w:rFonts w:asciiTheme="minorHAnsi" w:eastAsia="Calibri" w:hAnsiTheme="minorHAnsi"/>
                            <w:position w:val="-6"/>
                            <w:sz w:val="22"/>
                            <w:szCs w:val="22"/>
                            <w:vertAlign w:val="subscript"/>
                          </w:rPr>
                          <w:t>8</w:t>
                        </w:r>
                        <w:proofErr w:type="gramEnd"/>
                      </w:p>
                    </w:txbxContent>
                  </v:textbox>
                </v:shape>
                <v:shape id="Text Box 11" o:spid="_x0000_s1122" type="#_x0000_t202" style="position:absolute;left:37029;top:26031;width:3340;height: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513719" w:rsidRPr="00490D61" w:rsidRDefault="00513719" w:rsidP="007A2FE5">
                        <w:pPr>
                          <w:pStyle w:val="NormalWeb"/>
                          <w:spacing w:before="0" w:after="200" w:line="276" w:lineRule="auto"/>
                          <w:rPr>
                            <w:rFonts w:asciiTheme="minorHAnsi" w:hAnsiTheme="minorHAnsi"/>
                            <w:vertAlign w:val="superscript"/>
                          </w:rPr>
                        </w:pPr>
                        <w:r>
                          <w:rPr>
                            <w:rFonts w:asciiTheme="minorHAnsi" w:eastAsia="Calibri" w:hAnsiTheme="minorHAnsi"/>
                            <w:i/>
                            <w:iCs/>
                            <w:position w:val="7"/>
                            <w:sz w:val="22"/>
                            <w:szCs w:val="22"/>
                          </w:rPr>
                          <w:t>s</w:t>
                        </w:r>
                        <w:r w:rsidRPr="00490D61">
                          <w:rPr>
                            <w:rFonts w:asciiTheme="minorHAnsi" w:eastAsia="Calibri" w:hAnsiTheme="minorHAnsi"/>
                            <w:i/>
                            <w:iCs/>
                            <w:position w:val="7"/>
                            <w:sz w:val="22"/>
                            <w:szCs w:val="22"/>
                            <w:vertAlign w:val="superscript"/>
                          </w:rPr>
                          <w:t>2</w:t>
                        </w:r>
                      </w:p>
                    </w:txbxContent>
                  </v:textbox>
                </v:shape>
                <v:shape id="Text Box 11" o:spid="_x0000_s1123" type="#_x0000_t202" style="position:absolute;left:42868;top:25929;width:3340;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rsidR="00513719" w:rsidRPr="00490D61" w:rsidRDefault="00513719" w:rsidP="007A2FE5">
                        <w:pPr>
                          <w:pStyle w:val="NormalWeb"/>
                          <w:spacing w:before="0" w:after="200" w:line="276" w:lineRule="auto"/>
                          <w:rPr>
                            <w:rFonts w:asciiTheme="minorHAnsi" w:hAnsiTheme="minorHAnsi"/>
                            <w:i/>
                            <w:vertAlign w:val="superscript"/>
                          </w:rPr>
                        </w:pPr>
                        <w:r>
                          <w:rPr>
                            <w:rFonts w:asciiTheme="minorHAnsi" w:hAnsiTheme="minorHAnsi"/>
                            <w:i/>
                          </w:rPr>
                          <w:t>s</w:t>
                        </w:r>
                        <w:r w:rsidRPr="00490D61">
                          <w:rPr>
                            <w:rFonts w:asciiTheme="minorHAnsi" w:hAnsiTheme="minorHAnsi"/>
                            <w:i/>
                            <w:vertAlign w:val="superscript"/>
                          </w:rPr>
                          <w:t>3</w:t>
                        </w:r>
                      </w:p>
                    </w:txbxContent>
                  </v:textbox>
                </v:shape>
                <v:shape id="Text Box 11" o:spid="_x0000_s1124" type="#_x0000_t202" style="position:absolute;left:212;top:8228;width:3299;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513719" w:rsidRPr="00490D61" w:rsidRDefault="00513719" w:rsidP="007A2FE5">
                        <w:pPr>
                          <w:pStyle w:val="NormalWeb"/>
                          <w:spacing w:before="0" w:after="200" w:line="276" w:lineRule="auto"/>
                          <w:rPr>
                            <w:rFonts w:asciiTheme="minorHAnsi" w:hAnsiTheme="minorHAnsi"/>
                          </w:rPr>
                        </w:pPr>
                        <w:proofErr w:type="gramStart"/>
                        <w:r>
                          <w:rPr>
                            <w:rFonts w:asciiTheme="minorHAnsi" w:eastAsia="Calibri" w:hAnsiTheme="minorHAnsi"/>
                            <w:i/>
                            <w:iCs/>
                            <w:sz w:val="22"/>
                            <w:szCs w:val="22"/>
                          </w:rPr>
                          <w:t>s</w:t>
                        </w:r>
                        <w:r w:rsidRPr="00490D61">
                          <w:rPr>
                            <w:rFonts w:asciiTheme="minorHAnsi" w:eastAsia="Calibri" w:hAnsiTheme="minorHAnsi"/>
                            <w:position w:val="-6"/>
                            <w:sz w:val="22"/>
                            <w:szCs w:val="22"/>
                            <w:vertAlign w:val="subscript"/>
                          </w:rPr>
                          <w:t>x</w:t>
                        </w:r>
                        <w:proofErr w:type="gramEnd"/>
                      </w:p>
                    </w:txbxContent>
                  </v:textbox>
                </v:shape>
                <v:shape id="Text Box 11" o:spid="_x0000_s1125" type="#_x0000_t202" style="position:absolute;left:2019;top:8488;width:19431;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513719" w:rsidRPr="002A19E2" w:rsidRDefault="00513719" w:rsidP="007A2FE5">
                        <w:pPr>
                          <w:pStyle w:val="NormalWeb"/>
                          <w:spacing w:before="0" w:after="200" w:line="276" w:lineRule="auto"/>
                          <w:rPr>
                            <w:rFonts w:asciiTheme="minorHAnsi" w:hAnsiTheme="minorHAnsi"/>
                          </w:rPr>
                        </w:pPr>
                        <w:r>
                          <w:rPr>
                            <w:rFonts w:asciiTheme="minorHAnsi" w:eastAsia="Calibri" w:hAnsiTheme="minorHAnsi"/>
                            <w:sz w:val="16"/>
                            <w:szCs w:val="16"/>
                          </w:rPr>
                          <w:t xml:space="preserve">Scaling factor required to equalise </w:t>
                        </w:r>
                        <w:r w:rsidRPr="002A19E2">
                          <w:rPr>
                            <w:rFonts w:asciiTheme="minorHAnsi" w:eastAsia="Calibri" w:hAnsiTheme="minorHAnsi"/>
                            <w:sz w:val="16"/>
                            <w:szCs w:val="16"/>
                          </w:rPr>
                          <w:t xml:space="preserve">model </w:t>
                        </w:r>
                        <w:r>
                          <w:rPr>
                            <w:rFonts w:asciiTheme="minorHAnsi" w:eastAsia="Calibri" w:hAnsiTheme="minorHAnsi"/>
                            <w:sz w:val="16"/>
                            <w:szCs w:val="16"/>
                          </w:rPr>
                          <w:t>costs with actual costs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1" o:spid="_x0000_s1126" type="#_x0000_t87" style="position:absolute;left:14647;top:18998;width:2726;height:221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eMIA&#10;AADcAAAADwAAAGRycy9kb3ducmV2LnhtbERPTWvCQBC9F/wPywje6iZKg6SuUlOE5taq9DxmxyQ1&#10;Oxt2tyb9991Cwds83uest6PpxI2cby0rSOcJCOLK6pZrBafj/nEFwgdkjZ1lUvBDHrabycMac20H&#10;/qDbIdQihrDPUUETQp9L6auGDPq57Ykjd7HOYIjQ1VI7HGK46eQiSTJpsOXY0GBPRUPV9fBtFLx/&#10;cnm9rL6K0bnsXJ7L7nX3lCo1m44vzyACjeEu/ne/6Th/uYS/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414wgAAANwAAAAPAAAAAAAAAAAAAAAAAJgCAABkcnMvZG93&#10;bnJldi54bWxQSwUGAAAAAAQABAD1AAAAhwMAAAAA&#10;" adj="221" strokecolor="windowText"/>
                <v:shape id="Left Brace 132" o:spid="_x0000_s1127" type="#_x0000_t87" style="position:absolute;left:36529;top:23236;width:2724;height:137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N7cEA&#10;AADcAAAADwAAAGRycy9kb3ducmV2LnhtbERP32vCMBB+H/g/hBN8m6k6hlSjiCCIjI12A1+P5kyr&#10;zaUkqXb//TIY7O0+vp+33g62FXfyoXGsYDbNQBBXTjdsFHx9Hp6XIEJE1tg6JgXfFGC7GT2tMdfu&#10;wQXdy2hECuGQo4I6xi6XMlQ1WQxT1xEn7uK8xZigN1J7fKRw28p5lr1Kiw2nhho72tdU3creKnj7&#10;uHSFeTf99Xwqe+OL5clxpdRkPOxWICIN8V/85z7qNH/xA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MDe3BAAAA3AAAAA8AAAAAAAAAAAAAAAAAmAIAAGRycy9kb3du&#10;cmV2LnhtbFBLBQYAAAAABAAEAPUAAACGAwAAAAA=&#10;" adj="358" strokecolor="windowText">
                  <v:textbox>
                    <w:txbxContent>
                      <w:p w:rsidR="00513719" w:rsidRDefault="00513719" w:rsidP="007A2FE5"/>
                    </w:txbxContent>
                  </v:textbox>
                </v:shape>
                <v:shape id="Text Box 11" o:spid="_x0000_s1128" type="#_x0000_t202" style="position:absolute;left:12388;top:30968;width:7359;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rsidR="00513719" w:rsidRPr="00D8224F" w:rsidRDefault="00513719" w:rsidP="007A2FE5">
                        <w:pPr>
                          <w:pStyle w:val="NormalWeb"/>
                          <w:spacing w:before="0" w:after="200" w:line="276" w:lineRule="auto"/>
                          <w:jc w:val="center"/>
                          <w:rPr>
                            <w:rFonts w:asciiTheme="minorHAnsi" w:hAnsiTheme="minorHAnsi"/>
                          </w:rPr>
                        </w:pPr>
                        <w:r>
                          <w:rPr>
                            <w:rFonts w:asciiTheme="minorHAnsi" w:eastAsia="Calibri" w:hAnsiTheme="minorHAnsi"/>
                            <w:sz w:val="16"/>
                            <w:szCs w:val="16"/>
                          </w:rPr>
                          <w:t>Time series</w:t>
                        </w:r>
                      </w:p>
                    </w:txbxContent>
                  </v:textbox>
                </v:shape>
                <v:shape id="Text Box 11" o:spid="_x0000_s1129" type="#_x0000_t202" style="position:absolute;left:30811;top:31075;width:1418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513719" w:rsidRPr="00D8224F" w:rsidRDefault="00513719" w:rsidP="007A2FE5">
                        <w:pPr>
                          <w:pStyle w:val="NormalWeb"/>
                          <w:spacing w:before="0" w:after="200" w:line="276" w:lineRule="auto"/>
                          <w:jc w:val="center"/>
                          <w:rPr>
                            <w:rFonts w:asciiTheme="minorHAnsi" w:hAnsiTheme="minorHAnsi"/>
                          </w:rPr>
                        </w:pPr>
                        <w:r>
                          <w:rPr>
                            <w:rFonts w:asciiTheme="minorHAnsi" w:eastAsia="Calibri" w:hAnsiTheme="minorHAnsi"/>
                            <w:sz w:val="16"/>
                            <w:szCs w:val="16"/>
                          </w:rPr>
                          <w:t>Projection of t</w:t>
                        </w:r>
                        <w:r w:rsidRPr="00D8224F">
                          <w:rPr>
                            <w:rFonts w:asciiTheme="minorHAnsi" w:eastAsia="Calibri" w:hAnsiTheme="minorHAnsi"/>
                            <w:sz w:val="16"/>
                            <w:szCs w:val="16"/>
                          </w:rPr>
                          <w:t>ime series</w:t>
                        </w:r>
                      </w:p>
                    </w:txbxContent>
                  </v:textbox>
                </v:shape>
                <w10:anchorlock/>
              </v:group>
            </w:pict>
          </mc:Fallback>
        </mc:AlternateContent>
      </w:r>
    </w:p>
    <w:p w:rsidR="00374D3A" w:rsidRDefault="00374D3A">
      <w:pPr>
        <w:spacing w:after="200" w:line="276" w:lineRule="auto"/>
        <w:rPr>
          <w:rFonts w:ascii="Calibri" w:eastAsia="Calibri" w:hAnsi="Calibri"/>
          <w:sz w:val="24"/>
          <w:szCs w:val="24"/>
        </w:rPr>
      </w:pPr>
      <w:r>
        <w:rPr>
          <w:rFonts w:ascii="Calibri" w:eastAsia="Calibri" w:hAnsi="Calibri"/>
          <w:sz w:val="24"/>
          <w:szCs w:val="24"/>
        </w:rPr>
        <w:br w:type="page"/>
      </w:r>
    </w:p>
    <w:p w:rsidR="00460371" w:rsidRPr="00767441" w:rsidRDefault="00460371" w:rsidP="009B622C">
      <w:pPr>
        <w:spacing w:before="240" w:after="200" w:line="276" w:lineRule="auto"/>
        <w:rPr>
          <w:rFonts w:ascii="Calibri" w:eastAsia="Calibri" w:hAnsi="Calibri"/>
          <w:sz w:val="24"/>
          <w:szCs w:val="24"/>
        </w:rPr>
      </w:pPr>
      <w:r w:rsidRPr="00767441">
        <w:rPr>
          <w:rFonts w:ascii="Calibri" w:eastAsia="Calibri" w:hAnsi="Calibri"/>
          <w:sz w:val="24"/>
          <w:szCs w:val="24"/>
        </w:rPr>
        <w:t>Denoting the historical total actual costs of the activity by</w:t>
      </w:r>
    </w:p>
    <w:p w:rsidR="00460371" w:rsidRPr="00767441" w:rsidRDefault="00460371" w:rsidP="00AD4FFC">
      <w:pPr>
        <w:spacing w:before="100" w:beforeAutospacing="1" w:after="100" w:afterAutospacing="1"/>
        <w:jc w:val="center"/>
        <w:rPr>
          <w:rFonts w:ascii="Calibri" w:eastAsia="Calibri" w:hAnsi="Calibri"/>
          <w:sz w:val="24"/>
          <w:szCs w:val="24"/>
        </w:rPr>
      </w:pPr>
      <w:r w:rsidRPr="00767441">
        <w:rPr>
          <w:rFonts w:ascii="Calibri" w:eastAsia="Calibri" w:hAnsi="Calibri"/>
          <w:i/>
          <w:sz w:val="24"/>
          <w:szCs w:val="24"/>
        </w:rPr>
        <w:t>C</w:t>
      </w:r>
      <w:r w:rsidR="006823F9">
        <w:rPr>
          <w:rFonts w:ascii="Calibri" w:eastAsia="Calibri" w:hAnsi="Calibri"/>
          <w:sz w:val="24"/>
          <w:szCs w:val="24"/>
          <w:vertAlign w:val="subscript"/>
        </w:rPr>
        <w:t>2008-09</w:t>
      </w:r>
      <w:proofErr w:type="gramStart"/>
      <w:r w:rsidRPr="00767441">
        <w:rPr>
          <w:rFonts w:ascii="Calibri" w:eastAsia="Calibri" w:hAnsi="Calibri"/>
          <w:sz w:val="24"/>
          <w:szCs w:val="24"/>
        </w:rPr>
        <w:t>,…,</w:t>
      </w:r>
      <w:proofErr w:type="gramEnd"/>
      <w:r w:rsidRPr="00767441">
        <w:rPr>
          <w:rFonts w:ascii="Calibri" w:eastAsia="Calibri" w:hAnsi="Calibri"/>
          <w:sz w:val="24"/>
          <w:szCs w:val="24"/>
        </w:rPr>
        <w:t xml:space="preserve"> </w:t>
      </w:r>
      <w:r w:rsidRPr="00767441">
        <w:rPr>
          <w:rFonts w:ascii="Calibri" w:eastAsia="Calibri" w:hAnsi="Calibri"/>
          <w:i/>
          <w:sz w:val="24"/>
          <w:szCs w:val="24"/>
        </w:rPr>
        <w:t>C</w:t>
      </w:r>
      <w:r w:rsidR="00B94FB5">
        <w:rPr>
          <w:rFonts w:ascii="Calibri" w:eastAsia="Calibri" w:hAnsi="Calibri"/>
          <w:sz w:val="24"/>
          <w:szCs w:val="24"/>
          <w:vertAlign w:val="subscript"/>
        </w:rPr>
        <w:t>2012-13</w:t>
      </w:r>
    </w:p>
    <w:p w:rsidR="00460371" w:rsidRPr="00767441" w:rsidRDefault="00460371" w:rsidP="000539FD">
      <w:pPr>
        <w:spacing w:before="100" w:beforeAutospacing="1" w:after="100" w:afterAutospacing="1"/>
        <w:ind w:left="851"/>
        <w:rPr>
          <w:rFonts w:ascii="Calibri" w:eastAsia="Calibri" w:hAnsi="Calibri"/>
          <w:sz w:val="24"/>
          <w:szCs w:val="24"/>
        </w:rPr>
      </w:pPr>
      <w:proofErr w:type="gramStart"/>
      <w:r w:rsidRPr="00767441">
        <w:rPr>
          <w:rFonts w:ascii="Calibri" w:eastAsia="Calibri" w:hAnsi="Calibri"/>
          <w:sz w:val="24"/>
          <w:szCs w:val="24"/>
        </w:rPr>
        <w:t>and</w:t>
      </w:r>
      <w:proofErr w:type="gramEnd"/>
      <w:r w:rsidRPr="00767441">
        <w:rPr>
          <w:rFonts w:ascii="Calibri" w:eastAsia="Calibri" w:hAnsi="Calibri"/>
          <w:sz w:val="24"/>
          <w:szCs w:val="24"/>
        </w:rPr>
        <w:t xml:space="preserve"> denoting the total model costs associated with the </w:t>
      </w:r>
      <w:r w:rsidR="00B94FB5">
        <w:rPr>
          <w:rFonts w:ascii="Calibri" w:eastAsia="Calibri" w:hAnsi="Calibri"/>
          <w:sz w:val="24"/>
          <w:szCs w:val="24"/>
        </w:rPr>
        <w:t>2012-13</w:t>
      </w:r>
      <w:r w:rsidRPr="00767441">
        <w:rPr>
          <w:rFonts w:ascii="Calibri" w:eastAsia="Calibri" w:hAnsi="Calibri"/>
          <w:sz w:val="24"/>
          <w:szCs w:val="24"/>
        </w:rPr>
        <w:t xml:space="preserve"> cost model applied to each year’s costed activity by</w:t>
      </w:r>
    </w:p>
    <w:p w:rsidR="00460371" w:rsidRPr="00767441" w:rsidRDefault="00460371" w:rsidP="00AD4FFC">
      <w:pPr>
        <w:spacing w:before="100" w:beforeAutospacing="1" w:after="100" w:afterAutospacing="1"/>
        <w:jc w:val="center"/>
        <w:rPr>
          <w:rFonts w:ascii="Calibri" w:eastAsia="Calibri" w:hAnsi="Calibri"/>
          <w:sz w:val="24"/>
          <w:szCs w:val="24"/>
        </w:rPr>
      </w:pPr>
      <w:r w:rsidRPr="00767441">
        <w:rPr>
          <w:rFonts w:ascii="Calibri" w:eastAsia="Calibri" w:hAnsi="Calibri"/>
          <w:i/>
          <w:sz w:val="24"/>
          <w:szCs w:val="24"/>
        </w:rPr>
        <w:t>M</w:t>
      </w:r>
      <w:r w:rsidRPr="00767441">
        <w:rPr>
          <w:rFonts w:ascii="Calibri" w:eastAsia="Calibri" w:hAnsi="Calibri"/>
          <w:sz w:val="24"/>
          <w:szCs w:val="24"/>
          <w:vertAlign w:val="subscript"/>
        </w:rPr>
        <w:t>200</w:t>
      </w:r>
      <w:r w:rsidR="006823F9">
        <w:rPr>
          <w:rFonts w:ascii="Calibri" w:eastAsia="Calibri" w:hAnsi="Calibri"/>
          <w:sz w:val="24"/>
          <w:szCs w:val="24"/>
          <w:vertAlign w:val="subscript"/>
        </w:rPr>
        <w:t>8</w:t>
      </w:r>
      <w:r w:rsidR="006823F9">
        <w:rPr>
          <w:rFonts w:ascii="Calibri" w:eastAsia="Calibri" w:hAnsi="Calibri"/>
          <w:sz w:val="24"/>
          <w:szCs w:val="24"/>
          <w:vertAlign w:val="subscript"/>
        </w:rPr>
        <w:noBreakHyphen/>
        <w:t>09</w:t>
      </w:r>
      <w:proofErr w:type="gramStart"/>
      <w:r w:rsidRPr="00767441">
        <w:rPr>
          <w:rFonts w:ascii="Calibri" w:eastAsia="Calibri" w:hAnsi="Calibri"/>
          <w:sz w:val="24"/>
          <w:szCs w:val="24"/>
        </w:rPr>
        <w:t>,…,</w:t>
      </w:r>
      <w:proofErr w:type="gramEnd"/>
      <w:r w:rsidRPr="00767441">
        <w:rPr>
          <w:rFonts w:ascii="Calibri" w:eastAsia="Calibri" w:hAnsi="Calibri"/>
          <w:sz w:val="24"/>
          <w:szCs w:val="24"/>
        </w:rPr>
        <w:t xml:space="preserve"> </w:t>
      </w:r>
      <w:r w:rsidRPr="00767441">
        <w:rPr>
          <w:rFonts w:ascii="Calibri" w:eastAsia="Calibri" w:hAnsi="Calibri"/>
          <w:i/>
          <w:sz w:val="24"/>
          <w:szCs w:val="24"/>
        </w:rPr>
        <w:t>M</w:t>
      </w:r>
      <w:r w:rsidR="00B94FB5">
        <w:rPr>
          <w:rFonts w:ascii="Calibri" w:eastAsia="Calibri" w:hAnsi="Calibri"/>
          <w:sz w:val="24"/>
          <w:szCs w:val="24"/>
          <w:vertAlign w:val="subscript"/>
        </w:rPr>
        <w:t>2012-13</w:t>
      </w:r>
      <w:r w:rsidRPr="00767441">
        <w:rPr>
          <w:rFonts w:ascii="Calibri" w:eastAsia="Calibri" w:hAnsi="Calibri"/>
          <w:sz w:val="24"/>
          <w:szCs w:val="24"/>
        </w:rPr>
        <w:t>,</w:t>
      </w:r>
    </w:p>
    <w:p w:rsidR="00460371" w:rsidRPr="00767441" w:rsidRDefault="00460371" w:rsidP="000539FD">
      <w:pPr>
        <w:spacing w:before="100" w:beforeAutospacing="1" w:after="100" w:afterAutospacing="1"/>
        <w:ind w:firstLine="851"/>
        <w:rPr>
          <w:rFonts w:ascii="Calibri" w:eastAsia="Calibri" w:hAnsi="Calibri"/>
          <w:sz w:val="24"/>
          <w:szCs w:val="24"/>
        </w:rPr>
      </w:pPr>
      <w:proofErr w:type="gramStart"/>
      <w:r w:rsidRPr="00767441">
        <w:rPr>
          <w:rFonts w:ascii="Calibri" w:eastAsia="Calibri" w:hAnsi="Calibri"/>
          <w:sz w:val="24"/>
          <w:szCs w:val="24"/>
        </w:rPr>
        <w:t>each</w:t>
      </w:r>
      <w:proofErr w:type="gramEnd"/>
      <w:r w:rsidRPr="00767441">
        <w:rPr>
          <w:rFonts w:ascii="Calibri" w:eastAsia="Calibri" w:hAnsi="Calibri"/>
          <w:sz w:val="24"/>
          <w:szCs w:val="24"/>
        </w:rPr>
        <w:t xml:space="preserve"> year’s scaling factor </w:t>
      </w:r>
      <w:proofErr w:type="spellStart"/>
      <w:r w:rsidRPr="00767441">
        <w:rPr>
          <w:rFonts w:ascii="Calibri" w:eastAsia="Calibri" w:hAnsi="Calibri"/>
          <w:i/>
          <w:sz w:val="24"/>
          <w:szCs w:val="24"/>
        </w:rPr>
        <w:t>r</w:t>
      </w:r>
      <w:r w:rsidRPr="00767441">
        <w:rPr>
          <w:rFonts w:ascii="Calibri" w:eastAsia="Calibri" w:hAnsi="Calibri"/>
          <w:i/>
          <w:sz w:val="24"/>
          <w:szCs w:val="24"/>
          <w:vertAlign w:val="subscript"/>
        </w:rPr>
        <w:t>x</w:t>
      </w:r>
      <w:proofErr w:type="spellEnd"/>
      <w:r w:rsidRPr="00767441">
        <w:rPr>
          <w:rFonts w:ascii="Calibri" w:eastAsia="Calibri" w:hAnsi="Calibri"/>
          <w:sz w:val="24"/>
          <w:szCs w:val="24"/>
        </w:rPr>
        <w:t xml:space="preserve"> is given by</w:t>
      </w:r>
    </w:p>
    <w:p w:rsidR="00460371" w:rsidRPr="00767441" w:rsidRDefault="00460371" w:rsidP="00AD4FFC">
      <w:pPr>
        <w:spacing w:before="100" w:beforeAutospacing="1" w:after="100" w:afterAutospacing="1"/>
        <w:jc w:val="center"/>
        <w:rPr>
          <w:rFonts w:ascii="Calibri" w:eastAsia="Calibri" w:hAnsi="Calibri"/>
          <w:i/>
          <w:sz w:val="24"/>
          <w:szCs w:val="24"/>
        </w:rPr>
      </w:pPr>
      <w:proofErr w:type="spellStart"/>
      <w:proofErr w:type="gramStart"/>
      <w:r w:rsidRPr="00767441">
        <w:rPr>
          <w:rFonts w:ascii="Calibri" w:eastAsia="Calibri" w:hAnsi="Calibri"/>
          <w:i/>
          <w:sz w:val="24"/>
          <w:szCs w:val="24"/>
        </w:rPr>
        <w:t>s</w:t>
      </w:r>
      <w:r w:rsidRPr="00767441">
        <w:rPr>
          <w:rFonts w:ascii="Calibri" w:eastAsia="Calibri" w:hAnsi="Calibri"/>
          <w:sz w:val="24"/>
          <w:szCs w:val="24"/>
          <w:vertAlign w:val="subscript"/>
        </w:rPr>
        <w:t>x</w:t>
      </w:r>
      <w:proofErr w:type="spellEnd"/>
      <w:proofErr w:type="gramEnd"/>
      <w:r w:rsidRPr="00767441">
        <w:rPr>
          <w:rFonts w:ascii="Calibri" w:eastAsia="Calibri" w:hAnsi="Calibri"/>
          <w:i/>
          <w:sz w:val="24"/>
          <w:szCs w:val="24"/>
        </w:rPr>
        <w:t xml:space="preserve"> </w:t>
      </w:r>
      <w:r w:rsidRPr="00767441">
        <w:rPr>
          <w:rFonts w:ascii="Calibri" w:eastAsia="Calibri" w:hAnsi="Calibri"/>
          <w:sz w:val="24"/>
          <w:szCs w:val="24"/>
        </w:rPr>
        <w:t>=</w:t>
      </w:r>
      <w:r w:rsidRPr="00767441">
        <w:rPr>
          <w:rFonts w:ascii="Calibri" w:eastAsia="Calibri" w:hAnsi="Calibri"/>
          <w:i/>
          <w:sz w:val="24"/>
          <w:szCs w:val="24"/>
        </w:rPr>
        <w:t xml:space="preserve"> </w:t>
      </w:r>
      <w:proofErr w:type="spellStart"/>
      <w:r w:rsidRPr="00767441">
        <w:rPr>
          <w:rFonts w:ascii="Calibri" w:eastAsia="Calibri" w:hAnsi="Calibri"/>
          <w:i/>
          <w:sz w:val="24"/>
          <w:szCs w:val="24"/>
        </w:rPr>
        <w:t>C</w:t>
      </w:r>
      <w:r w:rsidRPr="00767441">
        <w:rPr>
          <w:rFonts w:ascii="Calibri" w:eastAsia="Calibri" w:hAnsi="Calibri"/>
          <w:sz w:val="24"/>
          <w:szCs w:val="24"/>
          <w:vertAlign w:val="subscript"/>
        </w:rPr>
        <w:t>x</w:t>
      </w:r>
      <w:proofErr w:type="spellEnd"/>
      <w:r w:rsidRPr="00767441">
        <w:rPr>
          <w:rFonts w:ascii="Calibri" w:eastAsia="Calibri" w:hAnsi="Calibri"/>
          <w:i/>
          <w:sz w:val="24"/>
          <w:szCs w:val="24"/>
          <w:vertAlign w:val="subscript"/>
        </w:rPr>
        <w:t xml:space="preserve"> </w:t>
      </w:r>
      <w:r w:rsidRPr="00767441">
        <w:rPr>
          <w:rFonts w:ascii="Calibri" w:eastAsia="Calibri" w:hAnsi="Calibri"/>
          <w:i/>
          <w:sz w:val="24"/>
          <w:szCs w:val="24"/>
        </w:rPr>
        <w:t xml:space="preserve">/ </w:t>
      </w:r>
      <w:proofErr w:type="spellStart"/>
      <w:r w:rsidRPr="00767441">
        <w:rPr>
          <w:rFonts w:ascii="Calibri" w:eastAsia="Calibri" w:hAnsi="Calibri"/>
          <w:i/>
          <w:sz w:val="24"/>
          <w:szCs w:val="24"/>
        </w:rPr>
        <w:t>M</w:t>
      </w:r>
      <w:r w:rsidRPr="00767441">
        <w:rPr>
          <w:rFonts w:ascii="Calibri" w:eastAsia="Calibri" w:hAnsi="Calibri"/>
          <w:sz w:val="24"/>
          <w:szCs w:val="24"/>
          <w:vertAlign w:val="subscript"/>
        </w:rPr>
        <w:t>x</w:t>
      </w:r>
      <w:proofErr w:type="spellEnd"/>
      <w:r w:rsidRPr="00767441">
        <w:rPr>
          <w:rFonts w:ascii="Calibri" w:eastAsia="Calibri" w:hAnsi="Calibri"/>
          <w:i/>
          <w:sz w:val="24"/>
          <w:szCs w:val="24"/>
        </w:rPr>
        <w:t xml:space="preserve"> .</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This ratio is referred to as the cost ratio.</w:t>
      </w:r>
    </w:p>
    <w:p w:rsidR="00053234" w:rsidRPr="00767441" w:rsidRDefault="00053234"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 xml:space="preserve">It is worth noting that multiplying each year’s cost ratio by the </w:t>
      </w:r>
      <w:r>
        <w:rPr>
          <w:rFonts w:ascii="Calibri" w:eastAsia="Calibri" w:hAnsi="Calibri"/>
          <w:sz w:val="24"/>
          <w:szCs w:val="24"/>
        </w:rPr>
        <w:t>2012-13</w:t>
      </w:r>
      <w:r w:rsidRPr="00767441">
        <w:rPr>
          <w:rFonts w:ascii="Calibri" w:eastAsia="Calibri" w:hAnsi="Calibri"/>
          <w:sz w:val="24"/>
          <w:szCs w:val="24"/>
        </w:rPr>
        <w:t xml:space="preserve"> reference cost of $</w:t>
      </w:r>
      <w:r w:rsidR="00921C18">
        <w:rPr>
          <w:rFonts w:ascii="Calibri" w:eastAsia="Calibri" w:hAnsi="Calibri"/>
          <w:sz w:val="24"/>
          <w:szCs w:val="24"/>
        </w:rPr>
        <w:t>4549</w:t>
      </w:r>
      <w:r w:rsidR="00921C18" w:rsidRPr="00767441">
        <w:rPr>
          <w:rFonts w:ascii="Calibri" w:eastAsia="Calibri" w:hAnsi="Calibri"/>
          <w:sz w:val="24"/>
          <w:szCs w:val="24"/>
        </w:rPr>
        <w:t xml:space="preserve"> </w:t>
      </w:r>
      <w:r w:rsidRPr="00767441">
        <w:rPr>
          <w:rFonts w:ascii="Calibri" w:eastAsia="Calibri" w:hAnsi="Calibri"/>
          <w:sz w:val="24"/>
          <w:szCs w:val="24"/>
        </w:rPr>
        <w:t>converts the {</w:t>
      </w:r>
      <w:proofErr w:type="spellStart"/>
      <w:r w:rsidRPr="00767441">
        <w:rPr>
          <w:rFonts w:ascii="Calibri" w:eastAsia="Calibri" w:hAnsi="Calibri"/>
          <w:i/>
          <w:sz w:val="24"/>
          <w:szCs w:val="24"/>
        </w:rPr>
        <w:t>s</w:t>
      </w:r>
      <w:r w:rsidRPr="00767441">
        <w:rPr>
          <w:rFonts w:ascii="Calibri" w:eastAsia="Calibri" w:hAnsi="Calibri"/>
          <w:i/>
          <w:sz w:val="24"/>
          <w:szCs w:val="24"/>
          <w:vertAlign w:val="subscript"/>
        </w:rPr>
        <w:t>x</w:t>
      </w:r>
      <w:proofErr w:type="spellEnd"/>
      <w:r w:rsidRPr="00767441">
        <w:rPr>
          <w:rFonts w:ascii="Calibri" w:eastAsia="Calibri" w:hAnsi="Calibri"/>
          <w:sz w:val="24"/>
          <w:szCs w:val="24"/>
        </w:rPr>
        <w:t xml:space="preserve">} time series to the time series of costs per weighted separation, where the weighted separations are determined by </w:t>
      </w:r>
      <w:r>
        <w:rPr>
          <w:rFonts w:ascii="Calibri" w:eastAsia="Calibri" w:hAnsi="Calibri"/>
          <w:sz w:val="24"/>
          <w:szCs w:val="24"/>
        </w:rPr>
        <w:t>2012-13</w:t>
      </w:r>
      <w:r w:rsidRPr="00767441">
        <w:rPr>
          <w:rFonts w:ascii="Calibri" w:eastAsia="Calibri" w:hAnsi="Calibri"/>
          <w:sz w:val="24"/>
          <w:szCs w:val="24"/>
        </w:rPr>
        <w:t xml:space="preserve"> cost weight model.</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A crucial requirement of the cost ratio time series is comparability over time. One way to ensure this occurs is to restrict the data on which the ratios are calculated to the set of establishments for which data is present across all five years; that is, to ensure that all five ratios are calculated across a common set of establishments. While this approach ensures comparability over time, it places significant restrictions on the sample of data.</w:t>
      </w:r>
    </w:p>
    <w:p w:rsidR="00460371" w:rsidRPr="00767441" w:rsidRDefault="00460371" w:rsidP="00AD4FFC">
      <w:pPr>
        <w:spacing w:before="100" w:beforeAutospacing="1" w:after="100" w:afterAutospacing="1"/>
        <w:rPr>
          <w:rFonts w:ascii="Calibri" w:eastAsia="Calibri" w:hAnsi="Calibri"/>
          <w:sz w:val="24"/>
        </w:rPr>
      </w:pPr>
      <w:r w:rsidRPr="00767441">
        <w:rPr>
          <w:rFonts w:ascii="Calibri" w:eastAsia="Calibri" w:hAnsi="Calibri"/>
          <w:sz w:val="24"/>
          <w:szCs w:val="24"/>
        </w:rPr>
        <w:t>Instead, an alternate method is used that greatly increases the data sample while maintaining comparability of the ratios over time. This method relies on the fact that any time series of ratios can be equivalently represented as the time series of year to year changes in ratios together with a single value of the time series (</w:t>
      </w:r>
      <w:r w:rsidRPr="00767441">
        <w:rPr>
          <w:rFonts w:ascii="Calibri" w:eastAsia="Calibri" w:hAnsi="Calibri"/>
          <w:sz w:val="24"/>
        </w:rPr>
        <w:t xml:space="preserve">in this case, the </w:t>
      </w:r>
      <w:r w:rsidR="00B94FB5">
        <w:rPr>
          <w:rFonts w:ascii="Calibri" w:eastAsia="Calibri" w:hAnsi="Calibri"/>
          <w:sz w:val="24"/>
        </w:rPr>
        <w:t>2012-13</w:t>
      </w:r>
      <w:r w:rsidRPr="00767441">
        <w:rPr>
          <w:rFonts w:ascii="Calibri" w:eastAsia="Calibri" w:hAnsi="Calibri"/>
          <w:sz w:val="24"/>
        </w:rPr>
        <w:t xml:space="preserve"> cost ratio of 1.000). This method only requires that each year to year comparison uses a common set of establishments (rather than requiring the establishments to be common across all five years).</w:t>
      </w:r>
    </w:p>
    <w:p w:rsidR="00460371" w:rsidRPr="00767441" w:rsidRDefault="00053234" w:rsidP="009B622C">
      <w:pPr>
        <w:spacing w:before="100" w:beforeAutospacing="1" w:after="100" w:afterAutospacing="1"/>
        <w:rPr>
          <w:rFonts w:ascii="Calibri" w:eastAsia="Calibri" w:hAnsi="Calibri"/>
          <w:sz w:val="24"/>
          <w:szCs w:val="24"/>
        </w:rPr>
      </w:pPr>
      <w:r>
        <w:rPr>
          <w:rFonts w:ascii="Calibri" w:eastAsia="Calibri" w:hAnsi="Calibri"/>
          <w:sz w:val="24"/>
          <w:szCs w:val="24"/>
        </w:rPr>
        <w:t>Table 3</w:t>
      </w:r>
      <w:r w:rsidR="00460371" w:rsidRPr="00767441">
        <w:rPr>
          <w:rFonts w:ascii="Calibri" w:eastAsia="Calibri" w:hAnsi="Calibri"/>
          <w:sz w:val="24"/>
          <w:szCs w:val="24"/>
        </w:rPr>
        <w:t xml:space="preserve"> shows the year to year changes in cost ratio calculated by applying the </w:t>
      </w:r>
      <w:r w:rsidR="00B94FB5">
        <w:rPr>
          <w:rFonts w:ascii="Calibri" w:eastAsia="Calibri" w:hAnsi="Calibri"/>
          <w:sz w:val="24"/>
          <w:szCs w:val="24"/>
        </w:rPr>
        <w:t>2012-13</w:t>
      </w:r>
      <w:r w:rsidR="00460371" w:rsidRPr="00767441">
        <w:rPr>
          <w:rFonts w:ascii="Calibri" w:eastAsia="Calibri" w:hAnsi="Calibri"/>
          <w:sz w:val="24"/>
          <w:szCs w:val="24"/>
        </w:rPr>
        <w:t xml:space="preserve"> cost </w:t>
      </w:r>
      <w:proofErr w:type="gramStart"/>
      <w:r w:rsidR="00460371" w:rsidRPr="00767441">
        <w:rPr>
          <w:rFonts w:ascii="Calibri" w:eastAsia="Calibri" w:hAnsi="Calibri"/>
          <w:sz w:val="24"/>
          <w:szCs w:val="24"/>
        </w:rPr>
        <w:t>model</w:t>
      </w:r>
      <w:proofErr w:type="gramEnd"/>
      <w:r w:rsidR="00460371" w:rsidRPr="00767441">
        <w:rPr>
          <w:rFonts w:ascii="Calibri" w:eastAsia="Calibri" w:hAnsi="Calibri"/>
          <w:sz w:val="24"/>
          <w:szCs w:val="24"/>
        </w:rPr>
        <w:t xml:space="preserve"> to pairs of consecutive years’ cost data, ensuring a common set of establishments are present in each pairwise comparison.</w:t>
      </w:r>
    </w:p>
    <w:p w:rsidR="00460371" w:rsidRPr="005D6C78" w:rsidRDefault="00460371" w:rsidP="005D6C78">
      <w:pPr>
        <w:keepNext/>
        <w:spacing w:before="100" w:beforeAutospacing="1"/>
        <w:rPr>
          <w:rFonts w:ascii="Calibri" w:eastAsia="Calibri" w:hAnsi="Calibri"/>
          <w:b/>
          <w:bCs/>
        </w:rPr>
      </w:pPr>
      <w:bookmarkStart w:id="403" w:name="_Ref351378111"/>
      <w:r w:rsidRPr="005D6C78">
        <w:rPr>
          <w:rFonts w:ascii="Calibri" w:eastAsia="Calibri" w:hAnsi="Calibri"/>
          <w:b/>
          <w:bCs/>
        </w:rPr>
        <w:t xml:space="preserve">Table </w:t>
      </w:r>
      <w:bookmarkEnd w:id="403"/>
      <w:r w:rsidR="005C0F8A" w:rsidRPr="005D6C78">
        <w:rPr>
          <w:rFonts w:ascii="Calibri" w:eastAsia="Calibri" w:hAnsi="Calibri"/>
          <w:b/>
          <w:bCs/>
        </w:rPr>
        <w:t>3</w:t>
      </w:r>
      <w:r w:rsidRPr="005D6C78">
        <w:rPr>
          <w:rFonts w:ascii="Calibri" w:eastAsia="Calibri" w:hAnsi="Calibri"/>
          <w:b/>
          <w:bCs/>
        </w:rPr>
        <w:t>: Year to year changes in cost ratio</w:t>
      </w:r>
    </w:p>
    <w:tbl>
      <w:tblPr>
        <w:tblStyle w:val="TableGrid10"/>
        <w:tblW w:w="8729" w:type="dxa"/>
        <w:jc w:val="center"/>
        <w:tblLook w:val="04A0" w:firstRow="1" w:lastRow="0" w:firstColumn="1" w:lastColumn="0" w:noHBand="0" w:noVBand="1"/>
        <w:tblDescription w:val="A summary of table 3 is outlined in the text prior to this table. "/>
      </w:tblPr>
      <w:tblGrid>
        <w:gridCol w:w="2155"/>
        <w:gridCol w:w="2268"/>
        <w:gridCol w:w="2153"/>
        <w:gridCol w:w="2153"/>
      </w:tblGrid>
      <w:tr w:rsidR="006823F9" w:rsidRPr="00767441" w:rsidTr="006823F9">
        <w:trPr>
          <w:tblHeader/>
          <w:jc w:val="center"/>
        </w:trPr>
        <w:tc>
          <w:tcPr>
            <w:tcW w:w="2155" w:type="dxa"/>
            <w:shd w:val="clear" w:color="auto" w:fill="BFBFBF" w:themeFill="background1" w:themeFillShade="BF"/>
            <w:vAlign w:val="center"/>
          </w:tcPr>
          <w:p w:rsidR="006823F9" w:rsidRPr="00543968" w:rsidRDefault="006823F9" w:rsidP="00543968">
            <w:pPr>
              <w:spacing w:beforeLines="60" w:before="144" w:afterLines="60" w:after="144"/>
              <w:jc w:val="center"/>
              <w:rPr>
                <w:rFonts w:ascii="Calibri" w:hAnsi="Calibri"/>
                <w:b/>
                <w:sz w:val="22"/>
              </w:rPr>
            </w:pPr>
            <w:r w:rsidRPr="00543968">
              <w:rPr>
                <w:rFonts w:ascii="Calibri" w:hAnsi="Calibri"/>
                <w:b/>
                <w:sz w:val="22"/>
              </w:rPr>
              <w:t>2008-09 to 2009-10</w:t>
            </w:r>
          </w:p>
        </w:tc>
        <w:tc>
          <w:tcPr>
            <w:tcW w:w="2268" w:type="dxa"/>
            <w:shd w:val="clear" w:color="auto" w:fill="BFBFBF" w:themeFill="background1" w:themeFillShade="BF"/>
            <w:vAlign w:val="center"/>
          </w:tcPr>
          <w:p w:rsidR="006823F9" w:rsidRPr="00543968" w:rsidRDefault="006823F9" w:rsidP="00543968">
            <w:pPr>
              <w:spacing w:beforeLines="60" w:before="144" w:afterLines="60" w:after="144"/>
              <w:jc w:val="center"/>
              <w:rPr>
                <w:rFonts w:ascii="Calibri" w:hAnsi="Calibri"/>
                <w:b/>
                <w:sz w:val="22"/>
              </w:rPr>
            </w:pPr>
            <w:r w:rsidRPr="00543968">
              <w:rPr>
                <w:rFonts w:ascii="Calibri" w:hAnsi="Calibri"/>
                <w:b/>
                <w:sz w:val="22"/>
              </w:rPr>
              <w:t>2009-10 to 2010-11</w:t>
            </w:r>
          </w:p>
        </w:tc>
        <w:tc>
          <w:tcPr>
            <w:tcW w:w="2153" w:type="dxa"/>
            <w:shd w:val="clear" w:color="auto" w:fill="BFBFBF" w:themeFill="background1" w:themeFillShade="BF"/>
            <w:vAlign w:val="center"/>
          </w:tcPr>
          <w:p w:rsidR="006823F9" w:rsidRPr="00543968" w:rsidRDefault="006823F9" w:rsidP="00543968">
            <w:pPr>
              <w:spacing w:beforeLines="60" w:before="144" w:afterLines="60" w:after="144"/>
              <w:jc w:val="center"/>
              <w:rPr>
                <w:rFonts w:ascii="Calibri" w:hAnsi="Calibri"/>
                <w:b/>
                <w:sz w:val="22"/>
              </w:rPr>
            </w:pPr>
            <w:r w:rsidRPr="00543968">
              <w:rPr>
                <w:rFonts w:ascii="Calibri" w:hAnsi="Calibri"/>
                <w:b/>
                <w:sz w:val="22"/>
              </w:rPr>
              <w:t xml:space="preserve">2010-11 to </w:t>
            </w:r>
            <w:r w:rsidR="00053234" w:rsidRPr="00543968">
              <w:rPr>
                <w:rFonts w:ascii="Calibri" w:hAnsi="Calibri"/>
                <w:b/>
                <w:sz w:val="22"/>
              </w:rPr>
              <w:t>2011-12</w:t>
            </w:r>
          </w:p>
        </w:tc>
        <w:tc>
          <w:tcPr>
            <w:tcW w:w="2153" w:type="dxa"/>
            <w:shd w:val="clear" w:color="auto" w:fill="BFBFBF" w:themeFill="background1" w:themeFillShade="BF"/>
          </w:tcPr>
          <w:p w:rsidR="006823F9" w:rsidRPr="00543968" w:rsidRDefault="006823F9" w:rsidP="00543968">
            <w:pPr>
              <w:spacing w:beforeLines="60" w:before="144" w:afterLines="60" w:after="144"/>
              <w:jc w:val="center"/>
              <w:rPr>
                <w:rFonts w:ascii="Calibri" w:hAnsi="Calibri"/>
                <w:b/>
                <w:sz w:val="22"/>
              </w:rPr>
            </w:pPr>
            <w:r w:rsidRPr="00543968">
              <w:rPr>
                <w:rFonts w:ascii="Calibri" w:hAnsi="Calibri"/>
                <w:b/>
                <w:sz w:val="22"/>
              </w:rPr>
              <w:t>2011-12 to 2012-13</w:t>
            </w:r>
          </w:p>
        </w:tc>
      </w:tr>
      <w:tr w:rsidR="00053234" w:rsidRPr="00767441" w:rsidTr="006823F9">
        <w:trPr>
          <w:jc w:val="center"/>
        </w:trPr>
        <w:tc>
          <w:tcPr>
            <w:tcW w:w="2155" w:type="dxa"/>
          </w:tcPr>
          <w:p w:rsidR="00053234" w:rsidRPr="00543968" w:rsidRDefault="00053234" w:rsidP="00543968">
            <w:pPr>
              <w:spacing w:beforeLines="60" w:before="144" w:afterLines="60" w:after="144"/>
              <w:jc w:val="center"/>
              <w:rPr>
                <w:rFonts w:ascii="Calibri" w:hAnsi="Calibri"/>
                <w:sz w:val="22"/>
              </w:rPr>
            </w:pPr>
            <w:r w:rsidRPr="00543968">
              <w:rPr>
                <w:rFonts w:ascii="Calibri" w:hAnsi="Calibri"/>
                <w:sz w:val="22"/>
              </w:rPr>
              <w:t>107.2%</w:t>
            </w:r>
          </w:p>
        </w:tc>
        <w:tc>
          <w:tcPr>
            <w:tcW w:w="2268" w:type="dxa"/>
          </w:tcPr>
          <w:p w:rsidR="00053234" w:rsidRPr="00543968" w:rsidRDefault="00053234" w:rsidP="00543968">
            <w:pPr>
              <w:spacing w:beforeLines="60" w:before="144" w:afterLines="60" w:after="144"/>
              <w:jc w:val="center"/>
              <w:rPr>
                <w:rFonts w:ascii="Calibri" w:hAnsi="Calibri"/>
                <w:sz w:val="22"/>
              </w:rPr>
            </w:pPr>
            <w:r w:rsidRPr="00543968">
              <w:rPr>
                <w:rFonts w:ascii="Calibri" w:hAnsi="Calibri"/>
                <w:sz w:val="22"/>
              </w:rPr>
              <w:t>102.0%</w:t>
            </w:r>
          </w:p>
        </w:tc>
        <w:tc>
          <w:tcPr>
            <w:tcW w:w="2153" w:type="dxa"/>
          </w:tcPr>
          <w:p w:rsidR="00053234" w:rsidRPr="00374D3A" w:rsidRDefault="00053234" w:rsidP="00543968">
            <w:pPr>
              <w:spacing w:beforeLines="60" w:before="144" w:afterLines="60" w:after="144"/>
              <w:jc w:val="center"/>
              <w:rPr>
                <w:rFonts w:ascii="Calibri" w:hAnsi="Calibri"/>
                <w:sz w:val="22"/>
              </w:rPr>
            </w:pPr>
            <w:r w:rsidRPr="00374D3A">
              <w:rPr>
                <w:rFonts w:ascii="Calibri" w:hAnsi="Calibri"/>
                <w:sz w:val="22"/>
              </w:rPr>
              <w:t>103.</w:t>
            </w:r>
            <w:r w:rsidR="00372302" w:rsidRPr="00374D3A">
              <w:rPr>
                <w:rFonts w:ascii="Calibri" w:hAnsi="Calibri"/>
                <w:sz w:val="22"/>
              </w:rPr>
              <w:t>3</w:t>
            </w:r>
            <w:r w:rsidRPr="00374D3A">
              <w:rPr>
                <w:rFonts w:ascii="Calibri" w:hAnsi="Calibri"/>
                <w:sz w:val="22"/>
              </w:rPr>
              <w:t>%</w:t>
            </w:r>
          </w:p>
        </w:tc>
        <w:tc>
          <w:tcPr>
            <w:tcW w:w="2153" w:type="dxa"/>
          </w:tcPr>
          <w:p w:rsidR="00053234" w:rsidRPr="00374D3A" w:rsidRDefault="00053234" w:rsidP="00543968">
            <w:pPr>
              <w:spacing w:beforeLines="60" w:before="144" w:afterLines="60" w:after="144"/>
              <w:jc w:val="center"/>
              <w:rPr>
                <w:rFonts w:ascii="Calibri" w:hAnsi="Calibri"/>
                <w:sz w:val="22"/>
              </w:rPr>
            </w:pPr>
            <w:r w:rsidRPr="00374D3A">
              <w:rPr>
                <w:rFonts w:ascii="Calibri" w:hAnsi="Calibri"/>
                <w:sz w:val="22"/>
              </w:rPr>
              <w:t>100.</w:t>
            </w:r>
            <w:r w:rsidR="00372302" w:rsidRPr="00374D3A">
              <w:rPr>
                <w:rFonts w:ascii="Calibri" w:hAnsi="Calibri"/>
                <w:sz w:val="22"/>
              </w:rPr>
              <w:t>0</w:t>
            </w:r>
            <w:r w:rsidRPr="00374D3A">
              <w:rPr>
                <w:rFonts w:ascii="Calibri" w:hAnsi="Calibri"/>
                <w:sz w:val="22"/>
              </w:rPr>
              <w:t>%</w:t>
            </w:r>
          </w:p>
        </w:tc>
      </w:tr>
    </w:tbl>
    <w:p w:rsidR="00460371" w:rsidRPr="00767441" w:rsidRDefault="001329EF" w:rsidP="009E33A4">
      <w:pPr>
        <w:spacing w:before="100" w:beforeAutospacing="1" w:after="100" w:afterAutospacing="1"/>
        <w:rPr>
          <w:rFonts w:ascii="Calibri" w:eastAsia="Calibri" w:hAnsi="Calibri"/>
          <w:sz w:val="24"/>
          <w:szCs w:val="24"/>
        </w:rPr>
      </w:pPr>
      <w:r>
        <w:rPr>
          <w:rFonts w:ascii="Calibri" w:eastAsia="Calibri" w:hAnsi="Calibri"/>
          <w:sz w:val="24"/>
          <w:szCs w:val="24"/>
        </w:rPr>
        <w:t xml:space="preserve">Table 4 </w:t>
      </w:r>
      <w:r w:rsidR="00460371" w:rsidRPr="00767441">
        <w:rPr>
          <w:rFonts w:ascii="Calibri" w:eastAsia="Calibri" w:hAnsi="Calibri"/>
          <w:sz w:val="24"/>
          <w:szCs w:val="24"/>
        </w:rPr>
        <w:t xml:space="preserve">shows the resulting cost ratio time series derived by backcasting the </w:t>
      </w:r>
      <w:r w:rsidR="00B94FB5">
        <w:rPr>
          <w:rFonts w:ascii="Calibri" w:eastAsia="Calibri" w:hAnsi="Calibri"/>
          <w:sz w:val="24"/>
          <w:szCs w:val="24"/>
        </w:rPr>
        <w:t>2012-13</w:t>
      </w:r>
      <w:r w:rsidR="00460371" w:rsidRPr="00767441">
        <w:rPr>
          <w:rFonts w:ascii="Calibri" w:eastAsia="Calibri" w:hAnsi="Calibri"/>
          <w:sz w:val="24"/>
          <w:szCs w:val="24"/>
        </w:rPr>
        <w:t xml:space="preserve"> cost ratio of 1.000 using the inverse of the year to year changes given in</w:t>
      </w:r>
      <w:r w:rsidR="00583542">
        <w:rPr>
          <w:rFonts w:ascii="Calibri" w:eastAsia="Calibri" w:hAnsi="Calibri"/>
          <w:sz w:val="24"/>
          <w:szCs w:val="24"/>
        </w:rPr>
        <w:t xml:space="preserve"> Table 3</w:t>
      </w:r>
      <w:r w:rsidR="00460371" w:rsidRPr="00767441">
        <w:rPr>
          <w:rFonts w:ascii="Calibri" w:eastAsia="Calibri" w:hAnsi="Calibri"/>
          <w:sz w:val="24"/>
          <w:szCs w:val="24"/>
        </w:rPr>
        <w:t xml:space="preserve">. </w:t>
      </w:r>
      <w:r>
        <w:rPr>
          <w:rFonts w:ascii="Calibri" w:eastAsia="Calibri" w:hAnsi="Calibri"/>
          <w:sz w:val="24"/>
          <w:szCs w:val="24"/>
        </w:rPr>
        <w:t xml:space="preserve">Table 4 </w:t>
      </w:r>
      <w:r w:rsidR="00460371" w:rsidRPr="00767441">
        <w:rPr>
          <w:rFonts w:ascii="Calibri" w:eastAsia="Calibri" w:hAnsi="Calibri"/>
          <w:sz w:val="24"/>
          <w:szCs w:val="24"/>
        </w:rPr>
        <w:t xml:space="preserve">also shows the equivalent cost per weighted separation time series, and </w:t>
      </w:r>
      <w:r w:rsidR="00583542">
        <w:rPr>
          <w:rFonts w:ascii="Calibri" w:eastAsia="Calibri" w:hAnsi="Calibri"/>
          <w:sz w:val="24"/>
          <w:szCs w:val="24"/>
        </w:rPr>
        <w:t xml:space="preserve">Figure 4 </w:t>
      </w:r>
      <w:r w:rsidR="00460371" w:rsidRPr="00767441">
        <w:rPr>
          <w:rFonts w:ascii="Calibri" w:eastAsia="Calibri" w:hAnsi="Calibri"/>
          <w:sz w:val="24"/>
          <w:szCs w:val="24"/>
        </w:rPr>
        <w:t>illustrates the two time series graphically.</w:t>
      </w:r>
    </w:p>
    <w:p w:rsidR="00053234" w:rsidRPr="005D6C78" w:rsidRDefault="00053234" w:rsidP="005D6C78">
      <w:pPr>
        <w:keepNext/>
        <w:rPr>
          <w:rFonts w:ascii="Calibri" w:eastAsia="Calibri" w:hAnsi="Calibri"/>
          <w:b/>
          <w:bCs/>
        </w:rPr>
      </w:pPr>
      <w:r w:rsidRPr="005D6C78">
        <w:rPr>
          <w:rFonts w:ascii="Calibri" w:eastAsia="Calibri" w:hAnsi="Calibri"/>
          <w:b/>
          <w:bCs/>
        </w:rPr>
        <w:t>Table 4: Cost ratios and costs per weighted separation time series derived by applying the 201</w:t>
      </w:r>
      <w:r w:rsidR="00921C18">
        <w:rPr>
          <w:rFonts w:ascii="Calibri" w:eastAsia="Calibri" w:hAnsi="Calibri"/>
          <w:b/>
          <w:bCs/>
        </w:rPr>
        <w:t>2</w:t>
      </w:r>
      <w:r w:rsidRPr="005D6C78">
        <w:rPr>
          <w:rFonts w:ascii="Calibri" w:eastAsia="Calibri" w:hAnsi="Calibri"/>
          <w:b/>
          <w:bCs/>
        </w:rPr>
        <w:t>-1</w:t>
      </w:r>
      <w:r w:rsidR="00921C18">
        <w:rPr>
          <w:rFonts w:ascii="Calibri" w:eastAsia="Calibri" w:hAnsi="Calibri"/>
          <w:b/>
          <w:bCs/>
        </w:rPr>
        <w:t>3</w:t>
      </w:r>
      <w:r w:rsidRPr="005D6C78">
        <w:rPr>
          <w:rFonts w:ascii="Calibri" w:eastAsia="Calibri" w:hAnsi="Calibri"/>
          <w:b/>
          <w:bCs/>
        </w:rPr>
        <w:t xml:space="preserve"> cost model and cost weight model to historical patient costed activity data</w:t>
      </w:r>
    </w:p>
    <w:tbl>
      <w:tblPr>
        <w:tblStyle w:val="TableGrid10"/>
        <w:tblW w:w="0" w:type="auto"/>
        <w:tblLook w:val="04A0" w:firstRow="1" w:lastRow="0" w:firstColumn="1" w:lastColumn="0" w:noHBand="0" w:noVBand="1"/>
        <w:tblDescription w:val="A summary of table 4 is outlined in the text prior to this table. "/>
      </w:tblPr>
      <w:tblGrid>
        <w:gridCol w:w="2673"/>
        <w:gridCol w:w="1311"/>
        <w:gridCol w:w="1311"/>
        <w:gridCol w:w="1132"/>
        <w:gridCol w:w="1128"/>
        <w:gridCol w:w="1032"/>
      </w:tblGrid>
      <w:tr w:rsidR="00053234" w:rsidRPr="00767441" w:rsidTr="00543968">
        <w:trPr>
          <w:trHeight w:val="537"/>
          <w:tblHeader/>
        </w:trPr>
        <w:tc>
          <w:tcPr>
            <w:tcW w:w="2673" w:type="dxa"/>
            <w:shd w:val="clear" w:color="auto" w:fill="BFBFBF" w:themeFill="background1" w:themeFillShade="BF"/>
            <w:vAlign w:val="center"/>
          </w:tcPr>
          <w:p w:rsidR="00053234" w:rsidRPr="00543968" w:rsidRDefault="00053234" w:rsidP="00543968">
            <w:pPr>
              <w:spacing w:beforeLines="60" w:before="144" w:afterLines="60" w:after="144"/>
              <w:rPr>
                <w:rFonts w:ascii="Calibri" w:hAnsi="Calibri"/>
                <w:sz w:val="22"/>
              </w:rPr>
            </w:pPr>
          </w:p>
        </w:tc>
        <w:tc>
          <w:tcPr>
            <w:tcW w:w="1311" w:type="dxa"/>
            <w:shd w:val="clear" w:color="auto" w:fill="BFBFBF" w:themeFill="background1" w:themeFillShade="BF"/>
          </w:tcPr>
          <w:p w:rsidR="00053234" w:rsidRPr="00543968" w:rsidRDefault="00053234" w:rsidP="00543968">
            <w:pPr>
              <w:spacing w:beforeLines="60" w:before="144" w:afterLines="60" w:after="144"/>
              <w:jc w:val="center"/>
              <w:rPr>
                <w:rFonts w:ascii="Calibri" w:hAnsi="Calibri"/>
                <w:b/>
                <w:sz w:val="22"/>
              </w:rPr>
            </w:pPr>
            <w:r w:rsidRPr="00543968">
              <w:rPr>
                <w:rFonts w:ascii="Calibri" w:hAnsi="Calibri"/>
                <w:b/>
                <w:sz w:val="22"/>
              </w:rPr>
              <w:t>2008-09</w:t>
            </w:r>
          </w:p>
        </w:tc>
        <w:tc>
          <w:tcPr>
            <w:tcW w:w="1311" w:type="dxa"/>
            <w:shd w:val="clear" w:color="auto" w:fill="BFBFBF" w:themeFill="background1" w:themeFillShade="BF"/>
          </w:tcPr>
          <w:p w:rsidR="00053234" w:rsidRPr="00543968" w:rsidRDefault="00053234" w:rsidP="00543968">
            <w:pPr>
              <w:spacing w:beforeLines="60" w:before="144" w:afterLines="60" w:after="144"/>
              <w:jc w:val="center"/>
              <w:rPr>
                <w:rFonts w:ascii="Calibri" w:hAnsi="Calibri"/>
                <w:b/>
                <w:sz w:val="22"/>
              </w:rPr>
            </w:pPr>
            <w:r w:rsidRPr="00543968">
              <w:rPr>
                <w:rFonts w:ascii="Calibri" w:hAnsi="Calibri"/>
                <w:b/>
                <w:sz w:val="22"/>
              </w:rPr>
              <w:t>2009-10</w:t>
            </w:r>
          </w:p>
        </w:tc>
        <w:tc>
          <w:tcPr>
            <w:tcW w:w="1132" w:type="dxa"/>
            <w:shd w:val="clear" w:color="auto" w:fill="BFBFBF" w:themeFill="background1" w:themeFillShade="BF"/>
          </w:tcPr>
          <w:p w:rsidR="00053234" w:rsidRPr="00543968" w:rsidRDefault="00053234" w:rsidP="00543968">
            <w:pPr>
              <w:spacing w:beforeLines="60" w:before="144" w:afterLines="60" w:after="144"/>
              <w:jc w:val="center"/>
              <w:rPr>
                <w:rFonts w:ascii="Calibri" w:hAnsi="Calibri"/>
                <w:b/>
                <w:sz w:val="22"/>
              </w:rPr>
            </w:pPr>
            <w:r w:rsidRPr="00543968">
              <w:rPr>
                <w:rFonts w:ascii="Calibri" w:hAnsi="Calibri"/>
                <w:b/>
                <w:sz w:val="22"/>
              </w:rPr>
              <w:t>2010-11</w:t>
            </w:r>
          </w:p>
        </w:tc>
        <w:tc>
          <w:tcPr>
            <w:tcW w:w="1128" w:type="dxa"/>
            <w:shd w:val="clear" w:color="auto" w:fill="BFBFBF" w:themeFill="background1" w:themeFillShade="BF"/>
          </w:tcPr>
          <w:p w:rsidR="00053234" w:rsidRPr="00543968" w:rsidRDefault="00053234" w:rsidP="00543968">
            <w:pPr>
              <w:spacing w:beforeLines="60" w:before="144" w:afterLines="60" w:after="144"/>
              <w:jc w:val="center"/>
              <w:rPr>
                <w:rFonts w:ascii="Calibri" w:hAnsi="Calibri"/>
                <w:b/>
                <w:sz w:val="22"/>
              </w:rPr>
            </w:pPr>
            <w:r w:rsidRPr="00543968">
              <w:rPr>
                <w:rFonts w:ascii="Calibri" w:hAnsi="Calibri"/>
                <w:b/>
                <w:sz w:val="22"/>
              </w:rPr>
              <w:t>2011-12</w:t>
            </w:r>
          </w:p>
        </w:tc>
        <w:tc>
          <w:tcPr>
            <w:tcW w:w="1032" w:type="dxa"/>
            <w:shd w:val="clear" w:color="auto" w:fill="BFBFBF" w:themeFill="background1" w:themeFillShade="BF"/>
          </w:tcPr>
          <w:p w:rsidR="00053234" w:rsidRPr="00543968" w:rsidRDefault="00053234" w:rsidP="00543968">
            <w:pPr>
              <w:spacing w:beforeLines="60" w:before="144" w:afterLines="60" w:after="144"/>
              <w:jc w:val="center"/>
              <w:rPr>
                <w:rFonts w:ascii="Calibri" w:hAnsi="Calibri"/>
                <w:b/>
                <w:sz w:val="22"/>
              </w:rPr>
            </w:pPr>
            <w:r w:rsidRPr="00543968">
              <w:rPr>
                <w:rFonts w:ascii="Calibri" w:hAnsi="Calibri"/>
                <w:b/>
                <w:sz w:val="22"/>
              </w:rPr>
              <w:t>2012-13</w:t>
            </w:r>
          </w:p>
        </w:tc>
      </w:tr>
      <w:tr w:rsidR="00053234" w:rsidRPr="00767441" w:rsidTr="00543968">
        <w:trPr>
          <w:trHeight w:val="537"/>
        </w:trPr>
        <w:tc>
          <w:tcPr>
            <w:tcW w:w="2673" w:type="dxa"/>
            <w:vAlign w:val="center"/>
          </w:tcPr>
          <w:p w:rsidR="00053234" w:rsidRPr="00543968" w:rsidRDefault="00053234" w:rsidP="00543968">
            <w:pPr>
              <w:spacing w:after="0"/>
              <w:rPr>
                <w:rFonts w:ascii="Calibri" w:hAnsi="Calibri"/>
                <w:b/>
                <w:sz w:val="22"/>
              </w:rPr>
            </w:pPr>
            <w:r w:rsidRPr="00543968">
              <w:rPr>
                <w:rFonts w:ascii="Calibri" w:hAnsi="Calibri"/>
                <w:b/>
                <w:sz w:val="22"/>
              </w:rPr>
              <w:t>Cost ratio</w:t>
            </w:r>
          </w:p>
        </w:tc>
        <w:tc>
          <w:tcPr>
            <w:tcW w:w="1311" w:type="dxa"/>
            <w:vAlign w:val="center"/>
          </w:tcPr>
          <w:p w:rsidR="00053234" w:rsidRPr="00543968" w:rsidRDefault="00053234" w:rsidP="00921C18">
            <w:pPr>
              <w:spacing w:after="0"/>
              <w:jc w:val="center"/>
              <w:rPr>
                <w:rFonts w:ascii="Calibri" w:hAnsi="Calibri"/>
                <w:sz w:val="22"/>
                <w:highlight w:val="yellow"/>
              </w:rPr>
            </w:pPr>
            <w:r w:rsidRPr="00543968">
              <w:rPr>
                <w:rFonts w:ascii="Calibri" w:hAnsi="Calibri"/>
                <w:sz w:val="22"/>
              </w:rPr>
              <w:t>0.</w:t>
            </w:r>
            <w:r w:rsidR="00921C18" w:rsidRPr="00543968">
              <w:rPr>
                <w:rFonts w:ascii="Calibri" w:hAnsi="Calibri"/>
                <w:sz w:val="22"/>
              </w:rPr>
              <w:t>88</w:t>
            </w:r>
            <w:r w:rsidR="00921C18">
              <w:rPr>
                <w:rFonts w:ascii="Calibri" w:hAnsi="Calibri"/>
                <w:sz w:val="22"/>
              </w:rPr>
              <w:t>4</w:t>
            </w:r>
          </w:p>
        </w:tc>
        <w:tc>
          <w:tcPr>
            <w:tcW w:w="1311" w:type="dxa"/>
            <w:vAlign w:val="center"/>
          </w:tcPr>
          <w:p w:rsidR="00053234" w:rsidRPr="00543968" w:rsidRDefault="00053234" w:rsidP="00921C18">
            <w:pPr>
              <w:spacing w:after="0"/>
              <w:jc w:val="center"/>
              <w:rPr>
                <w:rFonts w:ascii="Calibri" w:hAnsi="Calibri"/>
                <w:sz w:val="22"/>
                <w:highlight w:val="yellow"/>
              </w:rPr>
            </w:pPr>
            <w:r w:rsidRPr="00543968">
              <w:rPr>
                <w:rFonts w:ascii="Calibri" w:hAnsi="Calibri"/>
                <w:sz w:val="22"/>
              </w:rPr>
              <w:t>0.</w:t>
            </w:r>
            <w:r w:rsidR="00921C18" w:rsidRPr="00543968">
              <w:rPr>
                <w:rFonts w:ascii="Calibri" w:hAnsi="Calibri"/>
                <w:sz w:val="22"/>
              </w:rPr>
              <w:t>94</w:t>
            </w:r>
            <w:r w:rsidR="00921C18">
              <w:rPr>
                <w:rFonts w:ascii="Calibri" w:hAnsi="Calibri"/>
                <w:sz w:val="22"/>
              </w:rPr>
              <w:t>8</w:t>
            </w:r>
          </w:p>
        </w:tc>
        <w:tc>
          <w:tcPr>
            <w:tcW w:w="1132" w:type="dxa"/>
            <w:vAlign w:val="center"/>
          </w:tcPr>
          <w:p w:rsidR="00053234" w:rsidRPr="00543968" w:rsidRDefault="00053234" w:rsidP="00543968">
            <w:pPr>
              <w:spacing w:after="0"/>
              <w:jc w:val="center"/>
              <w:rPr>
                <w:rFonts w:ascii="Calibri" w:hAnsi="Calibri"/>
                <w:sz w:val="22"/>
                <w:highlight w:val="yellow"/>
              </w:rPr>
            </w:pPr>
            <w:r w:rsidRPr="00543968">
              <w:rPr>
                <w:rFonts w:ascii="Calibri" w:hAnsi="Calibri"/>
                <w:sz w:val="22"/>
              </w:rPr>
              <w:t>0.96</w:t>
            </w:r>
            <w:r w:rsidR="00921C18">
              <w:rPr>
                <w:rFonts w:ascii="Calibri" w:hAnsi="Calibri"/>
                <w:sz w:val="22"/>
              </w:rPr>
              <w:t>7</w:t>
            </w:r>
          </w:p>
        </w:tc>
        <w:tc>
          <w:tcPr>
            <w:tcW w:w="1128" w:type="dxa"/>
            <w:vAlign w:val="center"/>
          </w:tcPr>
          <w:p w:rsidR="00053234" w:rsidRPr="00543968" w:rsidRDefault="00921C18" w:rsidP="00543968">
            <w:pPr>
              <w:spacing w:after="0"/>
              <w:jc w:val="center"/>
              <w:rPr>
                <w:rFonts w:ascii="Calibri" w:hAnsi="Calibri"/>
                <w:sz w:val="22"/>
                <w:highlight w:val="yellow"/>
              </w:rPr>
            </w:pPr>
            <w:r>
              <w:rPr>
                <w:rFonts w:ascii="Calibri" w:hAnsi="Calibri"/>
                <w:sz w:val="22"/>
              </w:rPr>
              <w:t>1.000</w:t>
            </w:r>
          </w:p>
        </w:tc>
        <w:tc>
          <w:tcPr>
            <w:tcW w:w="1032" w:type="dxa"/>
            <w:vAlign w:val="center"/>
          </w:tcPr>
          <w:p w:rsidR="00053234" w:rsidRPr="00543968" w:rsidRDefault="00053234" w:rsidP="00543968">
            <w:pPr>
              <w:spacing w:after="0"/>
              <w:jc w:val="center"/>
              <w:rPr>
                <w:rFonts w:ascii="Calibri" w:hAnsi="Calibri"/>
                <w:sz w:val="22"/>
                <w:highlight w:val="yellow"/>
              </w:rPr>
            </w:pPr>
            <w:r w:rsidRPr="00543968">
              <w:rPr>
                <w:rFonts w:ascii="Calibri" w:hAnsi="Calibri"/>
                <w:sz w:val="22"/>
              </w:rPr>
              <w:t>1.000</w:t>
            </w:r>
          </w:p>
        </w:tc>
      </w:tr>
      <w:tr w:rsidR="00053234" w:rsidRPr="00767441" w:rsidTr="00543968">
        <w:trPr>
          <w:trHeight w:val="537"/>
        </w:trPr>
        <w:tc>
          <w:tcPr>
            <w:tcW w:w="2673" w:type="dxa"/>
            <w:vAlign w:val="center"/>
          </w:tcPr>
          <w:p w:rsidR="00053234" w:rsidRPr="00543968" w:rsidRDefault="00053234" w:rsidP="00543968">
            <w:pPr>
              <w:spacing w:after="0"/>
              <w:rPr>
                <w:rFonts w:ascii="Calibri" w:hAnsi="Calibri"/>
                <w:b/>
                <w:sz w:val="22"/>
              </w:rPr>
            </w:pPr>
            <w:r w:rsidRPr="00543968">
              <w:rPr>
                <w:rFonts w:ascii="Calibri" w:hAnsi="Calibri"/>
                <w:b/>
                <w:sz w:val="22"/>
              </w:rPr>
              <w:t>Cost per weighted separation</w:t>
            </w:r>
          </w:p>
        </w:tc>
        <w:tc>
          <w:tcPr>
            <w:tcW w:w="1311" w:type="dxa"/>
            <w:vAlign w:val="center"/>
          </w:tcPr>
          <w:p w:rsidR="00053234" w:rsidRPr="00543968" w:rsidRDefault="00053234" w:rsidP="00921C18">
            <w:pPr>
              <w:spacing w:after="0"/>
              <w:jc w:val="center"/>
              <w:rPr>
                <w:rFonts w:ascii="Calibri" w:hAnsi="Calibri"/>
                <w:sz w:val="22"/>
                <w:highlight w:val="yellow"/>
              </w:rPr>
            </w:pPr>
            <w:r w:rsidRPr="00543968">
              <w:rPr>
                <w:rFonts w:ascii="Calibri" w:hAnsi="Calibri"/>
                <w:sz w:val="22"/>
              </w:rPr>
              <w:t>$</w:t>
            </w:r>
            <w:r w:rsidR="00921C18">
              <w:rPr>
                <w:rFonts w:ascii="Calibri" w:hAnsi="Calibri"/>
                <w:sz w:val="22"/>
              </w:rPr>
              <w:t>4,023</w:t>
            </w:r>
          </w:p>
        </w:tc>
        <w:tc>
          <w:tcPr>
            <w:tcW w:w="1311" w:type="dxa"/>
            <w:vAlign w:val="center"/>
          </w:tcPr>
          <w:p w:rsidR="00053234" w:rsidRPr="00543968" w:rsidRDefault="00053234" w:rsidP="00921C18">
            <w:pPr>
              <w:spacing w:after="0"/>
              <w:jc w:val="center"/>
              <w:rPr>
                <w:rFonts w:ascii="Calibri" w:hAnsi="Calibri"/>
                <w:sz w:val="22"/>
                <w:highlight w:val="yellow"/>
              </w:rPr>
            </w:pPr>
            <w:r w:rsidRPr="00543968">
              <w:rPr>
                <w:rFonts w:ascii="Calibri" w:hAnsi="Calibri"/>
                <w:sz w:val="22"/>
              </w:rPr>
              <w:t>$4,</w:t>
            </w:r>
            <w:r w:rsidR="00921C18">
              <w:rPr>
                <w:rFonts w:ascii="Calibri" w:hAnsi="Calibri"/>
                <w:sz w:val="22"/>
              </w:rPr>
              <w:t>312</w:t>
            </w:r>
          </w:p>
        </w:tc>
        <w:tc>
          <w:tcPr>
            <w:tcW w:w="1132" w:type="dxa"/>
            <w:vAlign w:val="center"/>
          </w:tcPr>
          <w:p w:rsidR="00053234" w:rsidRPr="00543968" w:rsidRDefault="00053234" w:rsidP="00921C18">
            <w:pPr>
              <w:spacing w:after="0"/>
              <w:jc w:val="center"/>
              <w:rPr>
                <w:rFonts w:ascii="Calibri" w:hAnsi="Calibri"/>
                <w:sz w:val="22"/>
                <w:highlight w:val="yellow"/>
              </w:rPr>
            </w:pPr>
            <w:r w:rsidRPr="00543968">
              <w:rPr>
                <w:rFonts w:ascii="Calibri" w:hAnsi="Calibri"/>
                <w:sz w:val="22"/>
              </w:rPr>
              <w:t>$4,</w:t>
            </w:r>
            <w:r w:rsidR="00921C18">
              <w:rPr>
                <w:rFonts w:ascii="Calibri" w:hAnsi="Calibri"/>
                <w:sz w:val="22"/>
              </w:rPr>
              <w:t>400</w:t>
            </w:r>
          </w:p>
        </w:tc>
        <w:tc>
          <w:tcPr>
            <w:tcW w:w="1128" w:type="dxa"/>
            <w:vAlign w:val="center"/>
          </w:tcPr>
          <w:p w:rsidR="00053234" w:rsidRPr="00543968" w:rsidRDefault="00053234" w:rsidP="00921C18">
            <w:pPr>
              <w:spacing w:after="0"/>
              <w:jc w:val="center"/>
              <w:rPr>
                <w:rFonts w:ascii="Calibri" w:hAnsi="Calibri"/>
                <w:sz w:val="22"/>
                <w:highlight w:val="yellow"/>
              </w:rPr>
            </w:pPr>
            <w:r w:rsidRPr="00543968">
              <w:rPr>
                <w:rFonts w:ascii="Calibri" w:hAnsi="Calibri"/>
                <w:sz w:val="22"/>
              </w:rPr>
              <w:t>$4,</w:t>
            </w:r>
            <w:r w:rsidR="00921C18" w:rsidRPr="00543968">
              <w:rPr>
                <w:rFonts w:ascii="Calibri" w:hAnsi="Calibri"/>
                <w:sz w:val="22"/>
              </w:rPr>
              <w:t>5</w:t>
            </w:r>
            <w:r w:rsidR="00921C18">
              <w:rPr>
                <w:rFonts w:ascii="Calibri" w:hAnsi="Calibri"/>
                <w:sz w:val="22"/>
              </w:rPr>
              <w:t>48</w:t>
            </w:r>
          </w:p>
        </w:tc>
        <w:tc>
          <w:tcPr>
            <w:tcW w:w="1032" w:type="dxa"/>
            <w:vAlign w:val="center"/>
          </w:tcPr>
          <w:p w:rsidR="00053234" w:rsidRPr="00543968" w:rsidRDefault="00053234" w:rsidP="00921C18">
            <w:pPr>
              <w:spacing w:after="0"/>
              <w:jc w:val="center"/>
              <w:rPr>
                <w:rFonts w:ascii="Calibri" w:hAnsi="Calibri"/>
                <w:sz w:val="22"/>
                <w:highlight w:val="yellow"/>
              </w:rPr>
            </w:pPr>
            <w:r w:rsidRPr="00543968">
              <w:rPr>
                <w:rFonts w:ascii="Calibri" w:hAnsi="Calibri"/>
                <w:sz w:val="22"/>
              </w:rPr>
              <w:t>$</w:t>
            </w:r>
            <w:r w:rsidR="00921C18" w:rsidRPr="00543968">
              <w:rPr>
                <w:rFonts w:ascii="Calibri" w:hAnsi="Calibri"/>
                <w:sz w:val="22"/>
              </w:rPr>
              <w:t>45</w:t>
            </w:r>
            <w:r w:rsidR="00921C18">
              <w:rPr>
                <w:rFonts w:ascii="Calibri" w:hAnsi="Calibri"/>
                <w:sz w:val="22"/>
              </w:rPr>
              <w:t>49</w:t>
            </w:r>
          </w:p>
        </w:tc>
      </w:tr>
    </w:tbl>
    <w:p w:rsidR="00460371" w:rsidRPr="00767441" w:rsidRDefault="00460371" w:rsidP="00AD4FFC">
      <w:pPr>
        <w:keepNext/>
        <w:spacing w:before="100" w:beforeAutospacing="1" w:after="100" w:afterAutospacing="1"/>
        <w:contextualSpacing/>
        <w:jc w:val="center"/>
        <w:rPr>
          <w:rFonts w:ascii="Calibri" w:eastAsia="Calibri" w:hAnsi="Calibri"/>
          <w:b/>
          <w:bCs/>
          <w:sz w:val="18"/>
          <w:szCs w:val="18"/>
        </w:rPr>
      </w:pP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 xml:space="preserve">The next step in the process of deriving an annual indexation rate is to model a line of best fit against the time series of cost ratios (or equivalently, against the time series of costs per weighted separation). This line of best fit is used to estimate the projected annual inflation factor </w:t>
      </w:r>
      <w:proofErr w:type="spellStart"/>
      <w:r w:rsidRPr="00767441">
        <w:rPr>
          <w:rFonts w:ascii="Calibri" w:eastAsia="Calibri" w:hAnsi="Calibri"/>
          <w:i/>
          <w:sz w:val="24"/>
          <w:szCs w:val="24"/>
        </w:rPr>
        <w:t>s</w:t>
      </w:r>
      <w:proofErr w:type="spellEnd"/>
      <w:r w:rsidRPr="00767441">
        <w:rPr>
          <w:rFonts w:ascii="Calibri" w:eastAsia="Calibri" w:hAnsi="Calibri"/>
          <w:sz w:val="24"/>
          <w:szCs w:val="24"/>
        </w:rPr>
        <w:t xml:space="preserve"> shown in </w:t>
      </w:r>
      <w:r w:rsidR="009419AC">
        <w:rPr>
          <w:rFonts w:ascii="Calibri" w:eastAsia="Calibri" w:hAnsi="Calibri"/>
          <w:sz w:val="24"/>
          <w:szCs w:val="24"/>
        </w:rPr>
        <w:t>Figure 3</w:t>
      </w:r>
      <w:r w:rsidRPr="00767441">
        <w:rPr>
          <w:rFonts w:ascii="Calibri" w:eastAsia="Calibri" w:hAnsi="Calibri"/>
          <w:sz w:val="24"/>
          <w:szCs w:val="24"/>
        </w:rPr>
        <w:t>.</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 xml:space="preserve">Given that the inflation factor </w:t>
      </w:r>
      <w:proofErr w:type="spellStart"/>
      <w:r w:rsidRPr="00767441">
        <w:rPr>
          <w:rFonts w:ascii="Calibri" w:eastAsia="Calibri" w:hAnsi="Calibri"/>
          <w:i/>
          <w:sz w:val="24"/>
          <w:szCs w:val="24"/>
        </w:rPr>
        <w:t>s</w:t>
      </w:r>
      <w:proofErr w:type="spellEnd"/>
      <w:r w:rsidRPr="00767441">
        <w:rPr>
          <w:rFonts w:ascii="Calibri" w:eastAsia="Calibri" w:hAnsi="Calibri"/>
          <w:sz w:val="24"/>
          <w:szCs w:val="24"/>
        </w:rPr>
        <w:t xml:space="preserve"> being modelled is an annual growth rate (i.e. </w:t>
      </w:r>
      <w:r w:rsidRPr="00767441">
        <w:rPr>
          <w:rFonts w:ascii="Calibri" w:eastAsia="Calibri" w:hAnsi="Calibri"/>
          <w:i/>
          <w:sz w:val="24"/>
          <w:szCs w:val="24"/>
        </w:rPr>
        <w:t>s</w:t>
      </w:r>
      <w:r>
        <w:rPr>
          <w:rFonts w:ascii="Calibri" w:eastAsia="Calibri" w:hAnsi="Calibri"/>
          <w:i/>
          <w:sz w:val="24"/>
          <w:szCs w:val="24"/>
        </w:rPr>
        <w:t xml:space="preserve"> </w:t>
      </w:r>
      <w:r w:rsidRPr="00767441">
        <w:rPr>
          <w:rFonts w:ascii="Calibri" w:eastAsia="Calibri" w:hAnsi="Calibri"/>
          <w:sz w:val="24"/>
          <w:szCs w:val="24"/>
        </w:rPr>
        <w:t>≈</w:t>
      </w:r>
      <w:r>
        <w:rPr>
          <w:rFonts w:ascii="Calibri" w:eastAsia="Calibri" w:hAnsi="Calibri"/>
          <w:sz w:val="24"/>
          <w:szCs w:val="24"/>
        </w:rPr>
        <w:t xml:space="preserve"> </w:t>
      </w:r>
      <w:r w:rsidRPr="00767441">
        <w:rPr>
          <w:rFonts w:ascii="Calibri" w:eastAsia="Calibri" w:hAnsi="Calibri"/>
          <w:i/>
          <w:sz w:val="24"/>
          <w:szCs w:val="24"/>
        </w:rPr>
        <w:t>s</w:t>
      </w:r>
      <w:r w:rsidRPr="00767441">
        <w:rPr>
          <w:rFonts w:ascii="Calibri" w:eastAsia="Calibri" w:hAnsi="Calibri"/>
          <w:sz w:val="24"/>
          <w:szCs w:val="24"/>
          <w:vertAlign w:val="subscript"/>
        </w:rPr>
        <w:t>x+1</w:t>
      </w:r>
      <w:r w:rsidRPr="00767441">
        <w:rPr>
          <w:rFonts w:ascii="Calibri" w:eastAsia="Calibri" w:hAnsi="Calibri"/>
          <w:sz w:val="24"/>
          <w:szCs w:val="24"/>
        </w:rPr>
        <w:t xml:space="preserve"> / </w:t>
      </w:r>
      <w:proofErr w:type="spellStart"/>
      <w:r w:rsidRPr="00767441">
        <w:rPr>
          <w:rFonts w:ascii="Calibri" w:eastAsia="Calibri" w:hAnsi="Calibri"/>
          <w:i/>
          <w:sz w:val="24"/>
          <w:szCs w:val="24"/>
        </w:rPr>
        <w:t>s</w:t>
      </w:r>
      <w:r w:rsidRPr="00767441">
        <w:rPr>
          <w:rFonts w:ascii="Calibri" w:eastAsia="Calibri" w:hAnsi="Calibri"/>
          <w:sz w:val="24"/>
          <w:szCs w:val="24"/>
          <w:vertAlign w:val="subscript"/>
        </w:rPr>
        <w:t>x</w:t>
      </w:r>
      <w:proofErr w:type="spellEnd"/>
      <w:r w:rsidRPr="00767441">
        <w:rPr>
          <w:rFonts w:ascii="Calibri" w:eastAsia="Calibri" w:hAnsi="Calibri"/>
          <w:sz w:val="24"/>
          <w:szCs w:val="24"/>
        </w:rPr>
        <w:t xml:space="preserve">) as opposed to an arithmetic change each year (i.e. </w:t>
      </w:r>
      <w:r w:rsidRPr="00767441">
        <w:rPr>
          <w:rFonts w:ascii="Calibri" w:eastAsia="Calibri" w:hAnsi="Calibri"/>
          <w:i/>
          <w:sz w:val="24"/>
          <w:szCs w:val="24"/>
        </w:rPr>
        <w:t>s</w:t>
      </w:r>
      <w:r w:rsidRPr="00767441">
        <w:rPr>
          <w:rFonts w:ascii="Calibri" w:eastAsia="Calibri" w:hAnsi="Calibri"/>
          <w:sz w:val="24"/>
          <w:szCs w:val="24"/>
          <w:vertAlign w:val="subscript"/>
        </w:rPr>
        <w:t>x+1</w:t>
      </w:r>
      <w:r w:rsidRPr="00767441">
        <w:rPr>
          <w:rFonts w:ascii="Calibri" w:eastAsia="Calibri" w:hAnsi="Calibri"/>
          <w:sz w:val="24"/>
          <w:szCs w:val="24"/>
        </w:rPr>
        <w:t xml:space="preserve"> </w:t>
      </w:r>
      <w:r w:rsidRPr="00767441">
        <w:rPr>
          <w:rFonts w:ascii="Calibri" w:eastAsia="Calibri" w:hAnsi="Calibri"/>
          <w:sz w:val="24"/>
          <w:szCs w:val="24"/>
        </w:rPr>
        <w:sym w:font="Symbol" w:char="F02D"/>
      </w:r>
      <w:r w:rsidRPr="00767441">
        <w:rPr>
          <w:rFonts w:ascii="Calibri" w:eastAsia="Calibri" w:hAnsi="Calibri"/>
          <w:sz w:val="24"/>
          <w:szCs w:val="24"/>
        </w:rPr>
        <w:t xml:space="preserve"> </w:t>
      </w:r>
      <w:proofErr w:type="spellStart"/>
      <w:r w:rsidRPr="00767441">
        <w:rPr>
          <w:rFonts w:ascii="Calibri" w:eastAsia="Calibri" w:hAnsi="Calibri"/>
          <w:i/>
          <w:sz w:val="24"/>
          <w:szCs w:val="24"/>
        </w:rPr>
        <w:t>s</w:t>
      </w:r>
      <w:r w:rsidRPr="00767441">
        <w:rPr>
          <w:rFonts w:ascii="Calibri" w:eastAsia="Calibri" w:hAnsi="Calibri"/>
          <w:sz w:val="24"/>
          <w:szCs w:val="24"/>
          <w:vertAlign w:val="subscript"/>
        </w:rPr>
        <w:t>x</w:t>
      </w:r>
      <w:proofErr w:type="spellEnd"/>
      <w:r w:rsidRPr="00767441">
        <w:rPr>
          <w:rFonts w:ascii="Calibri" w:eastAsia="Calibri" w:hAnsi="Calibri"/>
          <w:sz w:val="24"/>
          <w:szCs w:val="24"/>
        </w:rPr>
        <w:t xml:space="preserve">), the line of best fit is taken to have an exponential form. In other words, an exponential form is chosen because exponential functions </w:t>
      </w:r>
      <w:proofErr w:type="spellStart"/>
      <w:r w:rsidRPr="00767441">
        <w:rPr>
          <w:rFonts w:ascii="Calibri" w:eastAsia="Calibri" w:hAnsi="Calibri"/>
          <w:i/>
          <w:sz w:val="24"/>
          <w:szCs w:val="24"/>
        </w:rPr>
        <w:t>A</w:t>
      </w:r>
      <w:r w:rsidRPr="00767441">
        <w:rPr>
          <w:rFonts w:ascii="Calibri" w:eastAsia="Calibri" w:hAnsi="Calibri"/>
          <w:sz w:val="24"/>
          <w:szCs w:val="24"/>
        </w:rPr>
        <w:t>e</w:t>
      </w:r>
      <w:r w:rsidRPr="00767441">
        <w:rPr>
          <w:rFonts w:ascii="Calibri" w:eastAsia="Calibri" w:hAnsi="Calibri"/>
          <w:i/>
          <w:sz w:val="24"/>
          <w:szCs w:val="24"/>
          <w:vertAlign w:val="superscript"/>
        </w:rPr>
        <w:t>Bx</w:t>
      </w:r>
      <w:proofErr w:type="spellEnd"/>
      <w:r w:rsidRPr="00767441">
        <w:rPr>
          <w:rFonts w:ascii="Calibri" w:eastAsia="Calibri" w:hAnsi="Calibri"/>
          <w:sz w:val="24"/>
          <w:szCs w:val="24"/>
        </w:rPr>
        <w:t xml:space="preserve"> have the characteristic that their annual growth rate is constant:</w:t>
      </w:r>
    </w:p>
    <w:p w:rsidR="00460371" w:rsidRPr="00767441" w:rsidRDefault="00460371" w:rsidP="00AD4FFC">
      <w:pPr>
        <w:spacing w:before="100" w:beforeAutospacing="1" w:after="100" w:afterAutospacing="1"/>
        <w:jc w:val="center"/>
        <w:rPr>
          <w:rFonts w:ascii="Calibri" w:eastAsia="Calibri" w:hAnsi="Calibri"/>
          <w:sz w:val="24"/>
          <w:szCs w:val="24"/>
        </w:rPr>
      </w:pPr>
      <w:proofErr w:type="spellStart"/>
      <w:r w:rsidRPr="00767441">
        <w:rPr>
          <w:rFonts w:ascii="Calibri" w:eastAsia="Calibri" w:hAnsi="Calibri"/>
          <w:i/>
          <w:sz w:val="24"/>
          <w:szCs w:val="24"/>
        </w:rPr>
        <w:t>A</w:t>
      </w:r>
      <w:r w:rsidRPr="00767441">
        <w:rPr>
          <w:rFonts w:ascii="Calibri" w:eastAsia="Calibri" w:hAnsi="Calibri"/>
          <w:sz w:val="24"/>
          <w:szCs w:val="24"/>
        </w:rPr>
        <w:t>e</w:t>
      </w:r>
      <w:r w:rsidRPr="00767441">
        <w:rPr>
          <w:rFonts w:ascii="Calibri" w:eastAsia="Calibri" w:hAnsi="Calibri"/>
          <w:i/>
          <w:sz w:val="24"/>
          <w:szCs w:val="24"/>
          <w:vertAlign w:val="superscript"/>
        </w:rPr>
        <w:t>B</w:t>
      </w:r>
      <w:proofErr w:type="spellEnd"/>
      <w:r w:rsidRPr="00767441">
        <w:rPr>
          <w:rFonts w:ascii="Calibri" w:eastAsia="Calibri" w:hAnsi="Calibri"/>
          <w:sz w:val="24"/>
          <w:szCs w:val="24"/>
          <w:vertAlign w:val="superscript"/>
        </w:rPr>
        <w:t>(</w:t>
      </w:r>
      <w:r w:rsidRPr="00767441">
        <w:rPr>
          <w:rFonts w:ascii="Calibri" w:eastAsia="Calibri" w:hAnsi="Calibri"/>
          <w:i/>
          <w:sz w:val="24"/>
          <w:szCs w:val="24"/>
          <w:vertAlign w:val="superscript"/>
        </w:rPr>
        <w:t>x</w:t>
      </w:r>
      <w:r w:rsidRPr="00767441">
        <w:rPr>
          <w:rFonts w:ascii="Calibri" w:eastAsia="Calibri" w:hAnsi="Calibri"/>
          <w:sz w:val="24"/>
          <w:szCs w:val="24"/>
          <w:vertAlign w:val="superscript"/>
        </w:rPr>
        <w:t>+1)</w:t>
      </w:r>
      <w:r w:rsidRPr="00767441">
        <w:rPr>
          <w:rFonts w:ascii="Calibri" w:eastAsia="Calibri" w:hAnsi="Calibri"/>
          <w:sz w:val="24"/>
          <w:szCs w:val="24"/>
        </w:rPr>
        <w:t xml:space="preserve"> / </w:t>
      </w:r>
      <w:proofErr w:type="spellStart"/>
      <w:r w:rsidRPr="00767441">
        <w:rPr>
          <w:rFonts w:ascii="Calibri" w:eastAsia="Calibri" w:hAnsi="Calibri"/>
          <w:i/>
          <w:sz w:val="24"/>
          <w:szCs w:val="24"/>
        </w:rPr>
        <w:t>A</w:t>
      </w:r>
      <w:r w:rsidRPr="00767441">
        <w:rPr>
          <w:rFonts w:ascii="Calibri" w:eastAsia="Calibri" w:hAnsi="Calibri"/>
          <w:sz w:val="24"/>
          <w:szCs w:val="24"/>
        </w:rPr>
        <w:t>e</w:t>
      </w:r>
      <w:r w:rsidRPr="00767441">
        <w:rPr>
          <w:rFonts w:ascii="Calibri" w:eastAsia="Calibri" w:hAnsi="Calibri"/>
          <w:i/>
          <w:sz w:val="24"/>
          <w:szCs w:val="24"/>
          <w:vertAlign w:val="superscript"/>
        </w:rPr>
        <w:t>Bx</w:t>
      </w:r>
      <w:proofErr w:type="spellEnd"/>
      <w:r>
        <w:rPr>
          <w:rFonts w:ascii="Calibri" w:eastAsia="Calibri" w:hAnsi="Calibri"/>
          <w:sz w:val="24"/>
          <w:szCs w:val="24"/>
        </w:rPr>
        <w:t xml:space="preserve"> </w:t>
      </w:r>
      <w:r w:rsidRPr="00767441">
        <w:rPr>
          <w:rFonts w:ascii="Calibri" w:eastAsia="Calibri" w:hAnsi="Calibri"/>
          <w:sz w:val="24"/>
          <w:szCs w:val="24"/>
        </w:rPr>
        <w:t>=</w:t>
      </w:r>
      <w:r>
        <w:rPr>
          <w:rFonts w:ascii="Calibri" w:eastAsia="Calibri" w:hAnsi="Calibri"/>
          <w:sz w:val="24"/>
          <w:szCs w:val="24"/>
        </w:rPr>
        <w:t xml:space="preserve"> </w:t>
      </w:r>
      <w:proofErr w:type="spellStart"/>
      <w:r w:rsidRPr="00767441">
        <w:rPr>
          <w:rFonts w:ascii="Calibri" w:eastAsia="Calibri" w:hAnsi="Calibri"/>
          <w:sz w:val="24"/>
          <w:szCs w:val="24"/>
        </w:rPr>
        <w:t>e</w:t>
      </w:r>
      <w:r w:rsidRPr="00767441">
        <w:rPr>
          <w:rFonts w:ascii="Calibri" w:eastAsia="Calibri" w:hAnsi="Calibri"/>
          <w:i/>
          <w:sz w:val="24"/>
          <w:szCs w:val="24"/>
          <w:vertAlign w:val="superscript"/>
        </w:rPr>
        <w:t>B</w:t>
      </w:r>
      <w:proofErr w:type="spellEnd"/>
      <w:r>
        <w:rPr>
          <w:rFonts w:ascii="Calibri" w:eastAsia="Calibri" w:hAnsi="Calibri"/>
          <w:sz w:val="24"/>
          <w:szCs w:val="24"/>
        </w:rPr>
        <w:t xml:space="preserve"> </w:t>
      </w:r>
      <w:r w:rsidRPr="00767441">
        <w:rPr>
          <w:rFonts w:ascii="Calibri" w:eastAsia="Calibri" w:hAnsi="Calibri"/>
          <w:sz w:val="24"/>
          <w:szCs w:val="24"/>
        </w:rPr>
        <w:t>=</w:t>
      </w:r>
      <w:r>
        <w:rPr>
          <w:rFonts w:ascii="Calibri" w:eastAsia="Calibri" w:hAnsi="Calibri"/>
          <w:sz w:val="24"/>
          <w:szCs w:val="24"/>
        </w:rPr>
        <w:t xml:space="preserve"> </w:t>
      </w:r>
      <w:r w:rsidRPr="00767441">
        <w:rPr>
          <w:rFonts w:ascii="Calibri" w:eastAsia="Calibri" w:hAnsi="Calibri"/>
          <w:sz w:val="24"/>
          <w:szCs w:val="24"/>
        </w:rPr>
        <w:t>constant.</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 xml:space="preserve">The exponential line of best fit is also modelled so that it passes through the </w:t>
      </w:r>
      <w:r w:rsidR="00B94FB5">
        <w:rPr>
          <w:rFonts w:ascii="Calibri" w:eastAsia="Calibri" w:hAnsi="Calibri"/>
          <w:sz w:val="24"/>
          <w:szCs w:val="24"/>
        </w:rPr>
        <w:t>2012-13</w:t>
      </w:r>
      <w:r w:rsidRPr="00767441">
        <w:rPr>
          <w:rFonts w:ascii="Calibri" w:eastAsia="Calibri" w:hAnsi="Calibri"/>
          <w:sz w:val="24"/>
          <w:szCs w:val="24"/>
        </w:rPr>
        <w:t xml:space="preserve"> observation to ensure that the resulting annual scaling factor applies to the </w:t>
      </w:r>
      <w:r w:rsidR="00B94FB5">
        <w:rPr>
          <w:rFonts w:ascii="Calibri" w:eastAsia="Calibri" w:hAnsi="Calibri"/>
          <w:sz w:val="24"/>
          <w:szCs w:val="24"/>
        </w:rPr>
        <w:t>2012-13</w:t>
      </w:r>
      <w:r w:rsidRPr="00767441">
        <w:rPr>
          <w:rFonts w:ascii="Calibri" w:eastAsia="Calibri" w:hAnsi="Calibri"/>
          <w:sz w:val="24"/>
          <w:szCs w:val="24"/>
        </w:rPr>
        <w:t xml:space="preserve"> cost ratio of 1 (or equivalently, to the </w:t>
      </w:r>
      <w:r w:rsidR="00B94FB5">
        <w:rPr>
          <w:rFonts w:ascii="Calibri" w:eastAsia="Calibri" w:hAnsi="Calibri"/>
          <w:sz w:val="24"/>
          <w:szCs w:val="24"/>
        </w:rPr>
        <w:t>2012-13</w:t>
      </w:r>
      <w:r w:rsidRPr="00767441">
        <w:rPr>
          <w:rFonts w:ascii="Calibri" w:eastAsia="Calibri" w:hAnsi="Calibri"/>
          <w:sz w:val="24"/>
          <w:szCs w:val="24"/>
        </w:rPr>
        <w:t xml:space="preserve"> reference cost of </w:t>
      </w:r>
      <w:r w:rsidR="003667FD" w:rsidRPr="00767441">
        <w:rPr>
          <w:rFonts w:ascii="Calibri" w:eastAsia="Calibri" w:hAnsi="Calibri"/>
          <w:sz w:val="24"/>
          <w:szCs w:val="24"/>
        </w:rPr>
        <w:t>$</w:t>
      </w:r>
      <w:r w:rsidR="00921C18" w:rsidRPr="002F5D74">
        <w:rPr>
          <w:rFonts w:ascii="Calibri" w:eastAsia="Calibri" w:hAnsi="Calibri"/>
          <w:sz w:val="24"/>
          <w:szCs w:val="24"/>
        </w:rPr>
        <w:t>45</w:t>
      </w:r>
      <w:r w:rsidR="00921C18">
        <w:rPr>
          <w:rFonts w:ascii="Calibri" w:eastAsia="Calibri" w:hAnsi="Calibri"/>
          <w:sz w:val="24"/>
          <w:szCs w:val="24"/>
        </w:rPr>
        <w:t>49</w:t>
      </w:r>
      <w:r w:rsidRPr="00767441">
        <w:rPr>
          <w:rFonts w:ascii="Calibri" w:eastAsia="Calibri" w:hAnsi="Calibri"/>
          <w:sz w:val="24"/>
          <w:szCs w:val="24"/>
        </w:rPr>
        <w:t>).</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 xml:space="preserve">The time series and associated exponential line of best fit are shown in </w:t>
      </w:r>
      <w:r w:rsidR="003667FD">
        <w:rPr>
          <w:rFonts w:ascii="Calibri" w:eastAsia="Calibri" w:hAnsi="Calibri"/>
          <w:sz w:val="24"/>
          <w:szCs w:val="24"/>
        </w:rPr>
        <w:t xml:space="preserve">Figure </w:t>
      </w:r>
      <w:r w:rsidR="00EF2711">
        <w:rPr>
          <w:rFonts w:ascii="Calibri" w:eastAsia="Calibri" w:hAnsi="Calibri"/>
          <w:sz w:val="24"/>
          <w:szCs w:val="24"/>
        </w:rPr>
        <w:t>4</w:t>
      </w:r>
      <w:r w:rsidRPr="00767441">
        <w:rPr>
          <w:rFonts w:ascii="Calibri" w:eastAsia="Calibri" w:hAnsi="Calibri"/>
          <w:sz w:val="24"/>
          <w:szCs w:val="24"/>
        </w:rPr>
        <w:t xml:space="preserve">. The two equations displayed in </w:t>
      </w:r>
      <w:r w:rsidR="003667FD">
        <w:rPr>
          <w:rFonts w:ascii="Calibri" w:eastAsia="Calibri" w:hAnsi="Calibri"/>
          <w:sz w:val="24"/>
          <w:szCs w:val="24"/>
        </w:rPr>
        <w:t xml:space="preserve">Figure </w:t>
      </w:r>
      <w:r w:rsidR="00EF2711">
        <w:rPr>
          <w:rFonts w:ascii="Calibri" w:eastAsia="Calibri" w:hAnsi="Calibri"/>
          <w:sz w:val="24"/>
          <w:szCs w:val="24"/>
        </w:rPr>
        <w:t>4</w:t>
      </w:r>
      <w:r w:rsidRPr="00767441">
        <w:rPr>
          <w:rFonts w:ascii="Calibri" w:eastAsia="Calibri" w:hAnsi="Calibri"/>
          <w:sz w:val="24"/>
          <w:szCs w:val="24"/>
        </w:rPr>
        <w:t xml:space="preserve"> represent the exponential line expressed in terms of the cost ratio time series and the cost per weighted separation time series.</w:t>
      </w:r>
    </w:p>
    <w:p w:rsidR="00460371" w:rsidRPr="005D6C78" w:rsidRDefault="00460371" w:rsidP="005D6C78">
      <w:pPr>
        <w:keepNext/>
        <w:spacing w:before="100" w:beforeAutospacing="1"/>
        <w:rPr>
          <w:rFonts w:ascii="Calibri" w:eastAsia="Calibri" w:hAnsi="Calibri"/>
          <w:b/>
          <w:bCs/>
        </w:rPr>
      </w:pPr>
      <w:bookmarkStart w:id="404" w:name="_Ref350340658"/>
      <w:r w:rsidRPr="005D6C78">
        <w:rPr>
          <w:rFonts w:ascii="Calibri" w:eastAsia="Calibri" w:hAnsi="Calibri"/>
          <w:b/>
          <w:bCs/>
        </w:rPr>
        <w:t xml:space="preserve">Figure </w:t>
      </w:r>
      <w:bookmarkEnd w:id="404"/>
      <w:r w:rsidR="00EF2711" w:rsidRPr="005D6C78">
        <w:rPr>
          <w:rFonts w:ascii="Calibri" w:eastAsia="Calibri" w:hAnsi="Calibri"/>
          <w:b/>
          <w:bCs/>
        </w:rPr>
        <w:t>4</w:t>
      </w:r>
      <w:r w:rsidRPr="005D6C78">
        <w:rPr>
          <w:rFonts w:ascii="Calibri" w:eastAsia="Calibri" w:hAnsi="Calibri"/>
          <w:b/>
          <w:bCs/>
        </w:rPr>
        <w:t>: Time series of cost ratio and cost per weighted separation with exponential line of best fit</w:t>
      </w:r>
    </w:p>
    <w:p w:rsidR="00460371" w:rsidRPr="00767441" w:rsidRDefault="00FA0D4B" w:rsidP="00AD4FFC">
      <w:pPr>
        <w:spacing w:before="100" w:beforeAutospacing="1" w:after="100" w:afterAutospacing="1"/>
        <w:jc w:val="center"/>
        <w:rPr>
          <w:rFonts w:ascii="Calibri" w:eastAsia="Calibri" w:hAnsi="Calibri"/>
          <w:sz w:val="24"/>
          <w:szCs w:val="24"/>
        </w:rPr>
      </w:pPr>
      <w:r>
        <w:rPr>
          <w:rFonts w:ascii="Calibri" w:eastAsia="Calibri" w:hAnsi="Calibri"/>
          <w:noProof/>
          <w:sz w:val="24"/>
          <w:lang w:eastAsia="en-AU"/>
        </w:rPr>
        <w:drawing>
          <wp:inline distT="0" distB="0" distL="0" distR="0" wp14:anchorId="620E338E" wp14:editId="55DCB636">
            <wp:extent cx="5067300" cy="3371850"/>
            <wp:effectExtent l="0" t="0" r="0" b="0"/>
            <wp:docPr id="2" name="Picture 2" descr="An explanation of Figure 4 is outlined in the text before and after this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7300" cy="3371850"/>
                    </a:xfrm>
                    <a:prstGeom prst="rect">
                      <a:avLst/>
                    </a:prstGeom>
                    <a:noFill/>
                    <a:ln>
                      <a:noFill/>
                    </a:ln>
                  </pic:spPr>
                </pic:pic>
              </a:graphicData>
            </a:graphic>
          </wp:inline>
        </w:drawing>
      </w:r>
      <w:r w:rsidR="00460371" w:rsidRPr="00767441">
        <w:rPr>
          <w:rFonts w:ascii="Calibri" w:eastAsia="Calibri" w:hAnsi="Calibri"/>
          <w:sz w:val="24"/>
        </w:rPr>
        <w:t xml:space="preserve"> </w:t>
      </w:r>
    </w:p>
    <w:p w:rsidR="00460371" w:rsidRPr="00767441" w:rsidRDefault="00460371" w:rsidP="00AD4FFC">
      <w:pPr>
        <w:spacing w:before="100" w:beforeAutospacing="1" w:after="100" w:afterAutospacing="1"/>
        <w:rPr>
          <w:rFonts w:ascii="Calibri" w:eastAsia="Calibri" w:hAnsi="Calibri"/>
          <w:sz w:val="24"/>
          <w:szCs w:val="24"/>
        </w:rPr>
      </w:pPr>
      <w:r w:rsidRPr="00767441">
        <w:rPr>
          <w:rFonts w:ascii="Calibri" w:eastAsia="Calibri" w:hAnsi="Calibri"/>
          <w:sz w:val="24"/>
          <w:szCs w:val="24"/>
        </w:rPr>
        <w:t xml:space="preserve">Note that although the two equations in </w:t>
      </w:r>
      <w:r w:rsidR="003667FD">
        <w:rPr>
          <w:rFonts w:ascii="Calibri" w:eastAsia="Calibri" w:hAnsi="Calibri"/>
          <w:sz w:val="24"/>
          <w:szCs w:val="24"/>
        </w:rPr>
        <w:t xml:space="preserve">Figure </w:t>
      </w:r>
      <w:r w:rsidR="00EF2711">
        <w:rPr>
          <w:rFonts w:ascii="Calibri" w:eastAsia="Calibri" w:hAnsi="Calibri"/>
          <w:sz w:val="24"/>
          <w:szCs w:val="24"/>
        </w:rPr>
        <w:t>4</w:t>
      </w:r>
      <w:r w:rsidRPr="00767441">
        <w:rPr>
          <w:rFonts w:ascii="Calibri" w:eastAsia="Calibri" w:hAnsi="Calibri"/>
          <w:sz w:val="24"/>
          <w:szCs w:val="24"/>
        </w:rPr>
        <w:t xml:space="preserve"> have different coefficients multiplying the exponential function (i.e. 1.000 and $4</w:t>
      </w:r>
      <w:r w:rsidR="00FA0D4B">
        <w:rPr>
          <w:rFonts w:ascii="Calibri" w:eastAsia="Calibri" w:hAnsi="Calibri"/>
          <w:sz w:val="24"/>
          <w:szCs w:val="24"/>
        </w:rPr>
        <w:t>549</w:t>
      </w:r>
      <w:r w:rsidRPr="00767441">
        <w:rPr>
          <w:rFonts w:ascii="Calibri" w:eastAsia="Calibri" w:hAnsi="Calibri"/>
          <w:sz w:val="24"/>
          <w:szCs w:val="24"/>
        </w:rPr>
        <w:t xml:space="preserve">), both have precisely the same coefficient inside the exponential function (i.e. </w:t>
      </w:r>
      <w:r w:rsidR="00FA0D4B">
        <w:rPr>
          <w:rFonts w:ascii="Calibri" w:eastAsia="Calibri" w:hAnsi="Calibri"/>
          <w:sz w:val="24"/>
          <w:szCs w:val="24"/>
        </w:rPr>
        <w:t>0.0292</w:t>
      </w:r>
      <w:r w:rsidRPr="00767441">
        <w:rPr>
          <w:rFonts w:ascii="Calibri" w:eastAsia="Calibri" w:hAnsi="Calibri"/>
          <w:sz w:val="24"/>
          <w:szCs w:val="24"/>
        </w:rPr>
        <w:t xml:space="preserve">). The two different coefficients multiplying the exponential function represent the estimated cost ratio and cost per weighted separation in ‘year zero’ (i.e. x = 0), which is </w:t>
      </w:r>
      <w:r w:rsidR="00B94FB5">
        <w:rPr>
          <w:rFonts w:ascii="Calibri" w:eastAsia="Calibri" w:hAnsi="Calibri"/>
          <w:sz w:val="24"/>
          <w:szCs w:val="24"/>
        </w:rPr>
        <w:t>2012-13</w:t>
      </w:r>
      <w:r w:rsidRPr="00767441">
        <w:rPr>
          <w:rFonts w:ascii="Calibri" w:eastAsia="Calibri" w:hAnsi="Calibri"/>
          <w:sz w:val="24"/>
          <w:szCs w:val="24"/>
        </w:rPr>
        <w:t>. That is, the regressi</w:t>
      </w:r>
      <w:r w:rsidR="00EF2711">
        <w:rPr>
          <w:rFonts w:ascii="Calibri" w:eastAsia="Calibri" w:hAnsi="Calibri"/>
          <w:sz w:val="24"/>
          <w:szCs w:val="24"/>
        </w:rPr>
        <w:t xml:space="preserve">on modelled cost ratio for </w:t>
      </w:r>
      <w:r w:rsidR="00B94FB5">
        <w:rPr>
          <w:rFonts w:ascii="Calibri" w:eastAsia="Calibri" w:hAnsi="Calibri"/>
          <w:sz w:val="24"/>
          <w:szCs w:val="24"/>
        </w:rPr>
        <w:t>2012</w:t>
      </w:r>
      <w:r w:rsidR="006073EE">
        <w:rPr>
          <w:rFonts w:ascii="Calibri" w:eastAsia="Calibri" w:hAnsi="Calibri"/>
          <w:sz w:val="24"/>
          <w:szCs w:val="24"/>
        </w:rPr>
        <w:noBreakHyphen/>
      </w:r>
      <w:r w:rsidR="00B94FB5">
        <w:rPr>
          <w:rFonts w:ascii="Calibri" w:eastAsia="Calibri" w:hAnsi="Calibri"/>
          <w:sz w:val="24"/>
          <w:szCs w:val="24"/>
        </w:rPr>
        <w:t>13</w:t>
      </w:r>
      <w:r w:rsidRPr="00767441">
        <w:rPr>
          <w:rFonts w:ascii="Calibri" w:eastAsia="Calibri" w:hAnsi="Calibri"/>
          <w:sz w:val="24"/>
          <w:szCs w:val="24"/>
        </w:rPr>
        <w:t xml:space="preserve"> is 1.000 and the modelled cost per weighted separation for </w:t>
      </w:r>
      <w:r w:rsidR="00B94FB5">
        <w:rPr>
          <w:rFonts w:ascii="Calibri" w:eastAsia="Calibri" w:hAnsi="Calibri"/>
          <w:sz w:val="24"/>
          <w:szCs w:val="24"/>
        </w:rPr>
        <w:t>2012-13</w:t>
      </w:r>
      <w:r w:rsidRPr="00767441">
        <w:rPr>
          <w:rFonts w:ascii="Calibri" w:eastAsia="Calibri" w:hAnsi="Calibri"/>
          <w:sz w:val="24"/>
          <w:szCs w:val="24"/>
        </w:rPr>
        <w:t xml:space="preserve"> is $4</w:t>
      </w:r>
      <w:r w:rsidR="006073EE">
        <w:rPr>
          <w:rFonts w:ascii="Calibri" w:eastAsia="Calibri" w:hAnsi="Calibri"/>
          <w:sz w:val="24"/>
          <w:szCs w:val="24"/>
        </w:rPr>
        <w:t>549</w:t>
      </w:r>
      <w:r w:rsidRPr="00767441">
        <w:rPr>
          <w:rFonts w:ascii="Calibri" w:eastAsia="Calibri" w:hAnsi="Calibri"/>
          <w:sz w:val="24"/>
          <w:szCs w:val="24"/>
        </w:rPr>
        <w:t>.</w:t>
      </w:r>
    </w:p>
    <w:p w:rsidR="00460371" w:rsidRPr="00767441" w:rsidRDefault="00460371" w:rsidP="00AD4FFC">
      <w:pPr>
        <w:spacing w:before="100" w:beforeAutospacing="1" w:after="240"/>
        <w:rPr>
          <w:rFonts w:ascii="Calibri" w:eastAsia="Calibri" w:hAnsi="Calibri"/>
          <w:sz w:val="24"/>
          <w:szCs w:val="24"/>
        </w:rPr>
      </w:pPr>
      <w:r w:rsidRPr="00767441">
        <w:rPr>
          <w:rFonts w:ascii="Calibri" w:eastAsia="Calibri" w:hAnsi="Calibri"/>
          <w:sz w:val="24"/>
          <w:szCs w:val="24"/>
        </w:rPr>
        <w:t xml:space="preserve">The regression modelled estimates of cost ratio and cost per weighted separation for each of the years from 2007-08 to </w:t>
      </w:r>
      <w:r w:rsidR="00B94FB5">
        <w:rPr>
          <w:rFonts w:ascii="Calibri" w:eastAsia="Calibri" w:hAnsi="Calibri"/>
          <w:sz w:val="24"/>
          <w:szCs w:val="24"/>
        </w:rPr>
        <w:t>2012-13</w:t>
      </w:r>
      <w:r w:rsidRPr="00767441">
        <w:rPr>
          <w:rFonts w:ascii="Calibri" w:eastAsia="Calibri" w:hAnsi="Calibri"/>
          <w:sz w:val="24"/>
          <w:szCs w:val="24"/>
        </w:rPr>
        <w:t xml:space="preserve"> are given by substituting x = -4,…</w:t>
      </w:r>
      <w:proofErr w:type="gramStart"/>
      <w:r w:rsidRPr="00767441">
        <w:rPr>
          <w:rFonts w:ascii="Calibri" w:eastAsia="Calibri" w:hAnsi="Calibri"/>
          <w:sz w:val="24"/>
          <w:szCs w:val="24"/>
        </w:rPr>
        <w:t>,0</w:t>
      </w:r>
      <w:proofErr w:type="gramEnd"/>
      <w:r w:rsidRPr="00767441">
        <w:rPr>
          <w:rFonts w:ascii="Calibri" w:eastAsia="Calibri" w:hAnsi="Calibri"/>
          <w:sz w:val="24"/>
          <w:szCs w:val="24"/>
        </w:rPr>
        <w:t xml:space="preserve"> into the equations. For example, substituting x = 0 into the equations results in the </w:t>
      </w:r>
      <w:r w:rsidR="00B94FB5">
        <w:rPr>
          <w:rFonts w:ascii="Calibri" w:eastAsia="Calibri" w:hAnsi="Calibri"/>
          <w:sz w:val="24"/>
          <w:szCs w:val="24"/>
        </w:rPr>
        <w:t>2012-13</w:t>
      </w:r>
      <w:r w:rsidRPr="00767441">
        <w:rPr>
          <w:rFonts w:ascii="Calibri" w:eastAsia="Calibri" w:hAnsi="Calibri"/>
          <w:sz w:val="24"/>
          <w:szCs w:val="24"/>
        </w:rPr>
        <w:t xml:space="preserve"> cost ratio and cost per weighted separation:</w:t>
      </w:r>
    </w:p>
    <w:p w:rsidR="006073EE" w:rsidRPr="005174BC" w:rsidRDefault="006073EE" w:rsidP="006073EE">
      <w:pPr>
        <w:rPr>
          <w:rFonts w:ascii="Arial" w:eastAsia="Times New Roman" w:hAnsi="Arial" w:cs="Arial"/>
        </w:rPr>
      </w:pPr>
      <m:oMathPara>
        <m:oMath>
          <m:r>
            <m:rPr>
              <m:sty m:val="p"/>
            </m:rPr>
            <w:rPr>
              <w:rFonts w:ascii="Cambria Math" w:hAnsi="Cambria Math" w:cs="Arial"/>
            </w:rPr>
            <m:t>2012-13</m:t>
          </m:r>
          <m:r>
            <m:rPr>
              <m:sty m:val="b"/>
              <m:aln/>
            </m:rPr>
            <w:rPr>
              <w:rFonts w:ascii="Cambria Math" w:hAnsi="Cambria Math"/>
            </w:rPr>
            <m:t>=</m:t>
          </m:r>
          <m:d>
            <m:dPr>
              <m:ctrlPr>
                <w:rPr>
                  <w:rFonts w:ascii="Cambria Math" w:hAnsi="Cambria Math"/>
                  <w:b/>
                </w:rPr>
              </m:ctrlPr>
            </m:dPr>
            <m:e>
              <m:r>
                <m:rPr>
                  <m:sty m:val="p"/>
                </m:rPr>
                <w:rPr>
                  <w:rFonts w:ascii="Cambria Math" w:hAnsi="Cambria Math"/>
                </w:rPr>
                <m:t>2012-13 reference cost</m:t>
              </m:r>
            </m:e>
          </m:d>
          <m:r>
            <m:rPr>
              <m:sty m:val="b"/>
            </m:rPr>
            <w:rPr>
              <w:rFonts w:ascii="Cambria Math" w:hAnsi="Cambria Math"/>
            </w:rPr>
            <m:t>×(</m:t>
          </m:r>
          <m:r>
            <m:rPr>
              <m:sty m:val="p"/>
            </m:rPr>
            <w:rPr>
              <w:rFonts w:ascii="Cambria Math" w:hAnsi="Cambria Math"/>
            </w:rPr>
            <m:t>standardised growth rate</m:t>
          </m:r>
          <m:r>
            <m:rPr>
              <m:sty m:val="b"/>
            </m:rPr>
            <w:rPr>
              <w:rFonts w:ascii="Cambria Math" w:hAnsi="Cambria Math"/>
            </w:rPr>
            <m:t>)</m:t>
          </m:r>
          <m:r>
            <m:rPr>
              <m:sty m:val="p"/>
            </m:rPr>
            <w:rPr>
              <w:rFonts w:ascii="Arial" w:hAnsi="Arial"/>
            </w:rPr>
            <w:br/>
          </m:r>
        </m:oMath>
        <m:oMath>
          <m:r>
            <m:rPr>
              <m:aln/>
            </m:rPr>
            <w:rPr>
              <w:rFonts w:ascii="Cambria Math" w:hAnsi="Cambria Math"/>
            </w:rPr>
            <m:t>=$4549×103.0%</m:t>
          </m:r>
          <m:r>
            <m:rPr>
              <m:sty m:val="p"/>
            </m:rPr>
            <w:rPr>
              <w:rFonts w:ascii="Arial" w:eastAsia="Times New Roman" w:hAnsi="Arial" w:cs="Arial"/>
            </w:rPr>
            <w:br/>
          </m:r>
        </m:oMath>
        <m:oMath>
          <m:r>
            <m:rPr>
              <m:aln/>
            </m:rPr>
            <w:rPr>
              <w:rFonts w:ascii="Cambria Math" w:eastAsia="Times New Roman" w:hAnsi="Cambria Math" w:cs="Arial"/>
            </w:rPr>
            <m:t>=$4685</m:t>
          </m:r>
        </m:oMath>
      </m:oMathPara>
    </w:p>
    <w:p w:rsidR="006073EE" w:rsidRPr="00767441" w:rsidRDefault="006073EE" w:rsidP="006073EE">
      <w:pPr>
        <w:spacing w:before="100" w:beforeAutospacing="1" w:after="100" w:afterAutospacing="1"/>
        <w:rPr>
          <w:rFonts w:ascii="Calibri" w:eastAsia="Calibri" w:hAnsi="Calibri"/>
          <w:sz w:val="24"/>
          <w:szCs w:val="24"/>
        </w:rPr>
      </w:pPr>
      <w:r w:rsidRPr="00767441">
        <w:rPr>
          <w:rFonts w:ascii="Calibri" w:eastAsia="Calibri" w:hAnsi="Calibri"/>
          <w:sz w:val="24"/>
          <w:szCs w:val="24"/>
        </w:rPr>
        <w:t>And</w:t>
      </w:r>
    </w:p>
    <w:p w:rsidR="006073EE" w:rsidRPr="005174BC" w:rsidRDefault="006073EE" w:rsidP="006073EE">
      <w:pPr>
        <w:rPr>
          <w:rFonts w:ascii="Arial" w:eastAsia="Times New Roman" w:hAnsi="Arial" w:cs="Arial"/>
        </w:rPr>
      </w:pPr>
      <m:oMathPara>
        <m:oMath>
          <m:r>
            <m:rPr>
              <m:sty m:val="p"/>
            </m:rPr>
            <w:rPr>
              <w:rFonts w:ascii="Cambria Math" w:hAnsi="Cambria Math"/>
            </w:rPr>
            <m:t>2012-13 Cost per Weighted Separation</m:t>
          </m:r>
          <m:r>
            <m:rPr>
              <m:sty m:val="p"/>
              <m:aln/>
            </m:rPr>
            <w:rPr>
              <w:rFonts w:ascii="Cambria Math" w:hAnsi="Cambria Math"/>
            </w:rPr>
            <m:t>=$4549×</m:t>
          </m:r>
          <m:sSup>
            <m:sSupPr>
              <m:ctrlPr>
                <w:rPr>
                  <w:rFonts w:ascii="Cambria Math" w:hAnsi="Cambria Math"/>
                </w:rPr>
              </m:ctrlPr>
            </m:sSupPr>
            <m:e>
              <m:r>
                <m:rPr>
                  <m:sty m:val="p"/>
                </m:rPr>
                <w:rPr>
                  <w:rFonts w:ascii="Cambria Math" w:hAnsi="Cambria Math"/>
                </w:rPr>
                <m:t>e</m:t>
              </m:r>
            </m:e>
            <m:sup>
              <m:d>
                <m:dPr>
                  <m:ctrlPr>
                    <w:rPr>
                      <w:rFonts w:ascii="Cambria Math" w:hAnsi="Cambria Math"/>
                      <w:i/>
                    </w:rPr>
                  </m:ctrlPr>
                </m:dPr>
                <m:e>
                  <m:r>
                    <w:rPr>
                      <w:rFonts w:ascii="Cambria Math" w:hAnsi="Cambria Math"/>
                    </w:rPr>
                    <m:t>0.0292×1</m:t>
                  </m:r>
                </m:e>
              </m:d>
            </m:sup>
          </m:sSup>
          <m:r>
            <m:rPr>
              <m:sty m:val="p"/>
            </m:rPr>
            <w:rPr>
              <w:rFonts w:ascii="Arial" w:hAnsi="Arial"/>
            </w:rPr>
            <w:br/>
          </m:r>
        </m:oMath>
        <m:oMath>
          <m:r>
            <m:rPr>
              <m:aln/>
            </m:rPr>
            <w:rPr>
              <w:rFonts w:ascii="Cambria Math" w:hAnsi="Cambria Math"/>
            </w:rPr>
            <m:t>=$4549</m:t>
          </m:r>
          <m:sSup>
            <m:sSupPr>
              <m:ctrlPr>
                <w:rPr>
                  <w:rFonts w:ascii="Cambria Math" w:hAnsi="Cambria Math"/>
                  <w:i/>
                </w:rPr>
              </m:ctrlPr>
            </m:sSupPr>
            <m:e>
              <m:r>
                <w:rPr>
                  <w:rFonts w:ascii="Cambria Math" w:hAnsi="Cambria Math"/>
                </w:rPr>
                <m:t>e</m:t>
              </m:r>
            </m:e>
            <m:sup>
              <m:r>
                <w:rPr>
                  <w:rFonts w:ascii="Cambria Math" w:hAnsi="Cambria Math"/>
                </w:rPr>
                <m:t>0.0292</m:t>
              </m:r>
            </m:sup>
          </m:sSup>
          <m:r>
            <m:rPr>
              <m:sty m:val="p"/>
            </m:rPr>
            <w:rPr>
              <w:rFonts w:ascii="Arial" w:eastAsia="Times New Roman" w:hAnsi="Arial" w:cs="Arial"/>
            </w:rPr>
            <w:br/>
          </m:r>
        </m:oMath>
        <m:oMath>
          <m:r>
            <m:rPr>
              <m:aln/>
            </m:rPr>
            <w:rPr>
              <w:rFonts w:ascii="Cambria Math" w:eastAsia="Times New Roman" w:hAnsi="Cambria Math" w:cs="Arial"/>
            </w:rPr>
            <m:t>=$4684</m:t>
          </m:r>
        </m:oMath>
      </m:oMathPara>
    </w:p>
    <w:p w:rsidR="00372302" w:rsidRDefault="003667FD" w:rsidP="00372302">
      <w:pPr>
        <w:spacing w:before="100" w:beforeAutospacing="1" w:after="100" w:afterAutospacing="1"/>
        <w:rPr>
          <w:rFonts w:ascii="Calibri" w:eastAsia="Calibri" w:hAnsi="Calibri"/>
          <w:sz w:val="24"/>
          <w:szCs w:val="24"/>
        </w:rPr>
      </w:pPr>
      <w:r w:rsidRPr="003667FD">
        <w:rPr>
          <w:rFonts w:ascii="Calibri" w:eastAsia="Calibri" w:hAnsi="Calibri"/>
          <w:sz w:val="24"/>
          <w:szCs w:val="24"/>
        </w:rPr>
        <w:t xml:space="preserve">Finally, the annual scaling factor (i.e. </w:t>
      </w:r>
      <w:r w:rsidRPr="003667FD">
        <w:rPr>
          <w:rFonts w:ascii="Calibri" w:eastAsia="Calibri" w:hAnsi="Calibri"/>
          <w:i/>
          <w:sz w:val="24"/>
          <w:szCs w:val="24"/>
        </w:rPr>
        <w:t>s</w:t>
      </w:r>
      <w:r w:rsidRPr="003667FD">
        <w:rPr>
          <w:rFonts w:ascii="Calibri" w:eastAsia="Calibri" w:hAnsi="Calibri"/>
          <w:sz w:val="24"/>
          <w:szCs w:val="24"/>
        </w:rPr>
        <w:t xml:space="preserve"> in Figure 3) is then defined as the annual rate of change associated with the exponential line of best fit, and the indexation rate is the growth rate of this annual scaling factor. </w:t>
      </w:r>
      <w:r w:rsidR="00372302" w:rsidRPr="003667FD">
        <w:rPr>
          <w:rFonts w:ascii="Calibri" w:eastAsia="Calibri" w:hAnsi="Calibri"/>
          <w:sz w:val="24"/>
          <w:szCs w:val="24"/>
        </w:rPr>
        <w:t xml:space="preserve">The annual rate of change of the exponential line is </w:t>
      </w:r>
      <w:r w:rsidR="00372302" w:rsidRPr="003667FD">
        <w:rPr>
          <w:rFonts w:ascii="Calibri" w:eastAsia="Calibri" w:hAnsi="Calibri"/>
          <w:i/>
          <w:sz w:val="24"/>
          <w:szCs w:val="24"/>
        </w:rPr>
        <w:t>s</w:t>
      </w:r>
      <w:r w:rsidR="00372302" w:rsidRPr="003667FD">
        <w:rPr>
          <w:rFonts w:eastAsia="Calibri"/>
        </w:rPr>
        <w:t> </w:t>
      </w:r>
      <w:r w:rsidR="00372302" w:rsidRPr="003667FD">
        <w:rPr>
          <w:rFonts w:ascii="Calibri" w:eastAsia="Calibri" w:hAnsi="Calibri"/>
          <w:i/>
          <w:sz w:val="24"/>
          <w:szCs w:val="24"/>
        </w:rPr>
        <w:t>= </w:t>
      </w:r>
      <w:r w:rsidR="00372302" w:rsidRPr="003667FD">
        <w:rPr>
          <w:rFonts w:ascii="Calibri" w:eastAsia="Calibri" w:hAnsi="Calibri"/>
          <w:sz w:val="24"/>
          <w:szCs w:val="24"/>
        </w:rPr>
        <w:t>e</w:t>
      </w:r>
      <w:r w:rsidR="00372302" w:rsidRPr="003667FD">
        <w:rPr>
          <w:rFonts w:ascii="Calibri" w:eastAsia="Calibri" w:hAnsi="Calibri"/>
          <w:sz w:val="24"/>
          <w:szCs w:val="24"/>
          <w:vertAlign w:val="superscript"/>
        </w:rPr>
        <w:t>0.0</w:t>
      </w:r>
      <w:r w:rsidR="00372302">
        <w:rPr>
          <w:rFonts w:ascii="Calibri" w:eastAsia="Calibri" w:hAnsi="Calibri"/>
          <w:sz w:val="24"/>
          <w:szCs w:val="24"/>
          <w:vertAlign w:val="superscript"/>
        </w:rPr>
        <w:t>292</w:t>
      </w:r>
      <w:r w:rsidR="00372302" w:rsidRPr="003667FD">
        <w:rPr>
          <w:rFonts w:ascii="Calibri" w:eastAsia="Calibri" w:hAnsi="Calibri"/>
          <w:sz w:val="24"/>
          <w:szCs w:val="24"/>
        </w:rPr>
        <w:t>, which is equal to 1.03</w:t>
      </w:r>
      <w:r w:rsidR="00372302">
        <w:rPr>
          <w:rFonts w:ascii="Calibri" w:eastAsia="Calibri" w:hAnsi="Calibri"/>
          <w:sz w:val="24"/>
          <w:szCs w:val="24"/>
        </w:rPr>
        <w:t>0</w:t>
      </w:r>
      <w:r w:rsidR="00372302" w:rsidRPr="003667FD">
        <w:rPr>
          <w:rFonts w:ascii="Calibri" w:eastAsia="Calibri" w:hAnsi="Calibri"/>
          <w:sz w:val="24"/>
          <w:szCs w:val="24"/>
        </w:rPr>
        <w:t>, or 103.</w:t>
      </w:r>
      <w:r w:rsidR="00372302">
        <w:rPr>
          <w:rFonts w:ascii="Calibri" w:eastAsia="Calibri" w:hAnsi="Calibri"/>
          <w:sz w:val="24"/>
          <w:szCs w:val="24"/>
        </w:rPr>
        <w:t xml:space="preserve">0 </w:t>
      </w:r>
      <w:r w:rsidR="00372302" w:rsidRPr="003667FD">
        <w:rPr>
          <w:rFonts w:ascii="Calibri" w:eastAsia="Calibri" w:hAnsi="Calibri"/>
          <w:sz w:val="24"/>
          <w:szCs w:val="24"/>
        </w:rPr>
        <w:t>per cent. Therefore the indexation rate is 3.</w:t>
      </w:r>
      <w:r w:rsidR="00372302">
        <w:rPr>
          <w:rFonts w:ascii="Calibri" w:eastAsia="Calibri" w:hAnsi="Calibri"/>
          <w:sz w:val="24"/>
          <w:szCs w:val="24"/>
        </w:rPr>
        <w:t>0</w:t>
      </w:r>
      <w:r w:rsidR="00372302" w:rsidRPr="003667FD">
        <w:rPr>
          <w:rFonts w:ascii="Calibri" w:eastAsia="Calibri" w:hAnsi="Calibri"/>
          <w:sz w:val="24"/>
          <w:szCs w:val="24"/>
        </w:rPr>
        <w:t> per cent.</w:t>
      </w:r>
    </w:p>
    <w:p w:rsidR="00460371" w:rsidRPr="000674A1" w:rsidRDefault="00460371" w:rsidP="00372302">
      <w:pPr>
        <w:spacing w:before="100" w:beforeAutospacing="1" w:after="100" w:afterAutospacing="1"/>
        <w:rPr>
          <w:rFonts w:ascii="Calibri" w:eastAsia="Calibri" w:hAnsi="Calibri"/>
          <w:b/>
          <w:sz w:val="28"/>
          <w:szCs w:val="28"/>
        </w:rPr>
      </w:pPr>
      <w:r w:rsidRPr="000674A1">
        <w:rPr>
          <w:rFonts w:ascii="Calibri" w:eastAsia="Calibri" w:hAnsi="Calibri"/>
          <w:b/>
          <w:sz w:val="28"/>
          <w:szCs w:val="28"/>
        </w:rPr>
        <w:t>Transformation of cost model to pricing model</w:t>
      </w:r>
    </w:p>
    <w:p w:rsidR="00460371" w:rsidRPr="00767441" w:rsidRDefault="00460371" w:rsidP="00543968">
      <w:pPr>
        <w:spacing w:after="100" w:afterAutospacing="1"/>
        <w:rPr>
          <w:rFonts w:ascii="Calibri" w:eastAsia="Calibri" w:hAnsi="Calibri"/>
          <w:sz w:val="24"/>
        </w:rPr>
      </w:pPr>
      <w:r w:rsidRPr="00767441">
        <w:rPr>
          <w:rFonts w:ascii="Calibri" w:eastAsia="Calibri" w:hAnsi="Calibri"/>
          <w:sz w:val="24"/>
        </w:rPr>
        <w:t xml:space="preserve">The final step in the process of developing the pricing models uses the three steps detailed in Sections </w:t>
      </w:r>
      <w:r w:rsidR="001F7F80">
        <w:rPr>
          <w:rFonts w:ascii="Calibri" w:eastAsia="Calibri" w:hAnsi="Calibri"/>
          <w:sz w:val="24"/>
        </w:rPr>
        <w:t>3, 4 and 5</w:t>
      </w:r>
      <w:r w:rsidR="000674A1">
        <w:rPr>
          <w:rFonts w:ascii="Calibri" w:eastAsia="Calibri" w:hAnsi="Calibri"/>
          <w:sz w:val="24"/>
        </w:rPr>
        <w:t xml:space="preserve"> t</w:t>
      </w:r>
      <w:r w:rsidRPr="00767441">
        <w:rPr>
          <w:rFonts w:ascii="Calibri" w:eastAsia="Calibri" w:hAnsi="Calibri"/>
          <w:sz w:val="24"/>
        </w:rPr>
        <w:t>o transform each cost model to the corresponding pricing model.</w:t>
      </w:r>
    </w:p>
    <w:p w:rsidR="00460371" w:rsidRPr="00767441" w:rsidRDefault="00460371" w:rsidP="00AD4FFC">
      <w:pPr>
        <w:spacing w:before="100" w:beforeAutospacing="1" w:after="100" w:afterAutospacing="1"/>
        <w:rPr>
          <w:rFonts w:ascii="Calibri" w:eastAsia="Calibri" w:hAnsi="Calibri"/>
          <w:sz w:val="24"/>
        </w:rPr>
      </w:pPr>
      <w:r w:rsidRPr="00767441">
        <w:rPr>
          <w:rFonts w:ascii="Calibri" w:eastAsia="Calibri" w:hAnsi="Calibri"/>
          <w:sz w:val="24"/>
        </w:rPr>
        <w:t xml:space="preserve">Each year’s pricing model is designed to reflect estimated total in-scope costs associated ABF activity in the year of the pricing model. The pricing model is therefore given by the inflated cost model defined in Section </w:t>
      </w:r>
      <w:r w:rsidR="001F7F80">
        <w:rPr>
          <w:rFonts w:ascii="Calibri" w:eastAsia="Calibri" w:hAnsi="Calibri"/>
          <w:sz w:val="24"/>
        </w:rPr>
        <w:t>5</w:t>
      </w:r>
      <w:r w:rsidR="000674A1">
        <w:rPr>
          <w:rFonts w:ascii="Calibri" w:eastAsia="Calibri" w:hAnsi="Calibri"/>
          <w:sz w:val="24"/>
        </w:rPr>
        <w:t xml:space="preserve"> </w:t>
      </w:r>
      <w:r w:rsidRPr="00767441">
        <w:rPr>
          <w:rFonts w:ascii="Calibri" w:eastAsia="Calibri" w:hAnsi="Calibri"/>
          <w:sz w:val="24"/>
        </w:rPr>
        <w:t xml:space="preserve">with those out of scope costs defined in Section </w:t>
      </w:r>
      <w:r w:rsidR="001F7F80">
        <w:rPr>
          <w:rFonts w:ascii="Calibri" w:eastAsia="Calibri" w:hAnsi="Calibri"/>
          <w:sz w:val="24"/>
        </w:rPr>
        <w:t>3</w:t>
      </w:r>
      <w:r w:rsidRPr="00767441">
        <w:rPr>
          <w:rFonts w:ascii="Calibri" w:eastAsia="Calibri" w:hAnsi="Calibri"/>
          <w:sz w:val="24"/>
        </w:rPr>
        <w:t xml:space="preserve"> removed. However, the pricing model is represented by the NEP together with Price Weights and Adjustments. This splitting of prices into an NEP component and a Price Weight component is where the reference cost defined in Section </w:t>
      </w:r>
      <w:r w:rsidR="001F7F80">
        <w:rPr>
          <w:rFonts w:ascii="Calibri" w:eastAsia="Calibri" w:hAnsi="Calibri"/>
          <w:sz w:val="24"/>
        </w:rPr>
        <w:t>4</w:t>
      </w:r>
      <w:r w:rsidR="000674A1">
        <w:rPr>
          <w:rFonts w:ascii="Calibri" w:eastAsia="Calibri" w:hAnsi="Calibri"/>
          <w:sz w:val="24"/>
        </w:rPr>
        <w:t xml:space="preserve"> </w:t>
      </w:r>
      <w:r w:rsidRPr="00767441">
        <w:rPr>
          <w:rFonts w:ascii="Calibri" w:eastAsia="Calibri" w:hAnsi="Calibri"/>
          <w:sz w:val="24"/>
        </w:rPr>
        <w:t>plays its role.</w:t>
      </w:r>
    </w:p>
    <w:p w:rsidR="008B7C11" w:rsidRDefault="003667FD" w:rsidP="00AD4FFC">
      <w:pPr>
        <w:spacing w:before="100" w:beforeAutospacing="1" w:after="100" w:afterAutospacing="1"/>
        <w:rPr>
          <w:rFonts w:ascii="Calibri" w:eastAsia="Calibri" w:hAnsi="Calibri"/>
          <w:sz w:val="24"/>
        </w:rPr>
      </w:pPr>
      <w:r w:rsidRPr="00767441">
        <w:rPr>
          <w:rFonts w:ascii="Calibri" w:eastAsia="Calibri" w:hAnsi="Calibri"/>
          <w:sz w:val="24"/>
        </w:rPr>
        <w:t xml:space="preserve">To describe the process in the context of the </w:t>
      </w:r>
      <w:r>
        <w:rPr>
          <w:rFonts w:ascii="Calibri" w:eastAsia="Calibri" w:hAnsi="Calibri"/>
          <w:sz w:val="24"/>
        </w:rPr>
        <w:t>2015-16</w:t>
      </w:r>
      <w:r w:rsidR="005F173B">
        <w:rPr>
          <w:rFonts w:ascii="Calibri" w:eastAsia="Calibri" w:hAnsi="Calibri"/>
          <w:sz w:val="24"/>
        </w:rPr>
        <w:t xml:space="preserve"> National Pricing Model</w:t>
      </w:r>
      <w:r w:rsidRPr="00767441">
        <w:rPr>
          <w:rFonts w:ascii="Calibri" w:eastAsia="Calibri" w:hAnsi="Calibri"/>
          <w:sz w:val="24"/>
        </w:rPr>
        <w:t xml:space="preserve"> first the </w:t>
      </w:r>
      <w:r>
        <w:rPr>
          <w:rFonts w:ascii="Calibri" w:eastAsia="Calibri" w:hAnsi="Calibri"/>
          <w:sz w:val="24"/>
        </w:rPr>
        <w:t>2012</w:t>
      </w:r>
      <w:r>
        <w:rPr>
          <w:rFonts w:ascii="Calibri" w:eastAsia="Calibri" w:hAnsi="Calibri"/>
          <w:sz w:val="24"/>
        </w:rPr>
        <w:noBreakHyphen/>
        <w:t>13</w:t>
      </w:r>
      <w:r w:rsidRPr="00767441">
        <w:rPr>
          <w:rFonts w:ascii="Calibri" w:eastAsia="Calibri" w:hAnsi="Calibri"/>
          <w:sz w:val="24"/>
        </w:rPr>
        <w:t xml:space="preserve"> cost model is transformed into a cost weight model by dividing it through by the </w:t>
      </w:r>
      <w:r>
        <w:rPr>
          <w:rFonts w:ascii="Calibri" w:eastAsia="Calibri" w:hAnsi="Calibri"/>
          <w:sz w:val="24"/>
        </w:rPr>
        <w:t>2012-13</w:t>
      </w:r>
      <w:r w:rsidRPr="00767441">
        <w:rPr>
          <w:rFonts w:ascii="Calibri" w:eastAsia="Calibri" w:hAnsi="Calibri"/>
          <w:sz w:val="24"/>
        </w:rPr>
        <w:t xml:space="preserve"> reference cost of </w:t>
      </w:r>
      <w:r w:rsidRPr="003667FD">
        <w:rPr>
          <w:rFonts w:ascii="Calibri" w:eastAsia="Calibri" w:hAnsi="Calibri"/>
          <w:sz w:val="24"/>
        </w:rPr>
        <w:t>$4,</w:t>
      </w:r>
      <w:r w:rsidR="00D028D9" w:rsidRPr="003667FD">
        <w:rPr>
          <w:rFonts w:ascii="Calibri" w:eastAsia="Calibri" w:hAnsi="Calibri"/>
          <w:sz w:val="24"/>
        </w:rPr>
        <w:t>5</w:t>
      </w:r>
      <w:r w:rsidR="00D028D9">
        <w:rPr>
          <w:rFonts w:ascii="Calibri" w:eastAsia="Calibri" w:hAnsi="Calibri"/>
          <w:sz w:val="24"/>
        </w:rPr>
        <w:t>49</w:t>
      </w:r>
      <w:r w:rsidR="00D028D9" w:rsidRPr="003667FD">
        <w:rPr>
          <w:rFonts w:ascii="Calibri" w:eastAsia="Calibri" w:hAnsi="Calibri"/>
          <w:sz w:val="24"/>
        </w:rPr>
        <w:t xml:space="preserve"> </w:t>
      </w:r>
      <w:r w:rsidRPr="003667FD">
        <w:rPr>
          <w:rFonts w:ascii="Calibri" w:eastAsia="Calibri" w:hAnsi="Calibri"/>
          <w:sz w:val="24"/>
        </w:rPr>
        <w:t>(see</w:t>
      </w:r>
      <w:r w:rsidRPr="00767441">
        <w:rPr>
          <w:rFonts w:ascii="Calibri" w:eastAsia="Calibri" w:hAnsi="Calibri"/>
          <w:sz w:val="24"/>
        </w:rPr>
        <w:t xml:space="preserve"> Section</w:t>
      </w:r>
      <w:r>
        <w:rPr>
          <w:rFonts w:ascii="Calibri" w:eastAsia="Calibri" w:hAnsi="Calibri"/>
          <w:sz w:val="24"/>
        </w:rPr>
        <w:t xml:space="preserve"> 4</w:t>
      </w:r>
      <w:r w:rsidRPr="00767441">
        <w:rPr>
          <w:rFonts w:ascii="Calibri" w:eastAsia="Calibri" w:hAnsi="Calibri"/>
          <w:sz w:val="24"/>
        </w:rPr>
        <w:t>). The 201</w:t>
      </w:r>
      <w:r w:rsidR="00FA41FE">
        <w:rPr>
          <w:rFonts w:ascii="Calibri" w:eastAsia="Calibri" w:hAnsi="Calibri"/>
          <w:sz w:val="24"/>
        </w:rPr>
        <w:t>2</w:t>
      </w:r>
      <w:r w:rsidRPr="00767441">
        <w:rPr>
          <w:rFonts w:ascii="Calibri" w:eastAsia="Calibri" w:hAnsi="Calibri"/>
          <w:sz w:val="24"/>
        </w:rPr>
        <w:t>-1</w:t>
      </w:r>
      <w:r w:rsidR="00FA41FE">
        <w:rPr>
          <w:rFonts w:ascii="Calibri" w:eastAsia="Calibri" w:hAnsi="Calibri"/>
          <w:sz w:val="24"/>
        </w:rPr>
        <w:t>3</w:t>
      </w:r>
      <w:r w:rsidRPr="00767441">
        <w:rPr>
          <w:rFonts w:ascii="Calibri" w:eastAsia="Calibri" w:hAnsi="Calibri"/>
          <w:sz w:val="24"/>
        </w:rPr>
        <w:t xml:space="preserve"> cost </w:t>
      </w:r>
      <w:proofErr w:type="gramStart"/>
      <w:r w:rsidRPr="00767441">
        <w:rPr>
          <w:rFonts w:ascii="Calibri" w:eastAsia="Calibri" w:hAnsi="Calibri"/>
          <w:sz w:val="24"/>
        </w:rPr>
        <w:t>model</w:t>
      </w:r>
      <w:proofErr w:type="gramEnd"/>
      <w:r w:rsidRPr="00767441">
        <w:rPr>
          <w:rFonts w:ascii="Calibri" w:eastAsia="Calibri" w:hAnsi="Calibri"/>
          <w:sz w:val="24"/>
        </w:rPr>
        <w:t xml:space="preserve"> is then represented by a reference cost, cost weights and adjustments.</w:t>
      </w:r>
    </w:p>
    <w:p w:rsidR="003667FD" w:rsidRPr="00767441" w:rsidRDefault="003667FD" w:rsidP="00AD4FFC">
      <w:pPr>
        <w:spacing w:before="100" w:beforeAutospacing="1" w:after="100" w:afterAutospacing="1"/>
        <w:rPr>
          <w:rFonts w:ascii="Calibri" w:eastAsia="Calibri" w:hAnsi="Calibri"/>
          <w:sz w:val="24"/>
        </w:rPr>
      </w:pPr>
      <w:r w:rsidRPr="00767441">
        <w:rPr>
          <w:rFonts w:ascii="Calibri" w:eastAsia="Calibri" w:hAnsi="Calibri"/>
          <w:sz w:val="24"/>
        </w:rPr>
        <w:t xml:space="preserve">The inflation of the </w:t>
      </w:r>
      <w:r>
        <w:rPr>
          <w:rFonts w:ascii="Calibri" w:eastAsia="Calibri" w:hAnsi="Calibri"/>
          <w:sz w:val="24"/>
        </w:rPr>
        <w:t>2012-13</w:t>
      </w:r>
      <w:r w:rsidRPr="00767441">
        <w:rPr>
          <w:rFonts w:ascii="Calibri" w:eastAsia="Calibri" w:hAnsi="Calibri"/>
          <w:sz w:val="24"/>
        </w:rPr>
        <w:t xml:space="preserve"> cost </w:t>
      </w:r>
      <w:proofErr w:type="gramStart"/>
      <w:r w:rsidRPr="00767441">
        <w:rPr>
          <w:rFonts w:ascii="Calibri" w:eastAsia="Calibri" w:hAnsi="Calibri"/>
          <w:sz w:val="24"/>
        </w:rPr>
        <w:t>model</w:t>
      </w:r>
      <w:proofErr w:type="gramEnd"/>
      <w:r w:rsidRPr="00767441">
        <w:rPr>
          <w:rFonts w:ascii="Calibri" w:eastAsia="Calibri" w:hAnsi="Calibri"/>
          <w:sz w:val="24"/>
        </w:rPr>
        <w:t xml:space="preserve"> to estimated </w:t>
      </w:r>
      <w:r>
        <w:rPr>
          <w:rFonts w:ascii="Calibri" w:eastAsia="Calibri" w:hAnsi="Calibri"/>
          <w:sz w:val="24"/>
        </w:rPr>
        <w:t>2015-16</w:t>
      </w:r>
      <w:r w:rsidRPr="00767441">
        <w:rPr>
          <w:rFonts w:ascii="Calibri" w:eastAsia="Calibri" w:hAnsi="Calibri"/>
          <w:sz w:val="24"/>
        </w:rPr>
        <w:t xml:space="preserve"> costs is then undertaken by inflating the </w:t>
      </w:r>
      <w:r>
        <w:rPr>
          <w:rFonts w:ascii="Calibri" w:eastAsia="Calibri" w:hAnsi="Calibri"/>
          <w:sz w:val="24"/>
        </w:rPr>
        <w:t>2012-13</w:t>
      </w:r>
      <w:r w:rsidRPr="00767441">
        <w:rPr>
          <w:rFonts w:ascii="Calibri" w:eastAsia="Calibri" w:hAnsi="Calibri"/>
          <w:sz w:val="24"/>
        </w:rPr>
        <w:t xml:space="preserve"> reference cost by the annual ind</w:t>
      </w:r>
      <w:r>
        <w:rPr>
          <w:rFonts w:ascii="Calibri" w:eastAsia="Calibri" w:hAnsi="Calibri"/>
          <w:sz w:val="24"/>
        </w:rPr>
        <w:t>exation rate defined in Section 5</w:t>
      </w:r>
      <w:r w:rsidRPr="00767441">
        <w:rPr>
          <w:rFonts w:ascii="Calibri" w:eastAsia="Calibri" w:hAnsi="Calibri"/>
          <w:sz w:val="24"/>
        </w:rPr>
        <w:t xml:space="preserve"> and keeping the cost weights and adjustments fixed. The indexed </w:t>
      </w:r>
      <w:r>
        <w:rPr>
          <w:rFonts w:ascii="Calibri" w:eastAsia="Calibri" w:hAnsi="Calibri"/>
          <w:sz w:val="24"/>
        </w:rPr>
        <w:t>2012-13</w:t>
      </w:r>
      <w:r w:rsidRPr="00767441">
        <w:rPr>
          <w:rFonts w:ascii="Calibri" w:eastAsia="Calibri" w:hAnsi="Calibri"/>
          <w:sz w:val="24"/>
        </w:rPr>
        <w:t xml:space="preserve"> reference cost is $</w:t>
      </w:r>
      <w:r w:rsidRPr="003667FD">
        <w:rPr>
          <w:rFonts w:ascii="Calibri" w:eastAsia="Calibri" w:hAnsi="Calibri"/>
          <w:sz w:val="24"/>
        </w:rPr>
        <w:t>49</w:t>
      </w:r>
      <w:r w:rsidR="00FA41FE">
        <w:rPr>
          <w:rFonts w:ascii="Calibri" w:eastAsia="Calibri" w:hAnsi="Calibri"/>
          <w:sz w:val="24"/>
        </w:rPr>
        <w:t>71</w:t>
      </w:r>
      <w:r w:rsidRPr="003667FD">
        <w:rPr>
          <w:rFonts w:ascii="Calibri" w:eastAsia="Calibri" w:hAnsi="Calibri"/>
          <w:sz w:val="24"/>
        </w:rPr>
        <w:t>.</w:t>
      </w:r>
    </w:p>
    <w:p w:rsidR="00460371" w:rsidRPr="003667FD" w:rsidRDefault="00460371" w:rsidP="00AD4FFC">
      <w:pPr>
        <w:spacing w:before="100" w:beforeAutospacing="1" w:after="100" w:afterAutospacing="1"/>
        <w:rPr>
          <w:rFonts w:ascii="Calibri" w:eastAsia="Calibri" w:hAnsi="Calibri"/>
          <w:sz w:val="24"/>
        </w:rPr>
      </w:pPr>
      <w:r w:rsidRPr="003667FD">
        <w:rPr>
          <w:rFonts w:ascii="Calibri" w:eastAsia="Calibri" w:hAnsi="Calibri"/>
          <w:sz w:val="24"/>
        </w:rPr>
        <w:t xml:space="preserve">The indexed </w:t>
      </w:r>
      <w:r w:rsidR="00B94FB5" w:rsidRPr="003667FD">
        <w:rPr>
          <w:rFonts w:ascii="Calibri" w:eastAsia="Calibri" w:hAnsi="Calibri"/>
          <w:sz w:val="24"/>
        </w:rPr>
        <w:t>2012-13</w:t>
      </w:r>
      <w:r w:rsidRPr="003667FD">
        <w:rPr>
          <w:rFonts w:ascii="Calibri" w:eastAsia="Calibri" w:hAnsi="Calibri"/>
          <w:sz w:val="24"/>
        </w:rPr>
        <w:t xml:space="preserve"> reference cost together with the </w:t>
      </w:r>
      <w:r w:rsidR="00B94FB5" w:rsidRPr="003667FD">
        <w:rPr>
          <w:rFonts w:ascii="Calibri" w:eastAsia="Calibri" w:hAnsi="Calibri"/>
          <w:sz w:val="24"/>
        </w:rPr>
        <w:t>2012-13</w:t>
      </w:r>
      <w:r w:rsidRPr="003667FD">
        <w:rPr>
          <w:rFonts w:ascii="Calibri" w:eastAsia="Calibri" w:hAnsi="Calibri"/>
          <w:sz w:val="24"/>
        </w:rPr>
        <w:t xml:space="preserve"> cost weights and adjustments then represent the estimated </w:t>
      </w:r>
      <w:r w:rsidR="00B94FB5" w:rsidRPr="003667FD">
        <w:rPr>
          <w:rFonts w:ascii="Calibri" w:eastAsia="Calibri" w:hAnsi="Calibri"/>
          <w:sz w:val="24"/>
        </w:rPr>
        <w:t>2015-16</w:t>
      </w:r>
      <w:r w:rsidRPr="003667FD">
        <w:rPr>
          <w:rFonts w:ascii="Calibri" w:eastAsia="Calibri" w:hAnsi="Calibri"/>
          <w:sz w:val="24"/>
        </w:rPr>
        <w:t xml:space="preserve"> cost model. </w:t>
      </w:r>
      <w:r w:rsidR="003667FD">
        <w:rPr>
          <w:rFonts w:ascii="Calibri" w:eastAsia="Calibri" w:hAnsi="Calibri"/>
          <w:sz w:val="24"/>
        </w:rPr>
        <w:t xml:space="preserve">Example 1 </w:t>
      </w:r>
      <w:r w:rsidRPr="003667FD">
        <w:rPr>
          <w:rFonts w:ascii="Calibri" w:eastAsia="Calibri" w:hAnsi="Calibri"/>
          <w:sz w:val="24"/>
        </w:rPr>
        <w:t>demonstrates how this process of indexing the reference cost and keeping the cost weights fixed has the same effect as indexing the entire cost model, as is done in Section</w:t>
      </w:r>
      <w:r w:rsidR="00401393" w:rsidRPr="003667FD">
        <w:rPr>
          <w:rFonts w:ascii="Calibri" w:eastAsia="Calibri" w:hAnsi="Calibri"/>
          <w:sz w:val="24"/>
        </w:rPr>
        <w:t xml:space="preserve"> 5</w:t>
      </w:r>
      <w:r w:rsidRPr="003667FD">
        <w:rPr>
          <w:rFonts w:ascii="Calibri" w:eastAsia="Calibri" w:hAnsi="Calibri"/>
          <w:sz w:val="24"/>
        </w:rPr>
        <w:t>.</w:t>
      </w:r>
    </w:p>
    <w:p w:rsidR="003667FD" w:rsidRPr="003667FD" w:rsidRDefault="003667FD" w:rsidP="00543968">
      <w:pPr>
        <w:keepNext/>
        <w:rPr>
          <w:rFonts w:ascii="Calibri" w:eastAsia="Calibri" w:hAnsi="Calibri"/>
          <w:b/>
          <w:bCs/>
          <w:sz w:val="18"/>
          <w:szCs w:val="18"/>
        </w:rPr>
      </w:pPr>
      <w:bookmarkStart w:id="405" w:name="_Ref350859105"/>
      <w:r w:rsidRPr="00543968">
        <w:rPr>
          <w:rFonts w:ascii="Calibri" w:eastAsia="Calibri" w:hAnsi="Calibri"/>
          <w:b/>
          <w:bCs/>
        </w:rPr>
        <w:t>Example</w:t>
      </w:r>
      <w:bookmarkEnd w:id="405"/>
      <w:r w:rsidR="00D10F94" w:rsidRPr="00543968">
        <w:rPr>
          <w:rFonts w:ascii="Calibri" w:eastAsia="Calibri" w:hAnsi="Calibri"/>
          <w:b/>
          <w:bCs/>
        </w:rPr>
        <w:t xml:space="preserve"> 1</w:t>
      </w:r>
      <w:r w:rsidRPr="00543968">
        <w:rPr>
          <w:rFonts w:ascii="Calibri" w:eastAsia="Calibri" w:hAnsi="Calibri"/>
          <w:b/>
          <w:bCs/>
        </w:rPr>
        <w:t>: Two equivalent methods to derive estimated 201</w:t>
      </w:r>
      <w:r w:rsidR="00FA41FE">
        <w:rPr>
          <w:rFonts w:ascii="Calibri" w:eastAsia="Calibri" w:hAnsi="Calibri"/>
          <w:b/>
          <w:bCs/>
        </w:rPr>
        <w:t>5</w:t>
      </w:r>
      <w:r w:rsidRPr="00543968">
        <w:rPr>
          <w:rFonts w:ascii="Calibri" w:eastAsia="Calibri" w:hAnsi="Calibri"/>
          <w:b/>
          <w:bCs/>
        </w:rPr>
        <w:t>-1</w:t>
      </w:r>
      <w:r w:rsidR="00FA41FE">
        <w:rPr>
          <w:rFonts w:ascii="Calibri" w:eastAsia="Calibri" w:hAnsi="Calibri"/>
          <w:b/>
          <w:bCs/>
        </w:rPr>
        <w:t>6</w:t>
      </w:r>
      <w:r w:rsidRPr="00543968">
        <w:rPr>
          <w:rFonts w:ascii="Calibri" w:eastAsia="Calibri" w:hAnsi="Calibri"/>
          <w:b/>
          <w:bCs/>
        </w:rPr>
        <w:t xml:space="preserve"> costs - DRG E42C - Bronchoscopy, Same day</w:t>
      </w:r>
    </w:p>
    <w:p w:rsidR="003667FD" w:rsidRPr="003667FD" w:rsidRDefault="003667FD" w:rsidP="00543968">
      <w:pPr>
        <w:spacing w:after="100" w:afterAutospacing="1"/>
        <w:rPr>
          <w:rFonts w:ascii="Calibri" w:hAnsi="Calibri"/>
        </w:rPr>
      </w:pPr>
      <w:r w:rsidRPr="003667FD">
        <w:rPr>
          <w:rFonts w:ascii="Calibri" w:hAnsi="Calibri"/>
        </w:rPr>
        <w:t>The 2012-13 cost parameter associated with E42C is $1,76</w:t>
      </w:r>
      <w:r w:rsidR="00FA41FE">
        <w:rPr>
          <w:rFonts w:ascii="Calibri" w:hAnsi="Calibri"/>
        </w:rPr>
        <w:t>5</w:t>
      </w:r>
      <w:r w:rsidRPr="003667FD">
        <w:rPr>
          <w:rFonts w:ascii="Calibri" w:hAnsi="Calibri"/>
        </w:rPr>
        <w:t>. Applying the annual indexation rate of 3.</w:t>
      </w:r>
      <w:r w:rsidR="00FA41FE">
        <w:rPr>
          <w:rFonts w:ascii="Calibri" w:hAnsi="Calibri"/>
        </w:rPr>
        <w:t>0</w:t>
      </w:r>
      <w:r w:rsidRPr="003667FD">
        <w:rPr>
          <w:rFonts w:ascii="Calibri" w:hAnsi="Calibri"/>
        </w:rPr>
        <w:t>% to the 2012-13 cost, the estimated cost of E42C in 2015-16 is given by</w:t>
      </w:r>
    </w:p>
    <w:p w:rsidR="00FA41FE" w:rsidRPr="003667FD" w:rsidRDefault="00FA41FE" w:rsidP="00FA41FE">
      <w:pPr>
        <w:tabs>
          <w:tab w:val="left" w:pos="284"/>
          <w:tab w:val="left" w:pos="3544"/>
        </w:tabs>
        <w:spacing w:before="100" w:beforeAutospacing="1" w:after="100" w:afterAutospacing="1"/>
        <w:rPr>
          <w:rFonts w:ascii="Calibri" w:hAnsi="Calibri"/>
        </w:rPr>
      </w:pPr>
      <w:r w:rsidRPr="003667FD">
        <w:rPr>
          <w:rFonts w:ascii="Calibri" w:hAnsi="Calibri"/>
        </w:rPr>
        <w:t>2015-16 estimated cost of E42C</w:t>
      </w:r>
      <w:r w:rsidRPr="003667FD">
        <w:rPr>
          <w:rFonts w:ascii="Calibri" w:hAnsi="Calibri"/>
        </w:rPr>
        <w:tab/>
        <w:t>= (2012-13 estimated cost) × (indexation)</w:t>
      </w:r>
    </w:p>
    <w:p w:rsidR="00FA41FE" w:rsidRPr="003667FD" w:rsidRDefault="00FA41FE" w:rsidP="00FA41FE">
      <w:pPr>
        <w:spacing w:before="100" w:beforeAutospacing="1" w:after="100" w:afterAutospacing="1"/>
        <w:ind w:left="3544"/>
        <w:rPr>
          <w:rFonts w:ascii="Calibri" w:hAnsi="Calibri"/>
        </w:rPr>
      </w:pPr>
      <w:r w:rsidRPr="003667FD">
        <w:rPr>
          <w:rFonts w:ascii="Calibri" w:hAnsi="Calibri"/>
        </w:rPr>
        <w:t>= $1,76</w:t>
      </w:r>
      <w:r>
        <w:rPr>
          <w:rFonts w:ascii="Calibri" w:hAnsi="Calibri"/>
        </w:rPr>
        <w:t>5</w:t>
      </w:r>
      <w:r w:rsidRPr="003667FD">
        <w:rPr>
          <w:rFonts w:ascii="Calibri" w:hAnsi="Calibri"/>
        </w:rPr>
        <w:t xml:space="preserve"> × (103.</w:t>
      </w:r>
      <w:r>
        <w:rPr>
          <w:rFonts w:ascii="Calibri" w:hAnsi="Calibri"/>
        </w:rPr>
        <w:t>0</w:t>
      </w:r>
      <w:r w:rsidRPr="003667FD">
        <w:rPr>
          <w:rFonts w:ascii="Calibri" w:hAnsi="Calibri"/>
        </w:rPr>
        <w:t>%</w:t>
      </w:r>
      <w:proofErr w:type="gramStart"/>
      <w:r w:rsidRPr="003667FD">
        <w:rPr>
          <w:rFonts w:ascii="Calibri" w:hAnsi="Calibri"/>
        </w:rPr>
        <w:t>)</w:t>
      </w:r>
      <w:r w:rsidRPr="003667FD">
        <w:rPr>
          <w:rFonts w:ascii="Calibri" w:hAnsi="Calibri"/>
          <w:vertAlign w:val="superscript"/>
        </w:rPr>
        <w:t>3</w:t>
      </w:r>
      <w:proofErr w:type="gramEnd"/>
    </w:p>
    <w:p w:rsidR="00FA41FE" w:rsidRPr="003667FD" w:rsidRDefault="00FA41FE" w:rsidP="00FA41FE">
      <w:pPr>
        <w:spacing w:before="100" w:beforeAutospacing="1" w:after="100" w:afterAutospacing="1"/>
        <w:ind w:left="3544"/>
        <w:rPr>
          <w:rFonts w:ascii="Calibri" w:hAnsi="Calibri"/>
        </w:rPr>
      </w:pPr>
      <w:r w:rsidRPr="003667FD">
        <w:rPr>
          <w:rFonts w:ascii="Calibri" w:hAnsi="Calibri"/>
        </w:rPr>
        <w:t>= $19</w:t>
      </w:r>
      <w:r>
        <w:rPr>
          <w:rFonts w:ascii="Calibri" w:hAnsi="Calibri"/>
        </w:rPr>
        <w:t>28</w:t>
      </w:r>
      <w:r w:rsidRPr="003667FD">
        <w:rPr>
          <w:rFonts w:ascii="Calibri" w:hAnsi="Calibri"/>
        </w:rPr>
        <w:t>.</w:t>
      </w:r>
    </w:p>
    <w:p w:rsidR="00FA41FE" w:rsidRPr="003667FD" w:rsidRDefault="00FA41FE" w:rsidP="00FA41FE">
      <w:pPr>
        <w:spacing w:before="100" w:beforeAutospacing="1" w:after="100" w:afterAutospacing="1"/>
        <w:rPr>
          <w:rFonts w:ascii="Calibri" w:hAnsi="Calibri"/>
        </w:rPr>
      </w:pPr>
      <w:r w:rsidRPr="003667FD">
        <w:rPr>
          <w:rFonts w:ascii="Calibri" w:hAnsi="Calibri"/>
        </w:rPr>
        <w:t>On the other hand, the cost weight associated with E42C is 0.38</w:t>
      </w:r>
      <w:r>
        <w:rPr>
          <w:rFonts w:ascii="Calibri" w:hAnsi="Calibri"/>
        </w:rPr>
        <w:t>79</w:t>
      </w:r>
      <w:r w:rsidRPr="003667FD">
        <w:rPr>
          <w:rFonts w:ascii="Calibri" w:hAnsi="Calibri"/>
        </w:rPr>
        <w:t xml:space="preserve"> (= $1,76</w:t>
      </w:r>
      <w:r>
        <w:rPr>
          <w:rFonts w:ascii="Calibri" w:hAnsi="Calibri"/>
        </w:rPr>
        <w:t>5</w:t>
      </w:r>
      <w:r w:rsidRPr="003667FD">
        <w:rPr>
          <w:rFonts w:ascii="Calibri" w:hAnsi="Calibri"/>
        </w:rPr>
        <w:t xml:space="preserve"> / $4,5</w:t>
      </w:r>
      <w:r>
        <w:rPr>
          <w:rFonts w:ascii="Calibri" w:hAnsi="Calibri"/>
        </w:rPr>
        <w:t>79</w:t>
      </w:r>
      <w:r w:rsidRPr="003667FD">
        <w:rPr>
          <w:rFonts w:ascii="Calibri" w:hAnsi="Calibri"/>
        </w:rPr>
        <w:t>). Applying the annual indexation rate to the 2012-13 reference cost, the resulting</w:t>
      </w:r>
      <w:r>
        <w:rPr>
          <w:rFonts w:ascii="Calibri" w:hAnsi="Calibri"/>
        </w:rPr>
        <w:t xml:space="preserve"> estimated cost of E42C in 2015</w:t>
      </w:r>
      <w:r>
        <w:rPr>
          <w:rFonts w:ascii="Calibri" w:hAnsi="Calibri"/>
        </w:rPr>
        <w:noBreakHyphen/>
      </w:r>
      <w:r w:rsidRPr="003667FD">
        <w:rPr>
          <w:rFonts w:ascii="Calibri" w:hAnsi="Calibri"/>
        </w:rPr>
        <w:t>16 is given by</w:t>
      </w:r>
    </w:p>
    <w:p w:rsidR="00FA41FE" w:rsidRPr="003667FD" w:rsidRDefault="00FA41FE" w:rsidP="00FA41FE">
      <w:pPr>
        <w:tabs>
          <w:tab w:val="left" w:pos="3544"/>
        </w:tabs>
        <w:spacing w:before="100" w:beforeAutospacing="1" w:after="100" w:afterAutospacing="1"/>
        <w:rPr>
          <w:rFonts w:ascii="Calibri" w:hAnsi="Calibri"/>
        </w:rPr>
      </w:pPr>
      <w:r w:rsidRPr="003667FD">
        <w:rPr>
          <w:rFonts w:ascii="Calibri" w:hAnsi="Calibri"/>
        </w:rPr>
        <w:t>2015-16 estimated cost of E42C</w:t>
      </w:r>
      <w:r w:rsidRPr="003667FD">
        <w:rPr>
          <w:rFonts w:ascii="Calibri" w:hAnsi="Calibri"/>
        </w:rPr>
        <w:tab/>
        <w:t>= (2012-13 cost weight) × (indexed reference cost)</w:t>
      </w:r>
    </w:p>
    <w:p w:rsidR="00FA41FE" w:rsidRPr="003667FD" w:rsidRDefault="00FA41FE" w:rsidP="00FA41FE">
      <w:pPr>
        <w:spacing w:before="100" w:beforeAutospacing="1" w:after="100" w:afterAutospacing="1"/>
        <w:ind w:left="3544"/>
        <w:rPr>
          <w:rFonts w:ascii="Calibri" w:hAnsi="Calibri"/>
        </w:rPr>
      </w:pPr>
      <w:r w:rsidRPr="003667FD">
        <w:rPr>
          <w:rFonts w:ascii="Calibri" w:hAnsi="Calibri"/>
        </w:rPr>
        <w:t>= 0.38</w:t>
      </w:r>
      <w:r>
        <w:rPr>
          <w:rFonts w:ascii="Calibri" w:hAnsi="Calibri"/>
        </w:rPr>
        <w:t>79</w:t>
      </w:r>
      <w:r w:rsidRPr="003667FD">
        <w:rPr>
          <w:rFonts w:ascii="Calibri" w:hAnsi="Calibri"/>
        </w:rPr>
        <w:t xml:space="preserve"> × ($4,5</w:t>
      </w:r>
      <w:r>
        <w:rPr>
          <w:rFonts w:ascii="Calibri" w:hAnsi="Calibri"/>
        </w:rPr>
        <w:t>49</w:t>
      </w:r>
      <w:r w:rsidRPr="003667FD">
        <w:rPr>
          <w:rFonts w:ascii="Calibri" w:hAnsi="Calibri"/>
        </w:rPr>
        <w:t xml:space="preserve"> × (103.</w:t>
      </w:r>
      <w:r>
        <w:rPr>
          <w:rFonts w:ascii="Calibri" w:hAnsi="Calibri"/>
        </w:rPr>
        <w:t>0</w:t>
      </w:r>
      <w:r w:rsidRPr="003667FD">
        <w:rPr>
          <w:rFonts w:ascii="Calibri" w:hAnsi="Calibri"/>
        </w:rPr>
        <w:t>%</w:t>
      </w:r>
      <w:proofErr w:type="gramStart"/>
      <w:r w:rsidRPr="003667FD">
        <w:rPr>
          <w:rFonts w:ascii="Calibri" w:hAnsi="Calibri"/>
        </w:rPr>
        <w:t>)</w:t>
      </w:r>
      <w:r w:rsidRPr="003667FD">
        <w:rPr>
          <w:rFonts w:ascii="Calibri" w:hAnsi="Calibri"/>
          <w:vertAlign w:val="superscript"/>
        </w:rPr>
        <w:t>3</w:t>
      </w:r>
      <w:proofErr w:type="gramEnd"/>
      <w:r w:rsidRPr="003667FD">
        <w:rPr>
          <w:rFonts w:ascii="Calibri" w:hAnsi="Calibri"/>
        </w:rPr>
        <w:t>)</w:t>
      </w:r>
    </w:p>
    <w:p w:rsidR="00FA41FE" w:rsidRPr="003667FD" w:rsidRDefault="00FA41FE" w:rsidP="00FA41FE">
      <w:pPr>
        <w:spacing w:before="100" w:beforeAutospacing="1" w:after="100" w:afterAutospacing="1"/>
        <w:ind w:left="3544"/>
        <w:rPr>
          <w:rFonts w:ascii="Calibri" w:hAnsi="Calibri"/>
        </w:rPr>
      </w:pPr>
      <w:r w:rsidRPr="003667FD">
        <w:rPr>
          <w:rFonts w:ascii="Calibri" w:hAnsi="Calibri"/>
        </w:rPr>
        <w:t>= 0.38</w:t>
      </w:r>
      <w:r>
        <w:rPr>
          <w:rFonts w:ascii="Calibri" w:hAnsi="Calibri"/>
        </w:rPr>
        <w:t>79</w:t>
      </w:r>
      <w:r w:rsidRPr="003667FD">
        <w:rPr>
          <w:rFonts w:ascii="Calibri" w:hAnsi="Calibri"/>
        </w:rPr>
        <w:t xml:space="preserve"> × $49</w:t>
      </w:r>
      <w:r>
        <w:rPr>
          <w:rFonts w:ascii="Calibri" w:hAnsi="Calibri"/>
        </w:rPr>
        <w:t>71</w:t>
      </w:r>
    </w:p>
    <w:p w:rsidR="00FA41FE" w:rsidRDefault="00FA41FE" w:rsidP="009B622C">
      <w:pPr>
        <w:spacing w:before="100" w:beforeAutospacing="1" w:after="100" w:afterAutospacing="1"/>
        <w:ind w:left="3544"/>
        <w:rPr>
          <w:rFonts w:ascii="Calibri" w:hAnsi="Calibri"/>
        </w:rPr>
      </w:pPr>
      <w:r w:rsidRPr="003667FD">
        <w:rPr>
          <w:rFonts w:ascii="Calibri" w:hAnsi="Calibri"/>
        </w:rPr>
        <w:t>= $19</w:t>
      </w:r>
      <w:r>
        <w:rPr>
          <w:rFonts w:ascii="Calibri" w:hAnsi="Calibri"/>
        </w:rPr>
        <w:t>28</w:t>
      </w:r>
      <w:r w:rsidRPr="003667FD">
        <w:rPr>
          <w:rFonts w:ascii="Calibri" w:hAnsi="Calibri"/>
        </w:rPr>
        <w:t>.</w:t>
      </w:r>
    </w:p>
    <w:p w:rsidR="00460371" w:rsidRPr="00767441" w:rsidRDefault="00460371" w:rsidP="00AD4FFC">
      <w:pPr>
        <w:spacing w:before="100" w:beforeAutospacing="1" w:after="100" w:afterAutospacing="1"/>
        <w:rPr>
          <w:rFonts w:ascii="Calibri" w:eastAsia="Calibri" w:hAnsi="Calibri"/>
          <w:sz w:val="24"/>
        </w:rPr>
      </w:pPr>
      <w:r w:rsidRPr="00767441">
        <w:rPr>
          <w:rFonts w:ascii="Calibri" w:eastAsia="Calibri" w:hAnsi="Calibri"/>
          <w:sz w:val="24"/>
        </w:rPr>
        <w:t xml:space="preserve">The final step in transforming the </w:t>
      </w:r>
      <w:r w:rsidR="00B94FB5">
        <w:rPr>
          <w:rFonts w:ascii="Calibri" w:eastAsia="Calibri" w:hAnsi="Calibri"/>
          <w:sz w:val="24"/>
        </w:rPr>
        <w:t>2012-13</w:t>
      </w:r>
      <w:r w:rsidRPr="00767441">
        <w:rPr>
          <w:rFonts w:ascii="Calibri" w:eastAsia="Calibri" w:hAnsi="Calibri"/>
          <w:sz w:val="24"/>
        </w:rPr>
        <w:t xml:space="preserve"> cost model to the </w:t>
      </w:r>
      <w:r w:rsidR="00B94FB5">
        <w:rPr>
          <w:rFonts w:ascii="Calibri" w:eastAsia="Calibri" w:hAnsi="Calibri"/>
          <w:sz w:val="24"/>
        </w:rPr>
        <w:t>2015-16</w:t>
      </w:r>
      <w:r w:rsidRPr="00767441">
        <w:rPr>
          <w:rFonts w:ascii="Calibri" w:eastAsia="Calibri" w:hAnsi="Calibri"/>
          <w:sz w:val="24"/>
        </w:rPr>
        <w:t xml:space="preserve"> National Pricing Model is the removal of the out of scope costs. As detailed in Section </w:t>
      </w:r>
      <w:r w:rsidRPr="00767441">
        <w:rPr>
          <w:rFonts w:ascii="Calibri" w:eastAsia="Calibri" w:hAnsi="Calibri"/>
          <w:sz w:val="24"/>
        </w:rPr>
        <w:fldChar w:fldCharType="begin"/>
      </w:r>
      <w:r w:rsidRPr="00767441">
        <w:rPr>
          <w:rFonts w:ascii="Calibri" w:eastAsia="Calibri" w:hAnsi="Calibri"/>
          <w:sz w:val="24"/>
        </w:rPr>
        <w:instrText xml:space="preserve"> REF _Ref350264102 \r \h </w:instrText>
      </w:r>
      <w:r w:rsidR="00AD4FFC">
        <w:rPr>
          <w:rFonts w:ascii="Calibri" w:eastAsia="Calibri" w:hAnsi="Calibri"/>
          <w:sz w:val="24"/>
        </w:rPr>
        <w:instrText xml:space="preserve"> \* MERGEFORMAT </w:instrText>
      </w:r>
      <w:r w:rsidRPr="00767441">
        <w:rPr>
          <w:rFonts w:ascii="Calibri" w:eastAsia="Calibri" w:hAnsi="Calibri"/>
          <w:sz w:val="24"/>
        </w:rPr>
      </w:r>
      <w:r w:rsidRPr="00767441">
        <w:rPr>
          <w:rFonts w:ascii="Calibri" w:eastAsia="Calibri" w:hAnsi="Calibri"/>
          <w:sz w:val="24"/>
        </w:rPr>
        <w:fldChar w:fldCharType="separate"/>
      </w:r>
      <w:r w:rsidR="00915776">
        <w:rPr>
          <w:rFonts w:ascii="Calibri" w:eastAsia="Calibri" w:hAnsi="Calibri"/>
          <w:sz w:val="24"/>
        </w:rPr>
        <w:t>3</w:t>
      </w:r>
      <w:r w:rsidRPr="00767441">
        <w:rPr>
          <w:rFonts w:ascii="Calibri" w:eastAsia="Calibri" w:hAnsi="Calibri"/>
          <w:sz w:val="24"/>
        </w:rPr>
        <w:fldChar w:fldCharType="end"/>
      </w:r>
      <w:r w:rsidRPr="00767441">
        <w:rPr>
          <w:rFonts w:ascii="Calibri" w:eastAsia="Calibri" w:hAnsi="Calibri"/>
          <w:sz w:val="24"/>
        </w:rPr>
        <w:t>, there are three ways in which these costs are removed: restriction of the pricing model to in-scope activity and application of the private patient service and accommodation adjustments.</w:t>
      </w:r>
    </w:p>
    <w:p w:rsidR="00460371" w:rsidRPr="00767441" w:rsidRDefault="00460371" w:rsidP="00AD4FFC">
      <w:pPr>
        <w:spacing w:before="100" w:beforeAutospacing="1" w:after="100" w:afterAutospacing="1"/>
        <w:rPr>
          <w:rFonts w:ascii="Calibri" w:eastAsia="Calibri" w:hAnsi="Calibri"/>
          <w:sz w:val="24"/>
        </w:rPr>
      </w:pPr>
      <w:r w:rsidRPr="00767441">
        <w:rPr>
          <w:rFonts w:ascii="Calibri" w:eastAsia="Calibri" w:hAnsi="Calibri"/>
          <w:sz w:val="24"/>
        </w:rPr>
        <w:t>The exclusion of the first group of out of scope costs, which involves the restriction of the pricing model to in-scope activity, places conditions on how the pricing model is applied and does not play a direct role in the transformation of the cost model to pricing model.</w:t>
      </w:r>
    </w:p>
    <w:p w:rsidR="00C01DA0" w:rsidRDefault="00460371">
      <w:pPr>
        <w:spacing w:after="200" w:line="276" w:lineRule="auto"/>
        <w:rPr>
          <w:b/>
          <w:sz w:val="32"/>
        </w:rPr>
        <w:sectPr w:rsidR="00C01DA0" w:rsidSect="001E6A47">
          <w:headerReference w:type="even" r:id="rId32"/>
          <w:type w:val="continuous"/>
          <w:pgSz w:w="11906" w:h="16838"/>
          <w:pgMar w:top="1247" w:right="1440" w:bottom="1440" w:left="851" w:header="709" w:footer="709" w:gutter="0"/>
          <w:cols w:space="708"/>
          <w:docGrid w:linePitch="360"/>
        </w:sectPr>
      </w:pPr>
      <w:r w:rsidRPr="00767441">
        <w:rPr>
          <w:rFonts w:ascii="Calibri" w:eastAsia="Calibri" w:hAnsi="Calibri"/>
          <w:sz w:val="24"/>
        </w:rPr>
        <w:t>The exclusion of the second group of out of scope costs, which involves the application of the private patient service and accommodation adjustments, transforms the cost model to a pricing model by extending the set of adjustments that apply in the cost model to</w:t>
      </w:r>
      <w:r w:rsidR="00750B8E">
        <w:rPr>
          <w:rFonts w:ascii="Calibri" w:eastAsia="Calibri" w:hAnsi="Calibri"/>
          <w:sz w:val="24"/>
        </w:rPr>
        <w:t xml:space="preserve"> include these two adjustments.</w:t>
      </w:r>
      <w:bookmarkStart w:id="406" w:name="_Toc318905760"/>
      <w:r w:rsidR="00CA7E14">
        <w:rPr>
          <w:b/>
          <w:sz w:val="32"/>
        </w:rPr>
        <w:br w:type="page"/>
      </w:r>
    </w:p>
    <w:p w:rsidR="00164A51" w:rsidRPr="009B622C" w:rsidRDefault="00480692" w:rsidP="009A17A5">
      <w:pPr>
        <w:pStyle w:val="Heading1"/>
        <w:tabs>
          <w:tab w:val="clear" w:pos="1492"/>
        </w:tabs>
        <w:ind w:left="142" w:firstLine="0"/>
        <w:rPr>
          <w:b w:val="0"/>
        </w:rPr>
      </w:pPr>
      <w:bookmarkStart w:id="407" w:name="_Toc412550796"/>
      <w:r>
        <w:t xml:space="preserve">Attachment C – </w:t>
      </w:r>
      <w:r w:rsidR="00164A51" w:rsidRPr="009B622C">
        <w:t>List of the 21 DRGs to be converted to</w:t>
      </w:r>
      <w:r>
        <w:t xml:space="preserve"> </w:t>
      </w:r>
      <w:r w:rsidR="00164A51" w:rsidRPr="009B622C">
        <w:t>L1.5H1.5</w:t>
      </w:r>
      <w:bookmarkEnd w:id="407"/>
    </w:p>
    <w:tbl>
      <w:tblPr>
        <w:tblStyle w:val="TableGrid"/>
        <w:tblW w:w="0" w:type="auto"/>
        <w:jc w:val="center"/>
        <w:tblLook w:val="04A0" w:firstRow="1" w:lastRow="0" w:firstColumn="1" w:lastColumn="0" w:noHBand="0" w:noVBand="1"/>
        <w:tblDescription w:val="The table is a list of the 21 DRGs to be converted to L1.5H1.5&#10;&#10;The table consists of two column headings: column 1 is a list of Diagnosis Related Groups (DRGs) and column 2 provides a description of the Diagnosis Related Group (DRG). "/>
      </w:tblPr>
      <w:tblGrid>
        <w:gridCol w:w="959"/>
        <w:gridCol w:w="8284"/>
      </w:tblGrid>
      <w:tr w:rsidR="00CC088E" w:rsidTr="00664156">
        <w:trPr>
          <w:trHeight w:val="170"/>
          <w:tblHeader/>
          <w:jc w:val="center"/>
        </w:trPr>
        <w:tc>
          <w:tcPr>
            <w:tcW w:w="959" w:type="dxa"/>
            <w:shd w:val="clear" w:color="auto" w:fill="BFBFBF" w:themeFill="background1" w:themeFillShade="BF"/>
            <w:vAlign w:val="center"/>
          </w:tcPr>
          <w:p w:rsidR="00CC088E" w:rsidRPr="00664156" w:rsidRDefault="00983D1A" w:rsidP="00664156">
            <w:pPr>
              <w:spacing w:before="60" w:after="60" w:line="276" w:lineRule="auto"/>
              <w:rPr>
                <w:b/>
                <w:sz w:val="24"/>
                <w:szCs w:val="24"/>
              </w:rPr>
            </w:pPr>
            <w:r w:rsidRPr="00664156">
              <w:rPr>
                <w:b/>
                <w:sz w:val="24"/>
                <w:szCs w:val="24"/>
              </w:rPr>
              <w:t>DRG</w:t>
            </w:r>
          </w:p>
        </w:tc>
        <w:tc>
          <w:tcPr>
            <w:tcW w:w="8284" w:type="dxa"/>
            <w:shd w:val="clear" w:color="auto" w:fill="BFBFBF" w:themeFill="background1" w:themeFillShade="BF"/>
          </w:tcPr>
          <w:p w:rsidR="00CC088E" w:rsidRPr="00664156" w:rsidRDefault="00284380" w:rsidP="00664156">
            <w:pPr>
              <w:spacing w:before="60" w:after="60" w:line="276" w:lineRule="auto"/>
              <w:rPr>
                <w:b/>
                <w:sz w:val="24"/>
                <w:szCs w:val="24"/>
              </w:rPr>
            </w:pPr>
            <w:r w:rsidRPr="00664156">
              <w:rPr>
                <w:b/>
                <w:sz w:val="24"/>
                <w:szCs w:val="24"/>
              </w:rPr>
              <w:t>DRG Description</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A01Z</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Liver Transplant</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A06A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Tracheostomy W Ventilation &gt;=96hrs W Catastrophic CC</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A06B</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 xml:space="preserve">Ventilation &gt;=96hrs and OR </w:t>
            </w:r>
            <w:proofErr w:type="spellStart"/>
            <w:r w:rsidRPr="000F4091">
              <w:rPr>
                <w:rFonts w:ascii="Calibri" w:hAnsi="Calibri"/>
              </w:rPr>
              <w:t>Proc</w:t>
            </w:r>
            <w:proofErr w:type="spellEnd"/>
            <w:r w:rsidRPr="000F4091">
              <w:rPr>
                <w:rFonts w:ascii="Calibri" w:hAnsi="Calibri"/>
              </w:rPr>
              <w:t xml:space="preserve"> (W/O Tracheostomy or W/O Cat CC)</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A06C</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 xml:space="preserve">Tracheostomy W/O Ventilation &gt;=96hrs, or Ventilation &gt;=96hrs W/O OR </w:t>
            </w:r>
            <w:proofErr w:type="spellStart"/>
            <w:r w:rsidRPr="000F4091">
              <w:rPr>
                <w:rFonts w:ascii="Calibri" w:hAnsi="Calibri"/>
              </w:rPr>
              <w:t>Proc</w:t>
            </w:r>
            <w:proofErr w:type="spellEnd"/>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A10Z</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Insertion of Ventricular Assist Device</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B61A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Spinal Cord Conditions W or W/O OR Procedures W Catastrophic or Severe CC</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B82B</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 xml:space="preserve">Chronic and </w:t>
            </w:r>
            <w:proofErr w:type="spellStart"/>
            <w:r w:rsidRPr="000F4091">
              <w:rPr>
                <w:rFonts w:ascii="Calibri" w:hAnsi="Calibri"/>
              </w:rPr>
              <w:t>Unspec</w:t>
            </w:r>
            <w:proofErr w:type="spellEnd"/>
            <w:r w:rsidRPr="000F4091">
              <w:rPr>
                <w:rFonts w:ascii="Calibri" w:hAnsi="Calibri"/>
              </w:rPr>
              <w:t xml:space="preserve"> Para/Quadriplegia W or W/O OR </w:t>
            </w:r>
            <w:proofErr w:type="spellStart"/>
            <w:r w:rsidRPr="000F4091">
              <w:rPr>
                <w:rFonts w:ascii="Calibri" w:hAnsi="Calibri"/>
              </w:rPr>
              <w:t>Proc</w:t>
            </w:r>
            <w:proofErr w:type="spellEnd"/>
            <w:r w:rsidRPr="000F4091">
              <w:rPr>
                <w:rFonts w:ascii="Calibri" w:hAnsi="Calibri"/>
              </w:rPr>
              <w:t xml:space="preserve"> W Cat CC</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E42A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Bronchoscopy W Catastrophic CC</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F40A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Circulatory Disorders W Ventilator Support</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I01A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 xml:space="preserve">Bilateral and Multiple Major Joint </w:t>
            </w:r>
            <w:proofErr w:type="spellStart"/>
            <w:r w:rsidRPr="000F4091">
              <w:rPr>
                <w:rFonts w:ascii="Calibri" w:hAnsi="Calibri"/>
              </w:rPr>
              <w:t>Proc</w:t>
            </w:r>
            <w:proofErr w:type="spellEnd"/>
            <w:r w:rsidRPr="000F4091">
              <w:rPr>
                <w:rFonts w:ascii="Calibri" w:hAnsi="Calibri"/>
              </w:rPr>
              <w:t xml:space="preserve"> of Lower Limb W Revision or W Cat CC</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I12A</w:t>
            </w:r>
          </w:p>
        </w:tc>
        <w:tc>
          <w:tcPr>
            <w:tcW w:w="8284" w:type="dxa"/>
            <w:vAlign w:val="bottom"/>
          </w:tcPr>
          <w:p w:rsidR="00983D1A" w:rsidRPr="000F4091" w:rsidRDefault="00983D1A" w:rsidP="000F4091">
            <w:pPr>
              <w:spacing w:before="60" w:after="60"/>
              <w:rPr>
                <w:rFonts w:ascii="Calibri" w:hAnsi="Calibri"/>
              </w:rPr>
            </w:pPr>
            <w:proofErr w:type="spellStart"/>
            <w:r w:rsidRPr="000F4091">
              <w:rPr>
                <w:rFonts w:ascii="Calibri" w:hAnsi="Calibri"/>
              </w:rPr>
              <w:t>Misc</w:t>
            </w:r>
            <w:proofErr w:type="spellEnd"/>
            <w:r w:rsidRPr="000F4091">
              <w:rPr>
                <w:rFonts w:ascii="Calibri" w:hAnsi="Calibri"/>
              </w:rPr>
              <w:t xml:space="preserve"> Musculoskeletal </w:t>
            </w:r>
            <w:proofErr w:type="spellStart"/>
            <w:r w:rsidRPr="000F4091">
              <w:rPr>
                <w:rFonts w:ascii="Calibri" w:hAnsi="Calibri"/>
              </w:rPr>
              <w:t>Procs</w:t>
            </w:r>
            <w:proofErr w:type="spellEnd"/>
            <w:r w:rsidRPr="000F4091">
              <w:rPr>
                <w:rFonts w:ascii="Calibri" w:hAnsi="Calibri"/>
              </w:rPr>
              <w:t xml:space="preserve"> for Infect/</w:t>
            </w:r>
            <w:proofErr w:type="spellStart"/>
            <w:r w:rsidRPr="000F4091">
              <w:rPr>
                <w:rFonts w:ascii="Calibri" w:hAnsi="Calibri"/>
              </w:rPr>
              <w:t>Inflam</w:t>
            </w:r>
            <w:proofErr w:type="spellEnd"/>
            <w:r w:rsidRPr="000F4091">
              <w:rPr>
                <w:rFonts w:ascii="Calibri" w:hAnsi="Calibri"/>
              </w:rPr>
              <w:t xml:space="preserve"> of Bone/Joint W Cat CC</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J60A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Skin Ulcers W Catastrophic CC</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P02Z</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Cardiothoracic and Vascular Procedures for Neonates</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P04A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 xml:space="preserve">Neonate, </w:t>
            </w:r>
            <w:proofErr w:type="spellStart"/>
            <w:r w:rsidRPr="000F4091">
              <w:rPr>
                <w:rFonts w:ascii="Calibri" w:hAnsi="Calibri"/>
              </w:rPr>
              <w:t>AdmWt</w:t>
            </w:r>
            <w:proofErr w:type="spellEnd"/>
            <w:r w:rsidRPr="000F4091">
              <w:rPr>
                <w:rFonts w:ascii="Calibri" w:hAnsi="Calibri"/>
              </w:rPr>
              <w:t xml:space="preserve"> 1500-1999g W Significant OR </w:t>
            </w:r>
            <w:proofErr w:type="spellStart"/>
            <w:r w:rsidRPr="000F4091">
              <w:rPr>
                <w:rFonts w:ascii="Calibri" w:hAnsi="Calibri"/>
              </w:rPr>
              <w:t>Proc</w:t>
            </w:r>
            <w:proofErr w:type="spellEnd"/>
            <w:r w:rsidRPr="000F4091">
              <w:rPr>
                <w:rFonts w:ascii="Calibri" w:hAnsi="Calibri"/>
              </w:rPr>
              <w:t xml:space="preserve"> W Multiple Major Problems</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P05A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 xml:space="preserve">Neonate, </w:t>
            </w:r>
            <w:proofErr w:type="spellStart"/>
            <w:r w:rsidRPr="000F4091">
              <w:rPr>
                <w:rFonts w:ascii="Calibri" w:hAnsi="Calibri"/>
              </w:rPr>
              <w:t>AdmWt</w:t>
            </w:r>
            <w:proofErr w:type="spellEnd"/>
            <w:r w:rsidRPr="000F4091">
              <w:rPr>
                <w:rFonts w:ascii="Calibri" w:hAnsi="Calibri"/>
              </w:rPr>
              <w:t xml:space="preserve"> 2000-2499g W Significant OR </w:t>
            </w:r>
            <w:proofErr w:type="spellStart"/>
            <w:r w:rsidRPr="000F4091">
              <w:rPr>
                <w:rFonts w:ascii="Calibri" w:hAnsi="Calibri"/>
              </w:rPr>
              <w:t>Proc</w:t>
            </w:r>
            <w:proofErr w:type="spellEnd"/>
            <w:r w:rsidRPr="000F4091">
              <w:rPr>
                <w:rFonts w:ascii="Calibri" w:hAnsi="Calibri"/>
              </w:rPr>
              <w:t xml:space="preserve"> W Multiple Major Problems</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P06A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 xml:space="preserve">Neonate, </w:t>
            </w:r>
            <w:proofErr w:type="spellStart"/>
            <w:r w:rsidRPr="000F4091">
              <w:rPr>
                <w:rFonts w:ascii="Calibri" w:hAnsi="Calibri"/>
              </w:rPr>
              <w:t>AdmWt</w:t>
            </w:r>
            <w:proofErr w:type="spellEnd"/>
            <w:r w:rsidRPr="000F4091">
              <w:rPr>
                <w:rFonts w:ascii="Calibri" w:hAnsi="Calibri"/>
              </w:rPr>
              <w:t xml:space="preserve"> &gt;=2500g W Significant OR Procedure W Multiple Major Problems</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P06B</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 xml:space="preserve">Neonate, </w:t>
            </w:r>
            <w:proofErr w:type="spellStart"/>
            <w:r w:rsidRPr="000F4091">
              <w:rPr>
                <w:rFonts w:ascii="Calibri" w:hAnsi="Calibri"/>
              </w:rPr>
              <w:t>AdmWt</w:t>
            </w:r>
            <w:proofErr w:type="spellEnd"/>
            <w:r w:rsidRPr="000F4091">
              <w:rPr>
                <w:rFonts w:ascii="Calibri" w:hAnsi="Calibri"/>
              </w:rPr>
              <w:t xml:space="preserve"> &gt;=2500g W Significant OR Procedure W/O Multiple Major Problems</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P61Z</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 xml:space="preserve">Neonate, </w:t>
            </w:r>
            <w:proofErr w:type="spellStart"/>
            <w:r w:rsidRPr="000F4091">
              <w:rPr>
                <w:rFonts w:ascii="Calibri" w:hAnsi="Calibri"/>
              </w:rPr>
              <w:t>AdmWt</w:t>
            </w:r>
            <w:proofErr w:type="spellEnd"/>
            <w:r w:rsidRPr="000F4091">
              <w:rPr>
                <w:rFonts w:ascii="Calibri" w:hAnsi="Calibri"/>
              </w:rPr>
              <w:t xml:space="preserve"> &lt;750g W/O Significant OR Procedure</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R01A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Lymphoma and Leukaemia W Major OR Procedures W Catastrophic or Severe CC</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R02A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Other Neoplastic Disorders W Major OR Procedures W Catastrophic CC</w:t>
            </w:r>
          </w:p>
        </w:tc>
      </w:tr>
      <w:tr w:rsidR="00983D1A" w:rsidTr="00664156">
        <w:trPr>
          <w:trHeight w:val="170"/>
          <w:jc w:val="center"/>
        </w:trPr>
        <w:tc>
          <w:tcPr>
            <w:tcW w:w="959" w:type="dxa"/>
            <w:vAlign w:val="bottom"/>
          </w:tcPr>
          <w:p w:rsidR="00983D1A" w:rsidRPr="000F4091" w:rsidRDefault="00983D1A" w:rsidP="000F4091">
            <w:pPr>
              <w:spacing w:before="60" w:after="60"/>
              <w:rPr>
                <w:rFonts w:ascii="Calibri" w:hAnsi="Calibri"/>
              </w:rPr>
            </w:pPr>
            <w:r w:rsidRPr="000F4091">
              <w:rPr>
                <w:rFonts w:ascii="Calibri" w:hAnsi="Calibri"/>
              </w:rPr>
              <w:t>R60A</w:t>
            </w:r>
          </w:p>
        </w:tc>
        <w:tc>
          <w:tcPr>
            <w:tcW w:w="8284" w:type="dxa"/>
            <w:vAlign w:val="bottom"/>
          </w:tcPr>
          <w:p w:rsidR="00983D1A" w:rsidRPr="000F4091" w:rsidRDefault="00983D1A" w:rsidP="000F4091">
            <w:pPr>
              <w:spacing w:before="60" w:after="60"/>
              <w:rPr>
                <w:rFonts w:ascii="Calibri" w:hAnsi="Calibri"/>
              </w:rPr>
            </w:pPr>
            <w:r w:rsidRPr="000F4091">
              <w:rPr>
                <w:rFonts w:ascii="Calibri" w:hAnsi="Calibri"/>
              </w:rPr>
              <w:t>Acute Leukaemia W Catastrophic CC</w:t>
            </w:r>
          </w:p>
        </w:tc>
      </w:tr>
    </w:tbl>
    <w:p w:rsidR="00CA7E14" w:rsidRDefault="00CA7E14" w:rsidP="00CA7E14">
      <w:pPr>
        <w:rPr>
          <w:b/>
          <w:color w:val="008A00" w:themeColor="background2"/>
          <w:sz w:val="32"/>
        </w:rPr>
        <w:sectPr w:rsidR="00CA7E14" w:rsidSect="00C01DA0">
          <w:pgSz w:w="11906" w:h="16838"/>
          <w:pgMar w:top="1247" w:right="1440" w:bottom="1440" w:left="851" w:header="709" w:footer="709" w:gutter="0"/>
          <w:cols w:space="708"/>
          <w:docGrid w:linePitch="360"/>
        </w:sectPr>
      </w:pPr>
    </w:p>
    <w:p w:rsidR="001E0627" w:rsidRDefault="001E0627" w:rsidP="00480692">
      <w:pPr>
        <w:pStyle w:val="Heading1"/>
        <w:ind w:firstLine="0"/>
        <w:sectPr w:rsidR="001E0627" w:rsidSect="001E0627">
          <w:type w:val="continuous"/>
          <w:pgSz w:w="11906" w:h="16838"/>
          <w:pgMar w:top="1247" w:right="1440" w:bottom="1440" w:left="851" w:header="170" w:footer="340" w:gutter="0"/>
          <w:cols w:space="708"/>
          <w:docGrid w:linePitch="360"/>
        </w:sectPr>
      </w:pPr>
    </w:p>
    <w:p w:rsidR="001E0627" w:rsidRDefault="001E0627" w:rsidP="00480692">
      <w:pPr>
        <w:pStyle w:val="Heading1"/>
        <w:ind w:firstLine="0"/>
      </w:pPr>
      <w:r>
        <w:br w:type="page"/>
      </w:r>
    </w:p>
    <w:p w:rsidR="00460371" w:rsidRPr="009B622C" w:rsidRDefault="001E6A47" w:rsidP="009B622C">
      <w:pPr>
        <w:pStyle w:val="Heading1"/>
        <w:ind w:firstLine="0"/>
        <w:rPr>
          <w:b w:val="0"/>
        </w:rPr>
      </w:pPr>
      <w:bookmarkStart w:id="408" w:name="_Toc412550797"/>
      <w:r w:rsidRPr="009B622C">
        <w:t xml:space="preserve">Attachment D – </w:t>
      </w:r>
      <w:r w:rsidR="00460371" w:rsidRPr="009B622C">
        <w:t>Draft eligibility criteria of block funded hospitals</w:t>
      </w:r>
      <w:bookmarkEnd w:id="408"/>
    </w:p>
    <w:p w:rsidR="00460371" w:rsidRDefault="00460371" w:rsidP="00AD4FFC">
      <w:pPr>
        <w:tabs>
          <w:tab w:val="left" w:pos="1162"/>
        </w:tabs>
        <w:spacing w:after="0"/>
        <w:rPr>
          <w:rFonts w:cs="Arial"/>
          <w:szCs w:val="20"/>
        </w:rPr>
      </w:pPr>
      <w:r w:rsidRPr="00210E24">
        <w:rPr>
          <w:rFonts w:cs="Arial"/>
          <w:szCs w:val="20"/>
        </w:rPr>
        <w:t xml:space="preserve">The following </w:t>
      </w:r>
      <w:r>
        <w:rPr>
          <w:rFonts w:cs="Arial"/>
          <w:szCs w:val="20"/>
        </w:rPr>
        <w:t xml:space="preserve">draft eligibility </w:t>
      </w:r>
      <w:r w:rsidRPr="00210E24">
        <w:rPr>
          <w:rFonts w:cs="Arial"/>
          <w:szCs w:val="20"/>
        </w:rPr>
        <w:t xml:space="preserve">criteria </w:t>
      </w:r>
      <w:r>
        <w:rPr>
          <w:rFonts w:cs="Arial"/>
          <w:szCs w:val="20"/>
        </w:rPr>
        <w:t>for block funded hospitals have been submitted to COAG for consideration.</w:t>
      </w:r>
    </w:p>
    <w:p w:rsidR="00460371" w:rsidRPr="00EA38FC" w:rsidRDefault="00460371" w:rsidP="00AD4FFC">
      <w:p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Public hospitals, or public hospital services, will be eligible for block grant funding if:</w:t>
      </w:r>
    </w:p>
    <w:p w:rsidR="00460371" w:rsidRPr="007A54D2" w:rsidRDefault="00460371" w:rsidP="00AD4FFC">
      <w:pPr>
        <w:pStyle w:val="ListParagraph"/>
        <w:numPr>
          <w:ilvl w:val="0"/>
          <w:numId w:val="31"/>
        </w:num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7A54D2">
        <w:rPr>
          <w:rFonts w:cs="Arial"/>
          <w:szCs w:val="20"/>
        </w:rPr>
        <w:t>The technical requirements for applying activity based funding (ABF) are not able to be satisfied; and/or</w:t>
      </w:r>
    </w:p>
    <w:p w:rsidR="00460371" w:rsidRPr="00EA38FC" w:rsidRDefault="00460371" w:rsidP="00AD4FFC">
      <w:pPr>
        <w:pStyle w:val="ListParagraph"/>
        <w:numPr>
          <w:ilvl w:val="0"/>
          <w:numId w:val="31"/>
        </w:num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There is an absence of economies of scale that mean some services would not be financially viable under ABF.</w:t>
      </w:r>
    </w:p>
    <w:p w:rsidR="00460371" w:rsidRPr="00EA38FC" w:rsidRDefault="00460371" w:rsidP="00AD4FFC">
      <w:p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Examples of circumstances which may meet the criteria proposed above include, for each of the criteria:</w:t>
      </w:r>
    </w:p>
    <w:p w:rsidR="00460371" w:rsidRPr="00EA38FC" w:rsidRDefault="00460371" w:rsidP="00AD4FFC">
      <w:pPr>
        <w:pBdr>
          <w:top w:val="single" w:sz="12" w:space="1" w:color="auto"/>
          <w:left w:val="single" w:sz="12" w:space="4" w:color="auto"/>
          <w:bottom w:val="single" w:sz="12" w:space="1" w:color="auto"/>
          <w:right w:val="single" w:sz="12" w:space="4" w:color="auto"/>
        </w:pBdr>
        <w:tabs>
          <w:tab w:val="left" w:pos="1162"/>
        </w:tabs>
        <w:jc w:val="both"/>
        <w:rPr>
          <w:rFonts w:cs="Arial"/>
          <w:b/>
          <w:i/>
          <w:szCs w:val="20"/>
        </w:rPr>
      </w:pPr>
      <w:r w:rsidRPr="00EA38FC">
        <w:rPr>
          <w:rFonts w:cs="Arial"/>
          <w:b/>
          <w:i/>
          <w:szCs w:val="20"/>
        </w:rPr>
        <w:t>Inability to satisfy technical requirements</w:t>
      </w:r>
    </w:p>
    <w:p w:rsidR="00460371" w:rsidRPr="00EA38FC" w:rsidRDefault="00460371" w:rsidP="00AD4FFC">
      <w:p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ABF may be impractical in situations where there is:</w:t>
      </w:r>
    </w:p>
    <w:p w:rsidR="00460371" w:rsidRPr="00EA38FC" w:rsidRDefault="00460371" w:rsidP="00AD4FFC">
      <w:pPr>
        <w:pStyle w:val="ListParagraph"/>
        <w:numPr>
          <w:ilvl w:val="0"/>
          <w:numId w:val="32"/>
        </w:num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No or poor product specification/classification, meaning that there is no basis for differentiating/describing the ‘product’ that is to be priced; and/or</w:t>
      </w:r>
    </w:p>
    <w:p w:rsidR="00460371" w:rsidRPr="00EA38FC" w:rsidRDefault="00460371" w:rsidP="00AD4FFC">
      <w:pPr>
        <w:pStyle w:val="ListParagraph"/>
        <w:numPr>
          <w:ilvl w:val="0"/>
          <w:numId w:val="32"/>
        </w:num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No or poor costs associated with any product classification, or where there is no cost homogeneity of the product classification; and/or</w:t>
      </w:r>
    </w:p>
    <w:p w:rsidR="00460371" w:rsidRPr="00EA38FC" w:rsidRDefault="00460371" w:rsidP="00AD4FFC">
      <w:pPr>
        <w:pStyle w:val="ListParagraph"/>
        <w:numPr>
          <w:ilvl w:val="0"/>
          <w:numId w:val="32"/>
        </w:num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No suitable ‘unit of output’ for counting and funding the product, such as a well-defined occasion of service, episode of care, or bed-day, amongst others.</w:t>
      </w:r>
    </w:p>
    <w:p w:rsidR="00460371" w:rsidRPr="00EA38FC" w:rsidRDefault="00460371" w:rsidP="00AD4FFC">
      <w:p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b/>
          <w:i/>
          <w:szCs w:val="20"/>
        </w:rPr>
        <w:t>Absence of economies of scale/lack of financial viability</w:t>
      </w:r>
    </w:p>
    <w:p w:rsidR="00460371" w:rsidRPr="00EA38FC" w:rsidRDefault="00460371" w:rsidP="00AD4FFC">
      <w:p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ABF may be impractical in situations where there is:</w:t>
      </w:r>
    </w:p>
    <w:p w:rsidR="00460371" w:rsidRPr="00EA38FC" w:rsidRDefault="00460371" w:rsidP="00AD4FFC">
      <w:pPr>
        <w:pStyle w:val="ListParagraph"/>
        <w:numPr>
          <w:ilvl w:val="0"/>
          <w:numId w:val="33"/>
        </w:num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A low volume of services, with an outcome being that the costs of keeping the health service open and ‘available’ exceed the funding that would be able to be achieved under ABF payments;</w:t>
      </w:r>
    </w:p>
    <w:p w:rsidR="00460371" w:rsidRPr="00EA38FC" w:rsidRDefault="00460371" w:rsidP="00AD4FFC">
      <w:pPr>
        <w:pStyle w:val="ListParagraph"/>
        <w:numPr>
          <w:ilvl w:val="0"/>
          <w:numId w:val="33"/>
        </w:num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Instability or unpredictability in service volumes, accompanied by an inability to manage input costs in accordance with changing service patterns; and</w:t>
      </w:r>
    </w:p>
    <w:p w:rsidR="00460371" w:rsidRPr="00EA38FC" w:rsidRDefault="00460371" w:rsidP="00AD4FFC">
      <w:pPr>
        <w:pStyle w:val="ListParagraph"/>
        <w:numPr>
          <w:ilvl w:val="0"/>
          <w:numId w:val="33"/>
        </w:num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 xml:space="preserve">A skewed profile of services and/or costs. </w:t>
      </w:r>
    </w:p>
    <w:p w:rsidR="00460371" w:rsidRPr="00EA38FC" w:rsidRDefault="00460371" w:rsidP="00AD4FFC">
      <w:pPr>
        <w:pBdr>
          <w:top w:val="single" w:sz="12" w:space="1" w:color="auto"/>
          <w:left w:val="single" w:sz="12" w:space="4" w:color="auto"/>
          <w:bottom w:val="single" w:sz="12" w:space="1" w:color="auto"/>
          <w:right w:val="single" w:sz="12" w:space="4" w:color="auto"/>
        </w:pBdr>
        <w:tabs>
          <w:tab w:val="left" w:pos="1162"/>
        </w:tabs>
        <w:jc w:val="both"/>
        <w:rPr>
          <w:rFonts w:cs="Arial"/>
          <w:b/>
          <w:i/>
          <w:szCs w:val="20"/>
        </w:rPr>
      </w:pPr>
      <w:r w:rsidRPr="00EA38FC">
        <w:rPr>
          <w:rFonts w:cs="Arial"/>
          <w:b/>
          <w:i/>
          <w:szCs w:val="20"/>
        </w:rPr>
        <w:t>Other considerations</w:t>
      </w:r>
    </w:p>
    <w:p w:rsidR="00460371" w:rsidRPr="00EA38FC" w:rsidRDefault="00460371" w:rsidP="00AD4FFC">
      <w:p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 xml:space="preserve">IHPA is also releasing some indicative guidelines on ‘low volume’ thresholds that might form part of draft Block Funding Criteria for use from </w:t>
      </w:r>
      <w:r w:rsidR="00D94747" w:rsidRPr="00D94747">
        <w:rPr>
          <w:rFonts w:cs="Arial"/>
          <w:szCs w:val="20"/>
        </w:rPr>
        <w:t>2013-</w:t>
      </w:r>
      <w:r w:rsidRPr="00D94747">
        <w:rPr>
          <w:rFonts w:cs="Arial"/>
          <w:szCs w:val="20"/>
        </w:rPr>
        <w:t>14.</w:t>
      </w:r>
      <w:r>
        <w:rPr>
          <w:rFonts w:cs="Arial"/>
          <w:szCs w:val="20"/>
        </w:rPr>
        <w:t xml:space="preserve"> </w:t>
      </w:r>
      <w:r w:rsidRPr="00EA38FC">
        <w:rPr>
          <w:rFonts w:cs="Arial"/>
          <w:szCs w:val="20"/>
        </w:rPr>
        <w:t>Under these thresholds, hospitals may be eligible for block funding if:</w:t>
      </w:r>
    </w:p>
    <w:p w:rsidR="00460371" w:rsidRDefault="00460371" w:rsidP="00AD4FFC">
      <w:pPr>
        <w:pStyle w:val="ListParagraph"/>
        <w:numPr>
          <w:ilvl w:val="0"/>
          <w:numId w:val="34"/>
        </w:numPr>
        <w:pBdr>
          <w:top w:val="single" w:sz="12" w:space="1" w:color="auto"/>
          <w:left w:val="single" w:sz="12" w:space="4" w:color="auto"/>
          <w:bottom w:val="single" w:sz="12" w:space="1" w:color="auto"/>
          <w:right w:val="single" w:sz="12" w:space="4" w:color="auto"/>
        </w:pBdr>
        <w:tabs>
          <w:tab w:val="left" w:pos="1162"/>
        </w:tabs>
        <w:jc w:val="both"/>
        <w:rPr>
          <w:rFonts w:cs="Arial"/>
          <w:szCs w:val="20"/>
        </w:rPr>
      </w:pPr>
      <w:r w:rsidRPr="00EA38FC">
        <w:rPr>
          <w:rFonts w:cs="Arial"/>
          <w:szCs w:val="20"/>
        </w:rPr>
        <w:t>They are in a metropolitan area (defined as ‘major city’ in the Australian Sta</w:t>
      </w:r>
      <w:r>
        <w:rPr>
          <w:rFonts w:cs="Arial"/>
          <w:szCs w:val="20"/>
        </w:rPr>
        <w:t>tistical</w:t>
      </w:r>
      <w:r w:rsidRPr="00EA38FC">
        <w:rPr>
          <w:rFonts w:cs="Arial"/>
          <w:szCs w:val="20"/>
        </w:rPr>
        <w:t xml:space="preserve"> Geograph</w:t>
      </w:r>
      <w:r>
        <w:rPr>
          <w:rFonts w:cs="Arial"/>
          <w:szCs w:val="20"/>
        </w:rPr>
        <w:t>y</w:t>
      </w:r>
      <w:r w:rsidRPr="00EA38FC">
        <w:rPr>
          <w:rFonts w:cs="Arial"/>
          <w:szCs w:val="20"/>
        </w:rPr>
        <w:t xml:space="preserve"> </w:t>
      </w:r>
      <w:r>
        <w:rPr>
          <w:rFonts w:cs="Arial"/>
          <w:szCs w:val="20"/>
        </w:rPr>
        <w:t>Standard</w:t>
      </w:r>
      <w:r w:rsidRPr="00EA38FC">
        <w:rPr>
          <w:rFonts w:cs="Arial"/>
          <w:szCs w:val="20"/>
        </w:rPr>
        <w:t>) and they provide ≤ 1,800 inpatient National Weighted Activity Units (NWAU) per annum; or</w:t>
      </w:r>
    </w:p>
    <w:p w:rsidR="0036552B" w:rsidRPr="009B622C" w:rsidRDefault="00790998" w:rsidP="009B622C">
      <w:pPr>
        <w:pStyle w:val="ListParagraph"/>
        <w:numPr>
          <w:ilvl w:val="0"/>
          <w:numId w:val="34"/>
        </w:numPr>
        <w:pBdr>
          <w:top w:val="single" w:sz="12" w:space="1" w:color="auto"/>
          <w:left w:val="single" w:sz="12" w:space="4" w:color="auto"/>
          <w:bottom w:val="single" w:sz="12" w:space="1" w:color="auto"/>
          <w:right w:val="single" w:sz="12" w:space="4" w:color="auto"/>
        </w:pBdr>
        <w:tabs>
          <w:tab w:val="left" w:pos="1162"/>
        </w:tabs>
        <w:rPr>
          <w:rFonts w:cs="Arial"/>
          <w:szCs w:val="20"/>
        </w:rPr>
        <w:sectPr w:rsidR="0036552B" w:rsidRPr="009B622C" w:rsidSect="001E0627">
          <w:type w:val="continuous"/>
          <w:pgSz w:w="11906" w:h="16838"/>
          <w:pgMar w:top="1247" w:right="1440" w:bottom="1440" w:left="851" w:header="170" w:footer="340" w:gutter="0"/>
          <w:cols w:space="708"/>
          <w:docGrid w:linePitch="360"/>
        </w:sectPr>
      </w:pPr>
      <w:r w:rsidRPr="00891377">
        <w:rPr>
          <w:rFonts w:cs="Arial"/>
          <w:szCs w:val="20"/>
        </w:rPr>
        <w:t>They are in a rural area (defined as all remaining areas, including ‘inner regional’, ‘outer regional’, ‘remote’ and ‘very remote’ in the Australian Statistical Geography Standard and they provide ≤ 3,500 total NWAU per annum</w:t>
      </w:r>
      <w:r>
        <w:rPr>
          <w:rFonts w:cs="Arial"/>
          <w:szCs w:val="20"/>
        </w:rPr>
        <w:t>.</w:t>
      </w:r>
    </w:p>
    <w:p w:rsidR="004D0B30" w:rsidRDefault="009638CB" w:rsidP="009B622C">
      <w:pPr>
        <w:pStyle w:val="Heading1nonumber"/>
        <w:spacing w:after="0"/>
        <w:rPr>
          <w:b w:val="0"/>
          <w:bCs w:val="0"/>
        </w:rPr>
        <w:sectPr w:rsidR="004D0B30" w:rsidSect="001E0627">
          <w:type w:val="continuous"/>
          <w:pgSz w:w="16838" w:h="11906" w:orient="landscape"/>
          <w:pgMar w:top="851" w:right="1247" w:bottom="1440" w:left="1440" w:header="170" w:footer="340" w:gutter="0"/>
          <w:cols w:space="708"/>
          <w:docGrid w:linePitch="360"/>
        </w:sectPr>
      </w:pPr>
      <w:bookmarkStart w:id="409" w:name="_Toc412550798"/>
      <w:r w:rsidRPr="009638CB">
        <w:t>Attachment E – NEC15 Data Preparation</w:t>
      </w:r>
      <w:bookmarkEnd w:id="409"/>
    </w:p>
    <w:p w:rsidR="002340A8" w:rsidRDefault="00AB18E6" w:rsidP="002340A8">
      <w:pPr>
        <w:spacing w:before="120"/>
        <w:rPr>
          <w:color w:val="808080" w:themeColor="background1" w:themeShade="80"/>
          <w:sz w:val="16"/>
          <w:szCs w:val="16"/>
        </w:rPr>
        <w:sectPr w:rsidR="002340A8" w:rsidSect="009B622C">
          <w:headerReference w:type="default" r:id="rId33"/>
          <w:type w:val="continuous"/>
          <w:pgSz w:w="16838" w:h="11906" w:orient="landscape"/>
          <w:pgMar w:top="851" w:right="1247" w:bottom="1440" w:left="1440" w:header="170" w:footer="340" w:gutter="0"/>
          <w:cols w:space="708"/>
          <w:docGrid w:linePitch="360"/>
        </w:sectPr>
      </w:pPr>
      <w:bookmarkStart w:id="410" w:name="_Toc412207182"/>
      <w:bookmarkStart w:id="411" w:name="_Toc380754780"/>
      <w:bookmarkStart w:id="412" w:name="_Toc404864917"/>
      <w:bookmarkEnd w:id="406"/>
      <w:r>
        <w:rPr>
          <w:noProof/>
          <w:lang w:eastAsia="en-AU"/>
        </w:rPr>
        <w:drawing>
          <wp:inline distT="0" distB="0" distL="0" distR="0" wp14:anchorId="0F47177A" wp14:editId="355C5F57">
            <wp:extent cx="8254462" cy="5676405"/>
            <wp:effectExtent l="0" t="0" r="0" b="635"/>
            <wp:docPr id="154" name="Picture 154" descr="Attachment E is a flow chart that provides an overview of the data preparation undertaken to determine the National Efficient Cost (NEC) for 2015-16. The flow chart is split into two flows: activity and expenditure.&#10;&#10;The activity flow starts with the IHPA activity datasets. The National Efficient Price 2014 (NEP14) National Weighted Activity Unit (NWAU) calculators are used to determine an establishment-level summary of National Weighted Activity Unit (NWAU) for each stream. &#10;&#10;This National Weighted Activity Unit (NWAU) count is adjusted to account for errors in crucial fields (for example, care type, funding source, clinic type, urgency related group (URG), urgency disposition group (UDG)) using multipliers derived from the patient-level datasets. &#10;&#10;Non-admitted National Weighted Activity Unit (NWAU) is derived from National Public Hospital Establishment Database (NPHED) reported occasions of service for hospitals that have not reported in any Independent Hospital Pricing Authority (IHPA) datasets. The establishment-level weighted activity summaries are then used as input for the expenditure calculations.&#10;&#10;The expenditure flow starts with the establishment-level weighted activity summaries from the activity flow. Total expenditure for each establishment is extracted from the National Public Hospital Establishment Database (NPHED) and split into admitted and not-admitted expenditure using the inpatient fraction from the National Public Hospital Establishment Database (NPHED). &#10;&#10;If there is admitted expenditure but no reported admitted activity, the admitted activity is estimated from the expenditure. The National Hospital Cost Data Collection (NHCDC) is used to approximate the proportion of non-admitted expenditure associated with in-scope services. Out-of-scope expenditure for all streams is then removed based on National Weighted Activity Unit (NWAU)/Gross Weighted Activity Unit (GW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66660" cy="5684793"/>
                    </a:xfrm>
                    <a:prstGeom prst="rect">
                      <a:avLst/>
                    </a:prstGeom>
                    <a:noFill/>
                    <a:ln>
                      <a:noFill/>
                    </a:ln>
                  </pic:spPr>
                </pic:pic>
              </a:graphicData>
            </a:graphic>
          </wp:inline>
        </w:drawing>
      </w:r>
      <w:bookmarkEnd w:id="410"/>
      <w:bookmarkEnd w:id="411"/>
      <w:bookmarkEnd w:id="412"/>
    </w:p>
    <w:p w:rsidR="002340A8" w:rsidRDefault="002340A8" w:rsidP="002340A8">
      <w:pPr>
        <w:pStyle w:val="ListParagraph"/>
        <w:spacing w:before="6000" w:line="276" w:lineRule="auto"/>
        <w:ind w:left="360"/>
        <w:jc w:val="center"/>
        <w:rPr>
          <w:b/>
          <w:lang w:eastAsia="ja-JP"/>
        </w:rPr>
      </w:pPr>
      <w:r>
        <w:rPr>
          <w:noProof/>
          <w:lang w:eastAsia="en-AU"/>
        </w:rPr>
        <w:drawing>
          <wp:anchor distT="0" distB="0" distL="114300" distR="114300" simplePos="0" relativeHeight="251664384" behindDoc="0" locked="0" layoutInCell="1" allowOverlap="1" wp14:anchorId="2D33C5AC" wp14:editId="36331693">
            <wp:simplePos x="0" y="0"/>
            <wp:positionH relativeFrom="column">
              <wp:posOffset>2609850</wp:posOffset>
            </wp:positionH>
            <wp:positionV relativeFrom="paragraph">
              <wp:posOffset>2410460</wp:posOffset>
            </wp:positionV>
            <wp:extent cx="1457325" cy="2000885"/>
            <wp:effectExtent l="0" t="0" r="9525" b="0"/>
            <wp:wrapNone/>
            <wp:docPr id="160" name="Picture 160"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7325" cy="2000885"/>
                    </a:xfrm>
                    <a:prstGeom prst="rect">
                      <a:avLst/>
                    </a:prstGeom>
                  </pic:spPr>
                </pic:pic>
              </a:graphicData>
            </a:graphic>
            <wp14:sizeRelH relativeFrom="page">
              <wp14:pctWidth>0</wp14:pctWidth>
            </wp14:sizeRelH>
            <wp14:sizeRelV relativeFrom="page">
              <wp14:pctHeight>0</wp14:pctHeight>
            </wp14:sizeRelV>
          </wp:anchor>
        </w:drawing>
      </w:r>
    </w:p>
    <w:p w:rsidR="002340A8" w:rsidRPr="00A67C51" w:rsidRDefault="002340A8" w:rsidP="002340A8">
      <w:pPr>
        <w:pStyle w:val="ListParagraph"/>
        <w:spacing w:before="4920" w:line="276" w:lineRule="auto"/>
        <w:ind w:left="357"/>
        <w:jc w:val="center"/>
        <w:rPr>
          <w:b/>
          <w:lang w:eastAsia="ja-JP"/>
        </w:rPr>
      </w:pPr>
      <w:r w:rsidRPr="00A67C51">
        <w:rPr>
          <w:b/>
          <w:lang w:eastAsia="ja-JP"/>
        </w:rPr>
        <w:t>Independent Hospital Pricing Authority</w:t>
      </w:r>
    </w:p>
    <w:p w:rsidR="002340A8" w:rsidRDefault="002340A8" w:rsidP="002340A8">
      <w:pPr>
        <w:pStyle w:val="ListParagraph"/>
        <w:spacing w:line="276" w:lineRule="auto"/>
        <w:ind w:left="360"/>
        <w:jc w:val="center"/>
        <w:rPr>
          <w:lang w:eastAsia="ja-JP"/>
        </w:rPr>
      </w:pPr>
      <w:r>
        <w:rPr>
          <w:lang w:eastAsia="ja-JP"/>
        </w:rPr>
        <w:t>Level 6, 1 Oxford Street Sydney NSW 2000   PO Box 483 Darlinghurst NSW 1300</w:t>
      </w:r>
    </w:p>
    <w:p w:rsidR="002340A8" w:rsidRPr="001D1742" w:rsidRDefault="002340A8" w:rsidP="002340A8">
      <w:pPr>
        <w:pStyle w:val="ListParagraph"/>
        <w:spacing w:line="276" w:lineRule="auto"/>
        <w:ind w:left="360"/>
        <w:jc w:val="center"/>
        <w:rPr>
          <w:lang w:eastAsia="ja-JP"/>
        </w:rPr>
      </w:pPr>
      <w:r>
        <w:rPr>
          <w:lang w:eastAsia="ja-JP"/>
        </w:rPr>
        <w:t>P +61 2 8215 1100   F +61 2 8215 1111</w:t>
      </w:r>
    </w:p>
    <w:sectPr w:rsidR="002340A8" w:rsidRPr="001D1742" w:rsidSect="002340A8">
      <w:headerReference w:type="default" r:id="rId36"/>
      <w:footerReference w:type="default" r:id="rId37"/>
      <w:pgSz w:w="11906" w:h="16838"/>
      <w:pgMar w:top="1247" w:right="1440" w:bottom="1440" w:left="851" w:header="17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CDA" w:rsidRDefault="00273CDA" w:rsidP="006A55E0">
      <w:pPr>
        <w:spacing w:after="0"/>
      </w:pPr>
      <w:r>
        <w:separator/>
      </w:r>
    </w:p>
  </w:endnote>
  <w:endnote w:type="continuationSeparator" w:id="0">
    <w:p w:rsidR="00273CDA" w:rsidRDefault="00273CDA" w:rsidP="006A55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FPE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Default="00513719" w:rsidP="004C15AD">
    <w:pPr>
      <w:pStyle w:val="Footer"/>
      <w:jc w:val="right"/>
    </w:pPr>
    <w:r>
      <w:t xml:space="preserve">Page </w:t>
    </w:r>
    <w:r>
      <w:fldChar w:fldCharType="begin"/>
    </w:r>
    <w:r>
      <w:instrText xml:space="preserve"> PAGE   \* MERGEFORMAT </w:instrText>
    </w:r>
    <w:r>
      <w:fldChar w:fldCharType="separate"/>
    </w:r>
    <w:r>
      <w:rPr>
        <w:noProof/>
      </w:rPr>
      <w:t>0</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78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Default="00513719" w:rsidP="002049EC">
    <w:pPr>
      <w:pStyle w:val="Footer"/>
      <w:tabs>
        <w:tab w:val="left" w:pos="6765"/>
      </w:tabs>
    </w:pPr>
    <w:r>
      <w:rPr>
        <w:color w:val="808080" w:themeColor="background1" w:themeShade="80"/>
        <w:spacing w:val="60"/>
      </w:rPr>
      <w:t>Page</w:t>
    </w:r>
    <w:r>
      <w:t xml:space="preserve"> | </w:t>
    </w:r>
    <w:r>
      <w:fldChar w:fldCharType="begin"/>
    </w:r>
    <w:r>
      <w:instrText xml:space="preserve"> PAGE   \* MERGEFORMAT </w:instrText>
    </w:r>
    <w:r>
      <w:fldChar w:fldCharType="separate"/>
    </w:r>
    <w:r w:rsidRPr="003A077A">
      <w:rPr>
        <w:b/>
        <w:bCs/>
        <w:noProof/>
      </w:rPr>
      <w:t>2</w:t>
    </w:r>
    <w:r>
      <w:rPr>
        <w:b/>
        <w:bCs/>
        <w:noProof/>
      </w:rPr>
      <w:fldChar w:fldCharType="end"/>
    </w:r>
    <w:r>
      <w:rPr>
        <w:b/>
        <w:bCs/>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437520"/>
      <w:docPartObj>
        <w:docPartGallery w:val="Page Numbers (Bottom of Page)"/>
        <w:docPartUnique/>
      </w:docPartObj>
    </w:sdtPr>
    <w:sdtEndPr>
      <w:rPr>
        <w:color w:val="808080" w:themeColor="background1" w:themeShade="80"/>
        <w:spacing w:val="60"/>
      </w:rPr>
    </w:sdtEndPr>
    <w:sdtContent>
      <w:p w:rsidR="00513719" w:rsidRDefault="00513719">
        <w:pPr>
          <w:pStyle w:val="Footer"/>
          <w:pBdr>
            <w:top w:val="single" w:sz="4" w:space="1" w:color="D9D9D9" w:themeColor="background1" w:themeShade="D9"/>
          </w:pBdr>
          <w:rPr>
            <w:b/>
            <w:bCs/>
          </w:rPr>
        </w:pPr>
        <w:r>
          <w:t>Independent Hospital Pricing Authority</w:t>
        </w:r>
        <w:r>
          <w:tab/>
        </w:r>
        <w:r>
          <w:tab/>
        </w:r>
        <w:r>
          <w:fldChar w:fldCharType="begin"/>
        </w:r>
        <w:r>
          <w:instrText xml:space="preserve"> PAGE   \* MERGEFORMAT </w:instrText>
        </w:r>
        <w:r>
          <w:fldChar w:fldCharType="separate"/>
        </w:r>
        <w:r w:rsidR="00822CBA" w:rsidRPr="00822CBA">
          <w:rPr>
            <w:b/>
            <w:bCs/>
            <w:noProof/>
          </w:rPr>
          <w:t>4</w:t>
        </w:r>
        <w:r>
          <w:rPr>
            <w:b/>
            <w:bCs/>
            <w:noProof/>
          </w:rPr>
          <w:fldChar w:fldCharType="end"/>
        </w:r>
        <w:r>
          <w:rPr>
            <w:b/>
            <w:bCs/>
          </w:rPr>
          <w:t xml:space="preserve"> | </w:t>
        </w:r>
        <w:r>
          <w:rPr>
            <w:color w:val="808080" w:themeColor="background1" w:themeShade="80"/>
            <w:spacing w:val="60"/>
          </w:rPr>
          <w:t>Page</w:t>
        </w:r>
      </w:p>
    </w:sdtContent>
  </w:sdt>
  <w:p w:rsidR="00513719" w:rsidRDefault="005137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505574"/>
      <w:docPartObj>
        <w:docPartGallery w:val="Page Numbers (Bottom of Page)"/>
        <w:docPartUnique/>
      </w:docPartObj>
    </w:sdtPr>
    <w:sdtEndPr>
      <w:rPr>
        <w:color w:val="808080" w:themeColor="background1" w:themeShade="80"/>
        <w:spacing w:val="60"/>
      </w:rPr>
    </w:sdtEndPr>
    <w:sdtContent>
      <w:p w:rsidR="00513719" w:rsidRDefault="00513719" w:rsidP="0079353C">
        <w:pPr>
          <w:pStyle w:val="Footer"/>
          <w:pBdr>
            <w:top w:val="single" w:sz="4" w:space="1" w:color="D9D9D9" w:themeColor="background1" w:themeShade="D9"/>
          </w:pBdr>
          <w:rPr>
            <w:b/>
            <w:bCs/>
          </w:rPr>
        </w:pPr>
        <w:r>
          <w:t>Independent Hospital Pricing Authority</w:t>
        </w:r>
        <w:r>
          <w:tab/>
        </w:r>
        <w:r>
          <w:tab/>
        </w:r>
        <w:r>
          <w:fldChar w:fldCharType="begin"/>
        </w:r>
        <w:r>
          <w:instrText xml:space="preserve"> PAGE   \* MERGEFORMAT </w:instrText>
        </w:r>
        <w:r>
          <w:fldChar w:fldCharType="separate"/>
        </w:r>
        <w:r w:rsidR="00822CBA" w:rsidRPr="00822CBA">
          <w:rPr>
            <w:b/>
            <w:bCs/>
            <w:noProof/>
          </w:rPr>
          <w:t>1</w:t>
        </w:r>
        <w:r>
          <w:rPr>
            <w:b/>
            <w:bCs/>
            <w:noProof/>
          </w:rPr>
          <w:fldChar w:fldCharType="end"/>
        </w:r>
        <w:r>
          <w:rPr>
            <w:b/>
            <w:bCs/>
          </w:rPr>
          <w:t xml:space="preserve"> | </w:t>
        </w:r>
        <w:r>
          <w:rPr>
            <w:color w:val="808080" w:themeColor="background1" w:themeShade="80"/>
            <w:spacing w:val="60"/>
          </w:rPr>
          <w:t>Page</w:t>
        </w:r>
      </w:p>
    </w:sdtContent>
  </w:sdt>
  <w:p w:rsidR="00513719" w:rsidRDefault="0051371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Pr="005571FF" w:rsidRDefault="00513719" w:rsidP="002049EC">
    <w:pPr>
      <w:pStyle w:val="Footer"/>
      <w:pBdr>
        <w:top w:val="single" w:sz="4" w:space="1" w:color="auto"/>
      </w:pBdr>
      <w:jc w:val="center"/>
      <w:rPr>
        <w:b/>
        <w:color w:val="808080"/>
        <w:szCs w:val="20"/>
      </w:rPr>
    </w:pPr>
    <w:r w:rsidRPr="005571FF">
      <w:rPr>
        <w:b/>
        <w:color w:val="7F7F7F"/>
        <w:spacing w:val="60"/>
        <w:szCs w:val="20"/>
      </w:rPr>
      <w:tab/>
    </w:r>
    <w:r w:rsidRPr="005571FF">
      <w:rPr>
        <w:b/>
        <w:color w:val="7F7F7F"/>
        <w:spacing w:val="60"/>
        <w:szCs w:val="20"/>
      </w:rPr>
      <w:tab/>
      <w:t>Page</w:t>
    </w:r>
    <w:r w:rsidRPr="005571FF">
      <w:rPr>
        <w:b/>
        <w:color w:val="808080"/>
        <w:szCs w:val="20"/>
      </w:rPr>
      <w:t xml:space="preserve"> | </w:t>
    </w:r>
    <w:r w:rsidRPr="005571FF">
      <w:rPr>
        <w:b/>
        <w:color w:val="808080"/>
        <w:szCs w:val="20"/>
      </w:rPr>
      <w:fldChar w:fldCharType="begin"/>
    </w:r>
    <w:r w:rsidRPr="005571FF">
      <w:rPr>
        <w:b/>
        <w:color w:val="808080"/>
        <w:szCs w:val="20"/>
      </w:rPr>
      <w:instrText xml:space="preserve"> PAGE   \* MERGEFORMAT </w:instrText>
    </w:r>
    <w:r w:rsidRPr="005571FF">
      <w:rPr>
        <w:b/>
        <w:color w:val="808080"/>
        <w:szCs w:val="20"/>
      </w:rPr>
      <w:fldChar w:fldCharType="separate"/>
    </w:r>
    <w:r w:rsidR="00822CBA">
      <w:rPr>
        <w:b/>
        <w:noProof/>
        <w:color w:val="808080"/>
        <w:szCs w:val="20"/>
      </w:rPr>
      <w:t>68</w:t>
    </w:r>
    <w:r w:rsidRPr="005571FF">
      <w:rPr>
        <w:b/>
        <w:color w:val="808080"/>
        <w:szCs w:val="20"/>
      </w:rPr>
      <w:fldChar w:fldCharType="end"/>
    </w:r>
    <w:r w:rsidRPr="005571FF">
      <w:rPr>
        <w:b/>
        <w:color w:val="808080"/>
        <w:szCs w:val="20"/>
      </w:rPr>
      <w:t xml:space="preserve"> </w:t>
    </w:r>
  </w:p>
  <w:p w:rsidR="00513719" w:rsidRDefault="00513719">
    <w:pPr>
      <w:pStyle w:val="Footer"/>
    </w:pPr>
    <w:r>
      <w:t>Independent Hospital Pricing Authority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Pr="005571FF" w:rsidRDefault="00513719" w:rsidP="00EB1CFF">
    <w:pPr>
      <w:pStyle w:val="Footer"/>
      <w:rPr>
        <w:b/>
        <w:color w:val="80808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CDA" w:rsidRDefault="00273CDA" w:rsidP="006A55E0">
      <w:pPr>
        <w:spacing w:after="0"/>
      </w:pPr>
      <w:r>
        <w:separator/>
      </w:r>
    </w:p>
  </w:footnote>
  <w:footnote w:type="continuationSeparator" w:id="0">
    <w:p w:rsidR="00273CDA" w:rsidRDefault="00273CDA" w:rsidP="006A55E0">
      <w:pPr>
        <w:spacing w:after="0"/>
      </w:pPr>
      <w:r>
        <w:continuationSeparator/>
      </w:r>
    </w:p>
  </w:footnote>
  <w:footnote w:id="1">
    <w:p w:rsidR="00513719" w:rsidRDefault="00513719" w:rsidP="00077336">
      <w:pPr>
        <w:pStyle w:val="FootnoteText"/>
      </w:pPr>
      <w:r>
        <w:rPr>
          <w:rStyle w:val="FootnoteReference"/>
        </w:rPr>
        <w:footnoteRef/>
      </w:r>
      <w:r>
        <w:t xml:space="preserve"> For a list of block funded hospitals see Appendix A of the </w:t>
      </w:r>
      <w:r w:rsidRPr="009645A3">
        <w:rPr>
          <w:i/>
        </w:rPr>
        <w:t>National Efficient Cost  Determination 2015-16</w:t>
      </w:r>
    </w:p>
  </w:footnote>
  <w:footnote w:id="2">
    <w:p w:rsidR="00513719" w:rsidRPr="003D4326" w:rsidRDefault="00513719" w:rsidP="00460371">
      <w:pPr>
        <w:pStyle w:val="FootnoteText"/>
        <w:rPr>
          <w:lang w:val="en-AU"/>
        </w:rPr>
      </w:pPr>
      <w:r w:rsidRPr="003D4326">
        <w:rPr>
          <w:rStyle w:val="FootnoteReference"/>
          <w:lang w:val="en-AU"/>
        </w:rPr>
        <w:footnoteRef/>
      </w:r>
      <w:r w:rsidRPr="003D4326">
        <w:rPr>
          <w:lang w:val="en-AU"/>
        </w:rPr>
        <w:t xml:space="preserve"> Details of each of the classifications are available from:</w:t>
      </w:r>
    </w:p>
    <w:p w:rsidR="00513719" w:rsidRPr="003D4326" w:rsidRDefault="00513719" w:rsidP="00460371">
      <w:pPr>
        <w:pStyle w:val="FootnoteText"/>
        <w:ind w:right="-143"/>
        <w:rPr>
          <w:lang w:val="en-AU"/>
        </w:rPr>
      </w:pPr>
      <w:r w:rsidRPr="00455EF2">
        <w:rPr>
          <w:lang w:val="en-AU"/>
        </w:rPr>
        <w:t>http://www.ihpa.gov.au/internet/ihpa/publishing.nsf/Content/Classifications</w:t>
      </w:r>
    </w:p>
  </w:footnote>
  <w:footnote w:id="3">
    <w:p w:rsidR="00513719" w:rsidRDefault="00513719" w:rsidP="00460371">
      <w:pPr>
        <w:pStyle w:val="FootnoteText"/>
      </w:pPr>
      <w:r>
        <w:rPr>
          <w:rStyle w:val="FootnoteReference"/>
        </w:rPr>
        <w:footnoteRef/>
      </w:r>
      <w:r>
        <w:t xml:space="preserve"> See Glossary Item </w:t>
      </w:r>
      <w:r w:rsidRPr="008748DF">
        <w:rPr>
          <w:i/>
        </w:rPr>
        <w:t>Newborn qualification status</w:t>
      </w:r>
      <w:r>
        <w:t xml:space="preserve"> [</w:t>
      </w:r>
      <w:proofErr w:type="spellStart"/>
      <w:r>
        <w:t>METeOR</w:t>
      </w:r>
      <w:proofErr w:type="spellEnd"/>
      <w:r>
        <w:t xml:space="preserve"> identifier: 327254] </w:t>
      </w:r>
    </w:p>
  </w:footnote>
  <w:footnote w:id="4">
    <w:p w:rsidR="00513719" w:rsidRPr="003D4326" w:rsidRDefault="00513719" w:rsidP="00460371">
      <w:pPr>
        <w:pStyle w:val="FootnoteText"/>
        <w:rPr>
          <w:lang w:val="en-AU"/>
        </w:rPr>
      </w:pPr>
      <w:r w:rsidRPr="003D4326">
        <w:rPr>
          <w:rStyle w:val="FootnoteReference"/>
          <w:lang w:val="en-AU"/>
        </w:rPr>
        <w:footnoteRef/>
      </w:r>
      <w:r w:rsidRPr="003D4326">
        <w:rPr>
          <w:lang w:val="en-AU"/>
        </w:rPr>
        <w:t xml:space="preserve"> See object class </w:t>
      </w:r>
      <w:r w:rsidRPr="003D4326">
        <w:rPr>
          <w:i/>
          <w:lang w:val="en-AU"/>
        </w:rPr>
        <w:t>Episode of admitted patient care</w:t>
      </w:r>
      <w:r w:rsidRPr="003D4326">
        <w:rPr>
          <w:lang w:val="en-AU"/>
        </w:rPr>
        <w:t xml:space="preserve"> [</w:t>
      </w:r>
      <w:proofErr w:type="spellStart"/>
      <w:r w:rsidRPr="003D4326">
        <w:rPr>
          <w:lang w:val="en-AU"/>
        </w:rPr>
        <w:t>METeOR</w:t>
      </w:r>
      <w:proofErr w:type="spellEnd"/>
      <w:r w:rsidRPr="003D4326">
        <w:rPr>
          <w:lang w:val="en-AU"/>
        </w:rPr>
        <w:t xml:space="preserve"> identifier: 268956].</w:t>
      </w:r>
    </w:p>
  </w:footnote>
  <w:footnote w:id="5">
    <w:p w:rsidR="00513719" w:rsidRPr="003D4326" w:rsidRDefault="00513719" w:rsidP="00460371">
      <w:pPr>
        <w:pStyle w:val="FootnoteText"/>
        <w:spacing w:before="0"/>
        <w:rPr>
          <w:lang w:val="en-AU"/>
        </w:rPr>
      </w:pPr>
      <w:r w:rsidRPr="003D4326">
        <w:rPr>
          <w:rStyle w:val="FootnoteReference"/>
          <w:lang w:val="en-AU"/>
        </w:rPr>
        <w:footnoteRef/>
      </w:r>
      <w:r w:rsidRPr="003D4326">
        <w:rPr>
          <w:lang w:val="en-AU"/>
        </w:rPr>
        <w:t xml:space="preserve"> See data element </w:t>
      </w:r>
      <w:r w:rsidRPr="003D4326">
        <w:rPr>
          <w:i/>
          <w:lang w:val="en-AU"/>
        </w:rPr>
        <w:t>Care type</w:t>
      </w:r>
      <w:r w:rsidRPr="003D4326">
        <w:rPr>
          <w:lang w:val="en-AU"/>
        </w:rPr>
        <w:t xml:space="preserve"> [</w:t>
      </w:r>
      <w:proofErr w:type="spellStart"/>
      <w:r w:rsidRPr="003D4326">
        <w:rPr>
          <w:lang w:val="en-AU"/>
        </w:rPr>
        <w:t>METeOR</w:t>
      </w:r>
      <w:proofErr w:type="spellEnd"/>
      <w:r w:rsidRPr="003D4326">
        <w:rPr>
          <w:lang w:val="en-AU"/>
        </w:rPr>
        <w:t xml:space="preserve"> </w:t>
      </w:r>
      <w:r>
        <w:rPr>
          <w:lang w:val="en-AU"/>
        </w:rPr>
        <w:t>i</w:t>
      </w:r>
      <w:r w:rsidRPr="003D4326">
        <w:rPr>
          <w:lang w:val="en-AU"/>
        </w:rPr>
        <w:t xml:space="preserve">dentifier: </w:t>
      </w:r>
      <w:r>
        <w:rPr>
          <w:lang w:val="en-AU"/>
        </w:rPr>
        <w:t>584408</w:t>
      </w:r>
      <w:r w:rsidRPr="003D4326">
        <w:rPr>
          <w:lang w:val="en-AU"/>
        </w:rPr>
        <w:t>], values: 1 Acute care; 7 Newborn care.</w:t>
      </w:r>
    </w:p>
  </w:footnote>
  <w:footnote w:id="6">
    <w:p w:rsidR="00513719" w:rsidRPr="003D4326" w:rsidRDefault="00513719" w:rsidP="00460371">
      <w:pPr>
        <w:pStyle w:val="FootnoteText"/>
        <w:rPr>
          <w:lang w:val="en-AU"/>
        </w:rPr>
      </w:pPr>
      <w:r w:rsidRPr="003D4326">
        <w:rPr>
          <w:rStyle w:val="FootnoteReference"/>
          <w:lang w:val="en-AU"/>
        </w:rPr>
        <w:footnoteRef/>
      </w:r>
      <w:r w:rsidRPr="003D4326">
        <w:rPr>
          <w:lang w:val="en-AU"/>
        </w:rPr>
        <w:t xml:space="preserve"> See data element </w:t>
      </w:r>
      <w:r w:rsidRPr="003D4326">
        <w:rPr>
          <w:i/>
          <w:lang w:val="en-AU"/>
        </w:rPr>
        <w:t>Number of qualified days for newborns</w:t>
      </w:r>
      <w:r w:rsidRPr="003D4326">
        <w:rPr>
          <w:lang w:val="en-AU"/>
        </w:rPr>
        <w:t xml:space="preserve"> [</w:t>
      </w:r>
      <w:proofErr w:type="spellStart"/>
      <w:r w:rsidRPr="003D4326">
        <w:rPr>
          <w:lang w:val="en-AU"/>
        </w:rPr>
        <w:t>METeOR</w:t>
      </w:r>
      <w:proofErr w:type="spellEnd"/>
      <w:r w:rsidRPr="003D4326">
        <w:rPr>
          <w:lang w:val="en-AU"/>
        </w:rPr>
        <w:t xml:space="preserve"> identifier: 270033]</w:t>
      </w:r>
      <w:r>
        <w:rPr>
          <w:lang w:val="en-AU"/>
        </w:rPr>
        <w:t>.</w:t>
      </w:r>
    </w:p>
  </w:footnote>
  <w:footnote w:id="7">
    <w:p w:rsidR="00513719" w:rsidRPr="003D4326" w:rsidRDefault="00513719" w:rsidP="00460371">
      <w:pPr>
        <w:pStyle w:val="FootnoteText"/>
        <w:rPr>
          <w:lang w:val="en-AU"/>
        </w:rPr>
      </w:pPr>
      <w:r w:rsidRPr="003D4326">
        <w:rPr>
          <w:rStyle w:val="FootnoteReference"/>
          <w:lang w:val="en-AU"/>
        </w:rPr>
        <w:footnoteRef/>
      </w:r>
      <w:r w:rsidRPr="003D4326">
        <w:rPr>
          <w:lang w:val="en-AU"/>
        </w:rPr>
        <w:t xml:space="preserve"> See data element </w:t>
      </w:r>
      <w:proofErr w:type="gramStart"/>
      <w:r w:rsidRPr="003D4326">
        <w:rPr>
          <w:i/>
          <w:lang w:val="en-AU"/>
        </w:rPr>
        <w:t>Funding</w:t>
      </w:r>
      <w:proofErr w:type="gramEnd"/>
      <w:r w:rsidRPr="003D4326">
        <w:rPr>
          <w:i/>
          <w:lang w:val="en-AU"/>
        </w:rPr>
        <w:t xml:space="preserve"> source for hospital patient </w:t>
      </w:r>
      <w:r w:rsidRPr="003D4326">
        <w:rPr>
          <w:lang w:val="en-AU"/>
        </w:rPr>
        <w:t>[</w:t>
      </w:r>
      <w:proofErr w:type="spellStart"/>
      <w:r w:rsidRPr="003D4326">
        <w:rPr>
          <w:lang w:val="en-AU"/>
        </w:rPr>
        <w:t>METeOR</w:t>
      </w:r>
      <w:proofErr w:type="spellEnd"/>
      <w:r w:rsidRPr="003D4326">
        <w:rPr>
          <w:lang w:val="en-AU"/>
        </w:rPr>
        <w:t xml:space="preserve"> identifier: </w:t>
      </w:r>
      <w:r>
        <w:rPr>
          <w:lang w:val="en-AU"/>
        </w:rPr>
        <w:t>553314</w:t>
      </w:r>
      <w:r w:rsidRPr="003D4326">
        <w:rPr>
          <w:lang w:val="en-AU"/>
        </w:rPr>
        <w:t>]</w:t>
      </w:r>
      <w:r>
        <w:rPr>
          <w:lang w:val="en-AU"/>
        </w:rPr>
        <w:t>.</w:t>
      </w:r>
    </w:p>
  </w:footnote>
  <w:footnote w:id="8">
    <w:p w:rsidR="00513719" w:rsidRPr="003D4326" w:rsidRDefault="00513719" w:rsidP="00460371">
      <w:pPr>
        <w:pStyle w:val="FootnoteText"/>
        <w:rPr>
          <w:lang w:val="en-AU"/>
        </w:rPr>
      </w:pPr>
      <w:r w:rsidRPr="003D4326">
        <w:rPr>
          <w:rStyle w:val="FootnoteReference"/>
          <w:lang w:val="en-AU"/>
        </w:rPr>
        <w:footnoteRef/>
      </w:r>
      <w:r w:rsidRPr="003D4326">
        <w:rPr>
          <w:lang w:val="en-AU"/>
        </w:rPr>
        <w:t xml:space="preserve"> See data element </w:t>
      </w:r>
      <w:r w:rsidRPr="003D4326">
        <w:rPr>
          <w:i/>
          <w:lang w:val="en-AU"/>
        </w:rPr>
        <w:t>Indigenous status</w:t>
      </w:r>
      <w:r w:rsidRPr="003D4326">
        <w:rPr>
          <w:lang w:val="en-AU"/>
        </w:rPr>
        <w:t xml:space="preserve"> [</w:t>
      </w:r>
      <w:proofErr w:type="spellStart"/>
      <w:r w:rsidRPr="003D4326">
        <w:rPr>
          <w:lang w:val="en-AU"/>
        </w:rPr>
        <w:t>METeOR</w:t>
      </w:r>
      <w:proofErr w:type="spellEnd"/>
      <w:r w:rsidRPr="003D4326">
        <w:rPr>
          <w:lang w:val="en-AU"/>
        </w:rPr>
        <w:t xml:space="preserve"> identifier: 291036].</w:t>
      </w:r>
    </w:p>
  </w:footnote>
  <w:footnote w:id="9">
    <w:p w:rsidR="00513719" w:rsidRPr="003D4326" w:rsidRDefault="00513719" w:rsidP="00460371">
      <w:pPr>
        <w:pStyle w:val="FootnoteText"/>
        <w:rPr>
          <w:lang w:val="en-AU"/>
        </w:rPr>
      </w:pPr>
      <w:r w:rsidRPr="003D4326">
        <w:rPr>
          <w:rStyle w:val="FootnoteReference"/>
          <w:lang w:val="en-AU"/>
        </w:rPr>
        <w:footnoteRef/>
      </w:r>
      <w:r w:rsidRPr="003D4326">
        <w:rPr>
          <w:lang w:val="en-AU"/>
        </w:rPr>
        <w:t xml:space="preserve"> Remoteness areas are defined in the </w:t>
      </w:r>
      <w:r w:rsidRPr="003D4326">
        <w:rPr>
          <w:i/>
          <w:lang w:val="en-AU"/>
        </w:rPr>
        <w:t xml:space="preserve">Australian Standard Geographic </w:t>
      </w:r>
      <w:r>
        <w:rPr>
          <w:i/>
          <w:lang w:val="en-AU"/>
        </w:rPr>
        <w:t>Standard</w:t>
      </w:r>
      <w:r w:rsidRPr="003D4326">
        <w:rPr>
          <w:i/>
          <w:lang w:val="en-AU"/>
        </w:rPr>
        <w:t xml:space="preserve"> (ASG</w:t>
      </w:r>
      <w:r>
        <w:rPr>
          <w:i/>
          <w:lang w:val="en-AU"/>
        </w:rPr>
        <w:t>S</w:t>
      </w:r>
      <w:r w:rsidRPr="003D4326">
        <w:rPr>
          <w:i/>
          <w:lang w:val="en-AU"/>
        </w:rPr>
        <w:t xml:space="preserve">), </w:t>
      </w:r>
      <w:r w:rsidRPr="003D4326">
        <w:rPr>
          <w:lang w:val="en-AU"/>
        </w:rPr>
        <w:t xml:space="preserve">which is maintained by the Australian Bureau of </w:t>
      </w:r>
      <w:r w:rsidRPr="00A00895">
        <w:rPr>
          <w:szCs w:val="16"/>
          <w:lang w:val="en-AU"/>
        </w:rPr>
        <w:t xml:space="preserve">Statistics (see: </w:t>
      </w:r>
      <w:hyperlink r:id="rId1" w:history="1">
        <w:r w:rsidRPr="00A00895">
          <w:rPr>
            <w:rStyle w:val="Hyperlink"/>
            <w:sz w:val="16"/>
            <w:szCs w:val="16"/>
            <w:lang w:val="en-AU"/>
          </w:rPr>
          <w:t>www.abs.gov.au</w:t>
        </w:r>
      </w:hyperlink>
      <w:r w:rsidRPr="00A00895">
        <w:rPr>
          <w:szCs w:val="16"/>
          <w:lang w:val="en-AU"/>
        </w:rPr>
        <w:t>).</w:t>
      </w:r>
      <w:r w:rsidRPr="003D4326">
        <w:rPr>
          <w:lang w:val="en-AU"/>
        </w:rPr>
        <w:t xml:space="preserve"> The</w:t>
      </w:r>
      <w:r>
        <w:rPr>
          <w:lang w:val="en-AU"/>
        </w:rPr>
        <w:t xml:space="preserve"> 2011</w:t>
      </w:r>
      <w:r w:rsidRPr="003D4326">
        <w:rPr>
          <w:lang w:val="en-AU"/>
        </w:rPr>
        <w:t xml:space="preserve"> ASG</w:t>
      </w:r>
      <w:r>
        <w:rPr>
          <w:lang w:val="en-AU"/>
        </w:rPr>
        <w:t>S</w:t>
      </w:r>
      <w:r w:rsidRPr="003D4326">
        <w:rPr>
          <w:lang w:val="en-AU"/>
        </w:rPr>
        <w:t xml:space="preserve"> Remoteness Area classification was used to classify patients’ place of residence and locality of hospitals.</w:t>
      </w:r>
    </w:p>
  </w:footnote>
  <w:footnote w:id="10">
    <w:p w:rsidR="00513719" w:rsidRPr="003D4326" w:rsidRDefault="00513719" w:rsidP="00460371">
      <w:pPr>
        <w:pStyle w:val="FootnoteText"/>
        <w:rPr>
          <w:lang w:val="en-AU"/>
        </w:rPr>
      </w:pPr>
      <w:r w:rsidRPr="003D4326">
        <w:rPr>
          <w:rStyle w:val="FootnoteReference"/>
          <w:lang w:val="en-AU"/>
        </w:rPr>
        <w:footnoteRef/>
      </w:r>
      <w:r>
        <w:rPr>
          <w:lang w:val="en-AU"/>
        </w:rPr>
        <w:t xml:space="preserve"> For activity data before 2012-13 s</w:t>
      </w:r>
      <w:r w:rsidRPr="003D4326">
        <w:rPr>
          <w:lang w:val="en-AU"/>
        </w:rPr>
        <w:t xml:space="preserve">ee data element </w:t>
      </w:r>
      <w:r w:rsidRPr="003D4326">
        <w:rPr>
          <w:i/>
          <w:lang w:val="en-AU"/>
        </w:rPr>
        <w:t xml:space="preserve">Principal source of funding (Funding source for hospital patient) </w:t>
      </w:r>
      <w:r w:rsidRPr="003D4326">
        <w:rPr>
          <w:lang w:val="en-AU"/>
        </w:rPr>
        <w:t>[</w:t>
      </w:r>
      <w:proofErr w:type="spellStart"/>
      <w:r w:rsidRPr="003D4326">
        <w:rPr>
          <w:lang w:val="en-AU"/>
        </w:rPr>
        <w:t>METeOR</w:t>
      </w:r>
      <w:proofErr w:type="spellEnd"/>
      <w:r w:rsidRPr="003D4326">
        <w:rPr>
          <w:lang w:val="en-AU"/>
        </w:rPr>
        <w:t xml:space="preserve"> identifier: 339080], values: 01 Australian Health Care Agreements; 02 Private health insurance; 03 Self-funded; 10 Other hospital or public authority (contracted care); 11 Reciprocal health care agreements (with other countries); 12 other.</w:t>
      </w:r>
      <w:r>
        <w:rPr>
          <w:lang w:val="en-AU"/>
        </w:rPr>
        <w:t xml:space="preserve"> See Table 3 for relevant codes in 2015-16. </w:t>
      </w:r>
    </w:p>
  </w:footnote>
  <w:footnote w:id="11">
    <w:p w:rsidR="00513719" w:rsidRPr="003D4326" w:rsidRDefault="00513719" w:rsidP="00B32A11">
      <w:pPr>
        <w:pStyle w:val="FootnoteText"/>
        <w:rPr>
          <w:lang w:val="en-AU"/>
        </w:rPr>
      </w:pPr>
      <w:r w:rsidRPr="003D4326">
        <w:rPr>
          <w:rStyle w:val="FootnoteReference"/>
          <w:lang w:val="en-AU"/>
        </w:rPr>
        <w:footnoteRef/>
      </w:r>
      <w:r w:rsidRPr="003D4326">
        <w:rPr>
          <w:lang w:val="en-AU"/>
        </w:rPr>
        <w:t xml:space="preserve"> Data element </w:t>
      </w:r>
      <w:r w:rsidRPr="003D4326">
        <w:rPr>
          <w:i/>
          <w:lang w:val="en-AU"/>
        </w:rPr>
        <w:t>Funding source for hospital patient</w:t>
      </w:r>
      <w:r w:rsidRPr="003D4326">
        <w:rPr>
          <w:lang w:val="en-AU"/>
        </w:rPr>
        <w:t xml:space="preserve"> [</w:t>
      </w:r>
      <w:proofErr w:type="spellStart"/>
      <w:r w:rsidRPr="003D4326">
        <w:rPr>
          <w:lang w:val="en-AU"/>
        </w:rPr>
        <w:t>METeOR</w:t>
      </w:r>
      <w:proofErr w:type="spellEnd"/>
      <w:r w:rsidRPr="003D4326">
        <w:rPr>
          <w:lang w:val="en-AU"/>
        </w:rPr>
        <w:t xml:space="preserve"> identifier: </w:t>
      </w:r>
      <w:r>
        <w:rPr>
          <w:lang w:val="en-AU"/>
        </w:rPr>
        <w:t>553314</w:t>
      </w:r>
      <w:r w:rsidRPr="003D4326">
        <w:rPr>
          <w:lang w:val="en-AU"/>
        </w:rPr>
        <w:t>]</w:t>
      </w:r>
    </w:p>
  </w:footnote>
  <w:footnote w:id="12">
    <w:p w:rsidR="00513719" w:rsidRPr="006E13C4" w:rsidRDefault="00513719" w:rsidP="0036490E">
      <w:pPr>
        <w:pStyle w:val="FootnoteText"/>
        <w:spacing w:before="0" w:after="0"/>
      </w:pPr>
      <w:r w:rsidRPr="006E13C4">
        <w:rPr>
          <w:rStyle w:val="FootnoteReference"/>
        </w:rPr>
        <w:footnoteRef/>
      </w:r>
      <w:r w:rsidRPr="006E13C4">
        <w:t xml:space="preserve"> Or 1 if Funding Source = 2 or 3 for 2011-12 data or earlier. </w:t>
      </w:r>
    </w:p>
  </w:footnote>
  <w:footnote w:id="13">
    <w:p w:rsidR="00513719" w:rsidRDefault="00513719" w:rsidP="0036490E">
      <w:pPr>
        <w:pStyle w:val="FootnoteText"/>
        <w:spacing w:before="0" w:after="0"/>
      </w:pPr>
      <w:r w:rsidRPr="006E13C4">
        <w:rPr>
          <w:rStyle w:val="FootnoteReference"/>
        </w:rPr>
        <w:footnoteRef/>
      </w:r>
      <w:r w:rsidRPr="006E13C4">
        <w:t xml:space="preserve"> Or 1 if Funding Source = 1, 10 or 11 for 2011-12 data or earlier.</w:t>
      </w:r>
      <w:r>
        <w:t xml:space="preserve"> </w:t>
      </w:r>
    </w:p>
  </w:footnote>
  <w:footnote w:id="14">
    <w:p w:rsidR="00513719" w:rsidRPr="003D4326" w:rsidRDefault="00513719" w:rsidP="00F51276">
      <w:pPr>
        <w:pStyle w:val="FootnoteText"/>
        <w:rPr>
          <w:lang w:val="en-AU"/>
        </w:rPr>
      </w:pPr>
      <w:r w:rsidRPr="003D4326">
        <w:rPr>
          <w:rStyle w:val="FootnoteReference"/>
          <w:lang w:val="en-AU"/>
        </w:rPr>
        <w:footnoteRef/>
      </w:r>
      <w:r w:rsidRPr="003D4326">
        <w:rPr>
          <w:lang w:val="en-AU"/>
        </w:rPr>
        <w:t xml:space="preserve"> See object class </w:t>
      </w:r>
      <w:r w:rsidRPr="003D4326">
        <w:rPr>
          <w:i/>
          <w:lang w:val="en-AU"/>
        </w:rPr>
        <w:t>Episode of admitted patient care</w:t>
      </w:r>
      <w:r w:rsidRPr="003D4326">
        <w:rPr>
          <w:lang w:val="en-AU"/>
        </w:rPr>
        <w:t xml:space="preserve"> [</w:t>
      </w:r>
      <w:proofErr w:type="spellStart"/>
      <w:r w:rsidRPr="003D4326">
        <w:rPr>
          <w:lang w:val="en-AU"/>
        </w:rPr>
        <w:t>METeOR</w:t>
      </w:r>
      <w:proofErr w:type="spellEnd"/>
      <w:r w:rsidRPr="003D4326">
        <w:rPr>
          <w:lang w:val="en-AU"/>
        </w:rPr>
        <w:t xml:space="preserve"> identifier: 268956].</w:t>
      </w:r>
    </w:p>
  </w:footnote>
  <w:footnote w:id="15">
    <w:p w:rsidR="00513719" w:rsidRPr="003D4326" w:rsidRDefault="00513719" w:rsidP="00F51276">
      <w:pPr>
        <w:pStyle w:val="FootnoteText"/>
        <w:spacing w:before="0"/>
        <w:rPr>
          <w:lang w:val="en-AU"/>
        </w:rPr>
      </w:pPr>
      <w:r w:rsidRPr="003D4326">
        <w:rPr>
          <w:rStyle w:val="FootnoteReference"/>
          <w:lang w:val="en-AU"/>
        </w:rPr>
        <w:footnoteRef/>
      </w:r>
      <w:r w:rsidRPr="003D4326">
        <w:rPr>
          <w:lang w:val="en-AU"/>
        </w:rPr>
        <w:t xml:space="preserve"> See glossary item </w:t>
      </w:r>
      <w:r w:rsidRPr="003D4326">
        <w:rPr>
          <w:i/>
          <w:lang w:val="en-AU"/>
        </w:rPr>
        <w:t>Admission</w:t>
      </w:r>
      <w:r w:rsidRPr="003D4326">
        <w:rPr>
          <w:lang w:val="en-AU"/>
        </w:rPr>
        <w:t xml:space="preserve"> [</w:t>
      </w:r>
      <w:proofErr w:type="spellStart"/>
      <w:r w:rsidRPr="003D4326">
        <w:rPr>
          <w:lang w:val="en-AU"/>
        </w:rPr>
        <w:t>METeOR</w:t>
      </w:r>
      <w:proofErr w:type="spellEnd"/>
      <w:r w:rsidRPr="003D4326">
        <w:rPr>
          <w:lang w:val="en-AU"/>
        </w:rPr>
        <w:t xml:space="preserve"> identifier: 327206].</w:t>
      </w:r>
    </w:p>
  </w:footnote>
  <w:footnote w:id="16">
    <w:p w:rsidR="00513719" w:rsidRPr="003D4326" w:rsidRDefault="00513719" w:rsidP="00F51276">
      <w:pPr>
        <w:pStyle w:val="FootnoteText"/>
        <w:rPr>
          <w:lang w:val="en-AU"/>
        </w:rPr>
      </w:pPr>
      <w:r w:rsidRPr="003D4326">
        <w:rPr>
          <w:rStyle w:val="FootnoteReference"/>
          <w:lang w:val="en-AU"/>
        </w:rPr>
        <w:footnoteRef/>
      </w:r>
      <w:r w:rsidRPr="003D4326">
        <w:rPr>
          <w:lang w:val="en-AU"/>
        </w:rPr>
        <w:t xml:space="preserve"> See object class </w:t>
      </w:r>
      <w:r w:rsidRPr="003D4326">
        <w:rPr>
          <w:i/>
          <w:lang w:val="en-AU"/>
        </w:rPr>
        <w:t>Episode of admitted patient care</w:t>
      </w:r>
      <w:r w:rsidRPr="003D4326">
        <w:rPr>
          <w:lang w:val="en-AU"/>
        </w:rPr>
        <w:t xml:space="preserve"> [</w:t>
      </w:r>
      <w:proofErr w:type="spellStart"/>
      <w:r w:rsidRPr="003D4326">
        <w:rPr>
          <w:lang w:val="en-AU"/>
        </w:rPr>
        <w:t>METeOR</w:t>
      </w:r>
      <w:proofErr w:type="spellEnd"/>
      <w:r w:rsidRPr="003D4326">
        <w:rPr>
          <w:lang w:val="en-AU"/>
        </w:rPr>
        <w:t xml:space="preserve"> identifier: 268956].</w:t>
      </w:r>
    </w:p>
  </w:footnote>
  <w:footnote w:id="17">
    <w:p w:rsidR="00513719" w:rsidRPr="003D4326" w:rsidRDefault="00513719" w:rsidP="00F51276">
      <w:pPr>
        <w:pStyle w:val="FootnoteText"/>
        <w:rPr>
          <w:lang w:val="en-AU"/>
        </w:rPr>
      </w:pPr>
      <w:r w:rsidRPr="003D4326">
        <w:rPr>
          <w:rStyle w:val="FootnoteReference"/>
          <w:lang w:val="en-AU"/>
        </w:rPr>
        <w:footnoteRef/>
      </w:r>
      <w:r w:rsidRPr="003D4326">
        <w:rPr>
          <w:lang w:val="en-AU"/>
        </w:rPr>
        <w:t xml:space="preserve"> Ibid.</w:t>
      </w:r>
    </w:p>
  </w:footnote>
  <w:footnote w:id="18">
    <w:p w:rsidR="00513719" w:rsidRPr="003D4326" w:rsidRDefault="00513719" w:rsidP="00F51276">
      <w:pPr>
        <w:pStyle w:val="FootnoteText"/>
        <w:spacing w:before="0"/>
        <w:rPr>
          <w:lang w:val="en-AU"/>
        </w:rPr>
      </w:pPr>
      <w:r w:rsidRPr="003D4326">
        <w:rPr>
          <w:rStyle w:val="FootnoteReference"/>
          <w:lang w:val="en-AU"/>
        </w:rPr>
        <w:footnoteRef/>
      </w:r>
      <w:r w:rsidRPr="003D4326">
        <w:rPr>
          <w:lang w:val="en-AU"/>
        </w:rPr>
        <w:t xml:space="preserve"> See glossary item </w:t>
      </w:r>
      <w:r w:rsidRPr="003D4326">
        <w:rPr>
          <w:i/>
          <w:lang w:val="en-AU"/>
        </w:rPr>
        <w:t>Admission</w:t>
      </w:r>
      <w:r w:rsidRPr="003D4326">
        <w:rPr>
          <w:lang w:val="en-AU"/>
        </w:rPr>
        <w:t xml:space="preserve"> [</w:t>
      </w:r>
      <w:proofErr w:type="spellStart"/>
      <w:r w:rsidRPr="003D4326">
        <w:rPr>
          <w:lang w:val="en-AU"/>
        </w:rPr>
        <w:t>METeOR</w:t>
      </w:r>
      <w:proofErr w:type="spellEnd"/>
      <w:r w:rsidRPr="003D4326">
        <w:rPr>
          <w:lang w:val="en-AU"/>
        </w:rPr>
        <w:t xml:space="preserve"> identifier: 327206].</w:t>
      </w:r>
    </w:p>
  </w:footnote>
  <w:footnote w:id="19">
    <w:p w:rsidR="00513719" w:rsidRPr="006E13C4" w:rsidRDefault="00513719" w:rsidP="00F51276">
      <w:pPr>
        <w:pStyle w:val="FootnoteText"/>
        <w:spacing w:before="0" w:after="0"/>
      </w:pPr>
      <w:r w:rsidRPr="006E13C4">
        <w:rPr>
          <w:rStyle w:val="FootnoteReference"/>
        </w:rPr>
        <w:footnoteRef/>
      </w:r>
      <w:r w:rsidRPr="006E13C4">
        <w:t xml:space="preserve"> Or 1 if Funding Source = 2 or 3 for 2011-12 data or earlier. </w:t>
      </w:r>
    </w:p>
  </w:footnote>
  <w:footnote w:id="20">
    <w:p w:rsidR="00513719" w:rsidRDefault="00513719" w:rsidP="00F51276">
      <w:pPr>
        <w:pStyle w:val="FootnoteText"/>
        <w:spacing w:before="0" w:after="0"/>
      </w:pPr>
      <w:r w:rsidRPr="006E13C4">
        <w:rPr>
          <w:rStyle w:val="FootnoteReference"/>
        </w:rPr>
        <w:footnoteRef/>
      </w:r>
      <w:r w:rsidRPr="006E13C4">
        <w:t xml:space="preserve"> Or 1 if Funding Source = 1, 10 or 11 for 2011-12 data or earlier.</w:t>
      </w:r>
      <w:r>
        <w:t xml:space="preserve"> </w:t>
      </w:r>
    </w:p>
  </w:footnote>
  <w:footnote w:id="21">
    <w:p w:rsidR="00513719" w:rsidRPr="003D4326" w:rsidRDefault="00513719" w:rsidP="00460371">
      <w:pPr>
        <w:pStyle w:val="FootnoteText"/>
        <w:rPr>
          <w:lang w:val="en-AU"/>
        </w:rPr>
      </w:pPr>
      <w:r w:rsidRPr="003D4326">
        <w:rPr>
          <w:rStyle w:val="FootnoteReference"/>
          <w:lang w:val="en-AU"/>
        </w:rPr>
        <w:footnoteRef/>
      </w:r>
      <w:r w:rsidRPr="003D4326">
        <w:rPr>
          <w:lang w:val="en-AU"/>
        </w:rPr>
        <w:t xml:space="preserve"> See </w:t>
      </w:r>
      <w:r w:rsidRPr="0047578A">
        <w:rPr>
          <w:i/>
          <w:lang w:val="en-AU"/>
        </w:rPr>
        <w:t xml:space="preserve">Emergency department </w:t>
      </w:r>
      <w:r>
        <w:rPr>
          <w:i/>
          <w:lang w:val="en-AU"/>
        </w:rPr>
        <w:t>stay – presentation date, DDMMYYYY</w:t>
      </w:r>
      <w:r>
        <w:rPr>
          <w:lang w:val="en-AU"/>
        </w:rPr>
        <w:t xml:space="preserve"> [</w:t>
      </w:r>
      <w:proofErr w:type="spellStart"/>
      <w:r>
        <w:rPr>
          <w:lang w:val="en-AU"/>
        </w:rPr>
        <w:t>METeOR</w:t>
      </w:r>
      <w:proofErr w:type="spellEnd"/>
      <w:r>
        <w:rPr>
          <w:lang w:val="en-AU"/>
        </w:rPr>
        <w:t xml:space="preserve"> identifier: 471886].</w:t>
      </w:r>
    </w:p>
  </w:footnote>
  <w:footnote w:id="22">
    <w:p w:rsidR="00513719" w:rsidRPr="003D4326" w:rsidRDefault="00513719" w:rsidP="00460371">
      <w:pPr>
        <w:pStyle w:val="FootnoteText"/>
        <w:rPr>
          <w:lang w:val="en-AU"/>
        </w:rPr>
      </w:pPr>
      <w:r w:rsidRPr="003D4326">
        <w:rPr>
          <w:rStyle w:val="FootnoteReference"/>
          <w:lang w:val="en-AU"/>
        </w:rPr>
        <w:footnoteRef/>
      </w:r>
      <w:r w:rsidRPr="003D4326">
        <w:rPr>
          <w:lang w:val="en-AU"/>
        </w:rPr>
        <w:t xml:space="preserve"> See object class </w:t>
      </w:r>
      <w:r w:rsidRPr="003D4326">
        <w:rPr>
          <w:i/>
          <w:lang w:val="en-AU"/>
        </w:rPr>
        <w:t>Non-admitted patient service event</w:t>
      </w:r>
      <w:r w:rsidRPr="003D4326">
        <w:rPr>
          <w:lang w:val="en-AU"/>
        </w:rPr>
        <w:t xml:space="preserve"> [</w:t>
      </w:r>
      <w:proofErr w:type="spellStart"/>
      <w:r w:rsidRPr="003D4326">
        <w:rPr>
          <w:lang w:val="en-AU"/>
        </w:rPr>
        <w:t>METeOR</w:t>
      </w:r>
      <w:proofErr w:type="spellEnd"/>
      <w:r w:rsidRPr="003D4326">
        <w:rPr>
          <w:lang w:val="en-AU"/>
        </w:rPr>
        <w:t xml:space="preserve"> identifier: </w:t>
      </w:r>
      <w:r>
        <w:rPr>
          <w:lang w:val="en-AU"/>
        </w:rPr>
        <w:t>583996</w:t>
      </w:r>
      <w:r w:rsidRPr="003D4326">
        <w:rPr>
          <w:lang w:val="en-AU"/>
        </w:rPr>
        <w:t>].</w:t>
      </w:r>
    </w:p>
  </w:footnote>
  <w:footnote w:id="23">
    <w:p w:rsidR="00513719" w:rsidRPr="009B622C" w:rsidRDefault="00513719">
      <w:pPr>
        <w:pStyle w:val="FootnoteText"/>
        <w:rPr>
          <w:lang w:val="en-AU"/>
        </w:rPr>
      </w:pPr>
      <w:r>
        <w:rPr>
          <w:rStyle w:val="FootnoteReference"/>
        </w:rPr>
        <w:footnoteRef/>
      </w:r>
      <w:r>
        <w:t xml:space="preserve"> </w:t>
      </w:r>
      <w:r w:rsidRPr="00A95FF2">
        <w:t>A service event in these bundled home-delivered services is defined as when the patient receives at least one day of services within the calendar month and is only counted once within that calendar month.</w:t>
      </w:r>
      <w:r>
        <w:t xml:space="preserve"> </w:t>
      </w:r>
      <w:r w:rsidRPr="00DE022B">
        <w:t>The published price weights in the NEP15 Determination are for bundled care over one calendar month.</w:t>
      </w:r>
    </w:p>
  </w:footnote>
  <w:footnote w:id="24">
    <w:p w:rsidR="00513719" w:rsidRDefault="00513719" w:rsidP="00460371">
      <w:pPr>
        <w:pStyle w:val="FootnoteText"/>
      </w:pPr>
      <w:r>
        <w:rPr>
          <w:rStyle w:val="FootnoteReference"/>
        </w:rPr>
        <w:footnoteRef/>
      </w:r>
      <w:r>
        <w:t xml:space="preserve"> That is, activity from patient </w:t>
      </w:r>
      <w:proofErr w:type="spellStart"/>
      <w:r>
        <w:t>costed</w:t>
      </w:r>
      <w:proofErr w:type="spellEnd"/>
      <w:r>
        <w:t xml:space="preserve"> sites within the National Hospital Cost Data Collection (NHCDC).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Default="005137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Pr="004B071D" w:rsidRDefault="00513719" w:rsidP="009B622C">
    <w:pPr>
      <w:pStyle w:val="Header"/>
      <w:pBdr>
        <w:bottom w:val="single" w:sz="4" w:space="1" w:color="auto"/>
      </w:pBdr>
      <w:tabs>
        <w:tab w:val="clear" w:pos="4513"/>
        <w:tab w:val="clear" w:pos="9026"/>
        <w:tab w:val="right" w:pos="8647"/>
      </w:tabs>
      <w:spacing w:after="240"/>
      <w:ind w:right="380"/>
    </w:pPr>
    <w:r>
      <w:t>National Pricing Model Technical Specifications 2015-16</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Pr="0076228A" w:rsidRDefault="00513719" w:rsidP="009B622C">
    <w:pPr>
      <w:pStyle w:val="Header"/>
      <w:pBdr>
        <w:bottom w:val="single" w:sz="4" w:space="1" w:color="auto"/>
      </w:pBdr>
      <w:tabs>
        <w:tab w:val="clear" w:pos="4513"/>
        <w:tab w:val="clear" w:pos="9026"/>
        <w:tab w:val="right" w:pos="8647"/>
      </w:tabs>
      <w:spacing w:after="240"/>
      <w:ind w:right="380"/>
    </w:pPr>
    <w:r>
      <w:t>National Pricing Model Technical Specifications 2015-16</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Pr="008C7125" w:rsidRDefault="00513719" w:rsidP="002049E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Pr="008C7125" w:rsidRDefault="00513719" w:rsidP="002049E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Pr="000A7D7D" w:rsidRDefault="00513719" w:rsidP="009B622C">
    <w:pPr>
      <w:pStyle w:val="Header"/>
      <w:pBdr>
        <w:bottom w:val="single" w:sz="4" w:space="1" w:color="auto"/>
      </w:pBdr>
      <w:tabs>
        <w:tab w:val="clear" w:pos="4513"/>
        <w:tab w:val="clear" w:pos="9026"/>
        <w:tab w:val="right" w:pos="8647"/>
      </w:tabs>
      <w:spacing w:after="240"/>
      <w:ind w:right="380"/>
    </w:pPr>
    <w:r>
      <w:t>National Pricing Model Technical Specifications 2015-16</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19" w:rsidRPr="005A55DD" w:rsidRDefault="00513719" w:rsidP="005A55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16EC7D0"/>
    <w:lvl w:ilvl="0">
      <w:start w:val="1"/>
      <w:numFmt w:val="decimal"/>
      <w:pStyle w:val="Heading9"/>
      <w:lvlText w:val="%1."/>
      <w:lvlJc w:val="left"/>
      <w:pPr>
        <w:tabs>
          <w:tab w:val="num" w:pos="1492"/>
        </w:tabs>
        <w:ind w:left="1492" w:hanging="360"/>
      </w:pPr>
      <w:rPr>
        <w:rFonts w:cs="Times New Roman"/>
      </w:rPr>
    </w:lvl>
  </w:abstractNum>
  <w:abstractNum w:abstractNumId="1">
    <w:nsid w:val="FFFFFF7D"/>
    <w:multiLevelType w:val="singleLevel"/>
    <w:tmpl w:val="2772C968"/>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3E6068B6"/>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5B7AAD9C"/>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E028E91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20A1F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5565E4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8"/>
    <w:multiLevelType w:val="singleLevel"/>
    <w:tmpl w:val="DA2A3174"/>
    <w:lvl w:ilvl="0">
      <w:start w:val="1"/>
      <w:numFmt w:val="decimal"/>
      <w:pStyle w:val="ListNumber"/>
      <w:lvlText w:val="%1."/>
      <w:lvlJc w:val="left"/>
      <w:pPr>
        <w:tabs>
          <w:tab w:val="num" w:pos="360"/>
        </w:tabs>
        <w:ind w:left="360" w:hanging="360"/>
      </w:pPr>
      <w:rPr>
        <w:rFonts w:cs="Times New Roman"/>
      </w:rPr>
    </w:lvl>
  </w:abstractNum>
  <w:abstractNum w:abstractNumId="8">
    <w:nsid w:val="FFFFFF89"/>
    <w:multiLevelType w:val="singleLevel"/>
    <w:tmpl w:val="221CE29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513E7B"/>
    <w:multiLevelType w:val="hybridMultilevel"/>
    <w:tmpl w:val="8B64E4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2040BC8"/>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nsid w:val="02077091"/>
    <w:multiLevelType w:val="hybridMultilevel"/>
    <w:tmpl w:val="DE20F592"/>
    <w:lvl w:ilvl="0" w:tplc="9E26B9C2">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CCFED474">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43641D9"/>
    <w:multiLevelType w:val="multilevel"/>
    <w:tmpl w:val="1B12EC98"/>
    <w:styleLink w:val="Headingsv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nsid w:val="04666FB6"/>
    <w:multiLevelType w:val="hybridMultilevel"/>
    <w:tmpl w:val="E578F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46E1A1E"/>
    <w:multiLevelType w:val="hybridMultilevel"/>
    <w:tmpl w:val="4C329DF0"/>
    <w:lvl w:ilvl="0" w:tplc="B66CE392">
      <w:start w:val="1"/>
      <w:numFmt w:val="bullet"/>
      <w:pStyle w:val="Bullet1"/>
      <w:lvlText w:val=""/>
      <w:lvlJc w:val="left"/>
      <w:pPr>
        <w:ind w:left="720" w:hanging="360"/>
      </w:pPr>
      <w:rPr>
        <w:rFonts w:ascii="Wingdings" w:hAnsi="Wingdings" w:hint="default"/>
        <w:color w:val="004200" w:themeColor="tex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54C5C2C"/>
    <w:multiLevelType w:val="hybridMultilevel"/>
    <w:tmpl w:val="A5BC8C18"/>
    <w:lvl w:ilvl="0" w:tplc="E1504D4A">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1778" w:hanging="360"/>
      </w:pPr>
      <w:rPr>
        <w:rFonts w:ascii="Wingdings" w:hAnsi="Wingdings" w:hint="default"/>
      </w:rPr>
    </w:lvl>
    <w:lvl w:ilvl="3" w:tplc="A44C9CE0">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5AE17BA"/>
    <w:multiLevelType w:val="hybridMultilevel"/>
    <w:tmpl w:val="70A85ABA"/>
    <w:lvl w:ilvl="0" w:tplc="2B04B9E2">
      <w:start w:val="1"/>
      <w:numFmt w:val="lowerLetter"/>
      <w:lvlText w:val="%1."/>
      <w:lvlJc w:val="left"/>
      <w:pPr>
        <w:ind w:left="720" w:hanging="360"/>
      </w:pPr>
      <w:rPr>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BC83BFE"/>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102B7CC5"/>
    <w:multiLevelType w:val="hybridMultilevel"/>
    <w:tmpl w:val="3106124A"/>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25624A4"/>
    <w:multiLevelType w:val="hybridMultilevel"/>
    <w:tmpl w:val="05781072"/>
    <w:lvl w:ilvl="0" w:tplc="81A628D2">
      <w:start w:val="1"/>
      <w:numFmt w:val="lowerLetter"/>
      <w:lvlText w:val="%1."/>
      <w:lvlJc w:val="left"/>
      <w:pPr>
        <w:ind w:left="840" w:hanging="360"/>
      </w:pPr>
      <w:rPr>
        <w:rFonts w:hint="default"/>
      </w:r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0">
    <w:nsid w:val="179F766B"/>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18650A17"/>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nsid w:val="1A2074EC"/>
    <w:multiLevelType w:val="hybridMultilevel"/>
    <w:tmpl w:val="A4ACF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A684348"/>
    <w:multiLevelType w:val="hybridMultilevel"/>
    <w:tmpl w:val="F580F288"/>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E8603306">
      <w:start w:val="1"/>
      <w:numFmt w:val="decimal"/>
      <w:lvlText w:val="%3."/>
      <w:lvlJc w:val="left"/>
      <w:pPr>
        <w:ind w:left="2340" w:hanging="360"/>
      </w:pPr>
      <w:rPr>
        <w:rFonts w:hint="default"/>
        <w:b/>
        <w:sz w:val="24"/>
        <w:szCs w:val="24"/>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AB42B07"/>
    <w:multiLevelType w:val="hybridMultilevel"/>
    <w:tmpl w:val="D5047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1F5005EE"/>
    <w:multiLevelType w:val="hybridMultilevel"/>
    <w:tmpl w:val="AA68FA1C"/>
    <w:lvl w:ilvl="0" w:tplc="0C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0AA56FA"/>
    <w:multiLevelType w:val="hybridMultilevel"/>
    <w:tmpl w:val="0B369AF6"/>
    <w:lvl w:ilvl="0" w:tplc="0C090019">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5C406DB"/>
    <w:multiLevelType w:val="hybridMultilevel"/>
    <w:tmpl w:val="3106124A"/>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6106419"/>
    <w:multiLevelType w:val="hybridMultilevel"/>
    <w:tmpl w:val="E2B0FB32"/>
    <w:lvl w:ilvl="0" w:tplc="56CEAE26">
      <w:start w:val="1"/>
      <w:numFmt w:val="decimal"/>
      <w:lvlText w:val="%1."/>
      <w:lvlJc w:val="left"/>
      <w:pPr>
        <w:ind w:left="360" w:hanging="360"/>
      </w:pPr>
      <w:rPr>
        <w:b w:val="0"/>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26914FE8"/>
    <w:multiLevelType w:val="hybridMultilevel"/>
    <w:tmpl w:val="982C36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26956A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2A3F6C27"/>
    <w:multiLevelType w:val="multilevel"/>
    <w:tmpl w:val="4AC00D10"/>
    <w:styleLink w:val="Style1"/>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2BAA440E"/>
    <w:multiLevelType w:val="hybridMultilevel"/>
    <w:tmpl w:val="3106124A"/>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C26626B"/>
    <w:multiLevelType w:val="hybridMultilevel"/>
    <w:tmpl w:val="DB46B9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32FF0E7E"/>
    <w:multiLevelType w:val="hybridMultilevel"/>
    <w:tmpl w:val="3106124A"/>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30A4987"/>
    <w:multiLevelType w:val="hybridMultilevel"/>
    <w:tmpl w:val="29142DA2"/>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89F5BE1"/>
    <w:multiLevelType w:val="hybridMultilevel"/>
    <w:tmpl w:val="0C8A4D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3A7C79B7"/>
    <w:multiLevelType w:val="hybridMultilevel"/>
    <w:tmpl w:val="89E6D330"/>
    <w:lvl w:ilvl="0" w:tplc="81A628D2">
      <w:start w:val="1"/>
      <w:numFmt w:val="lowerLetter"/>
      <w:lvlText w:val="%1."/>
      <w:lvlJc w:val="left"/>
      <w:pPr>
        <w:ind w:left="735" w:hanging="360"/>
      </w:pPr>
      <w:rPr>
        <w:rFonts w:hint="default"/>
      </w:rPr>
    </w:lvl>
    <w:lvl w:ilvl="1" w:tplc="0C090019" w:tentative="1">
      <w:start w:val="1"/>
      <w:numFmt w:val="lowerLetter"/>
      <w:lvlText w:val="%2."/>
      <w:lvlJc w:val="left"/>
      <w:pPr>
        <w:ind w:left="1455" w:hanging="360"/>
      </w:pPr>
    </w:lvl>
    <w:lvl w:ilvl="2" w:tplc="0C09001B" w:tentative="1">
      <w:start w:val="1"/>
      <w:numFmt w:val="lowerRoman"/>
      <w:lvlText w:val="%3."/>
      <w:lvlJc w:val="right"/>
      <w:pPr>
        <w:ind w:left="2175" w:hanging="180"/>
      </w:pPr>
    </w:lvl>
    <w:lvl w:ilvl="3" w:tplc="0C09000F" w:tentative="1">
      <w:start w:val="1"/>
      <w:numFmt w:val="decimal"/>
      <w:lvlText w:val="%4."/>
      <w:lvlJc w:val="left"/>
      <w:pPr>
        <w:ind w:left="2895" w:hanging="360"/>
      </w:pPr>
    </w:lvl>
    <w:lvl w:ilvl="4" w:tplc="0C090019" w:tentative="1">
      <w:start w:val="1"/>
      <w:numFmt w:val="lowerLetter"/>
      <w:lvlText w:val="%5."/>
      <w:lvlJc w:val="left"/>
      <w:pPr>
        <w:ind w:left="3615" w:hanging="360"/>
      </w:pPr>
    </w:lvl>
    <w:lvl w:ilvl="5" w:tplc="0C09001B" w:tentative="1">
      <w:start w:val="1"/>
      <w:numFmt w:val="lowerRoman"/>
      <w:lvlText w:val="%6."/>
      <w:lvlJc w:val="right"/>
      <w:pPr>
        <w:ind w:left="4335" w:hanging="180"/>
      </w:pPr>
    </w:lvl>
    <w:lvl w:ilvl="6" w:tplc="0C09000F" w:tentative="1">
      <w:start w:val="1"/>
      <w:numFmt w:val="decimal"/>
      <w:lvlText w:val="%7."/>
      <w:lvlJc w:val="left"/>
      <w:pPr>
        <w:ind w:left="5055" w:hanging="360"/>
      </w:pPr>
    </w:lvl>
    <w:lvl w:ilvl="7" w:tplc="0C090019" w:tentative="1">
      <w:start w:val="1"/>
      <w:numFmt w:val="lowerLetter"/>
      <w:lvlText w:val="%8."/>
      <w:lvlJc w:val="left"/>
      <w:pPr>
        <w:ind w:left="5775" w:hanging="360"/>
      </w:pPr>
    </w:lvl>
    <w:lvl w:ilvl="8" w:tplc="0C09001B" w:tentative="1">
      <w:start w:val="1"/>
      <w:numFmt w:val="lowerRoman"/>
      <w:lvlText w:val="%9."/>
      <w:lvlJc w:val="right"/>
      <w:pPr>
        <w:ind w:left="6495" w:hanging="180"/>
      </w:pPr>
    </w:lvl>
  </w:abstractNum>
  <w:abstractNum w:abstractNumId="38">
    <w:nsid w:val="3FF96532"/>
    <w:multiLevelType w:val="multilevel"/>
    <w:tmpl w:val="53A6982C"/>
    <w:lvl w:ilvl="0">
      <w:start w:val="6"/>
      <w:numFmt w:val="none"/>
      <w:lvlText w:val="3"/>
      <w:lvlJc w:val="left"/>
      <w:pPr>
        <w:ind w:left="405" w:hanging="405"/>
      </w:pPr>
      <w:rPr>
        <w:rFonts w:hint="default"/>
      </w:rPr>
    </w:lvl>
    <w:lvl w:ilvl="1">
      <w:start w:val="1"/>
      <w:numFmt w:val="decimal"/>
      <w:lvlRestart w:val="0"/>
      <w:lvlText w:val="3.%2"/>
      <w:lvlJc w:val="left"/>
      <w:pPr>
        <w:ind w:left="720" w:hanging="720"/>
      </w:pPr>
      <w:rPr>
        <w:rFonts w:hint="default"/>
      </w:rPr>
    </w:lvl>
    <w:lvl w:ilvl="2">
      <w:start w:val="1"/>
      <w:numFmt w:val="decimal"/>
      <w:lvlRestart w:val="0"/>
      <w:lvlText w:val="3.%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40042A6F"/>
    <w:multiLevelType w:val="multilevel"/>
    <w:tmpl w:val="42FACC40"/>
    <w:lvl w:ilvl="0">
      <w:start w:val="5"/>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07932D3"/>
    <w:multiLevelType w:val="hybridMultilevel"/>
    <w:tmpl w:val="05781072"/>
    <w:lvl w:ilvl="0" w:tplc="81A628D2">
      <w:start w:val="1"/>
      <w:numFmt w:val="lowerLetter"/>
      <w:lvlText w:val="%1."/>
      <w:lvlJc w:val="left"/>
      <w:pPr>
        <w:ind w:left="840" w:hanging="360"/>
      </w:pPr>
      <w:rPr>
        <w:rFonts w:hint="default"/>
      </w:r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41">
    <w:nsid w:val="4434422E"/>
    <w:multiLevelType w:val="hybridMultilevel"/>
    <w:tmpl w:val="3106124A"/>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4AC46C2"/>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3">
    <w:nsid w:val="4652794F"/>
    <w:multiLevelType w:val="hybridMultilevel"/>
    <w:tmpl w:val="7AD814DC"/>
    <w:lvl w:ilvl="0" w:tplc="0C090013">
      <w:start w:val="1"/>
      <w:numFmt w:val="upperRoman"/>
      <w:lvlText w:val="%1."/>
      <w:lvlJc w:val="right"/>
      <w:pPr>
        <w:ind w:left="1522" w:hanging="360"/>
      </w:pPr>
    </w:lvl>
    <w:lvl w:ilvl="1" w:tplc="0C090019" w:tentative="1">
      <w:start w:val="1"/>
      <w:numFmt w:val="lowerLetter"/>
      <w:lvlText w:val="%2."/>
      <w:lvlJc w:val="left"/>
      <w:pPr>
        <w:ind w:left="2242" w:hanging="360"/>
      </w:pPr>
    </w:lvl>
    <w:lvl w:ilvl="2" w:tplc="0C09001B" w:tentative="1">
      <w:start w:val="1"/>
      <w:numFmt w:val="lowerRoman"/>
      <w:lvlText w:val="%3."/>
      <w:lvlJc w:val="right"/>
      <w:pPr>
        <w:ind w:left="2962" w:hanging="180"/>
      </w:pPr>
    </w:lvl>
    <w:lvl w:ilvl="3" w:tplc="0C09000F" w:tentative="1">
      <w:start w:val="1"/>
      <w:numFmt w:val="decimal"/>
      <w:lvlText w:val="%4."/>
      <w:lvlJc w:val="left"/>
      <w:pPr>
        <w:ind w:left="3682" w:hanging="360"/>
      </w:pPr>
    </w:lvl>
    <w:lvl w:ilvl="4" w:tplc="0C090019" w:tentative="1">
      <w:start w:val="1"/>
      <w:numFmt w:val="lowerLetter"/>
      <w:lvlText w:val="%5."/>
      <w:lvlJc w:val="left"/>
      <w:pPr>
        <w:ind w:left="4402" w:hanging="360"/>
      </w:pPr>
    </w:lvl>
    <w:lvl w:ilvl="5" w:tplc="0C09001B" w:tentative="1">
      <w:start w:val="1"/>
      <w:numFmt w:val="lowerRoman"/>
      <w:lvlText w:val="%6."/>
      <w:lvlJc w:val="right"/>
      <w:pPr>
        <w:ind w:left="5122" w:hanging="180"/>
      </w:pPr>
    </w:lvl>
    <w:lvl w:ilvl="6" w:tplc="0C09000F" w:tentative="1">
      <w:start w:val="1"/>
      <w:numFmt w:val="decimal"/>
      <w:lvlText w:val="%7."/>
      <w:lvlJc w:val="left"/>
      <w:pPr>
        <w:ind w:left="5842" w:hanging="360"/>
      </w:pPr>
    </w:lvl>
    <w:lvl w:ilvl="7" w:tplc="0C090019" w:tentative="1">
      <w:start w:val="1"/>
      <w:numFmt w:val="lowerLetter"/>
      <w:lvlText w:val="%8."/>
      <w:lvlJc w:val="left"/>
      <w:pPr>
        <w:ind w:left="6562" w:hanging="360"/>
      </w:pPr>
    </w:lvl>
    <w:lvl w:ilvl="8" w:tplc="0C09001B" w:tentative="1">
      <w:start w:val="1"/>
      <w:numFmt w:val="lowerRoman"/>
      <w:lvlText w:val="%9."/>
      <w:lvlJc w:val="right"/>
      <w:pPr>
        <w:ind w:left="7282" w:hanging="180"/>
      </w:pPr>
    </w:lvl>
  </w:abstractNum>
  <w:abstractNum w:abstractNumId="44">
    <w:nsid w:val="48B92E0A"/>
    <w:multiLevelType w:val="hybridMultilevel"/>
    <w:tmpl w:val="F9BC34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48FE005D"/>
    <w:multiLevelType w:val="hybridMultilevel"/>
    <w:tmpl w:val="1CDEDE5C"/>
    <w:lvl w:ilvl="0" w:tplc="38988E6E">
      <w:start w:val="1"/>
      <w:numFmt w:val="decimal"/>
      <w:pStyle w:val="Heading2Level2"/>
      <w:lvlText w:val="2.%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6">
    <w:nsid w:val="4928392A"/>
    <w:multiLevelType w:val="hybridMultilevel"/>
    <w:tmpl w:val="D9AA09C4"/>
    <w:lvl w:ilvl="0" w:tplc="0C09000F">
      <w:start w:val="1"/>
      <w:numFmt w:val="decimal"/>
      <w:lvlText w:val="%1."/>
      <w:lvlJc w:val="left"/>
      <w:pPr>
        <w:ind w:left="4680" w:hanging="360"/>
      </w:pPr>
    </w:lvl>
    <w:lvl w:ilvl="1" w:tplc="0C090019" w:tentative="1">
      <w:start w:val="1"/>
      <w:numFmt w:val="lowerLetter"/>
      <w:lvlText w:val="%2."/>
      <w:lvlJc w:val="left"/>
      <w:pPr>
        <w:ind w:left="5400" w:hanging="360"/>
      </w:pPr>
    </w:lvl>
    <w:lvl w:ilvl="2" w:tplc="0C09001B" w:tentative="1">
      <w:start w:val="1"/>
      <w:numFmt w:val="lowerRoman"/>
      <w:lvlText w:val="%3."/>
      <w:lvlJc w:val="right"/>
      <w:pPr>
        <w:ind w:left="6120" w:hanging="180"/>
      </w:pPr>
    </w:lvl>
    <w:lvl w:ilvl="3" w:tplc="0C09000F" w:tentative="1">
      <w:start w:val="1"/>
      <w:numFmt w:val="decimal"/>
      <w:lvlText w:val="%4."/>
      <w:lvlJc w:val="left"/>
      <w:pPr>
        <w:ind w:left="6840" w:hanging="360"/>
      </w:pPr>
    </w:lvl>
    <w:lvl w:ilvl="4" w:tplc="0C090019" w:tentative="1">
      <w:start w:val="1"/>
      <w:numFmt w:val="lowerLetter"/>
      <w:lvlText w:val="%5."/>
      <w:lvlJc w:val="left"/>
      <w:pPr>
        <w:ind w:left="7560" w:hanging="360"/>
      </w:pPr>
    </w:lvl>
    <w:lvl w:ilvl="5" w:tplc="0C09001B" w:tentative="1">
      <w:start w:val="1"/>
      <w:numFmt w:val="lowerRoman"/>
      <w:lvlText w:val="%6."/>
      <w:lvlJc w:val="right"/>
      <w:pPr>
        <w:ind w:left="8280" w:hanging="180"/>
      </w:pPr>
    </w:lvl>
    <w:lvl w:ilvl="6" w:tplc="0C09000F" w:tentative="1">
      <w:start w:val="1"/>
      <w:numFmt w:val="decimal"/>
      <w:lvlText w:val="%7."/>
      <w:lvlJc w:val="left"/>
      <w:pPr>
        <w:ind w:left="9000" w:hanging="360"/>
      </w:pPr>
    </w:lvl>
    <w:lvl w:ilvl="7" w:tplc="0C090019" w:tentative="1">
      <w:start w:val="1"/>
      <w:numFmt w:val="lowerLetter"/>
      <w:lvlText w:val="%8."/>
      <w:lvlJc w:val="left"/>
      <w:pPr>
        <w:ind w:left="9720" w:hanging="360"/>
      </w:pPr>
    </w:lvl>
    <w:lvl w:ilvl="8" w:tplc="0C09001B" w:tentative="1">
      <w:start w:val="1"/>
      <w:numFmt w:val="lowerRoman"/>
      <w:lvlText w:val="%9."/>
      <w:lvlJc w:val="right"/>
      <w:pPr>
        <w:ind w:left="10440" w:hanging="180"/>
      </w:pPr>
    </w:lvl>
  </w:abstractNum>
  <w:abstractNum w:abstractNumId="47">
    <w:nsid w:val="514E5FDF"/>
    <w:multiLevelType w:val="multilevel"/>
    <w:tmpl w:val="45263306"/>
    <w:lvl w:ilvl="0">
      <w:start w:val="1"/>
      <w:numFmt w:val="bullet"/>
      <w:pStyle w:val="Bullet"/>
      <w:lvlText w:val="•"/>
      <w:lvlJc w:val="left"/>
      <w:pPr>
        <w:tabs>
          <w:tab w:val="num" w:pos="520"/>
        </w:tabs>
        <w:ind w:left="520" w:hanging="520"/>
      </w:pPr>
      <w:rPr>
        <w:rFonts w:ascii="Times New Roman" w:hAnsi="Times New Roman"/>
      </w:rPr>
    </w:lvl>
    <w:lvl w:ilvl="1">
      <w:start w:val="1"/>
      <w:numFmt w:val="bullet"/>
      <w:lvlText w:val="–"/>
      <w:lvlJc w:val="left"/>
      <w:pPr>
        <w:tabs>
          <w:tab w:val="num" w:pos="1087"/>
        </w:tabs>
        <w:ind w:left="1087" w:hanging="520"/>
      </w:pPr>
      <w:rPr>
        <w:rFonts w:ascii="Times New Roman" w:hAnsi="Times New Roman"/>
      </w:rPr>
    </w:lvl>
    <w:lvl w:ilvl="2">
      <w:start w:val="1"/>
      <w:numFmt w:val="bullet"/>
      <w:pStyle w:val="DoubleDot"/>
      <w:lvlText w:val=":"/>
      <w:lvlJc w:val="left"/>
      <w:pPr>
        <w:tabs>
          <w:tab w:val="num" w:pos="1560"/>
        </w:tabs>
        <w:ind w:left="1560" w:hanging="520"/>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8">
    <w:nsid w:val="51962BC1"/>
    <w:multiLevelType w:val="hybridMultilevel"/>
    <w:tmpl w:val="6CD007A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53401397"/>
    <w:multiLevelType w:val="hybridMultilevel"/>
    <w:tmpl w:val="DA766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A94279E"/>
    <w:multiLevelType w:val="hybridMultilevel"/>
    <w:tmpl w:val="A5BC8C18"/>
    <w:lvl w:ilvl="0" w:tplc="E1504D4A">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1778" w:hanging="360"/>
      </w:pPr>
      <w:rPr>
        <w:rFonts w:ascii="Wingdings" w:hAnsi="Wingdings" w:hint="default"/>
      </w:rPr>
    </w:lvl>
    <w:lvl w:ilvl="3" w:tplc="A44C9CE0">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BAF1658"/>
    <w:multiLevelType w:val="hybridMultilevel"/>
    <w:tmpl w:val="A5ECD8A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nsid w:val="5D123DD3"/>
    <w:multiLevelType w:val="hybridMultilevel"/>
    <w:tmpl w:val="19B82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FEF2B95"/>
    <w:multiLevelType w:val="hybridMultilevel"/>
    <w:tmpl w:val="3D0C4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0153F1A"/>
    <w:multiLevelType w:val="multilevel"/>
    <w:tmpl w:val="4842874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5">
    <w:nsid w:val="633532A4"/>
    <w:multiLevelType w:val="hybridMultilevel"/>
    <w:tmpl w:val="0B369AF6"/>
    <w:lvl w:ilvl="0" w:tplc="0C090019">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639F0901"/>
    <w:multiLevelType w:val="hybridMultilevel"/>
    <w:tmpl w:val="A10CBCCA"/>
    <w:lvl w:ilvl="0" w:tplc="0C090001">
      <w:start w:val="1"/>
      <w:numFmt w:val="bullet"/>
      <w:lvlText w:val=""/>
      <w:lvlJc w:val="left"/>
      <w:pPr>
        <w:ind w:left="1080" w:hanging="360"/>
      </w:pPr>
      <w:rPr>
        <w:rFonts w:ascii="Symbol" w:hAnsi="Symbol" w:hint="default"/>
      </w:rPr>
    </w:lvl>
    <w:lvl w:ilvl="1" w:tplc="0C090013">
      <w:start w:val="1"/>
      <w:numFmt w:val="upp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nsid w:val="64ED2B1A"/>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8">
    <w:nsid w:val="65E00199"/>
    <w:multiLevelType w:val="hybridMultilevel"/>
    <w:tmpl w:val="EA241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68007C7"/>
    <w:multiLevelType w:val="hybridMultilevel"/>
    <w:tmpl w:val="E3724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971500D"/>
    <w:multiLevelType w:val="hybridMultilevel"/>
    <w:tmpl w:val="B324DD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6A8A7FCE"/>
    <w:multiLevelType w:val="multilevel"/>
    <w:tmpl w:val="E3E8E416"/>
    <w:lvl w:ilvl="0">
      <w:start w:val="6"/>
      <w:numFmt w:val="none"/>
      <w:lvlText w:val="3"/>
      <w:lvlJc w:val="left"/>
      <w:pPr>
        <w:ind w:left="405" w:hanging="405"/>
      </w:pPr>
      <w:rPr>
        <w:rFonts w:hint="default"/>
      </w:rPr>
    </w:lvl>
    <w:lvl w:ilvl="1">
      <w:start w:val="1"/>
      <w:numFmt w:val="decimal"/>
      <w:lvlText w:val="7.%2"/>
      <w:lvlJc w:val="left"/>
      <w:pPr>
        <w:ind w:left="720" w:hanging="7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6B54383C"/>
    <w:multiLevelType w:val="hybridMultilevel"/>
    <w:tmpl w:val="A5BC8C18"/>
    <w:lvl w:ilvl="0" w:tplc="E1504D4A">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1778" w:hanging="360"/>
      </w:pPr>
      <w:rPr>
        <w:rFonts w:ascii="Wingdings" w:hAnsi="Wingdings" w:hint="default"/>
      </w:rPr>
    </w:lvl>
    <w:lvl w:ilvl="3" w:tplc="A44C9CE0">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DB6293F"/>
    <w:multiLevelType w:val="hybridMultilevel"/>
    <w:tmpl w:val="FE524E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7784520F"/>
    <w:multiLevelType w:val="hybridMultilevel"/>
    <w:tmpl w:val="9522AB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77A53C51"/>
    <w:multiLevelType w:val="hybridMultilevel"/>
    <w:tmpl w:val="6BAADD98"/>
    <w:lvl w:ilvl="0" w:tplc="ADDEB99A">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nsid w:val="77C0453A"/>
    <w:multiLevelType w:val="hybridMultilevel"/>
    <w:tmpl w:val="55A63396"/>
    <w:lvl w:ilvl="0" w:tplc="0C09000F">
      <w:start w:val="1"/>
      <w:numFmt w:val="decimal"/>
      <w:lvlText w:val="%1."/>
      <w:lvlJc w:val="left"/>
      <w:pPr>
        <w:ind w:left="360" w:hanging="360"/>
      </w:pPr>
    </w:lvl>
    <w:lvl w:ilvl="1" w:tplc="0C090019">
      <w:start w:val="1"/>
      <w:numFmt w:val="lowerLetter"/>
      <w:lvlText w:val="%2."/>
      <w:lvlJc w:val="left"/>
      <w:pPr>
        <w:ind w:left="928"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nsid w:val="78523185"/>
    <w:multiLevelType w:val="hybridMultilevel"/>
    <w:tmpl w:val="3106124A"/>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79446EFA"/>
    <w:multiLevelType w:val="hybridMultilevel"/>
    <w:tmpl w:val="BEE4A10E"/>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799F1831"/>
    <w:multiLevelType w:val="multilevel"/>
    <w:tmpl w:val="934A28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nsid w:val="7CE821A1"/>
    <w:multiLevelType w:val="hybridMultilevel"/>
    <w:tmpl w:val="BBD22176"/>
    <w:lvl w:ilvl="0" w:tplc="0C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1">
    <w:nsid w:val="7E7E0C6E"/>
    <w:multiLevelType w:val="hybridMultilevel"/>
    <w:tmpl w:val="2F3C9952"/>
    <w:lvl w:ilvl="0" w:tplc="653C2C3C">
      <w:start w:val="1"/>
      <w:numFmt w:val="lowerLetter"/>
      <w:lvlText w:val="%1."/>
      <w:lvlJc w:val="left"/>
      <w:pPr>
        <w:ind w:left="720" w:hanging="360"/>
      </w:pPr>
      <w:rPr>
        <w:rFonts w:cs="Times New Roman"/>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7F070304"/>
    <w:multiLevelType w:val="hybridMultilevel"/>
    <w:tmpl w:val="D9866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30"/>
  </w:num>
  <w:num w:numId="4">
    <w:abstractNumId w:val="57"/>
  </w:num>
  <w:num w:numId="5">
    <w:abstractNumId w:val="42"/>
  </w:num>
  <w:num w:numId="6">
    <w:abstractNumId w:val="5"/>
  </w:num>
  <w:num w:numId="7">
    <w:abstractNumId w:val="4"/>
  </w:num>
  <w:num w:numId="8">
    <w:abstractNumId w:val="7"/>
  </w:num>
  <w:num w:numId="9">
    <w:abstractNumId w:val="3"/>
  </w:num>
  <w:num w:numId="10">
    <w:abstractNumId w:val="2"/>
  </w:num>
  <w:num w:numId="11">
    <w:abstractNumId w:val="1"/>
  </w:num>
  <w:num w:numId="12">
    <w:abstractNumId w:val="0"/>
  </w:num>
  <w:num w:numId="13">
    <w:abstractNumId w:val="6"/>
  </w:num>
  <w:num w:numId="14">
    <w:abstractNumId w:val="47"/>
  </w:num>
  <w:num w:numId="15">
    <w:abstractNumId w:val="70"/>
  </w:num>
  <w:num w:numId="16">
    <w:abstractNumId w:val="22"/>
  </w:num>
  <w:num w:numId="17">
    <w:abstractNumId w:val="62"/>
  </w:num>
  <w:num w:numId="18">
    <w:abstractNumId w:val="11"/>
  </w:num>
  <w:num w:numId="19">
    <w:abstractNumId w:val="10"/>
  </w:num>
  <w:num w:numId="20">
    <w:abstractNumId w:val="45"/>
  </w:num>
  <w:num w:numId="21">
    <w:abstractNumId w:val="58"/>
  </w:num>
  <w:num w:numId="22">
    <w:abstractNumId w:val="31"/>
  </w:num>
  <w:num w:numId="23">
    <w:abstractNumId w:val="48"/>
  </w:num>
  <w:num w:numId="24">
    <w:abstractNumId w:val="51"/>
  </w:num>
  <w:num w:numId="25">
    <w:abstractNumId w:val="21"/>
  </w:num>
  <w:num w:numId="26">
    <w:abstractNumId w:val="53"/>
  </w:num>
  <w:num w:numId="27">
    <w:abstractNumId w:val="16"/>
  </w:num>
  <w:num w:numId="28">
    <w:abstractNumId w:val="32"/>
  </w:num>
  <w:num w:numId="29">
    <w:abstractNumId w:val="49"/>
  </w:num>
  <w:num w:numId="30">
    <w:abstractNumId w:val="27"/>
  </w:num>
  <w:num w:numId="31">
    <w:abstractNumId w:val="44"/>
  </w:num>
  <w:num w:numId="32">
    <w:abstractNumId w:val="9"/>
  </w:num>
  <w:num w:numId="33">
    <w:abstractNumId w:val="24"/>
  </w:num>
  <w:num w:numId="34">
    <w:abstractNumId w:val="29"/>
  </w:num>
  <w:num w:numId="35">
    <w:abstractNumId w:val="69"/>
  </w:num>
  <w:num w:numId="36">
    <w:abstractNumId w:val="23"/>
  </w:num>
  <w:num w:numId="37">
    <w:abstractNumId w:val="67"/>
  </w:num>
  <w:num w:numId="38">
    <w:abstractNumId w:val="34"/>
  </w:num>
  <w:num w:numId="39">
    <w:abstractNumId w:val="18"/>
  </w:num>
  <w:num w:numId="40">
    <w:abstractNumId w:val="36"/>
  </w:num>
  <w:num w:numId="41">
    <w:abstractNumId w:val="66"/>
  </w:num>
  <w:num w:numId="42">
    <w:abstractNumId w:val="54"/>
  </w:num>
  <w:num w:numId="43">
    <w:abstractNumId w:val="12"/>
  </w:num>
  <w:num w:numId="44">
    <w:abstractNumId w:val="28"/>
  </w:num>
  <w:num w:numId="45">
    <w:abstractNumId w:val="33"/>
  </w:num>
  <w:num w:numId="46">
    <w:abstractNumId w:val="13"/>
  </w:num>
  <w:num w:numId="47">
    <w:abstractNumId w:val="68"/>
  </w:num>
  <w:num w:numId="48">
    <w:abstractNumId w:val="15"/>
  </w:num>
  <w:num w:numId="49">
    <w:abstractNumId w:val="50"/>
  </w:num>
  <w:num w:numId="50">
    <w:abstractNumId w:val="20"/>
  </w:num>
  <w:num w:numId="51">
    <w:abstractNumId w:val="17"/>
  </w:num>
  <w:num w:numId="52">
    <w:abstractNumId w:val="46"/>
  </w:num>
  <w:num w:numId="53">
    <w:abstractNumId w:val="60"/>
  </w:num>
  <w:num w:numId="54">
    <w:abstractNumId w:val="25"/>
  </w:num>
  <w:num w:numId="55">
    <w:abstractNumId w:val="55"/>
  </w:num>
  <w:num w:numId="56">
    <w:abstractNumId w:val="71"/>
  </w:num>
  <w:num w:numId="57">
    <w:abstractNumId w:val="56"/>
  </w:num>
  <w:num w:numId="58">
    <w:abstractNumId w:val="41"/>
  </w:num>
  <w:num w:numId="59">
    <w:abstractNumId w:val="26"/>
  </w:num>
  <w:num w:numId="60">
    <w:abstractNumId w:val="35"/>
  </w:num>
  <w:num w:numId="61">
    <w:abstractNumId w:val="64"/>
  </w:num>
  <w:num w:numId="62">
    <w:abstractNumId w:val="63"/>
  </w:num>
  <w:num w:numId="63">
    <w:abstractNumId w:val="39"/>
  </w:num>
  <w:num w:numId="64">
    <w:abstractNumId w:val="38"/>
  </w:num>
  <w:num w:numId="65">
    <w:abstractNumId w:val="72"/>
  </w:num>
  <w:num w:numId="66">
    <w:abstractNumId w:val="52"/>
  </w:num>
  <w:num w:numId="67">
    <w:abstractNumId w:val="65"/>
  </w:num>
  <w:num w:numId="68">
    <w:abstractNumId w:val="37"/>
  </w:num>
  <w:num w:numId="69">
    <w:abstractNumId w:val="40"/>
  </w:num>
  <w:num w:numId="70">
    <w:abstractNumId w:val="19"/>
  </w:num>
  <w:num w:numId="71">
    <w:abstractNumId w:val="0"/>
  </w:num>
  <w:num w:numId="72">
    <w:abstractNumId w:val="38"/>
    <w:lvlOverride w:ilvl="0">
      <w:lvl w:ilvl="0">
        <w:start w:val="6"/>
        <w:numFmt w:val="none"/>
        <w:lvlText w:val="%17"/>
        <w:lvlJc w:val="left"/>
        <w:pPr>
          <w:ind w:left="405" w:hanging="405"/>
        </w:pPr>
        <w:rPr>
          <w:rFonts w:hint="default"/>
        </w:rPr>
      </w:lvl>
    </w:lvlOverride>
    <w:lvlOverride w:ilvl="1">
      <w:lvl w:ilvl="1">
        <w:start w:val="1"/>
        <w:numFmt w:val="decimal"/>
        <w:lvlRestart w:val="0"/>
        <w:lvlText w:val="7.%2"/>
        <w:lvlJc w:val="left"/>
        <w:pPr>
          <w:ind w:left="720" w:hanging="720"/>
        </w:pPr>
        <w:rPr>
          <w:rFonts w:hint="default"/>
        </w:rPr>
      </w:lvl>
    </w:lvlOverride>
    <w:lvlOverride w:ilvl="2">
      <w:lvl w:ilvl="2">
        <w:start w:val="1"/>
        <w:numFmt w:val="decimal"/>
        <w:lvlRestart w:val="0"/>
        <w:lvlText w:val="3.%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73">
    <w:abstractNumId w:val="61"/>
  </w:num>
  <w:num w:numId="74">
    <w:abstractNumId w:val="59"/>
  </w:num>
  <w:num w:numId="75">
    <w:abstractNumId w:val="0"/>
  </w:num>
  <w:num w:numId="76">
    <w:abstractNumId w:val="4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371"/>
    <w:rsid w:val="00002D5A"/>
    <w:rsid w:val="00010373"/>
    <w:rsid w:val="000176B1"/>
    <w:rsid w:val="000178DC"/>
    <w:rsid w:val="00024012"/>
    <w:rsid w:val="00024ABA"/>
    <w:rsid w:val="00026D27"/>
    <w:rsid w:val="00034E0F"/>
    <w:rsid w:val="00035724"/>
    <w:rsid w:val="000406E0"/>
    <w:rsid w:val="00044755"/>
    <w:rsid w:val="00051651"/>
    <w:rsid w:val="00051B10"/>
    <w:rsid w:val="00053234"/>
    <w:rsid w:val="000539FD"/>
    <w:rsid w:val="00064D02"/>
    <w:rsid w:val="0006673C"/>
    <w:rsid w:val="000673AA"/>
    <w:rsid w:val="000674A1"/>
    <w:rsid w:val="0007116B"/>
    <w:rsid w:val="00073CBF"/>
    <w:rsid w:val="00075FD9"/>
    <w:rsid w:val="00077336"/>
    <w:rsid w:val="00090A2D"/>
    <w:rsid w:val="00090F16"/>
    <w:rsid w:val="00097886"/>
    <w:rsid w:val="000A20CE"/>
    <w:rsid w:val="000A2BDC"/>
    <w:rsid w:val="000A513F"/>
    <w:rsid w:val="000A7D7D"/>
    <w:rsid w:val="000B14F1"/>
    <w:rsid w:val="000B1EBC"/>
    <w:rsid w:val="000B27D2"/>
    <w:rsid w:val="000B33D2"/>
    <w:rsid w:val="000B7BD6"/>
    <w:rsid w:val="000C2A5F"/>
    <w:rsid w:val="000C3724"/>
    <w:rsid w:val="000C4AD0"/>
    <w:rsid w:val="000C4BA5"/>
    <w:rsid w:val="000C779C"/>
    <w:rsid w:val="000C78A2"/>
    <w:rsid w:val="000D2FD5"/>
    <w:rsid w:val="000D32DE"/>
    <w:rsid w:val="000D6010"/>
    <w:rsid w:val="000D61FA"/>
    <w:rsid w:val="000D75CE"/>
    <w:rsid w:val="000E51D5"/>
    <w:rsid w:val="000E5946"/>
    <w:rsid w:val="000F4091"/>
    <w:rsid w:val="000F590C"/>
    <w:rsid w:val="000F5AAD"/>
    <w:rsid w:val="000F6308"/>
    <w:rsid w:val="000F7CC7"/>
    <w:rsid w:val="00100623"/>
    <w:rsid w:val="001016A1"/>
    <w:rsid w:val="00104D8E"/>
    <w:rsid w:val="00106F73"/>
    <w:rsid w:val="00110196"/>
    <w:rsid w:val="00110E37"/>
    <w:rsid w:val="00113031"/>
    <w:rsid w:val="001152F9"/>
    <w:rsid w:val="001206E7"/>
    <w:rsid w:val="001253A6"/>
    <w:rsid w:val="001259DC"/>
    <w:rsid w:val="001322FE"/>
    <w:rsid w:val="001329EF"/>
    <w:rsid w:val="00134368"/>
    <w:rsid w:val="001350E8"/>
    <w:rsid w:val="00146092"/>
    <w:rsid w:val="00147101"/>
    <w:rsid w:val="0015037E"/>
    <w:rsid w:val="00150D2F"/>
    <w:rsid w:val="0015219B"/>
    <w:rsid w:val="001543A4"/>
    <w:rsid w:val="00157362"/>
    <w:rsid w:val="00164A51"/>
    <w:rsid w:val="00165FE0"/>
    <w:rsid w:val="00166194"/>
    <w:rsid w:val="00171719"/>
    <w:rsid w:val="001729CF"/>
    <w:rsid w:val="00174700"/>
    <w:rsid w:val="001762C2"/>
    <w:rsid w:val="00176557"/>
    <w:rsid w:val="00181B15"/>
    <w:rsid w:val="001821F9"/>
    <w:rsid w:val="00183BCA"/>
    <w:rsid w:val="00183FC9"/>
    <w:rsid w:val="00185961"/>
    <w:rsid w:val="00185C14"/>
    <w:rsid w:val="00190B8D"/>
    <w:rsid w:val="00192921"/>
    <w:rsid w:val="00196408"/>
    <w:rsid w:val="0019724E"/>
    <w:rsid w:val="001A1C94"/>
    <w:rsid w:val="001A2F86"/>
    <w:rsid w:val="001A46F4"/>
    <w:rsid w:val="001A6C59"/>
    <w:rsid w:val="001A7406"/>
    <w:rsid w:val="001B2079"/>
    <w:rsid w:val="001B30F4"/>
    <w:rsid w:val="001C3DEB"/>
    <w:rsid w:val="001C53F8"/>
    <w:rsid w:val="001C730C"/>
    <w:rsid w:val="001C7779"/>
    <w:rsid w:val="001D16F6"/>
    <w:rsid w:val="001D25A0"/>
    <w:rsid w:val="001D307B"/>
    <w:rsid w:val="001D41B7"/>
    <w:rsid w:val="001D4413"/>
    <w:rsid w:val="001D52E1"/>
    <w:rsid w:val="001D5489"/>
    <w:rsid w:val="001D650F"/>
    <w:rsid w:val="001E0627"/>
    <w:rsid w:val="001E2756"/>
    <w:rsid w:val="001E58E0"/>
    <w:rsid w:val="001E61C3"/>
    <w:rsid w:val="001E6A47"/>
    <w:rsid w:val="001F122B"/>
    <w:rsid w:val="001F3194"/>
    <w:rsid w:val="001F657C"/>
    <w:rsid w:val="001F78EA"/>
    <w:rsid w:val="001F7F80"/>
    <w:rsid w:val="00200D1A"/>
    <w:rsid w:val="00202BE2"/>
    <w:rsid w:val="00203E1D"/>
    <w:rsid w:val="00204440"/>
    <w:rsid w:val="002049EC"/>
    <w:rsid w:val="002074EB"/>
    <w:rsid w:val="002122CC"/>
    <w:rsid w:val="002202FD"/>
    <w:rsid w:val="00221675"/>
    <w:rsid w:val="00223849"/>
    <w:rsid w:val="00223AF7"/>
    <w:rsid w:val="00223F52"/>
    <w:rsid w:val="0022493D"/>
    <w:rsid w:val="00224F0D"/>
    <w:rsid w:val="00225003"/>
    <w:rsid w:val="002340A8"/>
    <w:rsid w:val="00234D43"/>
    <w:rsid w:val="002357BC"/>
    <w:rsid w:val="00236475"/>
    <w:rsid w:val="0024239C"/>
    <w:rsid w:val="00250306"/>
    <w:rsid w:val="00251782"/>
    <w:rsid w:val="00251E09"/>
    <w:rsid w:val="00253913"/>
    <w:rsid w:val="00255A3C"/>
    <w:rsid w:val="0026003B"/>
    <w:rsid w:val="00261102"/>
    <w:rsid w:val="00264AE5"/>
    <w:rsid w:val="00265B8F"/>
    <w:rsid w:val="00266489"/>
    <w:rsid w:val="00267717"/>
    <w:rsid w:val="00270188"/>
    <w:rsid w:val="00273412"/>
    <w:rsid w:val="00273CDA"/>
    <w:rsid w:val="00281574"/>
    <w:rsid w:val="00282F67"/>
    <w:rsid w:val="002832B9"/>
    <w:rsid w:val="00284380"/>
    <w:rsid w:val="00284A73"/>
    <w:rsid w:val="00291EF8"/>
    <w:rsid w:val="00293B8D"/>
    <w:rsid w:val="0029628B"/>
    <w:rsid w:val="00297D16"/>
    <w:rsid w:val="002A1D40"/>
    <w:rsid w:val="002A3C7B"/>
    <w:rsid w:val="002A688B"/>
    <w:rsid w:val="002A70B3"/>
    <w:rsid w:val="002B07F6"/>
    <w:rsid w:val="002B0802"/>
    <w:rsid w:val="002C5046"/>
    <w:rsid w:val="002D101B"/>
    <w:rsid w:val="002D3D37"/>
    <w:rsid w:val="002D43E8"/>
    <w:rsid w:val="002E3933"/>
    <w:rsid w:val="002E5A99"/>
    <w:rsid w:val="002E7465"/>
    <w:rsid w:val="002E7CD4"/>
    <w:rsid w:val="002F0246"/>
    <w:rsid w:val="002F04F2"/>
    <w:rsid w:val="002F0D84"/>
    <w:rsid w:val="002F0DD1"/>
    <w:rsid w:val="002F3053"/>
    <w:rsid w:val="002F31F8"/>
    <w:rsid w:val="002F464B"/>
    <w:rsid w:val="002F481D"/>
    <w:rsid w:val="0030195A"/>
    <w:rsid w:val="003029AB"/>
    <w:rsid w:val="00310371"/>
    <w:rsid w:val="003156D1"/>
    <w:rsid w:val="00320A93"/>
    <w:rsid w:val="003216D6"/>
    <w:rsid w:val="00323776"/>
    <w:rsid w:val="00325ACC"/>
    <w:rsid w:val="00327D92"/>
    <w:rsid w:val="003309BD"/>
    <w:rsid w:val="003327E0"/>
    <w:rsid w:val="00333F76"/>
    <w:rsid w:val="00335A8F"/>
    <w:rsid w:val="003360E7"/>
    <w:rsid w:val="00342BB7"/>
    <w:rsid w:val="003473A3"/>
    <w:rsid w:val="00347A1A"/>
    <w:rsid w:val="00350E98"/>
    <w:rsid w:val="00352970"/>
    <w:rsid w:val="0035399F"/>
    <w:rsid w:val="003550EF"/>
    <w:rsid w:val="0035781E"/>
    <w:rsid w:val="00357BA1"/>
    <w:rsid w:val="00360D23"/>
    <w:rsid w:val="00362794"/>
    <w:rsid w:val="0036490E"/>
    <w:rsid w:val="0036494C"/>
    <w:rsid w:val="0036552B"/>
    <w:rsid w:val="003667FD"/>
    <w:rsid w:val="00372302"/>
    <w:rsid w:val="00374D3A"/>
    <w:rsid w:val="003771F7"/>
    <w:rsid w:val="003773F8"/>
    <w:rsid w:val="00377E23"/>
    <w:rsid w:val="003822FB"/>
    <w:rsid w:val="003876DC"/>
    <w:rsid w:val="00387E6D"/>
    <w:rsid w:val="00396A03"/>
    <w:rsid w:val="00397D4D"/>
    <w:rsid w:val="003A0AF1"/>
    <w:rsid w:val="003A6F4E"/>
    <w:rsid w:val="003B1C35"/>
    <w:rsid w:val="003B3368"/>
    <w:rsid w:val="003B5CB3"/>
    <w:rsid w:val="003C304F"/>
    <w:rsid w:val="003C4999"/>
    <w:rsid w:val="003C6085"/>
    <w:rsid w:val="003C7100"/>
    <w:rsid w:val="003D32BD"/>
    <w:rsid w:val="003D44EB"/>
    <w:rsid w:val="003D7899"/>
    <w:rsid w:val="003E358A"/>
    <w:rsid w:val="003E40DA"/>
    <w:rsid w:val="003E679A"/>
    <w:rsid w:val="003E6A4C"/>
    <w:rsid w:val="003F0BFC"/>
    <w:rsid w:val="003F1474"/>
    <w:rsid w:val="003F3455"/>
    <w:rsid w:val="003F67F1"/>
    <w:rsid w:val="00400823"/>
    <w:rsid w:val="0040091A"/>
    <w:rsid w:val="00401393"/>
    <w:rsid w:val="004014AC"/>
    <w:rsid w:val="00401BFD"/>
    <w:rsid w:val="004021FA"/>
    <w:rsid w:val="00403E25"/>
    <w:rsid w:val="00405586"/>
    <w:rsid w:val="00406E87"/>
    <w:rsid w:val="0041687B"/>
    <w:rsid w:val="00420107"/>
    <w:rsid w:val="00420A46"/>
    <w:rsid w:val="00420AED"/>
    <w:rsid w:val="0042118B"/>
    <w:rsid w:val="00432531"/>
    <w:rsid w:val="004325BA"/>
    <w:rsid w:val="0043335F"/>
    <w:rsid w:val="00437648"/>
    <w:rsid w:val="00443523"/>
    <w:rsid w:val="0044716E"/>
    <w:rsid w:val="00447E09"/>
    <w:rsid w:val="00450455"/>
    <w:rsid w:val="00450DC5"/>
    <w:rsid w:val="00452012"/>
    <w:rsid w:val="00452436"/>
    <w:rsid w:val="00453076"/>
    <w:rsid w:val="00454E44"/>
    <w:rsid w:val="0045546E"/>
    <w:rsid w:val="00455EF2"/>
    <w:rsid w:val="00460371"/>
    <w:rsid w:val="00463FF1"/>
    <w:rsid w:val="00464B74"/>
    <w:rsid w:val="004656F9"/>
    <w:rsid w:val="0046591C"/>
    <w:rsid w:val="004715A4"/>
    <w:rsid w:val="0047346C"/>
    <w:rsid w:val="00474286"/>
    <w:rsid w:val="0047578A"/>
    <w:rsid w:val="004765B2"/>
    <w:rsid w:val="00480533"/>
    <w:rsid w:val="00480692"/>
    <w:rsid w:val="00485085"/>
    <w:rsid w:val="00485873"/>
    <w:rsid w:val="0048742A"/>
    <w:rsid w:val="00490245"/>
    <w:rsid w:val="00490D7A"/>
    <w:rsid w:val="00491C9E"/>
    <w:rsid w:val="00493806"/>
    <w:rsid w:val="00494D73"/>
    <w:rsid w:val="004950A8"/>
    <w:rsid w:val="004A12D2"/>
    <w:rsid w:val="004A2D22"/>
    <w:rsid w:val="004A33E5"/>
    <w:rsid w:val="004A39C1"/>
    <w:rsid w:val="004A68DE"/>
    <w:rsid w:val="004B071D"/>
    <w:rsid w:val="004B1209"/>
    <w:rsid w:val="004B1378"/>
    <w:rsid w:val="004B44AC"/>
    <w:rsid w:val="004C15AD"/>
    <w:rsid w:val="004C5008"/>
    <w:rsid w:val="004C7630"/>
    <w:rsid w:val="004D0B30"/>
    <w:rsid w:val="004D1764"/>
    <w:rsid w:val="004D1A0F"/>
    <w:rsid w:val="004D2E3A"/>
    <w:rsid w:val="004D490F"/>
    <w:rsid w:val="004D696A"/>
    <w:rsid w:val="004D6A99"/>
    <w:rsid w:val="004E0CB6"/>
    <w:rsid w:val="004E19F0"/>
    <w:rsid w:val="004E2DFF"/>
    <w:rsid w:val="004E443D"/>
    <w:rsid w:val="004E44B4"/>
    <w:rsid w:val="004E47C0"/>
    <w:rsid w:val="004E7543"/>
    <w:rsid w:val="004E7920"/>
    <w:rsid w:val="004F078A"/>
    <w:rsid w:val="004F2AEB"/>
    <w:rsid w:val="004F51AD"/>
    <w:rsid w:val="004F5BA3"/>
    <w:rsid w:val="004F6D72"/>
    <w:rsid w:val="00500837"/>
    <w:rsid w:val="00500B5C"/>
    <w:rsid w:val="00501980"/>
    <w:rsid w:val="005033EC"/>
    <w:rsid w:val="00504F8D"/>
    <w:rsid w:val="00506469"/>
    <w:rsid w:val="0050729C"/>
    <w:rsid w:val="00507EB4"/>
    <w:rsid w:val="005109F1"/>
    <w:rsid w:val="00513719"/>
    <w:rsid w:val="00514DF2"/>
    <w:rsid w:val="005169A3"/>
    <w:rsid w:val="005174BC"/>
    <w:rsid w:val="00521EF5"/>
    <w:rsid w:val="0052204F"/>
    <w:rsid w:val="00523A6F"/>
    <w:rsid w:val="005263C4"/>
    <w:rsid w:val="00526ABA"/>
    <w:rsid w:val="00531D46"/>
    <w:rsid w:val="00533B6F"/>
    <w:rsid w:val="00540384"/>
    <w:rsid w:val="00541A00"/>
    <w:rsid w:val="00543968"/>
    <w:rsid w:val="00547583"/>
    <w:rsid w:val="00547C69"/>
    <w:rsid w:val="005527A7"/>
    <w:rsid w:val="00555FFF"/>
    <w:rsid w:val="0056029A"/>
    <w:rsid w:val="00565F91"/>
    <w:rsid w:val="005666BA"/>
    <w:rsid w:val="00572F03"/>
    <w:rsid w:val="0058202C"/>
    <w:rsid w:val="00582ACC"/>
    <w:rsid w:val="00583477"/>
    <w:rsid w:val="00583542"/>
    <w:rsid w:val="00587C1A"/>
    <w:rsid w:val="00591754"/>
    <w:rsid w:val="005923CF"/>
    <w:rsid w:val="005933B1"/>
    <w:rsid w:val="00596FBD"/>
    <w:rsid w:val="00597285"/>
    <w:rsid w:val="005A44C2"/>
    <w:rsid w:val="005A55DD"/>
    <w:rsid w:val="005A6FED"/>
    <w:rsid w:val="005A7578"/>
    <w:rsid w:val="005B1B73"/>
    <w:rsid w:val="005B6521"/>
    <w:rsid w:val="005C0F8A"/>
    <w:rsid w:val="005C11DF"/>
    <w:rsid w:val="005C46B9"/>
    <w:rsid w:val="005C5C3C"/>
    <w:rsid w:val="005C7D5B"/>
    <w:rsid w:val="005D1F2D"/>
    <w:rsid w:val="005D6C78"/>
    <w:rsid w:val="005E2993"/>
    <w:rsid w:val="005E309F"/>
    <w:rsid w:val="005F173B"/>
    <w:rsid w:val="005F39F9"/>
    <w:rsid w:val="005F4230"/>
    <w:rsid w:val="005F53D8"/>
    <w:rsid w:val="005F6229"/>
    <w:rsid w:val="00600132"/>
    <w:rsid w:val="00601A6A"/>
    <w:rsid w:val="00606C27"/>
    <w:rsid w:val="006073EE"/>
    <w:rsid w:val="0061013E"/>
    <w:rsid w:val="0061028D"/>
    <w:rsid w:val="00611772"/>
    <w:rsid w:val="00614E8A"/>
    <w:rsid w:val="006176C9"/>
    <w:rsid w:val="006200DE"/>
    <w:rsid w:val="006216CA"/>
    <w:rsid w:val="006233BB"/>
    <w:rsid w:val="00624E35"/>
    <w:rsid w:val="00625D16"/>
    <w:rsid w:val="00627259"/>
    <w:rsid w:val="00630001"/>
    <w:rsid w:val="00632055"/>
    <w:rsid w:val="0063254E"/>
    <w:rsid w:val="00633B0A"/>
    <w:rsid w:val="00634446"/>
    <w:rsid w:val="00635E07"/>
    <w:rsid w:val="00637219"/>
    <w:rsid w:val="006407E3"/>
    <w:rsid w:val="00643BA3"/>
    <w:rsid w:val="00644AA4"/>
    <w:rsid w:val="00644CE9"/>
    <w:rsid w:val="006472C0"/>
    <w:rsid w:val="00647634"/>
    <w:rsid w:val="00653276"/>
    <w:rsid w:val="00653E22"/>
    <w:rsid w:val="00657387"/>
    <w:rsid w:val="006573B7"/>
    <w:rsid w:val="006615B5"/>
    <w:rsid w:val="00663114"/>
    <w:rsid w:val="00663B4B"/>
    <w:rsid w:val="00664156"/>
    <w:rsid w:val="00667796"/>
    <w:rsid w:val="00667F5B"/>
    <w:rsid w:val="00673486"/>
    <w:rsid w:val="006768C7"/>
    <w:rsid w:val="006823F9"/>
    <w:rsid w:val="006833A7"/>
    <w:rsid w:val="00686BF5"/>
    <w:rsid w:val="00693CC5"/>
    <w:rsid w:val="006958AA"/>
    <w:rsid w:val="00696A31"/>
    <w:rsid w:val="00697801"/>
    <w:rsid w:val="00697EB2"/>
    <w:rsid w:val="006A1952"/>
    <w:rsid w:val="006A1C29"/>
    <w:rsid w:val="006A55E0"/>
    <w:rsid w:val="006B072D"/>
    <w:rsid w:val="006B0A70"/>
    <w:rsid w:val="006B5B7E"/>
    <w:rsid w:val="006B6F0B"/>
    <w:rsid w:val="006B733A"/>
    <w:rsid w:val="006C1129"/>
    <w:rsid w:val="006C25A9"/>
    <w:rsid w:val="006C33E8"/>
    <w:rsid w:val="006C4AF4"/>
    <w:rsid w:val="006C7169"/>
    <w:rsid w:val="006C773E"/>
    <w:rsid w:val="006D296D"/>
    <w:rsid w:val="006D780C"/>
    <w:rsid w:val="006D7C24"/>
    <w:rsid w:val="006D7F4A"/>
    <w:rsid w:val="006E105F"/>
    <w:rsid w:val="006E13C4"/>
    <w:rsid w:val="006E21CA"/>
    <w:rsid w:val="006E558B"/>
    <w:rsid w:val="006F0A93"/>
    <w:rsid w:val="006F310A"/>
    <w:rsid w:val="006F396B"/>
    <w:rsid w:val="006F480F"/>
    <w:rsid w:val="006F59BD"/>
    <w:rsid w:val="006F63E0"/>
    <w:rsid w:val="006F6CFA"/>
    <w:rsid w:val="0070055C"/>
    <w:rsid w:val="00701984"/>
    <w:rsid w:val="0070231B"/>
    <w:rsid w:val="0070340E"/>
    <w:rsid w:val="007105FA"/>
    <w:rsid w:val="00717DB3"/>
    <w:rsid w:val="00721D30"/>
    <w:rsid w:val="0072340D"/>
    <w:rsid w:val="00724136"/>
    <w:rsid w:val="00734040"/>
    <w:rsid w:val="0073435B"/>
    <w:rsid w:val="007345CD"/>
    <w:rsid w:val="0073705F"/>
    <w:rsid w:val="00740410"/>
    <w:rsid w:val="00741A3F"/>
    <w:rsid w:val="00742565"/>
    <w:rsid w:val="00743DB7"/>
    <w:rsid w:val="00744721"/>
    <w:rsid w:val="0074518B"/>
    <w:rsid w:val="0074645A"/>
    <w:rsid w:val="00747680"/>
    <w:rsid w:val="00750177"/>
    <w:rsid w:val="007501FE"/>
    <w:rsid w:val="00750B8E"/>
    <w:rsid w:val="00752CA5"/>
    <w:rsid w:val="007541F2"/>
    <w:rsid w:val="00755B93"/>
    <w:rsid w:val="00755DBD"/>
    <w:rsid w:val="0076228A"/>
    <w:rsid w:val="00765C62"/>
    <w:rsid w:val="00766E40"/>
    <w:rsid w:val="0076725D"/>
    <w:rsid w:val="00770EA2"/>
    <w:rsid w:val="00771BEE"/>
    <w:rsid w:val="00773F70"/>
    <w:rsid w:val="00773F87"/>
    <w:rsid w:val="00775A6C"/>
    <w:rsid w:val="00777CAE"/>
    <w:rsid w:val="00782725"/>
    <w:rsid w:val="00783E48"/>
    <w:rsid w:val="00784DCC"/>
    <w:rsid w:val="00784E6B"/>
    <w:rsid w:val="00786CF1"/>
    <w:rsid w:val="00790998"/>
    <w:rsid w:val="00791B3C"/>
    <w:rsid w:val="00792E0C"/>
    <w:rsid w:val="00792F11"/>
    <w:rsid w:val="0079353C"/>
    <w:rsid w:val="007935B6"/>
    <w:rsid w:val="00796152"/>
    <w:rsid w:val="007A0ACB"/>
    <w:rsid w:val="007A0E5B"/>
    <w:rsid w:val="007A2FE5"/>
    <w:rsid w:val="007A54D2"/>
    <w:rsid w:val="007A6284"/>
    <w:rsid w:val="007A65F2"/>
    <w:rsid w:val="007B1257"/>
    <w:rsid w:val="007B3797"/>
    <w:rsid w:val="007C4116"/>
    <w:rsid w:val="007C4F02"/>
    <w:rsid w:val="007C57DE"/>
    <w:rsid w:val="007C7689"/>
    <w:rsid w:val="007D16DD"/>
    <w:rsid w:val="007D7291"/>
    <w:rsid w:val="007E0111"/>
    <w:rsid w:val="007E0FA9"/>
    <w:rsid w:val="007F1490"/>
    <w:rsid w:val="007F2F65"/>
    <w:rsid w:val="007F5FD5"/>
    <w:rsid w:val="007F7303"/>
    <w:rsid w:val="007F7B5C"/>
    <w:rsid w:val="00800979"/>
    <w:rsid w:val="00800E03"/>
    <w:rsid w:val="0080117D"/>
    <w:rsid w:val="008037B8"/>
    <w:rsid w:val="0080614E"/>
    <w:rsid w:val="00806318"/>
    <w:rsid w:val="008073EB"/>
    <w:rsid w:val="008101BB"/>
    <w:rsid w:val="00815635"/>
    <w:rsid w:val="00817D26"/>
    <w:rsid w:val="00822178"/>
    <w:rsid w:val="00822CBA"/>
    <w:rsid w:val="00823240"/>
    <w:rsid w:val="0082610F"/>
    <w:rsid w:val="008277F1"/>
    <w:rsid w:val="0083323A"/>
    <w:rsid w:val="00842C34"/>
    <w:rsid w:val="008438BF"/>
    <w:rsid w:val="00843C0C"/>
    <w:rsid w:val="00844853"/>
    <w:rsid w:val="00844909"/>
    <w:rsid w:val="00846DE4"/>
    <w:rsid w:val="00847BD4"/>
    <w:rsid w:val="00850237"/>
    <w:rsid w:val="00850FB7"/>
    <w:rsid w:val="00852845"/>
    <w:rsid w:val="00853C26"/>
    <w:rsid w:val="0085506F"/>
    <w:rsid w:val="00856A3C"/>
    <w:rsid w:val="00863890"/>
    <w:rsid w:val="00865674"/>
    <w:rsid w:val="00870D84"/>
    <w:rsid w:val="00870FD9"/>
    <w:rsid w:val="0087188A"/>
    <w:rsid w:val="00872475"/>
    <w:rsid w:val="00877BD5"/>
    <w:rsid w:val="00880282"/>
    <w:rsid w:val="0088756B"/>
    <w:rsid w:val="00890C16"/>
    <w:rsid w:val="00890D66"/>
    <w:rsid w:val="00890E17"/>
    <w:rsid w:val="008949CE"/>
    <w:rsid w:val="008B0084"/>
    <w:rsid w:val="008B0F65"/>
    <w:rsid w:val="008B29CF"/>
    <w:rsid w:val="008B4D5E"/>
    <w:rsid w:val="008B7C11"/>
    <w:rsid w:val="008C551F"/>
    <w:rsid w:val="008C57A6"/>
    <w:rsid w:val="008C745F"/>
    <w:rsid w:val="008D4300"/>
    <w:rsid w:val="008D4B5F"/>
    <w:rsid w:val="008D4C15"/>
    <w:rsid w:val="008D4CFF"/>
    <w:rsid w:val="008D71C8"/>
    <w:rsid w:val="008E0156"/>
    <w:rsid w:val="008E4B0D"/>
    <w:rsid w:val="008E5315"/>
    <w:rsid w:val="008E73B4"/>
    <w:rsid w:val="008F5E43"/>
    <w:rsid w:val="008F7FF1"/>
    <w:rsid w:val="009000E7"/>
    <w:rsid w:val="00901971"/>
    <w:rsid w:val="00902188"/>
    <w:rsid w:val="00902C4B"/>
    <w:rsid w:val="00903AF3"/>
    <w:rsid w:val="00911B8A"/>
    <w:rsid w:val="00913D0D"/>
    <w:rsid w:val="00915776"/>
    <w:rsid w:val="009201CC"/>
    <w:rsid w:val="00920356"/>
    <w:rsid w:val="00921C18"/>
    <w:rsid w:val="009239D0"/>
    <w:rsid w:val="00931A63"/>
    <w:rsid w:val="009330A3"/>
    <w:rsid w:val="00933C77"/>
    <w:rsid w:val="0093716E"/>
    <w:rsid w:val="009419AC"/>
    <w:rsid w:val="00947B42"/>
    <w:rsid w:val="00951760"/>
    <w:rsid w:val="00951F3D"/>
    <w:rsid w:val="0095259F"/>
    <w:rsid w:val="00953CE0"/>
    <w:rsid w:val="00955784"/>
    <w:rsid w:val="00961766"/>
    <w:rsid w:val="009638CB"/>
    <w:rsid w:val="009645A3"/>
    <w:rsid w:val="009649C6"/>
    <w:rsid w:val="00965633"/>
    <w:rsid w:val="009677AB"/>
    <w:rsid w:val="00971BFA"/>
    <w:rsid w:val="00982A0C"/>
    <w:rsid w:val="00983D1A"/>
    <w:rsid w:val="00984DC9"/>
    <w:rsid w:val="00987043"/>
    <w:rsid w:val="00987844"/>
    <w:rsid w:val="0099182F"/>
    <w:rsid w:val="00992736"/>
    <w:rsid w:val="00992B3C"/>
    <w:rsid w:val="00995BAA"/>
    <w:rsid w:val="00997AA1"/>
    <w:rsid w:val="00997B95"/>
    <w:rsid w:val="009A17A5"/>
    <w:rsid w:val="009A5828"/>
    <w:rsid w:val="009A6166"/>
    <w:rsid w:val="009B0E2A"/>
    <w:rsid w:val="009B2BFB"/>
    <w:rsid w:val="009B4A55"/>
    <w:rsid w:val="009B5644"/>
    <w:rsid w:val="009B622C"/>
    <w:rsid w:val="009B707F"/>
    <w:rsid w:val="009B7AE3"/>
    <w:rsid w:val="009C049B"/>
    <w:rsid w:val="009C368D"/>
    <w:rsid w:val="009D121C"/>
    <w:rsid w:val="009D1835"/>
    <w:rsid w:val="009D2F3E"/>
    <w:rsid w:val="009D5151"/>
    <w:rsid w:val="009D79AF"/>
    <w:rsid w:val="009E33A4"/>
    <w:rsid w:val="009E4230"/>
    <w:rsid w:val="009E50B5"/>
    <w:rsid w:val="009E60AB"/>
    <w:rsid w:val="009E62A3"/>
    <w:rsid w:val="009E755B"/>
    <w:rsid w:val="009F79EC"/>
    <w:rsid w:val="00A005F5"/>
    <w:rsid w:val="00A00895"/>
    <w:rsid w:val="00A03408"/>
    <w:rsid w:val="00A06BE0"/>
    <w:rsid w:val="00A07DFA"/>
    <w:rsid w:val="00A13044"/>
    <w:rsid w:val="00A15A56"/>
    <w:rsid w:val="00A17BAB"/>
    <w:rsid w:val="00A212A3"/>
    <w:rsid w:val="00A246E6"/>
    <w:rsid w:val="00A24E5A"/>
    <w:rsid w:val="00A2740B"/>
    <w:rsid w:val="00A331DA"/>
    <w:rsid w:val="00A358DD"/>
    <w:rsid w:val="00A36BD0"/>
    <w:rsid w:val="00A417BC"/>
    <w:rsid w:val="00A422BF"/>
    <w:rsid w:val="00A43FCA"/>
    <w:rsid w:val="00A471D4"/>
    <w:rsid w:val="00A54AF0"/>
    <w:rsid w:val="00A6317D"/>
    <w:rsid w:val="00A63B7C"/>
    <w:rsid w:val="00A64082"/>
    <w:rsid w:val="00A64DA2"/>
    <w:rsid w:val="00A65247"/>
    <w:rsid w:val="00A67739"/>
    <w:rsid w:val="00A71212"/>
    <w:rsid w:val="00A773B5"/>
    <w:rsid w:val="00A83B8E"/>
    <w:rsid w:val="00A86B09"/>
    <w:rsid w:val="00A86D57"/>
    <w:rsid w:val="00A936B0"/>
    <w:rsid w:val="00A94BC9"/>
    <w:rsid w:val="00A94EA3"/>
    <w:rsid w:val="00A95FF2"/>
    <w:rsid w:val="00A96867"/>
    <w:rsid w:val="00AA1AB8"/>
    <w:rsid w:val="00AA2547"/>
    <w:rsid w:val="00AA349E"/>
    <w:rsid w:val="00AA7956"/>
    <w:rsid w:val="00AB18E6"/>
    <w:rsid w:val="00AB1A29"/>
    <w:rsid w:val="00AB2DC9"/>
    <w:rsid w:val="00AB44CD"/>
    <w:rsid w:val="00AB63CE"/>
    <w:rsid w:val="00AC3BCF"/>
    <w:rsid w:val="00AC466B"/>
    <w:rsid w:val="00AC6330"/>
    <w:rsid w:val="00AC715C"/>
    <w:rsid w:val="00AC75E6"/>
    <w:rsid w:val="00AD1933"/>
    <w:rsid w:val="00AD3181"/>
    <w:rsid w:val="00AD4FFC"/>
    <w:rsid w:val="00AD5B91"/>
    <w:rsid w:val="00AE0449"/>
    <w:rsid w:val="00AE054F"/>
    <w:rsid w:val="00AE0921"/>
    <w:rsid w:val="00AE0EC3"/>
    <w:rsid w:val="00AE53A9"/>
    <w:rsid w:val="00AE5456"/>
    <w:rsid w:val="00AE7107"/>
    <w:rsid w:val="00AF08A0"/>
    <w:rsid w:val="00AF1A68"/>
    <w:rsid w:val="00AF1C1D"/>
    <w:rsid w:val="00AF1DB3"/>
    <w:rsid w:val="00AF244D"/>
    <w:rsid w:val="00AF256B"/>
    <w:rsid w:val="00AF3225"/>
    <w:rsid w:val="00AF74E4"/>
    <w:rsid w:val="00B005A5"/>
    <w:rsid w:val="00B03D9A"/>
    <w:rsid w:val="00B050EE"/>
    <w:rsid w:val="00B0652A"/>
    <w:rsid w:val="00B11403"/>
    <w:rsid w:val="00B133EE"/>
    <w:rsid w:val="00B15521"/>
    <w:rsid w:val="00B20EBB"/>
    <w:rsid w:val="00B24A2D"/>
    <w:rsid w:val="00B30775"/>
    <w:rsid w:val="00B32A11"/>
    <w:rsid w:val="00B3331F"/>
    <w:rsid w:val="00B34A0D"/>
    <w:rsid w:val="00B35287"/>
    <w:rsid w:val="00B3571F"/>
    <w:rsid w:val="00B359BF"/>
    <w:rsid w:val="00B359E8"/>
    <w:rsid w:val="00B36EB3"/>
    <w:rsid w:val="00B37DF6"/>
    <w:rsid w:val="00B4049D"/>
    <w:rsid w:val="00B406DD"/>
    <w:rsid w:val="00B41558"/>
    <w:rsid w:val="00B437EE"/>
    <w:rsid w:val="00B441F4"/>
    <w:rsid w:val="00B4711D"/>
    <w:rsid w:val="00B474C8"/>
    <w:rsid w:val="00B54134"/>
    <w:rsid w:val="00B542E6"/>
    <w:rsid w:val="00B55A7A"/>
    <w:rsid w:val="00B56FE9"/>
    <w:rsid w:val="00B608FC"/>
    <w:rsid w:val="00B62926"/>
    <w:rsid w:val="00B661B9"/>
    <w:rsid w:val="00B70066"/>
    <w:rsid w:val="00B70359"/>
    <w:rsid w:val="00B71156"/>
    <w:rsid w:val="00B71E3D"/>
    <w:rsid w:val="00B74909"/>
    <w:rsid w:val="00B778AA"/>
    <w:rsid w:val="00B809B2"/>
    <w:rsid w:val="00B8290B"/>
    <w:rsid w:val="00B8751E"/>
    <w:rsid w:val="00B903EF"/>
    <w:rsid w:val="00B931E4"/>
    <w:rsid w:val="00B94FB5"/>
    <w:rsid w:val="00B95032"/>
    <w:rsid w:val="00B97568"/>
    <w:rsid w:val="00BA1DF7"/>
    <w:rsid w:val="00BA4C38"/>
    <w:rsid w:val="00BA6F9F"/>
    <w:rsid w:val="00BA74D3"/>
    <w:rsid w:val="00BB0302"/>
    <w:rsid w:val="00BB256D"/>
    <w:rsid w:val="00BB5EA9"/>
    <w:rsid w:val="00BB5FE5"/>
    <w:rsid w:val="00BC0B1C"/>
    <w:rsid w:val="00BC472B"/>
    <w:rsid w:val="00BC61D9"/>
    <w:rsid w:val="00BC6750"/>
    <w:rsid w:val="00BC68AC"/>
    <w:rsid w:val="00BC6A29"/>
    <w:rsid w:val="00BC7ADA"/>
    <w:rsid w:val="00BD427D"/>
    <w:rsid w:val="00BD63B9"/>
    <w:rsid w:val="00BD7D3A"/>
    <w:rsid w:val="00BE0C35"/>
    <w:rsid w:val="00BE1344"/>
    <w:rsid w:val="00BE27CF"/>
    <w:rsid w:val="00BE378A"/>
    <w:rsid w:val="00BE568B"/>
    <w:rsid w:val="00BE570D"/>
    <w:rsid w:val="00BE7FC3"/>
    <w:rsid w:val="00BF0679"/>
    <w:rsid w:val="00BF1235"/>
    <w:rsid w:val="00BF75C1"/>
    <w:rsid w:val="00C01DA0"/>
    <w:rsid w:val="00C0624E"/>
    <w:rsid w:val="00C10C03"/>
    <w:rsid w:val="00C121BC"/>
    <w:rsid w:val="00C145C4"/>
    <w:rsid w:val="00C15766"/>
    <w:rsid w:val="00C17FFA"/>
    <w:rsid w:val="00C23636"/>
    <w:rsid w:val="00C245E0"/>
    <w:rsid w:val="00C3116E"/>
    <w:rsid w:val="00C31FC2"/>
    <w:rsid w:val="00C34429"/>
    <w:rsid w:val="00C35A0D"/>
    <w:rsid w:val="00C37BCD"/>
    <w:rsid w:val="00C4098E"/>
    <w:rsid w:val="00C41416"/>
    <w:rsid w:val="00C415C5"/>
    <w:rsid w:val="00C41C93"/>
    <w:rsid w:val="00C46AF8"/>
    <w:rsid w:val="00C46E0C"/>
    <w:rsid w:val="00C517D7"/>
    <w:rsid w:val="00C51C2A"/>
    <w:rsid w:val="00C53621"/>
    <w:rsid w:val="00C56BB3"/>
    <w:rsid w:val="00C56E00"/>
    <w:rsid w:val="00C60EC5"/>
    <w:rsid w:val="00C61BF6"/>
    <w:rsid w:val="00C6208D"/>
    <w:rsid w:val="00C63AD3"/>
    <w:rsid w:val="00C63F3A"/>
    <w:rsid w:val="00C642D7"/>
    <w:rsid w:val="00C64511"/>
    <w:rsid w:val="00C661C4"/>
    <w:rsid w:val="00C7004B"/>
    <w:rsid w:val="00C704E9"/>
    <w:rsid w:val="00C74612"/>
    <w:rsid w:val="00C76AEC"/>
    <w:rsid w:val="00C82274"/>
    <w:rsid w:val="00C83F6F"/>
    <w:rsid w:val="00C864ED"/>
    <w:rsid w:val="00C87030"/>
    <w:rsid w:val="00C87276"/>
    <w:rsid w:val="00C91814"/>
    <w:rsid w:val="00C92D56"/>
    <w:rsid w:val="00C935CB"/>
    <w:rsid w:val="00C94130"/>
    <w:rsid w:val="00C966B1"/>
    <w:rsid w:val="00C969D9"/>
    <w:rsid w:val="00C97E1B"/>
    <w:rsid w:val="00CA427D"/>
    <w:rsid w:val="00CA5862"/>
    <w:rsid w:val="00CA70E9"/>
    <w:rsid w:val="00CA7D98"/>
    <w:rsid w:val="00CA7E14"/>
    <w:rsid w:val="00CB18AC"/>
    <w:rsid w:val="00CB1FFB"/>
    <w:rsid w:val="00CB6085"/>
    <w:rsid w:val="00CB6F97"/>
    <w:rsid w:val="00CC088E"/>
    <w:rsid w:val="00CC0BA2"/>
    <w:rsid w:val="00CC0D2A"/>
    <w:rsid w:val="00CC3BE4"/>
    <w:rsid w:val="00CC3D06"/>
    <w:rsid w:val="00CC4815"/>
    <w:rsid w:val="00CC517F"/>
    <w:rsid w:val="00CC7696"/>
    <w:rsid w:val="00CC78DB"/>
    <w:rsid w:val="00CD0657"/>
    <w:rsid w:val="00CD06B8"/>
    <w:rsid w:val="00CD1109"/>
    <w:rsid w:val="00CD4FCF"/>
    <w:rsid w:val="00CD72F6"/>
    <w:rsid w:val="00CE6542"/>
    <w:rsid w:val="00CF143B"/>
    <w:rsid w:val="00CF2043"/>
    <w:rsid w:val="00CF39AD"/>
    <w:rsid w:val="00CF3AF4"/>
    <w:rsid w:val="00CF3B74"/>
    <w:rsid w:val="00CF4720"/>
    <w:rsid w:val="00CF47B1"/>
    <w:rsid w:val="00CF4982"/>
    <w:rsid w:val="00CF75B0"/>
    <w:rsid w:val="00D00FC3"/>
    <w:rsid w:val="00D012CF"/>
    <w:rsid w:val="00D01C1C"/>
    <w:rsid w:val="00D01EB4"/>
    <w:rsid w:val="00D028D9"/>
    <w:rsid w:val="00D03C89"/>
    <w:rsid w:val="00D07729"/>
    <w:rsid w:val="00D10F94"/>
    <w:rsid w:val="00D11252"/>
    <w:rsid w:val="00D12D4B"/>
    <w:rsid w:val="00D14FC2"/>
    <w:rsid w:val="00D16B75"/>
    <w:rsid w:val="00D20E48"/>
    <w:rsid w:val="00D21AC0"/>
    <w:rsid w:val="00D22B50"/>
    <w:rsid w:val="00D22B6B"/>
    <w:rsid w:val="00D23C0A"/>
    <w:rsid w:val="00D26935"/>
    <w:rsid w:val="00D3315E"/>
    <w:rsid w:val="00D34DE3"/>
    <w:rsid w:val="00D363ED"/>
    <w:rsid w:val="00D379D9"/>
    <w:rsid w:val="00D41F01"/>
    <w:rsid w:val="00D424DE"/>
    <w:rsid w:val="00D44FB4"/>
    <w:rsid w:val="00D457A9"/>
    <w:rsid w:val="00D46163"/>
    <w:rsid w:val="00D4695E"/>
    <w:rsid w:val="00D46C37"/>
    <w:rsid w:val="00D478E8"/>
    <w:rsid w:val="00D50577"/>
    <w:rsid w:val="00D5385A"/>
    <w:rsid w:val="00D54A81"/>
    <w:rsid w:val="00D54BD3"/>
    <w:rsid w:val="00D56707"/>
    <w:rsid w:val="00D56CB3"/>
    <w:rsid w:val="00D57A5D"/>
    <w:rsid w:val="00D62612"/>
    <w:rsid w:val="00D648E8"/>
    <w:rsid w:val="00D7136A"/>
    <w:rsid w:val="00D75081"/>
    <w:rsid w:val="00D761CE"/>
    <w:rsid w:val="00D76ABF"/>
    <w:rsid w:val="00D81721"/>
    <w:rsid w:val="00D8256E"/>
    <w:rsid w:val="00D83A25"/>
    <w:rsid w:val="00D84352"/>
    <w:rsid w:val="00D844F5"/>
    <w:rsid w:val="00D873B6"/>
    <w:rsid w:val="00D873DE"/>
    <w:rsid w:val="00D87F12"/>
    <w:rsid w:val="00D92192"/>
    <w:rsid w:val="00D94747"/>
    <w:rsid w:val="00D96BA5"/>
    <w:rsid w:val="00DA0219"/>
    <w:rsid w:val="00DA3338"/>
    <w:rsid w:val="00DA5BF2"/>
    <w:rsid w:val="00DA73AF"/>
    <w:rsid w:val="00DB2A7C"/>
    <w:rsid w:val="00DB4BA9"/>
    <w:rsid w:val="00DC0063"/>
    <w:rsid w:val="00DC1BB2"/>
    <w:rsid w:val="00DC42AD"/>
    <w:rsid w:val="00DC4EED"/>
    <w:rsid w:val="00DC550F"/>
    <w:rsid w:val="00DC5B28"/>
    <w:rsid w:val="00DC6A18"/>
    <w:rsid w:val="00DC7ED9"/>
    <w:rsid w:val="00DD2A00"/>
    <w:rsid w:val="00DD399E"/>
    <w:rsid w:val="00DD45AC"/>
    <w:rsid w:val="00DD61B9"/>
    <w:rsid w:val="00DD7D45"/>
    <w:rsid w:val="00DE022B"/>
    <w:rsid w:val="00DE1EA4"/>
    <w:rsid w:val="00DE429C"/>
    <w:rsid w:val="00DF26B3"/>
    <w:rsid w:val="00DF31C8"/>
    <w:rsid w:val="00DF43F5"/>
    <w:rsid w:val="00DF57A4"/>
    <w:rsid w:val="00DF61EF"/>
    <w:rsid w:val="00DF6231"/>
    <w:rsid w:val="00E045B9"/>
    <w:rsid w:val="00E05DB3"/>
    <w:rsid w:val="00E1124C"/>
    <w:rsid w:val="00E11584"/>
    <w:rsid w:val="00E15776"/>
    <w:rsid w:val="00E22117"/>
    <w:rsid w:val="00E23681"/>
    <w:rsid w:val="00E27673"/>
    <w:rsid w:val="00E2794F"/>
    <w:rsid w:val="00E312B3"/>
    <w:rsid w:val="00E36086"/>
    <w:rsid w:val="00E4094C"/>
    <w:rsid w:val="00E417D3"/>
    <w:rsid w:val="00E47B04"/>
    <w:rsid w:val="00E47C0C"/>
    <w:rsid w:val="00E47D3C"/>
    <w:rsid w:val="00E51593"/>
    <w:rsid w:val="00E53702"/>
    <w:rsid w:val="00E53B60"/>
    <w:rsid w:val="00E557BE"/>
    <w:rsid w:val="00E621CE"/>
    <w:rsid w:val="00E62BCF"/>
    <w:rsid w:val="00E65FCC"/>
    <w:rsid w:val="00E67366"/>
    <w:rsid w:val="00E74059"/>
    <w:rsid w:val="00E76321"/>
    <w:rsid w:val="00E76384"/>
    <w:rsid w:val="00E82DB4"/>
    <w:rsid w:val="00E83053"/>
    <w:rsid w:val="00E8497E"/>
    <w:rsid w:val="00E90F0A"/>
    <w:rsid w:val="00E95D33"/>
    <w:rsid w:val="00E9769E"/>
    <w:rsid w:val="00E97A71"/>
    <w:rsid w:val="00EA01EB"/>
    <w:rsid w:val="00EA0636"/>
    <w:rsid w:val="00EA2174"/>
    <w:rsid w:val="00EA5AA1"/>
    <w:rsid w:val="00EA6015"/>
    <w:rsid w:val="00EB183E"/>
    <w:rsid w:val="00EB1CFF"/>
    <w:rsid w:val="00EB2D3D"/>
    <w:rsid w:val="00EB4702"/>
    <w:rsid w:val="00EB4E99"/>
    <w:rsid w:val="00EB5F5E"/>
    <w:rsid w:val="00EC2EA2"/>
    <w:rsid w:val="00EC2F43"/>
    <w:rsid w:val="00EC3E40"/>
    <w:rsid w:val="00EC621F"/>
    <w:rsid w:val="00EC68AC"/>
    <w:rsid w:val="00ED280E"/>
    <w:rsid w:val="00ED50A5"/>
    <w:rsid w:val="00ED680E"/>
    <w:rsid w:val="00ED6865"/>
    <w:rsid w:val="00EE187D"/>
    <w:rsid w:val="00EF092F"/>
    <w:rsid w:val="00EF2711"/>
    <w:rsid w:val="00EF412A"/>
    <w:rsid w:val="00EF5610"/>
    <w:rsid w:val="00F00F3D"/>
    <w:rsid w:val="00F02D12"/>
    <w:rsid w:val="00F06398"/>
    <w:rsid w:val="00F10B79"/>
    <w:rsid w:val="00F11C31"/>
    <w:rsid w:val="00F11D80"/>
    <w:rsid w:val="00F12589"/>
    <w:rsid w:val="00F127CD"/>
    <w:rsid w:val="00F13CED"/>
    <w:rsid w:val="00F14BA6"/>
    <w:rsid w:val="00F160D3"/>
    <w:rsid w:val="00F16720"/>
    <w:rsid w:val="00F175DC"/>
    <w:rsid w:val="00F21F5B"/>
    <w:rsid w:val="00F22934"/>
    <w:rsid w:val="00F321F6"/>
    <w:rsid w:val="00F332C9"/>
    <w:rsid w:val="00F35E32"/>
    <w:rsid w:val="00F37DB6"/>
    <w:rsid w:val="00F43EA9"/>
    <w:rsid w:val="00F44E40"/>
    <w:rsid w:val="00F4504C"/>
    <w:rsid w:val="00F51276"/>
    <w:rsid w:val="00F526FF"/>
    <w:rsid w:val="00F5456B"/>
    <w:rsid w:val="00F65353"/>
    <w:rsid w:val="00F6771D"/>
    <w:rsid w:val="00F70E1A"/>
    <w:rsid w:val="00F70F23"/>
    <w:rsid w:val="00F714D0"/>
    <w:rsid w:val="00F73088"/>
    <w:rsid w:val="00F731FB"/>
    <w:rsid w:val="00F74576"/>
    <w:rsid w:val="00F76672"/>
    <w:rsid w:val="00F82FDB"/>
    <w:rsid w:val="00F83729"/>
    <w:rsid w:val="00F839E8"/>
    <w:rsid w:val="00F902F6"/>
    <w:rsid w:val="00F91173"/>
    <w:rsid w:val="00F919F3"/>
    <w:rsid w:val="00F92BE4"/>
    <w:rsid w:val="00F93F5E"/>
    <w:rsid w:val="00F9475E"/>
    <w:rsid w:val="00F952B9"/>
    <w:rsid w:val="00F9621D"/>
    <w:rsid w:val="00FA05F9"/>
    <w:rsid w:val="00FA0D4B"/>
    <w:rsid w:val="00FA2E9B"/>
    <w:rsid w:val="00FA41FE"/>
    <w:rsid w:val="00FB39C2"/>
    <w:rsid w:val="00FC4AC1"/>
    <w:rsid w:val="00FD0B57"/>
    <w:rsid w:val="00FD1874"/>
    <w:rsid w:val="00FD1DA3"/>
    <w:rsid w:val="00FD485A"/>
    <w:rsid w:val="00FD6266"/>
    <w:rsid w:val="00FD7679"/>
    <w:rsid w:val="00FE17AF"/>
    <w:rsid w:val="00FE181D"/>
    <w:rsid w:val="00FE1B33"/>
    <w:rsid w:val="00FE2312"/>
    <w:rsid w:val="00FF0F9E"/>
    <w:rsid w:val="00FF4DCF"/>
    <w:rsid w:val="00FF5432"/>
    <w:rsid w:val="00FF5841"/>
    <w:rsid w:val="00FF6DF6"/>
    <w:rsid w:val="00FF71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Title" w:semiHidden="0" w:unhideWhenUsed="0" w:qFormat="1"/>
    <w:lsdException w:name="Default Paragraph Font" w:uiPriority="1"/>
    <w:lsdException w:name="Subtitle" w:semiHidden="0" w:unhideWhenUsed="0" w:qFormat="1"/>
    <w:lsdException w:name="Date" w:uiPriority="99"/>
    <w:lsdException w:name="Body Tex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locked="1"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locked="1" w:semiHidden="0" w:uiPriority="64" w:unhideWhenUsed="0"/>
    <w:lsdException w:name="Medium List 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locked="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locked="1" w:semiHidden="0" w:uiPriority="64" w:unhideWhenUsed="0"/>
    <w:lsdException w:name="Medium List 1 Accent 2"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locked="1" w:semiHidden="0" w:uiPriority="64" w:unhideWhenUsed="0"/>
    <w:lsdException w:name="Medium List 1 Accent 3"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locked="1" w:semiHidden="0" w:uiPriority="64" w:unhideWhenUsed="0"/>
    <w:lsdException w:name="Medium List 1 Accent 4"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locked="1" w:semiHidden="0" w:uiPriority="64" w:unhideWhenUsed="0"/>
    <w:lsdException w:name="Medium List 1 Accent 5"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locked="1" w:semiHidden="0" w:uiPriority="64" w:unhideWhenUsed="0"/>
    <w:lsdException w:name="Medium List 1 Accent 6"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7A54D2"/>
    <w:pPr>
      <w:spacing w:after="120" w:line="240" w:lineRule="auto"/>
    </w:pPr>
  </w:style>
  <w:style w:type="paragraph" w:styleId="Heading1">
    <w:name w:val="heading 1"/>
    <w:basedOn w:val="Normal"/>
    <w:next w:val="Normal"/>
    <w:link w:val="Heading1Char"/>
    <w:uiPriority w:val="9"/>
    <w:qFormat/>
    <w:rsid w:val="00480692"/>
    <w:pPr>
      <w:keepNext/>
      <w:keepLines/>
      <w:tabs>
        <w:tab w:val="num" w:pos="1492"/>
      </w:tabs>
      <w:spacing w:before="200" w:after="480"/>
      <w:ind w:firstLine="357"/>
      <w:outlineLvl w:val="0"/>
    </w:pPr>
    <w:rPr>
      <w:rFonts w:asciiTheme="majorHAnsi" w:eastAsiaTheme="majorEastAsia" w:hAnsiTheme="majorHAnsi" w:cstheme="majorBidi"/>
      <w:b/>
      <w:bCs/>
      <w:color w:val="008A00" w:themeColor="background2"/>
      <w:sz w:val="32"/>
      <w:szCs w:val="28"/>
    </w:rPr>
  </w:style>
  <w:style w:type="paragraph" w:styleId="Heading2">
    <w:name w:val="heading 2"/>
    <w:basedOn w:val="Normal"/>
    <w:next w:val="Normal"/>
    <w:link w:val="Heading2Char"/>
    <w:uiPriority w:val="9"/>
    <w:qFormat/>
    <w:rsid w:val="001E6A47"/>
    <w:pPr>
      <w:keepNext/>
      <w:keepLines/>
      <w:spacing w:before="240" w:after="240"/>
      <w:outlineLvl w:val="1"/>
    </w:pPr>
    <w:rPr>
      <w:rFonts w:asciiTheme="majorHAnsi" w:eastAsiaTheme="majorEastAsia" w:hAnsiTheme="majorHAnsi" w:cstheme="majorBidi"/>
      <w:b/>
      <w:bCs/>
      <w:color w:val="008A00" w:themeColor="background2"/>
      <w:sz w:val="28"/>
      <w:szCs w:val="32"/>
    </w:rPr>
  </w:style>
  <w:style w:type="paragraph" w:styleId="Heading3">
    <w:name w:val="heading 3"/>
    <w:basedOn w:val="Normal"/>
    <w:next w:val="Normal"/>
    <w:link w:val="Heading3Char"/>
    <w:uiPriority w:val="9"/>
    <w:qFormat/>
    <w:rsid w:val="00F321F6"/>
    <w:pPr>
      <w:keepNext/>
      <w:keepLines/>
      <w:numPr>
        <w:ilvl w:val="2"/>
        <w:numId w:val="12"/>
      </w:numPr>
      <w:spacing w:before="480" w:after="240"/>
      <w:outlineLvl w:val="2"/>
    </w:pPr>
    <w:rPr>
      <w:rFonts w:asciiTheme="majorHAnsi" w:eastAsiaTheme="majorEastAsia" w:hAnsiTheme="majorHAnsi" w:cstheme="majorBidi"/>
      <w:b/>
      <w:bCs/>
      <w:color w:val="004200" w:themeColor="text2"/>
      <w:sz w:val="26"/>
    </w:rPr>
  </w:style>
  <w:style w:type="paragraph" w:styleId="Heading4">
    <w:name w:val="heading 4"/>
    <w:basedOn w:val="Normal"/>
    <w:next w:val="Normal"/>
    <w:link w:val="Heading4Char"/>
    <w:qFormat/>
    <w:rsid w:val="00181B15"/>
    <w:pPr>
      <w:keepNext/>
      <w:keepLines/>
      <w:spacing w:before="360" w:after="240"/>
      <w:outlineLvl w:val="3"/>
    </w:pPr>
    <w:rPr>
      <w:rFonts w:asciiTheme="majorHAnsi" w:eastAsiaTheme="majorEastAsia" w:hAnsiTheme="majorHAnsi" w:cstheme="majorBidi"/>
      <w:b/>
      <w:bCs/>
      <w:i/>
      <w:iCs/>
      <w:color w:val="000000" w:themeColor="accent1"/>
      <w:sz w:val="24"/>
    </w:rPr>
  </w:style>
  <w:style w:type="paragraph" w:styleId="Heading5">
    <w:name w:val="heading 5"/>
    <w:basedOn w:val="Normal"/>
    <w:next w:val="Normal"/>
    <w:link w:val="Heading5Char"/>
    <w:qFormat/>
    <w:rsid w:val="00FD485A"/>
    <w:pPr>
      <w:keepNext/>
      <w:keepLines/>
      <w:numPr>
        <w:ilvl w:val="4"/>
        <w:numId w:val="12"/>
      </w:numPr>
      <w:spacing w:before="200" w:after="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qFormat/>
    <w:rsid w:val="00BC472B"/>
    <w:pPr>
      <w:keepNext/>
      <w:keepLines/>
      <w:numPr>
        <w:ilvl w:val="5"/>
        <w:numId w:val="12"/>
      </w:numPr>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qFormat/>
    <w:rsid w:val="00223F52"/>
    <w:pPr>
      <w:keepNext/>
      <w:keepLines/>
      <w:numPr>
        <w:ilvl w:val="6"/>
        <w:numId w:val="12"/>
      </w:numPr>
      <w:spacing w:before="200" w:after="0"/>
      <w:outlineLvl w:val="6"/>
    </w:pPr>
    <w:rPr>
      <w:rFonts w:asciiTheme="majorHAnsi" w:eastAsiaTheme="majorEastAsia" w:hAnsiTheme="majorHAnsi" w:cstheme="majorBidi"/>
      <w:i/>
      <w:iCs/>
      <w:u w:val="single"/>
    </w:rPr>
  </w:style>
  <w:style w:type="paragraph" w:styleId="Heading8">
    <w:name w:val="heading 8"/>
    <w:basedOn w:val="Normal"/>
    <w:next w:val="Normal"/>
    <w:link w:val="Heading8Char"/>
    <w:unhideWhenUsed/>
    <w:qFormat/>
    <w:rsid w:val="00BC472B"/>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C472B"/>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692"/>
    <w:rPr>
      <w:rFonts w:asciiTheme="majorHAnsi" w:eastAsiaTheme="majorEastAsia" w:hAnsiTheme="majorHAnsi" w:cstheme="majorBidi"/>
      <w:b/>
      <w:bCs/>
      <w:color w:val="008A00" w:themeColor="background2"/>
      <w:sz w:val="32"/>
      <w:szCs w:val="28"/>
    </w:rPr>
  </w:style>
  <w:style w:type="paragraph" w:styleId="Header">
    <w:name w:val="header"/>
    <w:basedOn w:val="Normal"/>
    <w:link w:val="HeaderChar"/>
    <w:unhideWhenUsed/>
    <w:rsid w:val="004B071D"/>
    <w:pPr>
      <w:tabs>
        <w:tab w:val="center" w:pos="4513"/>
        <w:tab w:val="right" w:pos="9026"/>
      </w:tabs>
      <w:spacing w:before="240" w:after="0"/>
    </w:pPr>
    <w:rPr>
      <w:noProof/>
      <w:lang w:eastAsia="en-AU"/>
    </w:rPr>
  </w:style>
  <w:style w:type="character" w:customStyle="1" w:styleId="HeaderChar">
    <w:name w:val="Header Char"/>
    <w:basedOn w:val="DefaultParagraphFont"/>
    <w:link w:val="Header"/>
    <w:uiPriority w:val="99"/>
    <w:rsid w:val="004B071D"/>
    <w:rPr>
      <w:noProof/>
      <w:lang w:eastAsia="en-AU"/>
    </w:rPr>
  </w:style>
  <w:style w:type="paragraph" w:styleId="Footer">
    <w:name w:val="footer"/>
    <w:basedOn w:val="Normal"/>
    <w:link w:val="FooterChar"/>
    <w:uiPriority w:val="99"/>
    <w:unhideWhenUsed/>
    <w:rsid w:val="00775A6C"/>
    <w:pPr>
      <w:tabs>
        <w:tab w:val="center" w:pos="4513"/>
        <w:tab w:val="right" w:pos="9026"/>
      </w:tabs>
      <w:spacing w:after="0"/>
    </w:pPr>
  </w:style>
  <w:style w:type="character" w:customStyle="1" w:styleId="FooterChar">
    <w:name w:val="Footer Char"/>
    <w:basedOn w:val="DefaultParagraphFont"/>
    <w:link w:val="Footer"/>
    <w:uiPriority w:val="99"/>
    <w:rsid w:val="00775A6C"/>
  </w:style>
  <w:style w:type="character" w:customStyle="1" w:styleId="Heading2Char">
    <w:name w:val="Heading 2 Char"/>
    <w:basedOn w:val="DefaultParagraphFont"/>
    <w:link w:val="Heading2"/>
    <w:uiPriority w:val="9"/>
    <w:rsid w:val="001E6A47"/>
    <w:rPr>
      <w:rFonts w:asciiTheme="majorHAnsi" w:eastAsiaTheme="majorEastAsia" w:hAnsiTheme="majorHAnsi" w:cstheme="majorBidi"/>
      <w:b/>
      <w:bCs/>
      <w:color w:val="008A00" w:themeColor="background2"/>
      <w:sz w:val="28"/>
      <w:szCs w:val="32"/>
    </w:rPr>
  </w:style>
  <w:style w:type="character" w:customStyle="1" w:styleId="Heading3Char">
    <w:name w:val="Heading 3 Char"/>
    <w:basedOn w:val="DefaultParagraphFont"/>
    <w:link w:val="Heading3"/>
    <w:uiPriority w:val="9"/>
    <w:rsid w:val="00F321F6"/>
    <w:rPr>
      <w:rFonts w:asciiTheme="majorHAnsi" w:eastAsiaTheme="majorEastAsia" w:hAnsiTheme="majorHAnsi" w:cstheme="majorBidi"/>
      <w:b/>
      <w:bCs/>
      <w:color w:val="004200" w:themeColor="text2"/>
      <w:sz w:val="26"/>
    </w:rPr>
  </w:style>
  <w:style w:type="paragraph" w:styleId="ListParagraph">
    <w:name w:val="List Paragraph"/>
    <w:basedOn w:val="Normal"/>
    <w:link w:val="ListParagraphChar"/>
    <w:uiPriority w:val="34"/>
    <w:qFormat/>
    <w:rsid w:val="00667796"/>
    <w:pPr>
      <w:ind w:left="720"/>
    </w:pPr>
  </w:style>
  <w:style w:type="paragraph" w:styleId="Quote">
    <w:name w:val="Quote"/>
    <w:basedOn w:val="Normal"/>
    <w:next w:val="Normal"/>
    <w:link w:val="QuoteChar"/>
    <w:qFormat/>
    <w:rsid w:val="00335A8F"/>
    <w:rPr>
      <w:i/>
      <w:iCs/>
      <w:color w:val="000000" w:themeColor="text1"/>
    </w:rPr>
  </w:style>
  <w:style w:type="character" w:customStyle="1" w:styleId="QuoteChar">
    <w:name w:val="Quote Char"/>
    <w:basedOn w:val="DefaultParagraphFont"/>
    <w:link w:val="Quote"/>
    <w:rsid w:val="006D7F4A"/>
    <w:rPr>
      <w:i/>
      <w:iCs/>
      <w:color w:val="000000" w:themeColor="text1"/>
      <w:sz w:val="24"/>
    </w:rPr>
  </w:style>
  <w:style w:type="paragraph" w:customStyle="1" w:styleId="Bullet1">
    <w:name w:val="Bullet 1"/>
    <w:basedOn w:val="Normal"/>
    <w:uiPriority w:val="34"/>
    <w:semiHidden/>
    <w:rsid w:val="00800E03"/>
    <w:pPr>
      <w:numPr>
        <w:numId w:val="1"/>
      </w:numPr>
    </w:pPr>
  </w:style>
  <w:style w:type="character" w:customStyle="1" w:styleId="Act">
    <w:name w:val="Act"/>
    <w:basedOn w:val="DefaultParagraphFont"/>
    <w:uiPriority w:val="23"/>
    <w:qFormat/>
    <w:rsid w:val="00335A8F"/>
    <w:rPr>
      <w:i/>
    </w:rPr>
  </w:style>
  <w:style w:type="paragraph" w:styleId="Title">
    <w:name w:val="Title"/>
    <w:aliases w:val="Title Artwork"/>
    <w:basedOn w:val="Normal"/>
    <w:next w:val="Subtitle"/>
    <w:link w:val="TitleChar"/>
    <w:qFormat/>
    <w:rsid w:val="0007116B"/>
    <w:pPr>
      <w:spacing w:before="9000" w:after="300"/>
      <w:ind w:left="6804" w:right="260"/>
      <w:contextualSpacing/>
      <w:jc w:val="right"/>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aliases w:val="Title Artwork Char"/>
    <w:basedOn w:val="DefaultParagraphFont"/>
    <w:link w:val="Title"/>
    <w:uiPriority w:val="11"/>
    <w:rsid w:val="0007116B"/>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VersionandDate"/>
    <w:link w:val="SubtitleChar"/>
    <w:qFormat/>
    <w:rsid w:val="00185C14"/>
    <w:pPr>
      <w:numPr>
        <w:ilvl w:val="1"/>
      </w:numPr>
      <w:jc w:val="right"/>
    </w:pPr>
    <w:rPr>
      <w:rFonts w:asciiTheme="majorHAnsi" w:eastAsiaTheme="majorEastAsia" w:hAnsiTheme="majorHAnsi" w:cstheme="majorBidi"/>
      <w:iCs/>
      <w:color w:val="000000" w:themeColor="accent1"/>
      <w:spacing w:val="15"/>
      <w:sz w:val="40"/>
      <w:szCs w:val="40"/>
    </w:rPr>
  </w:style>
  <w:style w:type="character" w:customStyle="1" w:styleId="SubtitleChar">
    <w:name w:val="Subtitle Char"/>
    <w:basedOn w:val="DefaultParagraphFont"/>
    <w:link w:val="Subtitle"/>
    <w:uiPriority w:val="12"/>
    <w:rsid w:val="00185C14"/>
    <w:rPr>
      <w:rFonts w:asciiTheme="majorHAnsi" w:eastAsiaTheme="majorEastAsia" w:hAnsiTheme="majorHAnsi" w:cstheme="majorBidi"/>
      <w:iCs/>
      <w:color w:val="000000" w:themeColor="accent1"/>
      <w:spacing w:val="15"/>
      <w:sz w:val="40"/>
      <w:szCs w:val="40"/>
    </w:rPr>
  </w:style>
  <w:style w:type="paragraph" w:styleId="BalloonText">
    <w:name w:val="Balloon Text"/>
    <w:basedOn w:val="Normal"/>
    <w:link w:val="BalloonTextChar"/>
    <w:uiPriority w:val="99"/>
    <w:unhideWhenUsed/>
    <w:rsid w:val="008B0084"/>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8B0084"/>
    <w:rPr>
      <w:rFonts w:ascii="Tahoma" w:hAnsi="Tahoma" w:cs="Tahoma"/>
      <w:sz w:val="16"/>
      <w:szCs w:val="16"/>
    </w:rPr>
  </w:style>
  <w:style w:type="paragraph" w:customStyle="1" w:styleId="VersionandDate">
    <w:name w:val="Version and Date"/>
    <w:basedOn w:val="Normal"/>
    <w:next w:val="Normal"/>
    <w:uiPriority w:val="13"/>
    <w:qFormat/>
    <w:rsid w:val="0007116B"/>
    <w:pPr>
      <w:ind w:left="6804" w:right="260"/>
      <w:jc w:val="right"/>
    </w:pPr>
    <w:rPr>
      <w:sz w:val="28"/>
      <w:szCs w:val="28"/>
    </w:rPr>
  </w:style>
  <w:style w:type="paragraph" w:customStyle="1" w:styleId="Covernote">
    <w:name w:val="Cover note"/>
    <w:basedOn w:val="Normal"/>
    <w:next w:val="Normal"/>
    <w:uiPriority w:val="14"/>
    <w:rsid w:val="006472C0"/>
    <w:rPr>
      <w:i/>
    </w:rPr>
  </w:style>
  <w:style w:type="character" w:customStyle="1" w:styleId="Heading4Char">
    <w:name w:val="Heading 4 Char"/>
    <w:basedOn w:val="DefaultParagraphFont"/>
    <w:link w:val="Heading4"/>
    <w:rsid w:val="00181B15"/>
    <w:rPr>
      <w:rFonts w:asciiTheme="majorHAnsi" w:eastAsiaTheme="majorEastAsia" w:hAnsiTheme="majorHAnsi" w:cstheme="majorBidi"/>
      <w:b/>
      <w:bCs/>
      <w:i/>
      <w:iCs/>
      <w:color w:val="000000" w:themeColor="accent1"/>
      <w:sz w:val="24"/>
    </w:rPr>
  </w:style>
  <w:style w:type="table" w:styleId="TableGrid">
    <w:name w:val="Table Grid"/>
    <w:basedOn w:val="TableNormal"/>
    <w:uiPriority w:val="59"/>
    <w:rsid w:val="000B1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1BEE"/>
    <w:pPr>
      <w:autoSpaceDE w:val="0"/>
      <w:autoSpaceDN w:val="0"/>
      <w:adjustRightInd w:val="0"/>
      <w:spacing w:after="0" w:line="240" w:lineRule="auto"/>
    </w:pPr>
    <w:rPr>
      <w:rFonts w:ascii="Arial" w:hAnsi="Arial" w:cs="Arial"/>
      <w:color w:val="000000"/>
      <w:sz w:val="24"/>
      <w:szCs w:val="24"/>
    </w:rPr>
  </w:style>
  <w:style w:type="table" w:styleId="LightList-Accent6">
    <w:name w:val="Light List Accent 6"/>
    <w:basedOn w:val="TableNormal"/>
    <w:uiPriority w:val="61"/>
    <w:rsid w:val="00EC68AC"/>
    <w:pPr>
      <w:spacing w:before="40" w:after="40" w:line="240" w:lineRule="auto"/>
    </w:pPr>
    <w:tblPr>
      <w:tblStyleRowBandSize w:val="1"/>
      <w:tblStyleColBandSize w:val="1"/>
      <w:tblBorders>
        <w:top w:val="single" w:sz="8" w:space="0" w:color="004200" w:themeColor="accent6"/>
        <w:left w:val="single" w:sz="8" w:space="0" w:color="004200" w:themeColor="accent6"/>
        <w:bottom w:val="single" w:sz="8" w:space="0" w:color="004200" w:themeColor="accent6"/>
        <w:right w:val="single" w:sz="8" w:space="0" w:color="004200" w:themeColor="accent6"/>
        <w:insideH w:val="single" w:sz="8" w:space="0" w:color="004200" w:themeColor="accent6"/>
        <w:insideV w:val="single" w:sz="8" w:space="0" w:color="004200" w:themeColor="accent6"/>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4200" w:themeFill="accent6"/>
      </w:tcPr>
    </w:tblStylePr>
    <w:tblStylePr w:type="lastRow">
      <w:pPr>
        <w:wordWrap/>
        <w:spacing w:beforeLines="0" w:before="40" w:beforeAutospacing="0" w:afterLines="0" w:after="40" w:afterAutospacing="0" w:line="240" w:lineRule="auto"/>
      </w:pPr>
      <w:rPr>
        <w:b/>
        <w:bCs/>
      </w:rPr>
      <w:tblPr/>
      <w:tcPr>
        <w:tcBorders>
          <w:top w:val="double" w:sz="6" w:space="0" w:color="004200" w:themeColor="accent6"/>
          <w:left w:val="single" w:sz="8" w:space="0" w:color="004200" w:themeColor="accent6"/>
          <w:bottom w:val="single" w:sz="8" w:space="0" w:color="004200" w:themeColor="accent6"/>
          <w:right w:val="single" w:sz="8" w:space="0" w:color="004200" w:themeColor="accent6"/>
        </w:tcBorders>
      </w:tcPr>
    </w:tblStylePr>
    <w:tblStylePr w:type="firstCol">
      <w:rPr>
        <w:b/>
        <w:bCs/>
      </w:rPr>
    </w:tblStylePr>
    <w:tblStylePr w:type="lastCol">
      <w:rPr>
        <w:b/>
        <w:bCs/>
      </w:rPr>
    </w:tblStylePr>
    <w:tblStylePr w:type="band1Vert">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1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2Horz">
      <w:tblPr/>
      <w:tcPr>
        <w:shd w:val="clear" w:color="auto" w:fill="DBDCDD" w:themeFill="accent4" w:themeFillTint="66"/>
      </w:tcPr>
    </w:tblStylePr>
  </w:style>
  <w:style w:type="table" w:styleId="LightList-Accent3">
    <w:name w:val="Light List Accent 3"/>
    <w:basedOn w:val="TableNormal"/>
    <w:uiPriority w:val="61"/>
    <w:rsid w:val="00842C34"/>
    <w:pPr>
      <w:spacing w:before="40" w:after="40" w:line="240" w:lineRule="auto"/>
    </w:pPr>
    <w:tblPr>
      <w:tblStyleRowBandSize w:val="1"/>
      <w:tblStyleColBandSize w:val="1"/>
      <w:tblBorders>
        <w:top w:val="single" w:sz="8" w:space="0" w:color="58595B" w:themeColor="accent2"/>
        <w:left w:val="single" w:sz="8" w:space="0" w:color="58595B" w:themeColor="accent2"/>
        <w:bottom w:val="single" w:sz="8" w:space="0" w:color="58595B" w:themeColor="accent2"/>
        <w:right w:val="single" w:sz="8" w:space="0" w:color="58595B" w:themeColor="accent2"/>
        <w:insideH w:val="single" w:sz="8" w:space="0" w:color="58595B" w:themeColor="accent2"/>
        <w:insideV w:val="single" w:sz="8" w:space="0" w:color="58595B" w:themeColor="accent2"/>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tcBorders>
      </w:tcPr>
    </w:tblStylePr>
    <w:tblStylePr w:type="firstCol">
      <w:rPr>
        <w:b/>
        <w:bCs/>
      </w:rPr>
    </w:tblStylePr>
    <w:tblStylePr w:type="lastCol">
      <w:rPr>
        <w:b/>
        <w:bCs/>
      </w:rPr>
    </w:tblStylePr>
    <w:tblStylePr w:type="band1Vert">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1Horz">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2Horz">
      <w:tblPr/>
      <w:tcPr>
        <w:tcBorders>
          <w:top w:val="single" w:sz="8" w:space="0" w:color="58595B" w:themeColor="accent2"/>
          <w:left w:val="single" w:sz="8" w:space="0" w:color="58595B" w:themeColor="accent2"/>
          <w:bottom w:val="single" w:sz="8" w:space="0" w:color="58595B" w:themeColor="accent2"/>
          <w:right w:val="single" w:sz="8" w:space="0" w:color="58595B" w:themeColor="accent2"/>
          <w:insideH w:val="single" w:sz="8" w:space="0" w:color="58595B" w:themeColor="accent2"/>
          <w:insideV w:val="single" w:sz="8" w:space="0" w:color="58595B" w:themeColor="accent2"/>
          <w:tl2br w:val="nil"/>
          <w:tr2bl w:val="nil"/>
        </w:tcBorders>
        <w:shd w:val="clear" w:color="auto" w:fill="A7A9AC" w:themeFill="accent4"/>
      </w:tcPr>
    </w:tblStylePr>
  </w:style>
  <w:style w:type="table" w:styleId="LightShading-Accent4">
    <w:name w:val="Light Shading Accent 4"/>
    <w:basedOn w:val="TableNormal"/>
    <w:uiPriority w:val="60"/>
    <w:locked/>
    <w:rsid w:val="00DC6A18"/>
    <w:pPr>
      <w:spacing w:after="0" w:line="240" w:lineRule="auto"/>
    </w:pPr>
    <w:rPr>
      <w:color w:val="7B7E82" w:themeColor="accent4" w:themeShade="BF"/>
    </w:rPr>
    <w:tblPr>
      <w:tblStyleRowBandSize w:val="1"/>
      <w:tblStyleColBandSize w:val="1"/>
      <w:tblBorders>
        <w:top w:val="single" w:sz="8" w:space="0" w:color="A7A9AC" w:themeColor="accent4"/>
        <w:bottom w:val="single" w:sz="8" w:space="0" w:color="A7A9AC" w:themeColor="accent4"/>
      </w:tblBorders>
    </w:tblPr>
    <w:tblStylePr w:type="firstRow">
      <w:pPr>
        <w:spacing w:before="0" w:after="0" w:line="240" w:lineRule="auto"/>
      </w:pPr>
      <w:rPr>
        <w:b/>
        <w:bCs/>
      </w:rPr>
      <w:tblPr/>
      <w:tcPr>
        <w:tcBorders>
          <w:top w:val="single" w:sz="8" w:space="0" w:color="A7A9AC" w:themeColor="accent4"/>
          <w:left w:val="nil"/>
          <w:bottom w:val="single" w:sz="8" w:space="0" w:color="A7A9AC" w:themeColor="accent4"/>
          <w:right w:val="nil"/>
          <w:insideH w:val="nil"/>
          <w:insideV w:val="nil"/>
        </w:tcBorders>
      </w:tcPr>
    </w:tblStylePr>
    <w:tblStylePr w:type="lastRow">
      <w:pPr>
        <w:spacing w:before="0" w:after="0" w:line="240" w:lineRule="auto"/>
      </w:pPr>
      <w:rPr>
        <w:b/>
        <w:bCs/>
      </w:rPr>
      <w:tblPr/>
      <w:tcPr>
        <w:tcBorders>
          <w:top w:val="single" w:sz="8" w:space="0" w:color="A7A9AC" w:themeColor="accent4"/>
          <w:left w:val="nil"/>
          <w:bottom w:val="single" w:sz="8" w:space="0" w:color="A7A9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A" w:themeFill="accent4" w:themeFillTint="3F"/>
      </w:tcPr>
    </w:tblStylePr>
    <w:tblStylePr w:type="band1Horz">
      <w:tblPr/>
      <w:tcPr>
        <w:tcBorders>
          <w:left w:val="nil"/>
          <w:right w:val="nil"/>
          <w:insideH w:val="nil"/>
          <w:insideV w:val="nil"/>
        </w:tcBorders>
        <w:shd w:val="clear" w:color="auto" w:fill="E9E9EA" w:themeFill="accent4" w:themeFillTint="3F"/>
      </w:tcPr>
    </w:tblStylePr>
  </w:style>
  <w:style w:type="character" w:styleId="Hyperlink">
    <w:name w:val="Hyperlink"/>
    <w:basedOn w:val="DefaultParagraphFont"/>
    <w:uiPriority w:val="99"/>
    <w:unhideWhenUsed/>
    <w:rsid w:val="00C4098E"/>
    <w:rPr>
      <w:b w:val="0"/>
      <w:color w:val="0000FF" w:themeColor="hyperlink"/>
      <w:sz w:val="22"/>
      <w:u w:val="single"/>
    </w:rPr>
  </w:style>
  <w:style w:type="paragraph" w:styleId="ListBullet">
    <w:name w:val="List Bullet"/>
    <w:basedOn w:val="Normal"/>
    <w:qFormat/>
    <w:rsid w:val="00397D4D"/>
    <w:pPr>
      <w:numPr>
        <w:numId w:val="2"/>
      </w:numPr>
      <w:tabs>
        <w:tab w:val="clear" w:pos="360"/>
        <w:tab w:val="num" w:pos="720"/>
      </w:tabs>
      <w:ind w:left="720"/>
      <w:contextualSpacing/>
    </w:pPr>
  </w:style>
  <w:style w:type="paragraph" w:styleId="ListBullet2">
    <w:name w:val="List Bullet 2"/>
    <w:basedOn w:val="ListBullet"/>
    <w:qFormat/>
    <w:rsid w:val="00397D4D"/>
    <w:pPr>
      <w:tabs>
        <w:tab w:val="clear" w:pos="720"/>
        <w:tab w:val="num" w:pos="1080"/>
      </w:tabs>
      <w:ind w:left="1080"/>
    </w:pPr>
  </w:style>
  <w:style w:type="paragraph" w:customStyle="1" w:styleId="Reportcopyright">
    <w:name w:val="Report (copyright)"/>
    <w:basedOn w:val="Normal"/>
    <w:next w:val="Normal"/>
    <w:uiPriority w:val="15"/>
    <w:qFormat/>
    <w:rsid w:val="005F53D8"/>
    <w:pPr>
      <w:spacing w:before="4000"/>
    </w:pPr>
    <w:rPr>
      <w:b/>
    </w:rPr>
  </w:style>
  <w:style w:type="paragraph" w:customStyle="1" w:styleId="Disclaimer">
    <w:name w:val="Disclaimer"/>
    <w:basedOn w:val="Normal"/>
    <w:uiPriority w:val="16"/>
    <w:qFormat/>
    <w:rsid w:val="00663114"/>
    <w:rPr>
      <w:i/>
    </w:rPr>
  </w:style>
  <w:style w:type="character" w:styleId="Emphasis">
    <w:name w:val="Emphasis"/>
    <w:basedOn w:val="DefaultParagraphFont"/>
    <w:qFormat/>
    <w:rsid w:val="009E755B"/>
    <w:rPr>
      <w:i/>
      <w:iCs/>
    </w:rPr>
  </w:style>
  <w:style w:type="character" w:styleId="Strong">
    <w:name w:val="Strong"/>
    <w:basedOn w:val="DefaultParagraphFont"/>
    <w:qFormat/>
    <w:rsid w:val="003773F8"/>
    <w:rPr>
      <w:b/>
      <w:bCs/>
    </w:rPr>
  </w:style>
  <w:style w:type="table" w:styleId="MediumShading1">
    <w:name w:val="Medium Shading 1"/>
    <w:basedOn w:val="TableNormal"/>
    <w:uiPriority w:val="63"/>
    <w:rsid w:val="00842C34"/>
    <w:pPr>
      <w:spacing w:before="40" w:after="4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051651"/>
    <w:pPr>
      <w:outlineLvl w:val="9"/>
    </w:pPr>
    <w:rPr>
      <w:lang w:val="en-US" w:eastAsia="ja-JP"/>
    </w:rPr>
  </w:style>
  <w:style w:type="paragraph" w:styleId="TOC1">
    <w:name w:val="toc 1"/>
    <w:basedOn w:val="Normal"/>
    <w:next w:val="Normal"/>
    <w:autoRedefine/>
    <w:uiPriority w:val="39"/>
    <w:unhideWhenUsed/>
    <w:qFormat/>
    <w:rsid w:val="00D8256E"/>
    <w:pPr>
      <w:tabs>
        <w:tab w:val="left" w:pos="709"/>
        <w:tab w:val="right" w:leader="dot" w:pos="9016"/>
      </w:tabs>
      <w:spacing w:before="360" w:after="100"/>
    </w:pPr>
    <w:rPr>
      <w:b/>
      <w:noProof/>
      <w:sz w:val="24"/>
    </w:rPr>
  </w:style>
  <w:style w:type="paragraph" w:styleId="TOC2">
    <w:name w:val="toc 2"/>
    <w:basedOn w:val="Normal"/>
    <w:next w:val="Normal"/>
    <w:autoRedefine/>
    <w:uiPriority w:val="39"/>
    <w:unhideWhenUsed/>
    <w:qFormat/>
    <w:rsid w:val="007345CD"/>
    <w:pPr>
      <w:tabs>
        <w:tab w:val="left" w:pos="709"/>
        <w:tab w:val="right" w:leader="dot" w:pos="9016"/>
      </w:tabs>
      <w:spacing w:after="100"/>
    </w:pPr>
    <w:rPr>
      <w:noProof/>
      <w:color w:val="000000" w:themeColor="text1"/>
    </w:rPr>
  </w:style>
  <w:style w:type="paragraph" w:styleId="TOC4">
    <w:name w:val="toc 4"/>
    <w:basedOn w:val="Normal"/>
    <w:next w:val="Normal"/>
    <w:autoRedefine/>
    <w:uiPriority w:val="39"/>
    <w:unhideWhenUsed/>
    <w:rsid w:val="007345CD"/>
    <w:pPr>
      <w:tabs>
        <w:tab w:val="right" w:leader="dot" w:pos="9016"/>
      </w:tabs>
      <w:spacing w:after="100"/>
    </w:pPr>
    <w:rPr>
      <w:i/>
      <w:color w:val="000000" w:themeColor="text1"/>
    </w:rPr>
  </w:style>
  <w:style w:type="paragraph" w:styleId="TOC3">
    <w:name w:val="toc 3"/>
    <w:basedOn w:val="Normal"/>
    <w:next w:val="Normal"/>
    <w:autoRedefine/>
    <w:uiPriority w:val="39"/>
    <w:unhideWhenUsed/>
    <w:qFormat/>
    <w:rsid w:val="007345CD"/>
    <w:pPr>
      <w:tabs>
        <w:tab w:val="left" w:pos="709"/>
        <w:tab w:val="right" w:leader="dot" w:pos="9016"/>
      </w:tabs>
      <w:spacing w:after="100"/>
    </w:pPr>
    <w:rPr>
      <w:i/>
      <w:noProof/>
      <w:color w:val="000000" w:themeColor="text1"/>
    </w:rPr>
  </w:style>
  <w:style w:type="table" w:styleId="LightShading-Accent1">
    <w:name w:val="Light Shading Accent 1"/>
    <w:basedOn w:val="TableNormal"/>
    <w:uiPriority w:val="60"/>
    <w:locked/>
    <w:rsid w:val="004B071D"/>
    <w:pPr>
      <w:spacing w:after="0" w:line="240" w:lineRule="auto"/>
    </w:pPr>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
    <w:name w:val="Light Shading"/>
    <w:basedOn w:val="TableNormal"/>
    <w:uiPriority w:val="60"/>
    <w:locked/>
    <w:rsid w:val="00D23C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037B8"/>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LightList-Accent1">
    <w:name w:val="Light List Accent 1"/>
    <w:basedOn w:val="TableNormal"/>
    <w:uiPriority w:val="61"/>
    <w:rsid w:val="008037B8"/>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LightList-Accent2">
    <w:name w:val="Light List Accent 2"/>
    <w:basedOn w:val="TableNormal"/>
    <w:uiPriority w:val="61"/>
    <w:rsid w:val="00AF1DB3"/>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58595B" w:themeFill="accent2"/>
      </w:tcPr>
    </w:tblStylePr>
    <w:tblStylePr w:type="lastRow">
      <w:pPr>
        <w:wordWrap/>
        <w:spacing w:beforeLines="0" w:before="40" w:beforeAutospacing="0" w:afterLines="0" w:after="4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MediumShading1-Accent3">
    <w:name w:val="Medium Shading 1 Accent 3"/>
    <w:basedOn w:val="TableNormal"/>
    <w:uiPriority w:val="63"/>
    <w:rsid w:val="00842C34"/>
    <w:pPr>
      <w:spacing w:before="40" w:after="40" w:line="240" w:lineRule="auto"/>
    </w:pPr>
    <w:tblPr>
      <w:tblStyleRowBandSize w:val="1"/>
      <w:tblBorders>
        <w:top w:val="single" w:sz="8" w:space="0" w:color="9FA1A3" w:themeColor="accent3" w:themeTint="BF"/>
        <w:left w:val="single" w:sz="8" w:space="0" w:color="9FA1A3" w:themeColor="accent3" w:themeTint="BF"/>
        <w:bottom w:val="single" w:sz="8" w:space="0" w:color="9FA1A3" w:themeColor="accent3" w:themeTint="BF"/>
        <w:right w:val="single" w:sz="8" w:space="0" w:color="9FA1A3" w:themeColor="accent3" w:themeTint="BF"/>
        <w:insideH w:val="single" w:sz="8" w:space="0" w:color="9FA1A3" w:themeColor="accent3" w:themeTint="BF"/>
      </w:tblBorders>
    </w:tblPr>
    <w:tcPr>
      <w:shd w:val="clear" w:color="auto" w:fill="FFFFFF" w:themeFill="background1"/>
    </w:tcPr>
    <w:tblStylePr w:type="firstRow">
      <w:pPr>
        <w:wordWrap/>
        <w:spacing w:beforeLines="0" w:before="40" w:beforeAutospacing="0" w:afterLines="0" w:after="40" w:afterAutospacing="0" w:line="240" w:lineRule="auto"/>
      </w:pPr>
      <w:rPr>
        <w:b/>
        <w:bCs/>
        <w:color w:val="FFFFFF" w:themeColor="background1"/>
      </w:rPr>
      <w:tblPr/>
      <w:tcPr>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9FA1A3" w:themeColor="accent3" w:themeTint="BF"/>
          <w:left w:val="single" w:sz="8" w:space="0" w:color="9FA1A3" w:themeColor="accent3" w:themeTint="BF"/>
          <w:bottom w:val="single" w:sz="8" w:space="0" w:color="9FA1A3" w:themeColor="accent3" w:themeTint="BF"/>
          <w:right w:val="single" w:sz="8" w:space="0" w:color="9FA1A3" w:themeColor="accent3" w:themeTint="BF"/>
          <w:insideH w:val="nil"/>
          <w:insideV w:val="nil"/>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tcBorders>
          <w:insideH w:val="nil"/>
          <w:insideV w:val="nil"/>
        </w:tcBorders>
      </w:tcPr>
    </w:tblStylePr>
  </w:style>
  <w:style w:type="table" w:styleId="DarkList-Accent6">
    <w:name w:val="Dark List Accent 6"/>
    <w:basedOn w:val="TableNormal"/>
    <w:uiPriority w:val="70"/>
    <w:locked/>
    <w:rsid w:val="00A07DFA"/>
    <w:pPr>
      <w:spacing w:after="0" w:line="240" w:lineRule="auto"/>
    </w:pPr>
    <w:rPr>
      <w:color w:val="FFFFFF" w:themeColor="background1"/>
    </w:rPr>
    <w:tblPr>
      <w:tblStyleRowBandSize w:val="1"/>
      <w:tblStyleColBandSize w:val="1"/>
    </w:tblPr>
    <w:tcPr>
      <w:shd w:val="clear" w:color="auto" w:fill="0042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31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3100" w:themeFill="accent6" w:themeFillShade="BF"/>
      </w:tcPr>
    </w:tblStylePr>
    <w:tblStylePr w:type="band1Vert">
      <w:tblPr/>
      <w:tcPr>
        <w:tcBorders>
          <w:top w:val="nil"/>
          <w:left w:val="nil"/>
          <w:bottom w:val="nil"/>
          <w:right w:val="nil"/>
          <w:insideH w:val="nil"/>
          <w:insideV w:val="nil"/>
        </w:tcBorders>
        <w:shd w:val="clear" w:color="auto" w:fill="003100" w:themeFill="accent6" w:themeFillShade="BF"/>
      </w:tcPr>
    </w:tblStylePr>
    <w:tblStylePr w:type="band1Horz">
      <w:tblPr/>
      <w:tcPr>
        <w:tcBorders>
          <w:top w:val="nil"/>
          <w:left w:val="nil"/>
          <w:bottom w:val="nil"/>
          <w:right w:val="nil"/>
          <w:insideH w:val="nil"/>
          <w:insideV w:val="nil"/>
        </w:tcBorders>
        <w:shd w:val="clear" w:color="auto" w:fill="003100" w:themeFill="accent6" w:themeFillShade="BF"/>
      </w:tcPr>
    </w:tblStylePr>
  </w:style>
  <w:style w:type="paragraph" w:customStyle="1" w:styleId="OrganisationName">
    <w:name w:val="Organisation Name"/>
    <w:basedOn w:val="Normal"/>
    <w:next w:val="Title"/>
    <w:uiPriority w:val="10"/>
    <w:qFormat/>
    <w:rsid w:val="00320A93"/>
    <w:rPr>
      <w:b/>
      <w:noProof/>
      <w:sz w:val="36"/>
      <w:szCs w:val="36"/>
      <w:lang w:eastAsia="en-AU"/>
    </w:rPr>
  </w:style>
  <w:style w:type="paragraph" w:styleId="Caption">
    <w:name w:val="caption"/>
    <w:basedOn w:val="Normal"/>
    <w:next w:val="Normal"/>
    <w:uiPriority w:val="35"/>
    <w:unhideWhenUsed/>
    <w:qFormat/>
    <w:rsid w:val="000F6308"/>
    <w:rPr>
      <w:bCs/>
      <w:color w:val="000000" w:themeColor="accent1"/>
      <w:szCs w:val="18"/>
    </w:rPr>
  </w:style>
  <w:style w:type="character" w:customStyle="1" w:styleId="Heading5Char">
    <w:name w:val="Heading 5 Char"/>
    <w:basedOn w:val="DefaultParagraphFont"/>
    <w:link w:val="Heading5"/>
    <w:rsid w:val="00FD485A"/>
    <w:rPr>
      <w:rFonts w:asciiTheme="majorHAnsi" w:eastAsiaTheme="majorEastAsia" w:hAnsiTheme="majorHAnsi" w:cstheme="majorBidi"/>
      <w:color w:val="000000" w:themeColor="accent1" w:themeShade="7F"/>
    </w:rPr>
  </w:style>
  <w:style w:type="character" w:customStyle="1" w:styleId="Heading6Char">
    <w:name w:val="Heading 6 Char"/>
    <w:basedOn w:val="DefaultParagraphFont"/>
    <w:link w:val="Heading6"/>
    <w:rsid w:val="00663114"/>
    <w:rPr>
      <w:rFonts w:asciiTheme="majorHAnsi" w:eastAsiaTheme="majorEastAsia" w:hAnsiTheme="majorHAnsi" w:cstheme="majorBidi"/>
      <w:i/>
      <w:iCs/>
      <w:color w:val="000000" w:themeColor="accent1" w:themeShade="7F"/>
    </w:rPr>
  </w:style>
  <w:style w:type="character" w:customStyle="1" w:styleId="Heading7Char">
    <w:name w:val="Heading 7 Char"/>
    <w:basedOn w:val="DefaultParagraphFont"/>
    <w:link w:val="Heading7"/>
    <w:rsid w:val="00223F52"/>
    <w:rPr>
      <w:rFonts w:asciiTheme="majorHAnsi" w:eastAsiaTheme="majorEastAsia" w:hAnsiTheme="majorHAnsi" w:cstheme="majorBidi"/>
      <w:i/>
      <w:iCs/>
      <w:u w:val="single"/>
    </w:rPr>
  </w:style>
  <w:style w:type="character" w:customStyle="1" w:styleId="Heading8Char">
    <w:name w:val="Heading 8 Char"/>
    <w:basedOn w:val="DefaultParagraphFont"/>
    <w:link w:val="Heading8"/>
    <w:rsid w:val="006631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63114"/>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741A3F"/>
    <w:rPr>
      <w:color w:val="808080"/>
    </w:rPr>
  </w:style>
  <w:style w:type="paragraph" w:styleId="NoSpacing">
    <w:name w:val="No Spacing"/>
    <w:basedOn w:val="Normal"/>
    <w:qFormat/>
    <w:rsid w:val="00D87F12"/>
    <w:pPr>
      <w:spacing w:after="0"/>
    </w:pPr>
    <w:rPr>
      <w:sz w:val="24"/>
    </w:rPr>
  </w:style>
  <w:style w:type="table" w:styleId="MediumShading1-Accent1">
    <w:name w:val="Medium Shading 1 Accent 1"/>
    <w:basedOn w:val="TableNormal"/>
    <w:uiPriority w:val="63"/>
    <w:rsid w:val="00842C34"/>
    <w:pPr>
      <w:spacing w:before="40" w:after="40" w:line="240" w:lineRule="auto"/>
    </w:pPr>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wordWrap/>
        <w:spacing w:beforeLines="0" w:before="40" w:beforeAutospacing="0" w:afterLines="0" w:after="40" w:afterAutospacing="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ColorfulList-Accent6">
    <w:name w:val="Colorful List Accent 6"/>
    <w:basedOn w:val="TableNormal"/>
    <w:uiPriority w:val="72"/>
    <w:locked/>
    <w:rsid w:val="007A6284"/>
    <w:pPr>
      <w:spacing w:after="0" w:line="240" w:lineRule="auto"/>
    </w:pPr>
    <w:rPr>
      <w:color w:val="000000" w:themeColor="text1"/>
    </w:rPr>
    <w:tblPr>
      <w:tblStyleRowBandSize w:val="1"/>
      <w:tblStyleColBandSize w:val="1"/>
    </w:tblPr>
    <w:tcPr>
      <w:shd w:val="clear" w:color="auto" w:fill="D3FFD3" w:themeFill="accent6" w:themeFillTint="19"/>
    </w:tcPr>
    <w:tblStylePr w:type="firstRow">
      <w:rPr>
        <w:b/>
        <w:bCs/>
        <w:color w:val="FFFFFF" w:themeColor="background1"/>
      </w:rPr>
      <w:tblPr/>
      <w:tcPr>
        <w:tcBorders>
          <w:bottom w:val="single" w:sz="12" w:space="0" w:color="FFFFFF" w:themeColor="background1"/>
        </w:tcBorders>
        <w:shd w:val="clear" w:color="auto" w:fill="006E00" w:themeFill="accent5" w:themeFillShade="CC"/>
      </w:tcPr>
    </w:tblStylePr>
    <w:tblStylePr w:type="lastRow">
      <w:rPr>
        <w:b/>
        <w:bCs/>
        <w:color w:val="00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FF91" w:themeFill="accent6" w:themeFillTint="3F"/>
      </w:tcPr>
    </w:tblStylePr>
    <w:tblStylePr w:type="band1Horz">
      <w:tblPr/>
      <w:tcPr>
        <w:shd w:val="clear" w:color="auto" w:fill="A6FFA6" w:themeFill="accent6" w:themeFillTint="33"/>
      </w:tcPr>
    </w:tblStylePr>
  </w:style>
  <w:style w:type="table" w:styleId="LightList-Accent5">
    <w:name w:val="Light List Accent 5"/>
    <w:basedOn w:val="TableNormal"/>
    <w:uiPriority w:val="61"/>
    <w:rsid w:val="00EC68AC"/>
    <w:pPr>
      <w:spacing w:before="40" w:after="40" w:line="240" w:lineRule="auto"/>
    </w:pPr>
    <w:tblPr>
      <w:tblStyleRowBandSize w:val="1"/>
      <w:tblStyleColBandSize w:val="1"/>
      <w:tbl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8A00" w:themeFill="accent5"/>
      </w:tcPr>
    </w:tblStylePr>
    <w:tblStylePr w:type="lastRow">
      <w:pPr>
        <w:wordWrap/>
        <w:spacing w:beforeLines="0" w:before="40" w:beforeAutospacing="0" w:afterLines="0" w:after="40" w:afterAutospacing="0" w:line="240" w:lineRule="auto"/>
      </w:pPr>
      <w:rPr>
        <w:b/>
        <w:bCs/>
      </w:rPr>
      <w:tblPr/>
      <w:tcPr>
        <w:tcBorders>
          <w:top w:val="double" w:sz="6" w:space="0" w:color="008A00" w:themeColor="accent5"/>
          <w:left w:val="single" w:sz="8" w:space="0" w:color="008A00" w:themeColor="accent5"/>
          <w:bottom w:val="single" w:sz="8" w:space="0" w:color="008A00" w:themeColor="accent5"/>
          <w:right w:val="single" w:sz="8" w:space="0" w:color="008A00" w:themeColor="accent5"/>
        </w:tcBorders>
      </w:tcPr>
    </w:tblStylePr>
    <w:tblStylePr w:type="firstCol">
      <w:rPr>
        <w:b/>
        <w:bCs/>
      </w:rPr>
    </w:tblStylePr>
    <w:tblStylePr w:type="lastCol">
      <w:rPr>
        <w:b/>
        <w:bCs/>
      </w:rPr>
    </w:tblStylePr>
    <w:tblStylePr w:type="band1Vert">
      <w:tblPr/>
      <w:tcPr>
        <w:tcBorders>
          <w:top w:val="single" w:sz="8" w:space="0" w:color="008A00" w:themeColor="accent5"/>
          <w:left w:val="single" w:sz="8" w:space="0" w:color="008A00" w:themeColor="accent5"/>
          <w:bottom w:val="single" w:sz="8" w:space="0" w:color="008A00" w:themeColor="accent5"/>
          <w:right w:val="single" w:sz="8" w:space="0" w:color="008A00" w:themeColor="accent5"/>
        </w:tcBorders>
      </w:tcPr>
    </w:tblStylePr>
    <w:tblStylePr w:type="band1Horz">
      <w:tblPr/>
      <w:tcPr>
        <w:tcBorders>
          <w:top w:val="single" w:sz="8" w:space="0" w:color="008A00" w:themeColor="accent5"/>
          <w:left w:val="single" w:sz="8" w:space="0" w:color="008A00" w:themeColor="accent5"/>
          <w:bottom w:val="single" w:sz="8" w:space="0" w:color="008A00" w:themeColor="accent5"/>
          <w:right w:val="single" w:sz="8" w:space="0" w:color="008A00" w:themeColor="accent5"/>
        </w:tcBorders>
      </w:tcPr>
    </w:tblStylePr>
    <w:tblStylePr w:type="band2Horz">
      <w:tblPr/>
      <w:tcPr>
        <w:shd w:val="clear" w:color="auto" w:fill="DBDCDD" w:themeFill="accent4" w:themeFillTint="66"/>
      </w:tcPr>
    </w:tblStylePr>
  </w:style>
  <w:style w:type="table" w:styleId="MediumGrid1">
    <w:name w:val="Medium Grid 1"/>
    <w:basedOn w:val="TableNormal"/>
    <w:uiPriority w:val="67"/>
    <w:locked/>
    <w:rsid w:val="007A62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locked/>
    <w:rsid w:val="007A6284"/>
    <w:pPr>
      <w:spacing w:after="0" w:line="240" w:lineRule="auto"/>
    </w:pPr>
    <w:rPr>
      <w:color w:val="003100" w:themeColor="accent6" w:themeShade="BF"/>
    </w:rPr>
    <w:tblPr>
      <w:tblStyleRowBandSize w:val="1"/>
      <w:tblStyleColBandSize w:val="1"/>
      <w:tblBorders>
        <w:top w:val="single" w:sz="8" w:space="0" w:color="004200" w:themeColor="accent6"/>
        <w:bottom w:val="single" w:sz="8" w:space="0" w:color="004200" w:themeColor="accent6"/>
      </w:tblBorders>
    </w:tblPr>
    <w:tblStylePr w:type="firstRow">
      <w:pPr>
        <w:spacing w:before="0" w:after="0" w:line="240" w:lineRule="auto"/>
      </w:pPr>
      <w:rPr>
        <w:b/>
        <w:bCs/>
      </w:rPr>
      <w:tblPr/>
      <w:tcPr>
        <w:tcBorders>
          <w:top w:val="single" w:sz="8" w:space="0" w:color="004200" w:themeColor="accent6"/>
          <w:left w:val="nil"/>
          <w:bottom w:val="single" w:sz="8" w:space="0" w:color="004200" w:themeColor="accent6"/>
          <w:right w:val="nil"/>
          <w:insideH w:val="nil"/>
          <w:insideV w:val="nil"/>
        </w:tcBorders>
      </w:tcPr>
    </w:tblStylePr>
    <w:tblStylePr w:type="lastRow">
      <w:pPr>
        <w:spacing w:before="0" w:after="0" w:line="240" w:lineRule="auto"/>
      </w:pPr>
      <w:rPr>
        <w:b/>
        <w:bCs/>
      </w:rPr>
      <w:tblPr/>
      <w:tcPr>
        <w:tcBorders>
          <w:top w:val="single" w:sz="8" w:space="0" w:color="004200" w:themeColor="accent6"/>
          <w:left w:val="nil"/>
          <w:bottom w:val="single" w:sz="8" w:space="0" w:color="0042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FF91" w:themeFill="accent6" w:themeFillTint="3F"/>
      </w:tcPr>
    </w:tblStylePr>
    <w:tblStylePr w:type="band1Horz">
      <w:tblPr/>
      <w:tcPr>
        <w:tcBorders>
          <w:left w:val="nil"/>
          <w:right w:val="nil"/>
          <w:insideH w:val="nil"/>
          <w:insideV w:val="nil"/>
        </w:tcBorders>
        <w:shd w:val="clear" w:color="auto" w:fill="91FF91" w:themeFill="accent6" w:themeFillTint="3F"/>
      </w:tcPr>
    </w:tblStylePr>
  </w:style>
  <w:style w:type="table" w:styleId="MediumShading1-Accent2">
    <w:name w:val="Medium Shading 1 Accent 2"/>
    <w:basedOn w:val="TableNormal"/>
    <w:uiPriority w:val="63"/>
    <w:rsid w:val="00842C34"/>
    <w:pPr>
      <w:spacing w:before="40" w:after="40" w:line="240" w:lineRule="auto"/>
    </w:pPr>
    <w:tblPr>
      <w:tblStyleRowBandSize w:val="1"/>
      <w:tblStyleColBandSize w:val="1"/>
      <w:tblBorders>
        <w:top w:val="single" w:sz="8"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single" w:sz="8" w:space="0" w:color="808285" w:themeColor="accent2" w:themeTint="BF"/>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nil"/>
          <w:insideV w:val="nil"/>
        </w:tcBorders>
        <w:shd w:val="clear" w:color="auto" w:fill="58595B" w:themeFill="accent2"/>
      </w:tcPr>
    </w:tblStylePr>
    <w:tblStylePr w:type="lastRow">
      <w:pPr>
        <w:wordWrap/>
        <w:spacing w:beforeLines="0" w:before="40" w:beforeAutospacing="0" w:afterLines="0" w:after="400" w:afterAutospacing="0" w:line="240" w:lineRule="auto"/>
      </w:pPr>
      <w:rPr>
        <w:b/>
        <w:bCs/>
      </w:rPr>
      <w:tblPr/>
      <w:tcPr>
        <w:tcBorders>
          <w:top w:val="double" w:sz="6"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D5D6" w:themeFill="accent2" w:themeFillTint="3F"/>
      </w:tcPr>
    </w:tblStylePr>
    <w:tblStylePr w:type="band1Horz">
      <w:tblPr/>
      <w:tcPr>
        <w:tcBorders>
          <w:insideH w:val="nil"/>
          <w:insideV w:val="nil"/>
        </w:tcBorders>
        <w:shd w:val="clear" w:color="auto" w:fill="D5D5D6"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42C34"/>
    <w:pPr>
      <w:spacing w:after="0" w:line="240" w:lineRule="auto"/>
    </w:pPr>
    <w:tblPr>
      <w:tblStyleRowBandSize w:val="1"/>
      <w:tblStyleColBandSize w:val="1"/>
      <w:tblBorders>
        <w:top w:val="single" w:sz="8"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single" w:sz="8" w:space="0" w:color="BCBEC0" w:themeColor="accent4" w:themeTint="BF"/>
      </w:tblBorders>
    </w:tblPr>
    <w:tblStylePr w:type="firstRow">
      <w:pPr>
        <w:spacing w:before="0" w:after="0" w:line="240" w:lineRule="auto"/>
      </w:pPr>
      <w:rPr>
        <w:b/>
        <w:bCs/>
        <w:color w:val="FFFFFF" w:themeColor="background1"/>
      </w:rPr>
      <w:tblPr/>
      <w:tcPr>
        <w:tcBorders>
          <w:top w:val="single" w:sz="8"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nil"/>
          <w:insideV w:val="nil"/>
        </w:tcBorders>
        <w:shd w:val="clear" w:color="auto" w:fill="A7A9AC" w:themeFill="accent4"/>
      </w:tcPr>
    </w:tblStylePr>
    <w:tblStylePr w:type="lastRow">
      <w:pPr>
        <w:spacing w:before="0" w:after="0" w:line="240" w:lineRule="auto"/>
      </w:pPr>
      <w:rPr>
        <w:b/>
        <w:bCs/>
      </w:rPr>
      <w:tblPr/>
      <w:tcPr>
        <w:tcBorders>
          <w:top w:val="double" w:sz="6"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E9EA" w:themeFill="accent4" w:themeFillTint="3F"/>
      </w:tcPr>
    </w:tblStylePr>
    <w:tblStylePr w:type="band1Horz">
      <w:tblPr/>
      <w:tcPr>
        <w:tcBorders>
          <w:insideH w:val="nil"/>
          <w:insideV w:val="nil"/>
        </w:tcBorders>
        <w:shd w:val="clear" w:color="auto" w:fill="E9E9EA"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42C34"/>
    <w:pPr>
      <w:spacing w:after="0" w:line="240" w:lineRule="auto"/>
    </w:pPr>
    <w:tblPr>
      <w:tblStyleRowBandSize w:val="1"/>
      <w:tblStyleColBandSize w:val="1"/>
      <w:tblBorders>
        <w:top w:val="single" w:sz="8" w:space="0" w:color="004200" w:themeColor="accent6"/>
        <w:left w:val="single" w:sz="8" w:space="0" w:color="004200" w:themeColor="accent6"/>
        <w:bottom w:val="single" w:sz="8" w:space="0" w:color="004200" w:themeColor="accent6"/>
        <w:right w:val="single" w:sz="8" w:space="0" w:color="004200" w:themeColor="accent6"/>
        <w:insideH w:val="single" w:sz="8" w:space="0" w:color="004200" w:themeColor="accent6"/>
        <w:insideV w:val="single" w:sz="8" w:space="0" w:color="0042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00" w:themeColor="accent6"/>
          <w:left w:val="single" w:sz="8" w:space="0" w:color="004200" w:themeColor="accent6"/>
          <w:bottom w:val="single" w:sz="18" w:space="0" w:color="004200" w:themeColor="accent6"/>
          <w:right w:val="single" w:sz="8" w:space="0" w:color="004200" w:themeColor="accent6"/>
          <w:insideH w:val="nil"/>
          <w:insideV w:val="single" w:sz="8" w:space="0" w:color="0042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00" w:themeColor="accent6"/>
          <w:left w:val="single" w:sz="8" w:space="0" w:color="004200" w:themeColor="accent6"/>
          <w:bottom w:val="single" w:sz="8" w:space="0" w:color="004200" w:themeColor="accent6"/>
          <w:right w:val="single" w:sz="8" w:space="0" w:color="004200" w:themeColor="accent6"/>
          <w:insideH w:val="nil"/>
          <w:insideV w:val="single" w:sz="8" w:space="0" w:color="0042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1Vert">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shd w:val="clear" w:color="auto" w:fill="91FF91" w:themeFill="accent6" w:themeFillTint="3F"/>
      </w:tcPr>
    </w:tblStylePr>
    <w:tblStylePr w:type="band1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insideV w:val="single" w:sz="8" w:space="0" w:color="004200" w:themeColor="accent6"/>
        </w:tcBorders>
        <w:shd w:val="clear" w:color="auto" w:fill="91FF91" w:themeFill="accent6" w:themeFillTint="3F"/>
      </w:tcPr>
    </w:tblStylePr>
    <w:tblStylePr w:type="band2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insideV w:val="single" w:sz="8" w:space="0" w:color="004200" w:themeColor="accent6"/>
        </w:tcBorders>
      </w:tcPr>
    </w:tblStylePr>
  </w:style>
  <w:style w:type="table" w:styleId="MediumShading1-Accent5">
    <w:name w:val="Medium Shading 1 Accent 5"/>
    <w:basedOn w:val="TableNormal"/>
    <w:uiPriority w:val="63"/>
    <w:rsid w:val="00EC68AC"/>
    <w:pPr>
      <w:spacing w:before="40" w:after="40" w:line="240" w:lineRule="auto"/>
    </w:pPr>
    <w:tblPr>
      <w:tblStyleRowBandSize w:val="1"/>
      <w:tblStyleColBandSize w:val="1"/>
      <w:tbl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cBorders>
        <w:shd w:val="clear" w:color="auto" w:fill="008A00" w:themeFill="accent5"/>
      </w:tcPr>
    </w:tblStylePr>
    <w:tblStylePr w:type="lastRow">
      <w:pPr>
        <w:wordWrap/>
        <w:spacing w:beforeLines="0" w:before="40" w:beforeAutospacing="0" w:afterLines="0" w:after="40" w:afterAutospacing="0" w:line="240" w:lineRule="auto"/>
      </w:pPr>
      <w:rPr>
        <w:b/>
        <w:bCs/>
      </w:rPr>
      <w:tblPr/>
      <w:tcPr>
        <w:tcBorders>
          <w:top w:val="double" w:sz="6" w:space="0" w:color="008A00" w:themeColor="accent5"/>
          <w:left w:val="single" w:sz="8" w:space="0" w:color="008A00" w:themeColor="accent5"/>
          <w:bottom w:val="single" w:sz="8" w:space="0" w:color="008A00" w:themeColor="accent5"/>
          <w:right w:val="single" w:sz="8" w:space="0" w:color="008A00" w:themeColor="accent5"/>
          <w:insideH w:val="nil"/>
          <w:insideV w:val="nil"/>
        </w:tcBorders>
      </w:tcPr>
    </w:tblStylePr>
    <w:tblStylePr w:type="firstCol">
      <w:rPr>
        <w:b/>
        <w:bCs/>
      </w:rPr>
    </w:tblStylePr>
    <w:tblStylePr w:type="lastCol">
      <w:rPr>
        <w:b/>
        <w:bCs/>
      </w:rPr>
    </w:tblStylePr>
    <w:tblStylePr w:type="band1Vert">
      <w:tblPr/>
      <w:tcPr>
        <w:shd w:val="clear" w:color="auto" w:fill="A3FFA3" w:themeFill="accent5" w:themeFillTint="3F"/>
      </w:tcPr>
    </w:tblStylePr>
    <w:tblStylePr w:type="band1Horz">
      <w:tblPr/>
      <w:tcPr>
        <w:tcBorders>
          <w:insideH w:val="nil"/>
          <w:insideV w:val="nil"/>
        </w:tcBorders>
        <w:shd w:val="clear" w:color="auto" w:fill="A3FFA3" w:themeFill="accent5"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C864ED"/>
    <w:pPr>
      <w:spacing w:before="40" w:after="40" w:line="240" w:lineRule="auto"/>
    </w:pPr>
    <w:tblPr>
      <w:tblStyleRowBandSize w:val="1"/>
      <w:tblStyleColBandSize w:val="1"/>
      <w:tblBorders>
        <w:top w:val="single" w:sz="8" w:space="0" w:color="808285" w:themeColor="accent3"/>
        <w:left w:val="single" w:sz="8" w:space="0" w:color="808285" w:themeColor="accent3"/>
        <w:bottom w:val="single" w:sz="8" w:space="0" w:color="808285" w:themeColor="accent3"/>
        <w:right w:val="single" w:sz="8" w:space="0" w:color="808285" w:themeColor="accent3"/>
        <w:insideH w:val="single" w:sz="8" w:space="0" w:color="808285" w:themeColor="accent3"/>
        <w:insideV w:val="single" w:sz="8" w:space="0" w:color="808285" w:themeColor="accent3"/>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808285" w:themeColor="accent3"/>
          <w:left w:val="single" w:sz="8" w:space="0" w:color="808285" w:themeColor="accent3"/>
          <w:bottom w:val="single" w:sz="8" w:space="0" w:color="808285" w:themeColor="accent3"/>
          <w:right w:val="single" w:sz="8" w:space="0" w:color="808285" w:themeColor="accent3"/>
          <w:insideH w:val="single" w:sz="8" w:space="0" w:color="808285" w:themeColor="accent3"/>
          <w:insideV w:val="single" w:sz="8" w:space="0" w:color="808285" w:themeColor="accent3"/>
        </w:tcBorders>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insideH w:val="nil"/>
          <w:insideV w:val="single" w:sz="8" w:space="0" w:color="808285" w:themeColor="accent3"/>
          <w:tl2br w:val="nil"/>
          <w:tr2bl w:val="nil"/>
        </w:tcBorders>
      </w:tcPr>
    </w:tblStylePr>
    <w:tblStylePr w:type="firstCol">
      <w:rPr>
        <w:b/>
        <w:bCs/>
      </w:rPr>
    </w:tblStylePr>
    <w:tblStylePr w:type="lastCol">
      <w:rPr>
        <w:b/>
        <w:bCs/>
      </w:rPr>
    </w:tblStylePr>
    <w:tblStylePr w:type="band1Vert">
      <w:tblPr/>
      <w:tcPr>
        <w:tcBorders>
          <w:top w:val="single" w:sz="8" w:space="0" w:color="A7A9AC" w:themeColor="accent4"/>
          <w:left w:val="single" w:sz="8" w:space="0" w:color="A7A9AC" w:themeColor="accent4"/>
          <w:bottom w:val="single" w:sz="8" w:space="0" w:color="A7A9AC" w:themeColor="accent4"/>
          <w:right w:val="single" w:sz="8" w:space="0" w:color="A7A9AC" w:themeColor="accent4"/>
        </w:tcBorders>
      </w:tcPr>
    </w:tblStylePr>
    <w:tblStylePr w:type="band1Horz">
      <w:tblPr/>
      <w:tcPr>
        <w:tcBorders>
          <w:top w:val="single" w:sz="8" w:space="0" w:color="A7A9AC" w:themeColor="accent4"/>
          <w:left w:val="single" w:sz="8" w:space="0" w:color="A7A9AC" w:themeColor="accent4"/>
          <w:bottom w:val="single" w:sz="8" w:space="0" w:color="A7A9AC" w:themeColor="accent4"/>
          <w:right w:val="single" w:sz="8" w:space="0" w:color="A7A9AC" w:themeColor="accent4"/>
        </w:tcBorders>
      </w:tcPr>
    </w:tblStylePr>
    <w:tblStylePr w:type="band2Horz">
      <w:tblPr/>
      <w:tcPr>
        <w:shd w:val="clear" w:color="auto" w:fill="A7A9AC" w:themeFill="accent4"/>
      </w:tcPr>
    </w:tblStylePr>
  </w:style>
  <w:style w:type="paragraph" w:customStyle="1" w:styleId="TitlePlain">
    <w:name w:val="Title Plain"/>
    <w:basedOn w:val="Title"/>
    <w:link w:val="TitlePlainChar"/>
    <w:qFormat/>
    <w:rsid w:val="006F0A93"/>
    <w:pPr>
      <w:spacing w:before="6000"/>
      <w:ind w:left="0" w:right="3095"/>
      <w:jc w:val="left"/>
    </w:pPr>
    <w:rPr>
      <w:sz w:val="72"/>
      <w:szCs w:val="72"/>
      <w:lang w:eastAsia="en-AU"/>
    </w:rPr>
  </w:style>
  <w:style w:type="paragraph" w:customStyle="1" w:styleId="VersionandDatePlain">
    <w:name w:val="Version and Date Plain"/>
    <w:basedOn w:val="VersionandDate"/>
    <w:qFormat/>
    <w:rsid w:val="004C5008"/>
    <w:pPr>
      <w:ind w:left="0"/>
      <w:jc w:val="left"/>
    </w:pPr>
  </w:style>
  <w:style w:type="paragraph" w:customStyle="1" w:styleId="SubtitlePlain">
    <w:name w:val="Subtitle Plain"/>
    <w:basedOn w:val="Normal"/>
    <w:qFormat/>
    <w:rsid w:val="006F0A93"/>
    <w:pPr>
      <w:ind w:right="3095"/>
    </w:pPr>
    <w:rPr>
      <w:sz w:val="40"/>
      <w:szCs w:val="40"/>
      <w:lang w:eastAsia="en-AU"/>
    </w:rPr>
  </w:style>
  <w:style w:type="paragraph" w:customStyle="1" w:styleId="VesionanddatePlain">
    <w:name w:val="Vesion and date Plain"/>
    <w:basedOn w:val="Normal"/>
    <w:qFormat/>
    <w:rsid w:val="006F0A93"/>
    <w:pPr>
      <w:ind w:right="3095"/>
    </w:pPr>
    <w:rPr>
      <w:sz w:val="28"/>
    </w:rPr>
  </w:style>
  <w:style w:type="character" w:customStyle="1" w:styleId="TitlePlainChar">
    <w:name w:val="Title Plain Char"/>
    <w:basedOn w:val="TitleChar"/>
    <w:link w:val="TitlePlain"/>
    <w:rsid w:val="00EB2D3D"/>
    <w:rPr>
      <w:rFonts w:asciiTheme="majorHAnsi" w:eastAsiaTheme="majorEastAsia" w:hAnsiTheme="majorHAnsi" w:cstheme="majorBidi"/>
      <w:color w:val="000000" w:themeColor="text1"/>
      <w:spacing w:val="5"/>
      <w:kern w:val="28"/>
      <w:sz w:val="72"/>
      <w:szCs w:val="72"/>
      <w:lang w:eastAsia="en-AU"/>
    </w:rPr>
  </w:style>
  <w:style w:type="character" w:styleId="PageNumber">
    <w:name w:val="page number"/>
    <w:rsid w:val="00460371"/>
    <w:rPr>
      <w:rFonts w:cs="Times New Roman"/>
    </w:rPr>
  </w:style>
  <w:style w:type="paragraph" w:customStyle="1" w:styleId="CEITitle">
    <w:name w:val="CEI Title"/>
    <w:basedOn w:val="Heading1"/>
    <w:autoRedefine/>
    <w:rsid w:val="00460371"/>
  </w:style>
  <w:style w:type="paragraph" w:styleId="BlockText">
    <w:name w:val="Block Text"/>
    <w:basedOn w:val="Normal"/>
    <w:semiHidden/>
    <w:rsid w:val="00460371"/>
    <w:pPr>
      <w:spacing w:before="120"/>
      <w:ind w:left="1440" w:right="1440"/>
    </w:pPr>
    <w:rPr>
      <w:rFonts w:ascii="Arial" w:eastAsia="Times New Roman" w:hAnsi="Arial" w:cs="Times New Roman"/>
      <w:sz w:val="20"/>
    </w:rPr>
  </w:style>
  <w:style w:type="paragraph" w:styleId="BodyText">
    <w:name w:val="Body Text"/>
    <w:basedOn w:val="Normal"/>
    <w:link w:val="BodyTextChar"/>
    <w:autoRedefine/>
    <w:rsid w:val="00460371"/>
    <w:pPr>
      <w:spacing w:before="120"/>
    </w:pPr>
    <w:rPr>
      <w:rFonts w:ascii="Arial" w:eastAsia="Times New Roman" w:hAnsi="Arial" w:cs="Times New Roman"/>
      <w:b/>
      <w:i/>
      <w:sz w:val="20"/>
    </w:rPr>
  </w:style>
  <w:style w:type="character" w:customStyle="1" w:styleId="BodyTextChar">
    <w:name w:val="Body Text Char"/>
    <w:basedOn w:val="DefaultParagraphFont"/>
    <w:link w:val="BodyText"/>
    <w:rsid w:val="00460371"/>
    <w:rPr>
      <w:rFonts w:ascii="Arial" w:eastAsia="Times New Roman" w:hAnsi="Arial" w:cs="Times New Roman"/>
      <w:b/>
      <w:i/>
      <w:sz w:val="20"/>
    </w:rPr>
  </w:style>
  <w:style w:type="paragraph" w:styleId="BodyTextFirstIndent">
    <w:name w:val="Body Text First Indent"/>
    <w:basedOn w:val="BodyText"/>
    <w:link w:val="BodyTextFirstIndentChar"/>
    <w:semiHidden/>
    <w:rsid w:val="00460371"/>
    <w:pPr>
      <w:ind w:firstLine="210"/>
    </w:pPr>
  </w:style>
  <w:style w:type="character" w:customStyle="1" w:styleId="BodyTextFirstIndentChar">
    <w:name w:val="Body Text First Indent Char"/>
    <w:basedOn w:val="BodyTextChar"/>
    <w:link w:val="BodyTextFirstIndent"/>
    <w:semiHidden/>
    <w:rsid w:val="00460371"/>
    <w:rPr>
      <w:rFonts w:ascii="Arial" w:eastAsia="Times New Roman" w:hAnsi="Arial" w:cs="Times New Roman"/>
      <w:b/>
      <w:i/>
      <w:sz w:val="20"/>
    </w:rPr>
  </w:style>
  <w:style w:type="paragraph" w:styleId="BodyTextIndent">
    <w:name w:val="Body Text Indent"/>
    <w:basedOn w:val="Normal"/>
    <w:link w:val="BodyTextIndentChar"/>
    <w:semiHidden/>
    <w:rsid w:val="00460371"/>
    <w:pPr>
      <w:spacing w:before="120"/>
      <w:ind w:left="283"/>
    </w:pPr>
    <w:rPr>
      <w:rFonts w:ascii="Arial" w:eastAsia="Times New Roman" w:hAnsi="Arial" w:cs="Times New Roman"/>
      <w:sz w:val="20"/>
    </w:rPr>
  </w:style>
  <w:style w:type="character" w:customStyle="1" w:styleId="BodyTextIndentChar">
    <w:name w:val="Body Text Indent Char"/>
    <w:basedOn w:val="DefaultParagraphFont"/>
    <w:link w:val="BodyTextIndent"/>
    <w:semiHidden/>
    <w:rsid w:val="00460371"/>
    <w:rPr>
      <w:rFonts w:ascii="Arial" w:eastAsia="Times New Roman" w:hAnsi="Arial" w:cs="Times New Roman"/>
      <w:sz w:val="20"/>
    </w:rPr>
  </w:style>
  <w:style w:type="paragraph" w:styleId="BodyTextFirstIndent2">
    <w:name w:val="Body Text First Indent 2"/>
    <w:basedOn w:val="BodyTextIndent"/>
    <w:link w:val="BodyTextFirstIndent2Char"/>
    <w:semiHidden/>
    <w:rsid w:val="00460371"/>
    <w:pPr>
      <w:ind w:firstLine="210"/>
    </w:pPr>
  </w:style>
  <w:style w:type="character" w:customStyle="1" w:styleId="BodyTextFirstIndent2Char">
    <w:name w:val="Body Text First Indent 2 Char"/>
    <w:basedOn w:val="BodyTextIndentChar"/>
    <w:link w:val="BodyTextFirstIndent2"/>
    <w:semiHidden/>
    <w:rsid w:val="00460371"/>
    <w:rPr>
      <w:rFonts w:ascii="Arial" w:eastAsia="Times New Roman" w:hAnsi="Arial" w:cs="Times New Roman"/>
      <w:sz w:val="20"/>
    </w:rPr>
  </w:style>
  <w:style w:type="paragraph" w:styleId="BodyTextIndent2">
    <w:name w:val="Body Text Indent 2"/>
    <w:basedOn w:val="Normal"/>
    <w:link w:val="BodyTextIndent2Char"/>
    <w:semiHidden/>
    <w:rsid w:val="00460371"/>
    <w:pPr>
      <w:spacing w:before="120" w:line="480" w:lineRule="auto"/>
      <w:ind w:left="283"/>
    </w:pPr>
    <w:rPr>
      <w:rFonts w:ascii="Arial" w:eastAsia="Times New Roman" w:hAnsi="Arial" w:cs="Times New Roman"/>
      <w:sz w:val="20"/>
    </w:rPr>
  </w:style>
  <w:style w:type="character" w:customStyle="1" w:styleId="BodyTextIndent2Char">
    <w:name w:val="Body Text Indent 2 Char"/>
    <w:basedOn w:val="DefaultParagraphFont"/>
    <w:link w:val="BodyTextIndent2"/>
    <w:semiHidden/>
    <w:rsid w:val="00460371"/>
    <w:rPr>
      <w:rFonts w:ascii="Arial" w:eastAsia="Times New Roman" w:hAnsi="Arial" w:cs="Times New Roman"/>
      <w:sz w:val="20"/>
    </w:rPr>
  </w:style>
  <w:style w:type="paragraph" w:styleId="BodyTextIndent3">
    <w:name w:val="Body Text Indent 3"/>
    <w:basedOn w:val="Normal"/>
    <w:link w:val="BodyTextIndent3Char"/>
    <w:semiHidden/>
    <w:rsid w:val="00460371"/>
    <w:pPr>
      <w:spacing w:before="120"/>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semiHidden/>
    <w:rsid w:val="00460371"/>
    <w:rPr>
      <w:rFonts w:ascii="Arial" w:eastAsia="Times New Roman" w:hAnsi="Arial" w:cs="Times New Roman"/>
      <w:sz w:val="16"/>
      <w:szCs w:val="16"/>
    </w:rPr>
  </w:style>
  <w:style w:type="paragraph" w:styleId="Closing">
    <w:name w:val="Closing"/>
    <w:basedOn w:val="Normal"/>
    <w:link w:val="ClosingChar"/>
    <w:semiHidden/>
    <w:rsid w:val="00460371"/>
    <w:pPr>
      <w:spacing w:before="120"/>
      <w:ind w:left="4252"/>
    </w:pPr>
    <w:rPr>
      <w:rFonts w:ascii="Arial" w:eastAsia="Times New Roman" w:hAnsi="Arial" w:cs="Times New Roman"/>
      <w:sz w:val="20"/>
    </w:rPr>
  </w:style>
  <w:style w:type="character" w:customStyle="1" w:styleId="ClosingChar">
    <w:name w:val="Closing Char"/>
    <w:basedOn w:val="DefaultParagraphFont"/>
    <w:link w:val="Closing"/>
    <w:semiHidden/>
    <w:rsid w:val="00460371"/>
    <w:rPr>
      <w:rFonts w:ascii="Arial" w:eastAsia="Times New Roman" w:hAnsi="Arial" w:cs="Times New Roman"/>
      <w:sz w:val="20"/>
    </w:rPr>
  </w:style>
  <w:style w:type="paragraph" w:styleId="E-mailSignature">
    <w:name w:val="E-mail Signature"/>
    <w:basedOn w:val="Normal"/>
    <w:link w:val="E-mailSignatureChar"/>
    <w:semiHidden/>
    <w:rsid w:val="00460371"/>
    <w:pPr>
      <w:spacing w:before="120"/>
    </w:pPr>
    <w:rPr>
      <w:rFonts w:ascii="Arial" w:eastAsia="Times New Roman" w:hAnsi="Arial" w:cs="Times New Roman"/>
      <w:sz w:val="20"/>
    </w:rPr>
  </w:style>
  <w:style w:type="character" w:customStyle="1" w:styleId="E-mailSignatureChar">
    <w:name w:val="E-mail Signature Char"/>
    <w:basedOn w:val="DefaultParagraphFont"/>
    <w:link w:val="E-mailSignature"/>
    <w:semiHidden/>
    <w:rsid w:val="00460371"/>
    <w:rPr>
      <w:rFonts w:ascii="Arial" w:eastAsia="Times New Roman" w:hAnsi="Arial" w:cs="Times New Roman"/>
      <w:sz w:val="20"/>
    </w:rPr>
  </w:style>
  <w:style w:type="paragraph" w:styleId="EnvelopeAddress">
    <w:name w:val="envelope address"/>
    <w:basedOn w:val="Normal"/>
    <w:semiHidden/>
    <w:rsid w:val="00460371"/>
    <w:pPr>
      <w:framePr w:w="7920" w:h="1980" w:hRule="exact" w:hSpace="180" w:wrap="auto" w:hAnchor="page" w:xAlign="center" w:yAlign="bottom"/>
      <w:spacing w:before="120"/>
      <w:ind w:left="2880"/>
    </w:pPr>
    <w:rPr>
      <w:rFonts w:ascii="Arial" w:eastAsia="Times New Roman" w:hAnsi="Arial" w:cs="Arial"/>
      <w:sz w:val="24"/>
      <w:szCs w:val="24"/>
    </w:rPr>
  </w:style>
  <w:style w:type="paragraph" w:styleId="EnvelopeReturn">
    <w:name w:val="envelope return"/>
    <w:basedOn w:val="Normal"/>
    <w:semiHidden/>
    <w:rsid w:val="00460371"/>
    <w:pPr>
      <w:spacing w:before="120"/>
    </w:pPr>
    <w:rPr>
      <w:rFonts w:ascii="Arial" w:eastAsia="Times New Roman" w:hAnsi="Arial" w:cs="Arial"/>
      <w:sz w:val="20"/>
      <w:szCs w:val="20"/>
    </w:rPr>
  </w:style>
  <w:style w:type="character" w:styleId="FollowedHyperlink">
    <w:name w:val="FollowedHyperlink"/>
    <w:semiHidden/>
    <w:rsid w:val="00460371"/>
    <w:rPr>
      <w:color w:val="008080"/>
      <w:u w:val="single"/>
    </w:rPr>
  </w:style>
  <w:style w:type="character" w:styleId="HTMLAcronym">
    <w:name w:val="HTML Acronym"/>
    <w:semiHidden/>
    <w:rsid w:val="00460371"/>
    <w:rPr>
      <w:rFonts w:cs="Times New Roman"/>
    </w:rPr>
  </w:style>
  <w:style w:type="paragraph" w:styleId="HTMLAddress">
    <w:name w:val="HTML Address"/>
    <w:basedOn w:val="Normal"/>
    <w:link w:val="HTMLAddressChar"/>
    <w:semiHidden/>
    <w:rsid w:val="00460371"/>
    <w:pPr>
      <w:spacing w:before="120"/>
    </w:pPr>
    <w:rPr>
      <w:rFonts w:ascii="Arial" w:eastAsia="Times New Roman" w:hAnsi="Arial" w:cs="Times New Roman"/>
      <w:i/>
      <w:iCs/>
      <w:sz w:val="20"/>
    </w:rPr>
  </w:style>
  <w:style w:type="character" w:customStyle="1" w:styleId="HTMLAddressChar">
    <w:name w:val="HTML Address Char"/>
    <w:basedOn w:val="DefaultParagraphFont"/>
    <w:link w:val="HTMLAddress"/>
    <w:semiHidden/>
    <w:rsid w:val="00460371"/>
    <w:rPr>
      <w:rFonts w:ascii="Arial" w:eastAsia="Times New Roman" w:hAnsi="Arial" w:cs="Times New Roman"/>
      <w:i/>
      <w:iCs/>
      <w:sz w:val="20"/>
    </w:rPr>
  </w:style>
  <w:style w:type="character" w:styleId="HTMLCite">
    <w:name w:val="HTML Cite"/>
    <w:semiHidden/>
    <w:rsid w:val="00460371"/>
    <w:rPr>
      <w:i/>
    </w:rPr>
  </w:style>
  <w:style w:type="character" w:styleId="HTMLCode">
    <w:name w:val="HTML Code"/>
    <w:semiHidden/>
    <w:rsid w:val="00460371"/>
    <w:rPr>
      <w:rFonts w:ascii="Courier New" w:hAnsi="Courier New"/>
      <w:sz w:val="20"/>
    </w:rPr>
  </w:style>
  <w:style w:type="character" w:styleId="HTMLDefinition">
    <w:name w:val="HTML Definition"/>
    <w:semiHidden/>
    <w:rsid w:val="00460371"/>
    <w:rPr>
      <w:i/>
    </w:rPr>
  </w:style>
  <w:style w:type="character" w:styleId="HTMLKeyboard">
    <w:name w:val="HTML Keyboard"/>
    <w:semiHidden/>
    <w:rsid w:val="00460371"/>
    <w:rPr>
      <w:rFonts w:ascii="Courier New" w:hAnsi="Courier New"/>
      <w:sz w:val="20"/>
    </w:rPr>
  </w:style>
  <w:style w:type="paragraph" w:styleId="HTMLPreformatted">
    <w:name w:val="HTML Preformatted"/>
    <w:basedOn w:val="Normal"/>
    <w:link w:val="HTMLPreformattedChar"/>
    <w:semiHidden/>
    <w:rsid w:val="00460371"/>
    <w:pPr>
      <w:spacing w:before="12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460371"/>
    <w:rPr>
      <w:rFonts w:ascii="Courier New" w:eastAsia="Times New Roman" w:hAnsi="Courier New" w:cs="Courier New"/>
      <w:sz w:val="20"/>
      <w:szCs w:val="20"/>
    </w:rPr>
  </w:style>
  <w:style w:type="character" w:styleId="HTMLSample">
    <w:name w:val="HTML Sample"/>
    <w:semiHidden/>
    <w:rsid w:val="00460371"/>
    <w:rPr>
      <w:rFonts w:ascii="Courier New" w:hAnsi="Courier New"/>
    </w:rPr>
  </w:style>
  <w:style w:type="character" w:styleId="HTMLTypewriter">
    <w:name w:val="HTML Typewriter"/>
    <w:semiHidden/>
    <w:rsid w:val="00460371"/>
    <w:rPr>
      <w:rFonts w:ascii="Courier New" w:hAnsi="Courier New"/>
      <w:sz w:val="20"/>
    </w:rPr>
  </w:style>
  <w:style w:type="character" w:styleId="HTMLVariable">
    <w:name w:val="HTML Variable"/>
    <w:semiHidden/>
    <w:rsid w:val="00460371"/>
    <w:rPr>
      <w:i/>
    </w:rPr>
  </w:style>
  <w:style w:type="character" w:styleId="LineNumber">
    <w:name w:val="line number"/>
    <w:semiHidden/>
    <w:rsid w:val="00460371"/>
    <w:rPr>
      <w:rFonts w:cs="Times New Roman"/>
    </w:rPr>
  </w:style>
  <w:style w:type="paragraph" w:styleId="List">
    <w:name w:val="List"/>
    <w:basedOn w:val="Normal"/>
    <w:semiHidden/>
    <w:rsid w:val="00460371"/>
    <w:pPr>
      <w:spacing w:before="120"/>
      <w:ind w:left="283" w:hanging="283"/>
    </w:pPr>
    <w:rPr>
      <w:rFonts w:ascii="Arial" w:eastAsia="Times New Roman" w:hAnsi="Arial" w:cs="Times New Roman"/>
      <w:sz w:val="20"/>
    </w:rPr>
  </w:style>
  <w:style w:type="paragraph" w:styleId="List2">
    <w:name w:val="List 2"/>
    <w:basedOn w:val="Normal"/>
    <w:semiHidden/>
    <w:rsid w:val="00460371"/>
    <w:pPr>
      <w:spacing w:before="120"/>
      <w:ind w:left="566" w:hanging="283"/>
    </w:pPr>
    <w:rPr>
      <w:rFonts w:ascii="Arial" w:eastAsia="Times New Roman" w:hAnsi="Arial" w:cs="Times New Roman"/>
      <w:sz w:val="20"/>
    </w:rPr>
  </w:style>
  <w:style w:type="paragraph" w:styleId="List3">
    <w:name w:val="List 3"/>
    <w:basedOn w:val="Normal"/>
    <w:semiHidden/>
    <w:rsid w:val="00460371"/>
    <w:pPr>
      <w:spacing w:before="120"/>
      <w:ind w:left="849" w:hanging="283"/>
    </w:pPr>
    <w:rPr>
      <w:rFonts w:ascii="Arial" w:eastAsia="Times New Roman" w:hAnsi="Arial" w:cs="Times New Roman"/>
      <w:sz w:val="20"/>
    </w:rPr>
  </w:style>
  <w:style w:type="paragraph" w:styleId="List4">
    <w:name w:val="List 4"/>
    <w:basedOn w:val="Normal"/>
    <w:semiHidden/>
    <w:rsid w:val="00460371"/>
    <w:pPr>
      <w:spacing w:before="120"/>
      <w:ind w:left="1132" w:hanging="283"/>
    </w:pPr>
    <w:rPr>
      <w:rFonts w:ascii="Arial" w:eastAsia="Times New Roman" w:hAnsi="Arial" w:cs="Times New Roman"/>
      <w:sz w:val="20"/>
    </w:rPr>
  </w:style>
  <w:style w:type="paragraph" w:styleId="List5">
    <w:name w:val="List 5"/>
    <w:basedOn w:val="Normal"/>
    <w:semiHidden/>
    <w:rsid w:val="00460371"/>
    <w:pPr>
      <w:spacing w:before="120"/>
      <w:ind w:left="1415" w:hanging="283"/>
    </w:pPr>
    <w:rPr>
      <w:rFonts w:ascii="Arial" w:eastAsia="Times New Roman" w:hAnsi="Arial" w:cs="Times New Roman"/>
      <w:sz w:val="20"/>
    </w:rPr>
  </w:style>
  <w:style w:type="paragraph" w:styleId="ListBullet4">
    <w:name w:val="List Bullet 4"/>
    <w:basedOn w:val="Normal"/>
    <w:semiHidden/>
    <w:rsid w:val="00460371"/>
    <w:pPr>
      <w:numPr>
        <w:numId w:val="6"/>
      </w:numPr>
      <w:spacing w:before="120"/>
    </w:pPr>
    <w:rPr>
      <w:rFonts w:ascii="Arial" w:eastAsia="Times New Roman" w:hAnsi="Arial" w:cs="Times New Roman"/>
      <w:sz w:val="20"/>
    </w:rPr>
  </w:style>
  <w:style w:type="paragraph" w:styleId="ListBullet5">
    <w:name w:val="List Bullet 5"/>
    <w:basedOn w:val="Normal"/>
    <w:semiHidden/>
    <w:rsid w:val="00460371"/>
    <w:pPr>
      <w:numPr>
        <w:numId w:val="7"/>
      </w:numPr>
      <w:spacing w:before="120"/>
    </w:pPr>
    <w:rPr>
      <w:rFonts w:ascii="Arial" w:eastAsia="Times New Roman" w:hAnsi="Arial" w:cs="Times New Roman"/>
      <w:sz w:val="20"/>
    </w:rPr>
  </w:style>
  <w:style w:type="paragraph" w:styleId="ListContinue">
    <w:name w:val="List Continue"/>
    <w:basedOn w:val="Normal"/>
    <w:semiHidden/>
    <w:rsid w:val="00460371"/>
    <w:pPr>
      <w:spacing w:before="120"/>
      <w:ind w:left="283"/>
    </w:pPr>
    <w:rPr>
      <w:rFonts w:ascii="Arial" w:eastAsia="Times New Roman" w:hAnsi="Arial" w:cs="Times New Roman"/>
      <w:sz w:val="20"/>
    </w:rPr>
  </w:style>
  <w:style w:type="paragraph" w:styleId="ListContinue2">
    <w:name w:val="List Continue 2"/>
    <w:basedOn w:val="Normal"/>
    <w:semiHidden/>
    <w:rsid w:val="00460371"/>
    <w:pPr>
      <w:spacing w:before="120"/>
      <w:ind w:left="566"/>
    </w:pPr>
    <w:rPr>
      <w:rFonts w:ascii="Arial" w:eastAsia="Times New Roman" w:hAnsi="Arial" w:cs="Times New Roman"/>
      <w:sz w:val="20"/>
    </w:rPr>
  </w:style>
  <w:style w:type="paragraph" w:styleId="ListContinue3">
    <w:name w:val="List Continue 3"/>
    <w:basedOn w:val="Normal"/>
    <w:semiHidden/>
    <w:rsid w:val="00460371"/>
    <w:pPr>
      <w:spacing w:before="120"/>
      <w:ind w:left="849"/>
    </w:pPr>
    <w:rPr>
      <w:rFonts w:ascii="Arial" w:eastAsia="Times New Roman" w:hAnsi="Arial" w:cs="Times New Roman"/>
      <w:sz w:val="20"/>
    </w:rPr>
  </w:style>
  <w:style w:type="paragraph" w:styleId="ListContinue4">
    <w:name w:val="List Continue 4"/>
    <w:basedOn w:val="Normal"/>
    <w:semiHidden/>
    <w:rsid w:val="00460371"/>
    <w:pPr>
      <w:spacing w:before="120"/>
      <w:ind w:left="1132"/>
    </w:pPr>
    <w:rPr>
      <w:rFonts w:ascii="Arial" w:eastAsia="Times New Roman" w:hAnsi="Arial" w:cs="Times New Roman"/>
      <w:sz w:val="20"/>
    </w:rPr>
  </w:style>
  <w:style w:type="paragraph" w:styleId="ListContinue5">
    <w:name w:val="List Continue 5"/>
    <w:basedOn w:val="Normal"/>
    <w:semiHidden/>
    <w:rsid w:val="00460371"/>
    <w:pPr>
      <w:spacing w:before="120"/>
      <w:ind w:left="1415"/>
    </w:pPr>
    <w:rPr>
      <w:rFonts w:ascii="Arial" w:eastAsia="Times New Roman" w:hAnsi="Arial" w:cs="Times New Roman"/>
      <w:sz w:val="20"/>
    </w:rPr>
  </w:style>
  <w:style w:type="paragraph" w:styleId="ListNumber">
    <w:name w:val="List Number"/>
    <w:basedOn w:val="Normal"/>
    <w:semiHidden/>
    <w:rsid w:val="00460371"/>
    <w:pPr>
      <w:numPr>
        <w:numId w:val="8"/>
      </w:numPr>
      <w:spacing w:before="120"/>
    </w:pPr>
    <w:rPr>
      <w:rFonts w:ascii="Arial" w:eastAsia="Times New Roman" w:hAnsi="Arial" w:cs="Times New Roman"/>
      <w:sz w:val="20"/>
    </w:rPr>
  </w:style>
  <w:style w:type="paragraph" w:styleId="ListNumber2">
    <w:name w:val="List Number 2"/>
    <w:basedOn w:val="Normal"/>
    <w:semiHidden/>
    <w:rsid w:val="00460371"/>
    <w:pPr>
      <w:numPr>
        <w:numId w:val="9"/>
      </w:numPr>
      <w:spacing w:before="120"/>
    </w:pPr>
    <w:rPr>
      <w:rFonts w:ascii="Arial" w:eastAsia="Times New Roman" w:hAnsi="Arial" w:cs="Times New Roman"/>
      <w:sz w:val="20"/>
    </w:rPr>
  </w:style>
  <w:style w:type="paragraph" w:styleId="ListNumber3">
    <w:name w:val="List Number 3"/>
    <w:basedOn w:val="Normal"/>
    <w:semiHidden/>
    <w:rsid w:val="00460371"/>
    <w:pPr>
      <w:numPr>
        <w:numId w:val="10"/>
      </w:numPr>
      <w:spacing w:before="120"/>
    </w:pPr>
    <w:rPr>
      <w:rFonts w:ascii="Arial" w:eastAsia="Times New Roman" w:hAnsi="Arial" w:cs="Times New Roman"/>
      <w:sz w:val="20"/>
    </w:rPr>
  </w:style>
  <w:style w:type="paragraph" w:styleId="ListNumber4">
    <w:name w:val="List Number 4"/>
    <w:basedOn w:val="Normal"/>
    <w:semiHidden/>
    <w:rsid w:val="00460371"/>
    <w:pPr>
      <w:numPr>
        <w:numId w:val="11"/>
      </w:numPr>
      <w:spacing w:before="120"/>
    </w:pPr>
    <w:rPr>
      <w:rFonts w:ascii="Arial" w:eastAsia="Times New Roman" w:hAnsi="Arial" w:cs="Times New Roman"/>
      <w:sz w:val="20"/>
    </w:rPr>
  </w:style>
  <w:style w:type="paragraph" w:styleId="ListNumber5">
    <w:name w:val="List Number 5"/>
    <w:basedOn w:val="Normal"/>
    <w:semiHidden/>
    <w:rsid w:val="00460371"/>
    <w:pPr>
      <w:tabs>
        <w:tab w:val="num" w:pos="1492"/>
      </w:tabs>
      <w:spacing w:before="120"/>
      <w:ind w:left="1492" w:hanging="360"/>
    </w:pPr>
    <w:rPr>
      <w:rFonts w:ascii="Arial" w:eastAsia="Times New Roman" w:hAnsi="Arial" w:cs="Times New Roman"/>
      <w:sz w:val="20"/>
    </w:rPr>
  </w:style>
  <w:style w:type="paragraph" w:styleId="MessageHeader">
    <w:name w:val="Message Header"/>
    <w:basedOn w:val="Normal"/>
    <w:link w:val="MessageHeaderChar"/>
    <w:semiHidden/>
    <w:rsid w:val="00460371"/>
    <w:pPr>
      <w:pBdr>
        <w:top w:val="single" w:sz="6" w:space="1" w:color="auto"/>
        <w:left w:val="single" w:sz="6" w:space="1" w:color="auto"/>
        <w:bottom w:val="single" w:sz="6" w:space="1" w:color="auto"/>
        <w:right w:val="single" w:sz="6" w:space="1" w:color="auto"/>
      </w:pBdr>
      <w:shd w:val="pct20" w:color="auto" w:fill="auto"/>
      <w:spacing w:before="120"/>
      <w:ind w:left="1134" w:hanging="1134"/>
    </w:pPr>
    <w:rPr>
      <w:rFonts w:ascii="Arial" w:eastAsia="Times New Roman" w:hAnsi="Arial" w:cs="Arial"/>
      <w:sz w:val="20"/>
      <w:szCs w:val="24"/>
    </w:rPr>
  </w:style>
  <w:style w:type="character" w:customStyle="1" w:styleId="MessageHeaderChar">
    <w:name w:val="Message Header Char"/>
    <w:basedOn w:val="DefaultParagraphFont"/>
    <w:link w:val="MessageHeader"/>
    <w:semiHidden/>
    <w:rsid w:val="00460371"/>
    <w:rPr>
      <w:rFonts w:ascii="Arial" w:eastAsia="Times New Roman" w:hAnsi="Arial" w:cs="Arial"/>
      <w:sz w:val="20"/>
      <w:szCs w:val="24"/>
      <w:shd w:val="pct20" w:color="auto" w:fill="auto"/>
    </w:rPr>
  </w:style>
  <w:style w:type="paragraph" w:styleId="NormalWeb">
    <w:name w:val="Normal (Web)"/>
    <w:basedOn w:val="Normal"/>
    <w:uiPriority w:val="99"/>
    <w:rsid w:val="00460371"/>
    <w:pPr>
      <w:spacing w:before="120"/>
    </w:pPr>
    <w:rPr>
      <w:rFonts w:ascii="Times New Roman" w:eastAsia="Times New Roman" w:hAnsi="Times New Roman" w:cs="Times New Roman"/>
      <w:sz w:val="24"/>
      <w:szCs w:val="24"/>
    </w:rPr>
  </w:style>
  <w:style w:type="paragraph" w:styleId="NormalIndent">
    <w:name w:val="Normal Indent"/>
    <w:basedOn w:val="Normal"/>
    <w:semiHidden/>
    <w:rsid w:val="00460371"/>
    <w:pPr>
      <w:spacing w:before="120"/>
      <w:ind w:left="720"/>
    </w:pPr>
    <w:rPr>
      <w:rFonts w:ascii="Arial" w:eastAsia="Times New Roman" w:hAnsi="Arial" w:cs="Times New Roman"/>
      <w:sz w:val="20"/>
    </w:rPr>
  </w:style>
  <w:style w:type="paragraph" w:styleId="NoteHeading">
    <w:name w:val="Note Heading"/>
    <w:basedOn w:val="Normal"/>
    <w:next w:val="Normal"/>
    <w:link w:val="NoteHeadingChar"/>
    <w:semiHidden/>
    <w:rsid w:val="00460371"/>
    <w:pPr>
      <w:spacing w:before="120"/>
    </w:pPr>
    <w:rPr>
      <w:rFonts w:ascii="Arial" w:eastAsia="Times New Roman" w:hAnsi="Arial" w:cs="Times New Roman"/>
      <w:sz w:val="20"/>
    </w:rPr>
  </w:style>
  <w:style w:type="character" w:customStyle="1" w:styleId="NoteHeadingChar">
    <w:name w:val="Note Heading Char"/>
    <w:basedOn w:val="DefaultParagraphFont"/>
    <w:link w:val="NoteHeading"/>
    <w:semiHidden/>
    <w:rsid w:val="00460371"/>
    <w:rPr>
      <w:rFonts w:ascii="Arial" w:eastAsia="Times New Roman" w:hAnsi="Arial" w:cs="Times New Roman"/>
      <w:sz w:val="20"/>
    </w:rPr>
  </w:style>
  <w:style w:type="paragraph" w:styleId="PlainText">
    <w:name w:val="Plain Text"/>
    <w:basedOn w:val="Normal"/>
    <w:link w:val="PlainTextChar"/>
    <w:semiHidden/>
    <w:rsid w:val="00460371"/>
    <w:pPr>
      <w:spacing w:before="120"/>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460371"/>
    <w:rPr>
      <w:rFonts w:ascii="Courier New" w:eastAsia="Times New Roman" w:hAnsi="Courier New" w:cs="Courier New"/>
      <w:sz w:val="20"/>
      <w:szCs w:val="20"/>
    </w:rPr>
  </w:style>
  <w:style w:type="paragraph" w:styleId="Salutation">
    <w:name w:val="Salutation"/>
    <w:basedOn w:val="Normal"/>
    <w:next w:val="Normal"/>
    <w:link w:val="SalutationChar"/>
    <w:semiHidden/>
    <w:rsid w:val="00460371"/>
    <w:pPr>
      <w:spacing w:before="120"/>
    </w:pPr>
    <w:rPr>
      <w:rFonts w:ascii="Arial" w:eastAsia="Times New Roman" w:hAnsi="Arial" w:cs="Times New Roman"/>
      <w:sz w:val="20"/>
    </w:rPr>
  </w:style>
  <w:style w:type="character" w:customStyle="1" w:styleId="SalutationChar">
    <w:name w:val="Salutation Char"/>
    <w:basedOn w:val="DefaultParagraphFont"/>
    <w:link w:val="Salutation"/>
    <w:semiHidden/>
    <w:rsid w:val="00460371"/>
    <w:rPr>
      <w:rFonts w:ascii="Arial" w:eastAsia="Times New Roman" w:hAnsi="Arial" w:cs="Times New Roman"/>
      <w:sz w:val="20"/>
    </w:rPr>
  </w:style>
  <w:style w:type="paragraph" w:styleId="Signature">
    <w:name w:val="Signature"/>
    <w:basedOn w:val="Normal"/>
    <w:link w:val="SignatureChar"/>
    <w:semiHidden/>
    <w:rsid w:val="00460371"/>
    <w:pPr>
      <w:spacing w:before="120"/>
      <w:ind w:left="4252"/>
    </w:pPr>
    <w:rPr>
      <w:rFonts w:ascii="Arial" w:eastAsia="Times New Roman" w:hAnsi="Arial" w:cs="Times New Roman"/>
      <w:sz w:val="20"/>
    </w:rPr>
  </w:style>
  <w:style w:type="character" w:customStyle="1" w:styleId="SignatureChar">
    <w:name w:val="Signature Char"/>
    <w:basedOn w:val="DefaultParagraphFont"/>
    <w:link w:val="Signature"/>
    <w:semiHidden/>
    <w:rsid w:val="00460371"/>
    <w:rPr>
      <w:rFonts w:ascii="Arial" w:eastAsia="Times New Roman" w:hAnsi="Arial" w:cs="Times New Roman"/>
      <w:sz w:val="20"/>
    </w:rPr>
  </w:style>
  <w:style w:type="table" w:styleId="Table3Deffects1">
    <w:name w:val="Table 3D effects 1"/>
    <w:basedOn w:val="TableNormal"/>
    <w:semiHidden/>
    <w:rsid w:val="00460371"/>
    <w:rPr>
      <w:rFonts w:ascii="Times New Roman" w:eastAsia="Times New Roman" w:hAnsi="Times New Roman" w:cs="Times New Roman"/>
      <w:sz w:val="20"/>
      <w:szCs w:val="20"/>
      <w:lang w:val="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0371"/>
    <w:rPr>
      <w:rFonts w:ascii="Times New Roman" w:eastAsia="Times New Roman" w:hAnsi="Times New Roman" w:cs="Times New Roman"/>
      <w:sz w:val="20"/>
      <w:szCs w:val="20"/>
      <w:lang w:val="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60371"/>
    <w:rPr>
      <w:rFonts w:ascii="Times New Roman" w:eastAsia="Times New Roman" w:hAnsi="Times New Roman" w:cs="Times New Roman"/>
      <w:sz w:val="20"/>
      <w:szCs w:val="20"/>
      <w:lang w:val="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60371"/>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60371"/>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0371"/>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0371"/>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0371"/>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0371"/>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0371"/>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0371"/>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60371"/>
    <w:rPr>
      <w:rFonts w:ascii="Times New Roman" w:eastAsia="Times New Roman" w:hAnsi="Times New Roman" w:cs="Times New Roman"/>
      <w:b/>
      <w:bCs/>
      <w:sz w:val="20"/>
      <w:szCs w:val="20"/>
      <w:lang w:val="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60371"/>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60371"/>
    <w:rPr>
      <w:rFonts w:ascii="Times New Roman" w:eastAsia="Times New Roman" w:hAnsi="Times New Roman" w:cs="Times New Roman"/>
      <w:sz w:val="20"/>
      <w:szCs w:val="20"/>
      <w:lang w:val="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60371"/>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60371"/>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0371"/>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60371"/>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60371"/>
    <w:rPr>
      <w:rFonts w:ascii="Times New Roman" w:eastAsia="Times New Roman" w:hAnsi="Times New Roman" w:cs="Times New Roman"/>
      <w:sz w:val="20"/>
      <w:szCs w:val="20"/>
      <w:lang w:val="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60371"/>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60371"/>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0371"/>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60371"/>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60371"/>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60371"/>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4">
    <w:name w:val="Table List 4"/>
    <w:basedOn w:val="TableNormal"/>
    <w:semiHidden/>
    <w:rsid w:val="00460371"/>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0371"/>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60371"/>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0371"/>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0371"/>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0371"/>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0371"/>
    <w:rPr>
      <w:rFonts w:ascii="Times New Roman" w:eastAsia="Times New Roman" w:hAnsi="Times New Roman" w:cs="Times New Roman"/>
      <w:sz w:val="20"/>
      <w:szCs w:val="20"/>
      <w:lang w:val="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0371"/>
    <w:rPr>
      <w:rFonts w:ascii="Times New Roman" w:eastAsia="Times New Roman" w:hAnsi="Times New Roman" w:cs="Times New Roman"/>
      <w:sz w:val="20"/>
      <w:szCs w:val="20"/>
      <w:lang w:val="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0371"/>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0371"/>
    <w:rPr>
      <w:rFonts w:ascii="Times New Roman" w:eastAsia="Times New Roman" w:hAnsi="Times New Roman" w:cs="Times New Roman"/>
      <w:sz w:val="20"/>
      <w:szCs w:val="20"/>
      <w:lang w:val="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60371"/>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60371"/>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0371"/>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460371"/>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60371"/>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stBullet3">
    <w:name w:val="List Bullet 3"/>
    <w:basedOn w:val="Normal"/>
    <w:rsid w:val="00460371"/>
    <w:pPr>
      <w:numPr>
        <w:numId w:val="13"/>
      </w:numPr>
      <w:spacing w:before="120"/>
    </w:pPr>
    <w:rPr>
      <w:rFonts w:ascii="Arial" w:eastAsia="Times New Roman" w:hAnsi="Arial" w:cs="Times New Roman"/>
      <w:sz w:val="20"/>
    </w:rPr>
  </w:style>
  <w:style w:type="paragraph" w:styleId="BodyText2">
    <w:name w:val="Body Text 2"/>
    <w:basedOn w:val="Normal"/>
    <w:link w:val="BodyText2Char"/>
    <w:autoRedefine/>
    <w:rsid w:val="00460371"/>
    <w:pPr>
      <w:spacing w:before="120"/>
    </w:pPr>
    <w:rPr>
      <w:rFonts w:ascii="Arial" w:eastAsia="Times New Roman" w:hAnsi="Arial" w:cs="Times New Roman"/>
      <w:sz w:val="20"/>
    </w:rPr>
  </w:style>
  <w:style w:type="character" w:customStyle="1" w:styleId="BodyText2Char">
    <w:name w:val="Body Text 2 Char"/>
    <w:basedOn w:val="DefaultParagraphFont"/>
    <w:link w:val="BodyText2"/>
    <w:rsid w:val="00460371"/>
    <w:rPr>
      <w:rFonts w:ascii="Arial" w:eastAsia="Times New Roman" w:hAnsi="Arial" w:cs="Times New Roman"/>
      <w:sz w:val="20"/>
    </w:rPr>
  </w:style>
  <w:style w:type="character" w:styleId="FootnoteReference">
    <w:name w:val="footnote reference"/>
    <w:uiPriority w:val="99"/>
    <w:rsid w:val="00460371"/>
    <w:rPr>
      <w:vertAlign w:val="superscript"/>
    </w:rPr>
  </w:style>
  <w:style w:type="paragraph" w:customStyle="1" w:styleId="Bullet">
    <w:name w:val="Bullet"/>
    <w:basedOn w:val="Normal"/>
    <w:autoRedefine/>
    <w:rsid w:val="00460371"/>
    <w:pPr>
      <w:numPr>
        <w:numId w:val="14"/>
      </w:numPr>
      <w:spacing w:before="120" w:after="240"/>
    </w:pPr>
    <w:rPr>
      <w:rFonts w:ascii="Arial" w:eastAsia="Times New Roman" w:hAnsi="Arial" w:cs="Times New Roman"/>
      <w:sz w:val="20"/>
    </w:rPr>
  </w:style>
  <w:style w:type="paragraph" w:customStyle="1" w:styleId="Dash">
    <w:name w:val="Dash"/>
    <w:basedOn w:val="Normal"/>
    <w:autoRedefine/>
    <w:rsid w:val="00460371"/>
    <w:pPr>
      <w:spacing w:before="60" w:after="60"/>
    </w:pPr>
    <w:rPr>
      <w:rFonts w:ascii="Arial" w:eastAsia="Times New Roman" w:hAnsi="Arial" w:cs="Times New Roman"/>
      <w:sz w:val="24"/>
    </w:rPr>
  </w:style>
  <w:style w:type="paragraph" w:customStyle="1" w:styleId="DoubleDot">
    <w:name w:val="Double Dot"/>
    <w:basedOn w:val="Normal"/>
    <w:rsid w:val="00460371"/>
    <w:pPr>
      <w:numPr>
        <w:ilvl w:val="2"/>
        <w:numId w:val="14"/>
      </w:numPr>
      <w:spacing w:before="120" w:after="240"/>
    </w:pPr>
    <w:rPr>
      <w:rFonts w:ascii="Arial" w:eastAsia="Times New Roman" w:hAnsi="Arial" w:cs="Times New Roman"/>
      <w:sz w:val="24"/>
    </w:rPr>
  </w:style>
  <w:style w:type="paragraph" w:customStyle="1" w:styleId="Appendix">
    <w:name w:val="Appendix"/>
    <w:basedOn w:val="Heading1"/>
    <w:autoRedefine/>
    <w:rsid w:val="00460371"/>
  </w:style>
  <w:style w:type="paragraph" w:customStyle="1" w:styleId="Appendix2">
    <w:name w:val="Appendix 2"/>
    <w:basedOn w:val="Appendix"/>
    <w:rsid w:val="00460371"/>
    <w:pPr>
      <w:pageBreakBefore/>
      <w:spacing w:before="0" w:beforeAutospacing="1" w:after="100" w:afterAutospacing="1" w:line="0" w:lineRule="atLeast"/>
      <w:ind w:left="432" w:hanging="432"/>
      <w:outlineLvl w:val="9"/>
    </w:pPr>
    <w:rPr>
      <w:rFonts w:ascii="Arial" w:eastAsia="Times New Roman" w:hAnsi="Arial" w:cs="Arial"/>
      <w:b w:val="0"/>
      <w:i/>
      <w:color w:val="000000"/>
      <w:kern w:val="32"/>
      <w:sz w:val="18"/>
      <w:szCs w:val="18"/>
    </w:rPr>
  </w:style>
  <w:style w:type="paragraph" w:customStyle="1" w:styleId="InfoMapsubheading">
    <w:name w:val="InfoMap subheading"/>
    <w:basedOn w:val="Normal"/>
    <w:rsid w:val="00460371"/>
    <w:pPr>
      <w:spacing w:before="180" w:after="60"/>
      <w:ind w:left="2268" w:right="567"/>
    </w:pPr>
    <w:rPr>
      <w:rFonts w:ascii="Verdana" w:eastAsia="Times New Roman" w:hAnsi="Verdana" w:cs="Times New Roman"/>
      <w:b/>
      <w:i/>
      <w:sz w:val="20"/>
      <w:lang w:val="en-US"/>
    </w:rPr>
  </w:style>
  <w:style w:type="paragraph" w:customStyle="1" w:styleId="StyleHeading3Before4pt">
    <w:name w:val="Style Heading 3 + Before:  4 pt"/>
    <w:basedOn w:val="Heading3"/>
    <w:rsid w:val="00460371"/>
    <w:pPr>
      <w:numPr>
        <w:ilvl w:val="0"/>
        <w:numId w:val="0"/>
      </w:numPr>
      <w:tabs>
        <w:tab w:val="num" w:pos="1492"/>
      </w:tabs>
      <w:ind w:left="1492" w:hanging="360"/>
    </w:pPr>
  </w:style>
  <w:style w:type="character" w:customStyle="1" w:styleId="StyleCodeLeft0cmLinespacingAtleast12pt">
    <w:name w:val="Style Code + Left:  0 cm Line spacing:  At least 12 pt"/>
    <w:rsid w:val="00460371"/>
    <w:rPr>
      <w:rFonts w:ascii="Courier New" w:hAnsi="Courier New"/>
    </w:rPr>
  </w:style>
  <w:style w:type="paragraph" w:customStyle="1" w:styleId="Itemfieldtitle">
    <w:name w:val="Item field title"/>
    <w:basedOn w:val="Normal"/>
    <w:rsid w:val="00460371"/>
    <w:pPr>
      <w:spacing w:before="40" w:after="40"/>
    </w:pPr>
    <w:rPr>
      <w:rFonts w:ascii="Book Antiqua" w:eastAsia="Times New Roman" w:hAnsi="Book Antiqua" w:cs="Times New Roman"/>
      <w:b/>
      <w:i/>
      <w:sz w:val="20"/>
      <w:szCs w:val="20"/>
    </w:rPr>
  </w:style>
  <w:style w:type="paragraph" w:customStyle="1" w:styleId="Itemfieldvalue">
    <w:name w:val="Item field value"/>
    <w:basedOn w:val="Normal"/>
    <w:rsid w:val="00460371"/>
    <w:pPr>
      <w:spacing w:before="40" w:after="40"/>
    </w:pPr>
    <w:rPr>
      <w:rFonts w:ascii="Times New Roman" w:eastAsia="Times New Roman" w:hAnsi="Times New Roman" w:cs="Times New Roman"/>
      <w:sz w:val="20"/>
      <w:szCs w:val="20"/>
    </w:rPr>
  </w:style>
  <w:style w:type="paragraph" w:customStyle="1" w:styleId="Itemtitle">
    <w:name w:val="Item title"/>
    <w:basedOn w:val="Normal"/>
    <w:rsid w:val="00460371"/>
    <w:pPr>
      <w:pageBreakBefore/>
      <w:pBdr>
        <w:top w:val="single" w:sz="18" w:space="1" w:color="auto"/>
        <w:bottom w:val="single" w:sz="18" w:space="1" w:color="auto"/>
      </w:pBdr>
      <w:spacing w:before="40" w:after="40"/>
    </w:pPr>
    <w:rPr>
      <w:rFonts w:ascii="Arial" w:eastAsia="Times New Roman" w:hAnsi="Arial" w:cs="Times New Roman"/>
      <w:b/>
      <w:sz w:val="32"/>
      <w:szCs w:val="20"/>
    </w:rPr>
  </w:style>
  <w:style w:type="paragraph" w:customStyle="1" w:styleId="Itemsectiontitle">
    <w:name w:val="Item section title"/>
    <w:basedOn w:val="Normal"/>
    <w:next w:val="Itemfieldtitle"/>
    <w:rsid w:val="00460371"/>
    <w:pPr>
      <w:spacing w:before="180" w:after="60"/>
    </w:pPr>
    <w:rPr>
      <w:rFonts w:ascii="Arial" w:eastAsia="Times New Roman" w:hAnsi="Arial" w:cs="Times New Roman"/>
      <w:b/>
      <w:sz w:val="24"/>
      <w:szCs w:val="20"/>
    </w:rPr>
  </w:style>
  <w:style w:type="paragraph" w:customStyle="1" w:styleId="TPVerso">
    <w:name w:val="T/P: Verso"/>
    <w:rsid w:val="00460371"/>
    <w:pPr>
      <w:keepLines/>
      <w:spacing w:before="60" w:after="60" w:line="240" w:lineRule="auto"/>
    </w:pPr>
    <w:rPr>
      <w:rFonts w:ascii="Helvetica" w:eastAsia="Times New Roman" w:hAnsi="Helvetica" w:cs="Times New Roman"/>
      <w:szCs w:val="20"/>
    </w:rPr>
  </w:style>
  <w:style w:type="paragraph" w:customStyle="1" w:styleId="Iteminsertedtitle">
    <w:name w:val="Item inserted title"/>
    <w:basedOn w:val="Itemsectiontitle"/>
    <w:rsid w:val="00460371"/>
    <w:pPr>
      <w:pBdr>
        <w:bottom w:val="single" w:sz="8" w:space="1" w:color="auto"/>
      </w:pBdr>
      <w:spacing w:before="240"/>
    </w:pPr>
    <w:rPr>
      <w:sz w:val="28"/>
    </w:rPr>
  </w:style>
  <w:style w:type="paragraph" w:customStyle="1" w:styleId="Alternatename">
    <w:name w:val="Alternate name"/>
    <w:basedOn w:val="Normal"/>
    <w:rsid w:val="00460371"/>
    <w:pPr>
      <w:spacing w:before="40" w:after="40"/>
    </w:pPr>
    <w:rPr>
      <w:rFonts w:ascii="Book Antiqua" w:eastAsia="Times New Roman" w:hAnsi="Book Antiqua" w:cs="Times New Roman"/>
      <w:sz w:val="20"/>
      <w:szCs w:val="20"/>
    </w:rPr>
  </w:style>
  <w:style w:type="paragraph" w:customStyle="1" w:styleId="Sectiontitle">
    <w:name w:val="Section title"/>
    <w:basedOn w:val="Normal"/>
    <w:link w:val="SectiontitleChar"/>
    <w:rsid w:val="00460371"/>
    <w:pPr>
      <w:pageBreakBefore/>
      <w:spacing w:before="40" w:after="40"/>
    </w:pPr>
    <w:rPr>
      <w:rFonts w:ascii="Arial" w:eastAsia="Times New Roman" w:hAnsi="Arial" w:cs="Times New Roman"/>
      <w:b/>
      <w:sz w:val="36"/>
      <w:szCs w:val="36"/>
      <w:lang w:val="en-US"/>
    </w:rPr>
  </w:style>
  <w:style w:type="character" w:customStyle="1" w:styleId="SectiontitleChar">
    <w:name w:val="Section title Char"/>
    <w:link w:val="Sectiontitle"/>
    <w:locked/>
    <w:rsid w:val="00460371"/>
    <w:rPr>
      <w:rFonts w:ascii="Arial" w:eastAsia="Times New Roman" w:hAnsi="Arial" w:cs="Times New Roman"/>
      <w:b/>
      <w:sz w:val="36"/>
      <w:szCs w:val="36"/>
      <w:lang w:val="en-US"/>
    </w:rPr>
  </w:style>
  <w:style w:type="paragraph" w:customStyle="1" w:styleId="table">
    <w:name w:val="table"/>
    <w:basedOn w:val="Normal"/>
    <w:autoRedefine/>
    <w:rsid w:val="00D03C89"/>
    <w:pPr>
      <w:spacing w:before="240"/>
    </w:pPr>
    <w:rPr>
      <w:rFonts w:ascii="Arial" w:eastAsia="Times New Roman" w:hAnsi="Arial" w:cstheme="minorHAnsi"/>
      <w:b/>
      <w:color w:val="000000"/>
      <w:sz w:val="20"/>
      <w:szCs w:val="20"/>
      <w:lang w:eastAsia="en-AU"/>
    </w:rPr>
  </w:style>
  <w:style w:type="table" w:styleId="TableList3">
    <w:name w:val="Table List 3"/>
    <w:basedOn w:val="TableNormal"/>
    <w:rsid w:val="00460371"/>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LightShading-Accent21">
    <w:name w:val="Light Shading - Accent 21"/>
    <w:rsid w:val="00460371"/>
    <w:pPr>
      <w:spacing w:after="0" w:line="240" w:lineRule="auto"/>
    </w:pPr>
    <w:rPr>
      <w:rFonts w:ascii="Times New Roman" w:eastAsia="Times New Roman" w:hAnsi="Times New Roman"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11">
    <w:name w:val="Light Shading - Accent 11"/>
    <w:rsid w:val="00460371"/>
    <w:pPr>
      <w:spacing w:after="0" w:line="240" w:lineRule="auto"/>
    </w:pPr>
    <w:rPr>
      <w:rFonts w:ascii="Times New Roman" w:eastAsia="Times New Roman" w:hAnsi="Times New Roman"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rsid w:val="00460371"/>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List1">
    <w:name w:val="Table List 1"/>
    <w:basedOn w:val="TableNormal"/>
    <w:rsid w:val="00460371"/>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460371"/>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LightShading-Accent31">
    <w:name w:val="Light Shading - Accent 31"/>
    <w:rsid w:val="00460371"/>
    <w:pPr>
      <w:spacing w:after="0" w:line="240" w:lineRule="auto"/>
    </w:pPr>
    <w:rPr>
      <w:rFonts w:ascii="Times New Roman" w:eastAsia="Times New Roman" w:hAnsi="Times New Roman"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ghtList-Accent11">
    <w:name w:val="Light List - Accent 11"/>
    <w:rsid w:val="00460371"/>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Headingnonumber">
    <w:name w:val="Heading no number"/>
    <w:basedOn w:val="Header"/>
    <w:autoRedefine/>
    <w:rsid w:val="001B2079"/>
    <w:pPr>
      <w:tabs>
        <w:tab w:val="clear" w:pos="4513"/>
        <w:tab w:val="clear" w:pos="9026"/>
      </w:tabs>
      <w:spacing w:before="360" w:after="200"/>
    </w:pPr>
    <w:rPr>
      <w:i/>
      <w:noProof w:val="0"/>
      <w:u w:val="single"/>
      <w:lang w:eastAsia="en-US"/>
    </w:rPr>
  </w:style>
  <w:style w:type="paragraph" w:customStyle="1" w:styleId="table2">
    <w:name w:val="table 2"/>
    <w:basedOn w:val="Normal"/>
    <w:autoRedefine/>
    <w:rsid w:val="00460371"/>
    <w:pPr>
      <w:pBdr>
        <w:top w:val="single" w:sz="4" w:space="1" w:color="FF0000"/>
        <w:left w:val="single" w:sz="4" w:space="4" w:color="FF0000"/>
        <w:bottom w:val="single" w:sz="4" w:space="1" w:color="FF0000"/>
        <w:right w:val="single" w:sz="4" w:space="4" w:color="FF0000"/>
      </w:pBdr>
      <w:spacing w:before="120" w:after="0"/>
    </w:pPr>
    <w:rPr>
      <w:rFonts w:ascii="Arial" w:eastAsia="Times New Roman" w:hAnsi="Arial" w:cs="Times New Roman"/>
      <w:sz w:val="20"/>
    </w:rPr>
  </w:style>
  <w:style w:type="paragraph" w:customStyle="1" w:styleId="NormalArial">
    <w:name w:val="Normal + Arial"/>
    <w:aliases w:val="11 pt"/>
    <w:basedOn w:val="Normal"/>
    <w:rsid w:val="00460371"/>
    <w:pPr>
      <w:spacing w:before="120" w:after="0"/>
      <w:ind w:left="550"/>
    </w:pPr>
    <w:rPr>
      <w:rFonts w:ascii="Arial" w:eastAsia="Times New Roman" w:hAnsi="Arial" w:cs="Arial"/>
      <w:sz w:val="20"/>
      <w:lang w:eastAsia="zh-CN"/>
    </w:rPr>
  </w:style>
  <w:style w:type="paragraph" w:customStyle="1" w:styleId="diagram">
    <w:name w:val="diagram"/>
    <w:basedOn w:val="Normal"/>
    <w:autoRedefine/>
    <w:rsid w:val="00460371"/>
    <w:pPr>
      <w:spacing w:after="0"/>
      <w:jc w:val="center"/>
    </w:pPr>
    <w:rPr>
      <w:rFonts w:ascii="Arial" w:eastAsia="Times New Roman" w:hAnsi="Arial" w:cs="Times New Roman"/>
      <w:noProof/>
      <w:sz w:val="20"/>
      <w:lang w:eastAsia="en-AU"/>
    </w:rPr>
  </w:style>
  <w:style w:type="paragraph" w:customStyle="1" w:styleId="Execsummary1">
    <w:name w:val="Exec summary 1"/>
    <w:basedOn w:val="Normal"/>
    <w:link w:val="Execsummary1Char"/>
    <w:rsid w:val="00460371"/>
    <w:pPr>
      <w:spacing w:before="120"/>
    </w:pPr>
    <w:rPr>
      <w:rFonts w:ascii="Arial" w:eastAsia="Times New Roman" w:hAnsi="Arial" w:cs="Times New Roman"/>
      <w:b/>
      <w:color w:val="7F7F7F"/>
      <w:sz w:val="32"/>
      <w:lang w:val="en-US"/>
    </w:rPr>
  </w:style>
  <w:style w:type="paragraph" w:styleId="FootnoteText">
    <w:name w:val="footnote text"/>
    <w:basedOn w:val="Normal"/>
    <w:link w:val="FootnoteTextChar"/>
    <w:uiPriority w:val="99"/>
    <w:rsid w:val="00460371"/>
    <w:pPr>
      <w:spacing w:before="120"/>
    </w:pPr>
    <w:rPr>
      <w:rFonts w:ascii="Arial" w:eastAsia="Times New Roman" w:hAnsi="Arial" w:cs="Times New Roman"/>
      <w:sz w:val="16"/>
      <w:szCs w:val="20"/>
      <w:lang w:val="en-US"/>
    </w:rPr>
  </w:style>
  <w:style w:type="character" w:customStyle="1" w:styleId="FootnoteTextChar">
    <w:name w:val="Footnote Text Char"/>
    <w:basedOn w:val="DefaultParagraphFont"/>
    <w:link w:val="FootnoteText"/>
    <w:uiPriority w:val="99"/>
    <w:rsid w:val="00460371"/>
    <w:rPr>
      <w:rFonts w:ascii="Arial" w:eastAsia="Times New Roman" w:hAnsi="Arial" w:cs="Times New Roman"/>
      <w:sz w:val="16"/>
      <w:szCs w:val="20"/>
      <w:lang w:val="en-US"/>
    </w:rPr>
  </w:style>
  <w:style w:type="character" w:customStyle="1" w:styleId="Execsummary1Char">
    <w:name w:val="Exec summary 1 Char"/>
    <w:link w:val="Execsummary1"/>
    <w:locked/>
    <w:rsid w:val="00460371"/>
    <w:rPr>
      <w:rFonts w:ascii="Arial" w:eastAsia="Times New Roman" w:hAnsi="Arial" w:cs="Times New Roman"/>
      <w:b/>
      <w:color w:val="7F7F7F"/>
      <w:sz w:val="32"/>
      <w:lang w:val="en-US"/>
    </w:rPr>
  </w:style>
  <w:style w:type="paragraph" w:customStyle="1" w:styleId="Streamheading">
    <w:name w:val="Stream heading"/>
    <w:basedOn w:val="Heading1"/>
    <w:link w:val="StreamheadingChar"/>
    <w:rsid w:val="00460371"/>
  </w:style>
  <w:style w:type="paragraph" w:customStyle="1" w:styleId="Heading2Level2">
    <w:name w:val="Heading 2 Level 2"/>
    <w:basedOn w:val="Heading2"/>
    <w:link w:val="Heading2Level2Char"/>
    <w:rsid w:val="00460371"/>
    <w:pPr>
      <w:numPr>
        <w:numId w:val="20"/>
      </w:numPr>
      <w:ind w:left="0" w:firstLine="0"/>
    </w:pPr>
  </w:style>
  <w:style w:type="character" w:customStyle="1" w:styleId="StreamheadingChar">
    <w:name w:val="Stream heading Char"/>
    <w:basedOn w:val="Heading1Char"/>
    <w:link w:val="Streamheading"/>
    <w:locked/>
    <w:rsid w:val="00460371"/>
    <w:rPr>
      <w:rFonts w:asciiTheme="majorHAnsi" w:eastAsiaTheme="majorEastAsia" w:hAnsiTheme="majorHAnsi" w:cstheme="majorBidi"/>
      <w:b/>
      <w:bCs/>
      <w:color w:val="008A00" w:themeColor="background2"/>
      <w:sz w:val="32"/>
      <w:szCs w:val="28"/>
    </w:rPr>
  </w:style>
  <w:style w:type="character" w:customStyle="1" w:styleId="Heading2Level2Char">
    <w:name w:val="Heading 2 Level 2 Char"/>
    <w:basedOn w:val="Heading2Char"/>
    <w:link w:val="Heading2Level2"/>
    <w:locked/>
    <w:rsid w:val="00460371"/>
    <w:rPr>
      <w:rFonts w:asciiTheme="majorHAnsi" w:eastAsiaTheme="majorEastAsia" w:hAnsiTheme="majorHAnsi" w:cstheme="majorBidi"/>
      <w:b/>
      <w:bCs/>
      <w:color w:val="008A00" w:themeColor="background2"/>
      <w:sz w:val="28"/>
      <w:szCs w:val="32"/>
    </w:rPr>
  </w:style>
  <w:style w:type="paragraph" w:customStyle="1" w:styleId="xl63">
    <w:name w:val="xl63"/>
    <w:basedOn w:val="Normal"/>
    <w:rsid w:val="00460371"/>
    <w:pPr>
      <w:spacing w:before="100" w:beforeAutospacing="1" w:after="100" w:afterAutospacing="1"/>
    </w:pPr>
    <w:rPr>
      <w:rFonts w:ascii="Times New Roman" w:eastAsia="Times New Roman" w:hAnsi="Times New Roman" w:cs="Times New Roman"/>
      <w:sz w:val="18"/>
      <w:szCs w:val="18"/>
      <w:lang w:eastAsia="en-AU"/>
    </w:rPr>
  </w:style>
  <w:style w:type="paragraph" w:customStyle="1" w:styleId="xl64">
    <w:name w:val="xl64"/>
    <w:basedOn w:val="Normal"/>
    <w:rsid w:val="00460371"/>
    <w:pPr>
      <w:spacing w:before="100" w:beforeAutospacing="1" w:after="100" w:afterAutospacing="1"/>
    </w:pPr>
    <w:rPr>
      <w:rFonts w:ascii="Times New Roman" w:eastAsia="Times New Roman" w:hAnsi="Times New Roman" w:cs="Times New Roman"/>
      <w:sz w:val="18"/>
      <w:szCs w:val="18"/>
      <w:lang w:eastAsia="en-AU"/>
    </w:rPr>
  </w:style>
  <w:style w:type="paragraph" w:customStyle="1" w:styleId="xl65">
    <w:name w:val="xl65"/>
    <w:basedOn w:val="Normal"/>
    <w:rsid w:val="00460371"/>
    <w:pPr>
      <w:spacing w:before="100" w:beforeAutospacing="1" w:after="100" w:afterAutospacing="1"/>
    </w:pPr>
    <w:rPr>
      <w:rFonts w:ascii="Times New Roman" w:eastAsia="Times New Roman" w:hAnsi="Times New Roman" w:cs="Times New Roman"/>
      <w:sz w:val="18"/>
      <w:szCs w:val="18"/>
      <w:lang w:eastAsia="en-AU"/>
    </w:rPr>
  </w:style>
  <w:style w:type="paragraph" w:customStyle="1" w:styleId="xl66">
    <w:name w:val="xl66"/>
    <w:basedOn w:val="Normal"/>
    <w:rsid w:val="00460371"/>
    <w:pPr>
      <w:shd w:val="clear" w:color="000000" w:fill="339966"/>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n-AU"/>
    </w:rPr>
  </w:style>
  <w:style w:type="paragraph" w:customStyle="1" w:styleId="xl67">
    <w:name w:val="xl67"/>
    <w:basedOn w:val="Normal"/>
    <w:rsid w:val="00460371"/>
    <w:pPr>
      <w:shd w:val="clear" w:color="000000" w:fill="339966"/>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n-AU"/>
    </w:rPr>
  </w:style>
  <w:style w:type="paragraph" w:customStyle="1" w:styleId="xl68">
    <w:name w:val="xl68"/>
    <w:basedOn w:val="Normal"/>
    <w:rsid w:val="00460371"/>
    <w:pPr>
      <w:shd w:val="clear" w:color="000000" w:fill="339966"/>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n-AU"/>
    </w:rPr>
  </w:style>
  <w:style w:type="paragraph" w:customStyle="1" w:styleId="xl69">
    <w:name w:val="xl69"/>
    <w:basedOn w:val="Normal"/>
    <w:rsid w:val="00460371"/>
    <w:pPr>
      <w:spacing w:before="100" w:beforeAutospacing="1" w:after="100" w:afterAutospacing="1"/>
    </w:pPr>
    <w:rPr>
      <w:rFonts w:ascii="Times New Roman" w:eastAsia="Times New Roman" w:hAnsi="Times New Roman" w:cs="Times New Roman"/>
      <w:sz w:val="18"/>
      <w:szCs w:val="18"/>
      <w:lang w:eastAsia="en-AU"/>
    </w:rPr>
  </w:style>
  <w:style w:type="paragraph" w:customStyle="1" w:styleId="xl70">
    <w:name w:val="xl70"/>
    <w:basedOn w:val="Normal"/>
    <w:rsid w:val="00460371"/>
    <w:pPr>
      <w:shd w:val="clear" w:color="000000" w:fill="339966"/>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n-AU"/>
    </w:rPr>
  </w:style>
  <w:style w:type="paragraph" w:customStyle="1" w:styleId="Heading1nonumber">
    <w:name w:val="Heading 1 no number"/>
    <w:basedOn w:val="Heading1"/>
    <w:link w:val="Heading1nonumberChar"/>
    <w:rsid w:val="00460371"/>
  </w:style>
  <w:style w:type="character" w:customStyle="1" w:styleId="Heading1nonumberChar">
    <w:name w:val="Heading 1 no number Char"/>
    <w:link w:val="Heading1nonumber"/>
    <w:locked/>
    <w:rsid w:val="00460371"/>
    <w:rPr>
      <w:rFonts w:asciiTheme="majorHAnsi" w:eastAsiaTheme="majorEastAsia" w:hAnsiTheme="majorHAnsi" w:cstheme="majorBidi"/>
      <w:b/>
      <w:bCs/>
      <w:color w:val="008A00" w:themeColor="background2"/>
      <w:sz w:val="32"/>
      <w:szCs w:val="28"/>
    </w:rPr>
  </w:style>
  <w:style w:type="paragraph" w:customStyle="1" w:styleId="StyleHeadingnonumberSeaGreen">
    <w:name w:val="Style Heading no number + Sea Green"/>
    <w:basedOn w:val="Headingnonumber"/>
    <w:rsid w:val="00460371"/>
    <w:pPr>
      <w:tabs>
        <w:tab w:val="center" w:pos="4153"/>
        <w:tab w:val="right" w:pos="8306"/>
      </w:tabs>
      <w:spacing w:before="120" w:after="120"/>
    </w:pPr>
    <w:rPr>
      <w:rFonts w:ascii="Times New Roman" w:eastAsia="Times New Roman" w:hAnsi="Times New Roman" w:cs="Calibri"/>
      <w:b/>
      <w:bCs/>
      <w:color w:val="7F7F7F"/>
      <w:sz w:val="32"/>
      <w:szCs w:val="24"/>
      <w:lang w:val="en-US"/>
    </w:rPr>
  </w:style>
  <w:style w:type="character" w:customStyle="1" w:styleId="Style18ptBoldItalicSeaGreen">
    <w:name w:val="Style 18 pt Bold Italic Sea Green"/>
    <w:rsid w:val="00460371"/>
    <w:rPr>
      <w:rFonts w:cs="Times New Roman"/>
      <w:b/>
      <w:bCs/>
      <w:i/>
      <w:iCs/>
      <w:color w:val="7F7F7F"/>
      <w:sz w:val="36"/>
    </w:rPr>
  </w:style>
  <w:style w:type="character" w:styleId="CommentReference">
    <w:name w:val="annotation reference"/>
    <w:rsid w:val="00460371"/>
    <w:rPr>
      <w:rFonts w:cs="Times New Roman"/>
      <w:sz w:val="16"/>
      <w:szCs w:val="16"/>
    </w:rPr>
  </w:style>
  <w:style w:type="paragraph" w:styleId="CommentText">
    <w:name w:val="annotation text"/>
    <w:basedOn w:val="Normal"/>
    <w:link w:val="CommentTextChar"/>
    <w:rsid w:val="00460371"/>
    <w:pPr>
      <w:spacing w:before="120"/>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6037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460371"/>
    <w:rPr>
      <w:b/>
      <w:bCs/>
    </w:rPr>
  </w:style>
  <w:style w:type="character" w:customStyle="1" w:styleId="CommentSubjectChar">
    <w:name w:val="Comment Subject Char"/>
    <w:basedOn w:val="CommentTextChar"/>
    <w:link w:val="CommentSubject"/>
    <w:rsid w:val="00460371"/>
    <w:rPr>
      <w:rFonts w:ascii="Arial" w:eastAsia="Times New Roman" w:hAnsi="Arial" w:cs="Times New Roman"/>
      <w:b/>
      <w:bCs/>
      <w:sz w:val="20"/>
      <w:szCs w:val="20"/>
    </w:rPr>
  </w:style>
  <w:style w:type="numbering" w:styleId="111111">
    <w:name w:val="Outline List 2"/>
    <w:basedOn w:val="NoList"/>
    <w:rsid w:val="00460371"/>
    <w:pPr>
      <w:numPr>
        <w:numId w:val="3"/>
      </w:numPr>
    </w:pPr>
  </w:style>
  <w:style w:type="numbering" w:customStyle="1" w:styleId="Style1">
    <w:name w:val="Style1"/>
    <w:rsid w:val="00460371"/>
    <w:pPr>
      <w:numPr>
        <w:numId w:val="22"/>
      </w:numPr>
    </w:pPr>
  </w:style>
  <w:style w:type="numbering" w:styleId="ArticleSection">
    <w:name w:val="Outline List 3"/>
    <w:basedOn w:val="NoList"/>
    <w:rsid w:val="00460371"/>
    <w:pPr>
      <w:numPr>
        <w:numId w:val="5"/>
      </w:numPr>
    </w:pPr>
  </w:style>
  <w:style w:type="numbering" w:styleId="1ai">
    <w:name w:val="Outline List 1"/>
    <w:basedOn w:val="NoList"/>
    <w:rsid w:val="00460371"/>
    <w:pPr>
      <w:numPr>
        <w:numId w:val="4"/>
      </w:numPr>
    </w:pPr>
  </w:style>
  <w:style w:type="paragraph" w:styleId="TableofFigures">
    <w:name w:val="table of figures"/>
    <w:basedOn w:val="Normal"/>
    <w:next w:val="Normal"/>
    <w:uiPriority w:val="99"/>
    <w:unhideWhenUsed/>
    <w:rsid w:val="00460371"/>
    <w:pPr>
      <w:spacing w:after="0" w:line="276" w:lineRule="auto"/>
    </w:pPr>
    <w:rPr>
      <w:rFonts w:ascii="Times New Roman" w:hAnsi="Times New Roman"/>
      <w:sz w:val="24"/>
    </w:rPr>
  </w:style>
  <w:style w:type="paragraph" w:styleId="TOC5">
    <w:name w:val="toc 5"/>
    <w:basedOn w:val="Normal"/>
    <w:next w:val="Normal"/>
    <w:autoRedefine/>
    <w:uiPriority w:val="39"/>
    <w:unhideWhenUsed/>
    <w:rsid w:val="00460371"/>
    <w:pPr>
      <w:spacing w:after="100" w:line="276" w:lineRule="auto"/>
      <w:ind w:left="880"/>
    </w:pPr>
    <w:rPr>
      <w:rFonts w:eastAsiaTheme="minorEastAsia"/>
      <w:sz w:val="20"/>
      <w:lang w:eastAsia="en-AU"/>
    </w:rPr>
  </w:style>
  <w:style w:type="paragraph" w:styleId="TOC6">
    <w:name w:val="toc 6"/>
    <w:basedOn w:val="Normal"/>
    <w:next w:val="Normal"/>
    <w:autoRedefine/>
    <w:uiPriority w:val="39"/>
    <w:unhideWhenUsed/>
    <w:rsid w:val="00460371"/>
    <w:pPr>
      <w:spacing w:after="100" w:line="276" w:lineRule="auto"/>
      <w:ind w:left="1100"/>
    </w:pPr>
    <w:rPr>
      <w:rFonts w:eastAsiaTheme="minorEastAsia"/>
      <w:sz w:val="20"/>
      <w:lang w:eastAsia="en-AU"/>
    </w:rPr>
  </w:style>
  <w:style w:type="paragraph" w:styleId="TOC7">
    <w:name w:val="toc 7"/>
    <w:basedOn w:val="Normal"/>
    <w:next w:val="Normal"/>
    <w:autoRedefine/>
    <w:uiPriority w:val="39"/>
    <w:unhideWhenUsed/>
    <w:rsid w:val="00460371"/>
    <w:pPr>
      <w:spacing w:after="100" w:line="276" w:lineRule="auto"/>
      <w:ind w:left="1320"/>
    </w:pPr>
    <w:rPr>
      <w:rFonts w:eastAsiaTheme="minorEastAsia"/>
      <w:sz w:val="20"/>
      <w:lang w:eastAsia="en-AU"/>
    </w:rPr>
  </w:style>
  <w:style w:type="paragraph" w:styleId="TOC8">
    <w:name w:val="toc 8"/>
    <w:basedOn w:val="Normal"/>
    <w:next w:val="Normal"/>
    <w:autoRedefine/>
    <w:uiPriority w:val="39"/>
    <w:unhideWhenUsed/>
    <w:rsid w:val="00460371"/>
    <w:pPr>
      <w:spacing w:after="100" w:line="276" w:lineRule="auto"/>
      <w:ind w:left="1540"/>
    </w:pPr>
    <w:rPr>
      <w:rFonts w:eastAsiaTheme="minorEastAsia"/>
      <w:sz w:val="20"/>
      <w:lang w:eastAsia="en-AU"/>
    </w:rPr>
  </w:style>
  <w:style w:type="paragraph" w:styleId="TOC9">
    <w:name w:val="toc 9"/>
    <w:basedOn w:val="Normal"/>
    <w:next w:val="Normal"/>
    <w:autoRedefine/>
    <w:uiPriority w:val="39"/>
    <w:unhideWhenUsed/>
    <w:rsid w:val="00460371"/>
    <w:pPr>
      <w:spacing w:after="100" w:line="276" w:lineRule="auto"/>
      <w:ind w:left="1760"/>
    </w:pPr>
    <w:rPr>
      <w:rFonts w:eastAsiaTheme="minorEastAsia"/>
      <w:sz w:val="20"/>
      <w:lang w:eastAsia="en-AU"/>
    </w:rPr>
  </w:style>
  <w:style w:type="paragraph" w:styleId="Revision">
    <w:name w:val="Revision"/>
    <w:hidden/>
    <w:uiPriority w:val="99"/>
    <w:semiHidden/>
    <w:rsid w:val="00460371"/>
    <w:pPr>
      <w:spacing w:after="0" w:line="240" w:lineRule="auto"/>
    </w:pPr>
    <w:rPr>
      <w:rFonts w:ascii="Arial" w:eastAsia="Times New Roman" w:hAnsi="Arial" w:cs="Times New Roman"/>
      <w:sz w:val="20"/>
    </w:rPr>
  </w:style>
  <w:style w:type="numbering" w:customStyle="1" w:styleId="NoList1">
    <w:name w:val="No List1"/>
    <w:next w:val="NoList"/>
    <w:uiPriority w:val="99"/>
    <w:semiHidden/>
    <w:unhideWhenUsed/>
    <w:rsid w:val="00460371"/>
  </w:style>
  <w:style w:type="table" w:customStyle="1" w:styleId="TableGrid10">
    <w:name w:val="Table Grid1"/>
    <w:basedOn w:val="TableNormal"/>
    <w:next w:val="TableGrid"/>
    <w:uiPriority w:val="59"/>
    <w:rsid w:val="00460371"/>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
    <w:name w:val="Headings"/>
    <w:uiPriority w:val="99"/>
    <w:rsid w:val="00460371"/>
    <w:pPr>
      <w:numPr>
        <w:numId w:val="42"/>
      </w:numPr>
    </w:pPr>
  </w:style>
  <w:style w:type="character" w:customStyle="1" w:styleId="Heading1Char1">
    <w:name w:val="Heading 1 Char1"/>
    <w:basedOn w:val="DefaultParagraphFont"/>
    <w:uiPriority w:val="9"/>
    <w:rsid w:val="00460371"/>
    <w:rPr>
      <w:rFonts w:ascii="Calibri" w:eastAsia="Times New Roman" w:hAnsi="Calibri" w:cs="Times New Roman"/>
      <w:b/>
      <w:bCs/>
      <w:szCs w:val="28"/>
    </w:rPr>
  </w:style>
  <w:style w:type="character" w:customStyle="1" w:styleId="Heading2Char1">
    <w:name w:val="Heading 2 Char1"/>
    <w:basedOn w:val="DefaultParagraphFont"/>
    <w:uiPriority w:val="9"/>
    <w:rsid w:val="00460371"/>
    <w:rPr>
      <w:rFonts w:ascii="Calibri" w:eastAsia="Times New Roman" w:hAnsi="Calibri" w:cs="Times New Roman"/>
      <w:b/>
      <w:szCs w:val="26"/>
    </w:rPr>
  </w:style>
  <w:style w:type="numbering" w:customStyle="1" w:styleId="Headingsv2">
    <w:name w:val="Headings v2"/>
    <w:uiPriority w:val="99"/>
    <w:rsid w:val="00460371"/>
    <w:pPr>
      <w:numPr>
        <w:numId w:val="43"/>
      </w:numPr>
    </w:pPr>
  </w:style>
  <w:style w:type="paragraph" w:customStyle="1" w:styleId="EndnoteText1">
    <w:name w:val="Endnote Text1"/>
    <w:basedOn w:val="Normal"/>
    <w:next w:val="EndnoteText"/>
    <w:link w:val="EndnoteTextChar"/>
    <w:uiPriority w:val="99"/>
    <w:semiHidden/>
    <w:unhideWhenUsed/>
    <w:rsid w:val="00460371"/>
    <w:pPr>
      <w:spacing w:after="0"/>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1"/>
    <w:uiPriority w:val="99"/>
    <w:semiHidden/>
    <w:rsid w:val="00460371"/>
    <w:rPr>
      <w:rFonts w:ascii="Calibri" w:eastAsia="Times New Roman" w:hAnsi="Calibri" w:cs="Times New Roman"/>
      <w:sz w:val="20"/>
      <w:szCs w:val="20"/>
      <w:lang w:eastAsia="en-AU"/>
    </w:rPr>
  </w:style>
  <w:style w:type="character" w:styleId="EndnoteReference">
    <w:name w:val="endnote reference"/>
    <w:basedOn w:val="DefaultParagraphFont"/>
    <w:uiPriority w:val="99"/>
    <w:unhideWhenUsed/>
    <w:rsid w:val="00460371"/>
    <w:rPr>
      <w:vertAlign w:val="superscript"/>
    </w:rPr>
  </w:style>
  <w:style w:type="paragraph" w:styleId="EndnoteText">
    <w:name w:val="endnote text"/>
    <w:basedOn w:val="Normal"/>
    <w:link w:val="EndnoteTextChar1"/>
    <w:rsid w:val="00460371"/>
    <w:pPr>
      <w:spacing w:after="0"/>
    </w:pPr>
    <w:rPr>
      <w:rFonts w:ascii="Arial" w:eastAsia="Times New Roman" w:hAnsi="Arial" w:cs="Times New Roman"/>
      <w:sz w:val="20"/>
      <w:szCs w:val="20"/>
    </w:rPr>
  </w:style>
  <w:style w:type="character" w:customStyle="1" w:styleId="EndnoteTextChar1">
    <w:name w:val="Endnote Text Char1"/>
    <w:basedOn w:val="DefaultParagraphFont"/>
    <w:link w:val="EndnoteText"/>
    <w:rsid w:val="00460371"/>
    <w:rPr>
      <w:rFonts w:ascii="Arial" w:eastAsia="Times New Roman" w:hAnsi="Arial" w:cs="Times New Roman"/>
      <w:sz w:val="20"/>
      <w:szCs w:val="20"/>
    </w:rPr>
  </w:style>
  <w:style w:type="character" w:customStyle="1" w:styleId="ListParagraphChar">
    <w:name w:val="List Paragraph Char"/>
    <w:link w:val="ListParagraph"/>
    <w:uiPriority w:val="34"/>
    <w:locked/>
    <w:rsid w:val="004B44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Title" w:semiHidden="0" w:unhideWhenUsed="0" w:qFormat="1"/>
    <w:lsdException w:name="Default Paragraph Font" w:uiPriority="1"/>
    <w:lsdException w:name="Subtitle" w:semiHidden="0" w:unhideWhenUsed="0" w:qFormat="1"/>
    <w:lsdException w:name="Date" w:uiPriority="99"/>
    <w:lsdException w:name="Body Tex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locked="1"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locked="1" w:semiHidden="0" w:uiPriority="64" w:unhideWhenUsed="0"/>
    <w:lsdException w:name="Medium List 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locked="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locked="1" w:semiHidden="0" w:uiPriority="64" w:unhideWhenUsed="0"/>
    <w:lsdException w:name="Medium List 1 Accent 2"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locked="1" w:semiHidden="0" w:uiPriority="64" w:unhideWhenUsed="0"/>
    <w:lsdException w:name="Medium List 1 Accent 3"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locked="1" w:semiHidden="0" w:uiPriority="64" w:unhideWhenUsed="0"/>
    <w:lsdException w:name="Medium List 1 Accent 4"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locked="1" w:semiHidden="0" w:uiPriority="64" w:unhideWhenUsed="0"/>
    <w:lsdException w:name="Medium List 1 Accent 5"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locked="1" w:semiHidden="0" w:uiPriority="64" w:unhideWhenUsed="0"/>
    <w:lsdException w:name="Medium List 1 Accent 6"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7A54D2"/>
    <w:pPr>
      <w:spacing w:after="120" w:line="240" w:lineRule="auto"/>
    </w:pPr>
  </w:style>
  <w:style w:type="paragraph" w:styleId="Heading1">
    <w:name w:val="heading 1"/>
    <w:basedOn w:val="Normal"/>
    <w:next w:val="Normal"/>
    <w:link w:val="Heading1Char"/>
    <w:uiPriority w:val="9"/>
    <w:qFormat/>
    <w:rsid w:val="00480692"/>
    <w:pPr>
      <w:keepNext/>
      <w:keepLines/>
      <w:tabs>
        <w:tab w:val="num" w:pos="1492"/>
      </w:tabs>
      <w:spacing w:before="200" w:after="480"/>
      <w:ind w:firstLine="357"/>
      <w:outlineLvl w:val="0"/>
    </w:pPr>
    <w:rPr>
      <w:rFonts w:asciiTheme="majorHAnsi" w:eastAsiaTheme="majorEastAsia" w:hAnsiTheme="majorHAnsi" w:cstheme="majorBidi"/>
      <w:b/>
      <w:bCs/>
      <w:color w:val="008A00" w:themeColor="background2"/>
      <w:sz w:val="32"/>
      <w:szCs w:val="28"/>
    </w:rPr>
  </w:style>
  <w:style w:type="paragraph" w:styleId="Heading2">
    <w:name w:val="heading 2"/>
    <w:basedOn w:val="Normal"/>
    <w:next w:val="Normal"/>
    <w:link w:val="Heading2Char"/>
    <w:uiPriority w:val="9"/>
    <w:qFormat/>
    <w:rsid w:val="001E6A47"/>
    <w:pPr>
      <w:keepNext/>
      <w:keepLines/>
      <w:spacing w:before="240" w:after="240"/>
      <w:outlineLvl w:val="1"/>
    </w:pPr>
    <w:rPr>
      <w:rFonts w:asciiTheme="majorHAnsi" w:eastAsiaTheme="majorEastAsia" w:hAnsiTheme="majorHAnsi" w:cstheme="majorBidi"/>
      <w:b/>
      <w:bCs/>
      <w:color w:val="008A00" w:themeColor="background2"/>
      <w:sz w:val="28"/>
      <w:szCs w:val="32"/>
    </w:rPr>
  </w:style>
  <w:style w:type="paragraph" w:styleId="Heading3">
    <w:name w:val="heading 3"/>
    <w:basedOn w:val="Normal"/>
    <w:next w:val="Normal"/>
    <w:link w:val="Heading3Char"/>
    <w:uiPriority w:val="9"/>
    <w:qFormat/>
    <w:rsid w:val="00F321F6"/>
    <w:pPr>
      <w:keepNext/>
      <w:keepLines/>
      <w:numPr>
        <w:ilvl w:val="2"/>
        <w:numId w:val="12"/>
      </w:numPr>
      <w:spacing w:before="480" w:after="240"/>
      <w:outlineLvl w:val="2"/>
    </w:pPr>
    <w:rPr>
      <w:rFonts w:asciiTheme="majorHAnsi" w:eastAsiaTheme="majorEastAsia" w:hAnsiTheme="majorHAnsi" w:cstheme="majorBidi"/>
      <w:b/>
      <w:bCs/>
      <w:color w:val="004200" w:themeColor="text2"/>
      <w:sz w:val="26"/>
    </w:rPr>
  </w:style>
  <w:style w:type="paragraph" w:styleId="Heading4">
    <w:name w:val="heading 4"/>
    <w:basedOn w:val="Normal"/>
    <w:next w:val="Normal"/>
    <w:link w:val="Heading4Char"/>
    <w:qFormat/>
    <w:rsid w:val="00181B15"/>
    <w:pPr>
      <w:keepNext/>
      <w:keepLines/>
      <w:spacing w:before="360" w:after="240"/>
      <w:outlineLvl w:val="3"/>
    </w:pPr>
    <w:rPr>
      <w:rFonts w:asciiTheme="majorHAnsi" w:eastAsiaTheme="majorEastAsia" w:hAnsiTheme="majorHAnsi" w:cstheme="majorBidi"/>
      <w:b/>
      <w:bCs/>
      <w:i/>
      <w:iCs/>
      <w:color w:val="000000" w:themeColor="accent1"/>
      <w:sz w:val="24"/>
    </w:rPr>
  </w:style>
  <w:style w:type="paragraph" w:styleId="Heading5">
    <w:name w:val="heading 5"/>
    <w:basedOn w:val="Normal"/>
    <w:next w:val="Normal"/>
    <w:link w:val="Heading5Char"/>
    <w:qFormat/>
    <w:rsid w:val="00FD485A"/>
    <w:pPr>
      <w:keepNext/>
      <w:keepLines/>
      <w:numPr>
        <w:ilvl w:val="4"/>
        <w:numId w:val="12"/>
      </w:numPr>
      <w:spacing w:before="200" w:after="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qFormat/>
    <w:rsid w:val="00BC472B"/>
    <w:pPr>
      <w:keepNext/>
      <w:keepLines/>
      <w:numPr>
        <w:ilvl w:val="5"/>
        <w:numId w:val="12"/>
      </w:numPr>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qFormat/>
    <w:rsid w:val="00223F52"/>
    <w:pPr>
      <w:keepNext/>
      <w:keepLines/>
      <w:numPr>
        <w:ilvl w:val="6"/>
        <w:numId w:val="12"/>
      </w:numPr>
      <w:spacing w:before="200" w:after="0"/>
      <w:outlineLvl w:val="6"/>
    </w:pPr>
    <w:rPr>
      <w:rFonts w:asciiTheme="majorHAnsi" w:eastAsiaTheme="majorEastAsia" w:hAnsiTheme="majorHAnsi" w:cstheme="majorBidi"/>
      <w:i/>
      <w:iCs/>
      <w:u w:val="single"/>
    </w:rPr>
  </w:style>
  <w:style w:type="paragraph" w:styleId="Heading8">
    <w:name w:val="heading 8"/>
    <w:basedOn w:val="Normal"/>
    <w:next w:val="Normal"/>
    <w:link w:val="Heading8Char"/>
    <w:unhideWhenUsed/>
    <w:qFormat/>
    <w:rsid w:val="00BC472B"/>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C472B"/>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692"/>
    <w:rPr>
      <w:rFonts w:asciiTheme="majorHAnsi" w:eastAsiaTheme="majorEastAsia" w:hAnsiTheme="majorHAnsi" w:cstheme="majorBidi"/>
      <w:b/>
      <w:bCs/>
      <w:color w:val="008A00" w:themeColor="background2"/>
      <w:sz w:val="32"/>
      <w:szCs w:val="28"/>
    </w:rPr>
  </w:style>
  <w:style w:type="paragraph" w:styleId="Header">
    <w:name w:val="header"/>
    <w:basedOn w:val="Normal"/>
    <w:link w:val="HeaderChar"/>
    <w:unhideWhenUsed/>
    <w:rsid w:val="004B071D"/>
    <w:pPr>
      <w:tabs>
        <w:tab w:val="center" w:pos="4513"/>
        <w:tab w:val="right" w:pos="9026"/>
      </w:tabs>
      <w:spacing w:before="240" w:after="0"/>
    </w:pPr>
    <w:rPr>
      <w:noProof/>
      <w:lang w:eastAsia="en-AU"/>
    </w:rPr>
  </w:style>
  <w:style w:type="character" w:customStyle="1" w:styleId="HeaderChar">
    <w:name w:val="Header Char"/>
    <w:basedOn w:val="DefaultParagraphFont"/>
    <w:link w:val="Header"/>
    <w:uiPriority w:val="99"/>
    <w:rsid w:val="004B071D"/>
    <w:rPr>
      <w:noProof/>
      <w:lang w:eastAsia="en-AU"/>
    </w:rPr>
  </w:style>
  <w:style w:type="paragraph" w:styleId="Footer">
    <w:name w:val="footer"/>
    <w:basedOn w:val="Normal"/>
    <w:link w:val="FooterChar"/>
    <w:uiPriority w:val="99"/>
    <w:unhideWhenUsed/>
    <w:rsid w:val="00775A6C"/>
    <w:pPr>
      <w:tabs>
        <w:tab w:val="center" w:pos="4513"/>
        <w:tab w:val="right" w:pos="9026"/>
      </w:tabs>
      <w:spacing w:after="0"/>
    </w:pPr>
  </w:style>
  <w:style w:type="character" w:customStyle="1" w:styleId="FooterChar">
    <w:name w:val="Footer Char"/>
    <w:basedOn w:val="DefaultParagraphFont"/>
    <w:link w:val="Footer"/>
    <w:uiPriority w:val="99"/>
    <w:rsid w:val="00775A6C"/>
  </w:style>
  <w:style w:type="character" w:customStyle="1" w:styleId="Heading2Char">
    <w:name w:val="Heading 2 Char"/>
    <w:basedOn w:val="DefaultParagraphFont"/>
    <w:link w:val="Heading2"/>
    <w:uiPriority w:val="9"/>
    <w:rsid w:val="001E6A47"/>
    <w:rPr>
      <w:rFonts w:asciiTheme="majorHAnsi" w:eastAsiaTheme="majorEastAsia" w:hAnsiTheme="majorHAnsi" w:cstheme="majorBidi"/>
      <w:b/>
      <w:bCs/>
      <w:color w:val="008A00" w:themeColor="background2"/>
      <w:sz w:val="28"/>
      <w:szCs w:val="32"/>
    </w:rPr>
  </w:style>
  <w:style w:type="character" w:customStyle="1" w:styleId="Heading3Char">
    <w:name w:val="Heading 3 Char"/>
    <w:basedOn w:val="DefaultParagraphFont"/>
    <w:link w:val="Heading3"/>
    <w:uiPriority w:val="9"/>
    <w:rsid w:val="00F321F6"/>
    <w:rPr>
      <w:rFonts w:asciiTheme="majorHAnsi" w:eastAsiaTheme="majorEastAsia" w:hAnsiTheme="majorHAnsi" w:cstheme="majorBidi"/>
      <w:b/>
      <w:bCs/>
      <w:color w:val="004200" w:themeColor="text2"/>
      <w:sz w:val="26"/>
    </w:rPr>
  </w:style>
  <w:style w:type="paragraph" w:styleId="ListParagraph">
    <w:name w:val="List Paragraph"/>
    <w:basedOn w:val="Normal"/>
    <w:link w:val="ListParagraphChar"/>
    <w:uiPriority w:val="34"/>
    <w:qFormat/>
    <w:rsid w:val="00667796"/>
    <w:pPr>
      <w:ind w:left="720"/>
    </w:pPr>
  </w:style>
  <w:style w:type="paragraph" w:styleId="Quote">
    <w:name w:val="Quote"/>
    <w:basedOn w:val="Normal"/>
    <w:next w:val="Normal"/>
    <w:link w:val="QuoteChar"/>
    <w:qFormat/>
    <w:rsid w:val="00335A8F"/>
    <w:rPr>
      <w:i/>
      <w:iCs/>
      <w:color w:val="000000" w:themeColor="text1"/>
    </w:rPr>
  </w:style>
  <w:style w:type="character" w:customStyle="1" w:styleId="QuoteChar">
    <w:name w:val="Quote Char"/>
    <w:basedOn w:val="DefaultParagraphFont"/>
    <w:link w:val="Quote"/>
    <w:rsid w:val="006D7F4A"/>
    <w:rPr>
      <w:i/>
      <w:iCs/>
      <w:color w:val="000000" w:themeColor="text1"/>
      <w:sz w:val="24"/>
    </w:rPr>
  </w:style>
  <w:style w:type="paragraph" w:customStyle="1" w:styleId="Bullet1">
    <w:name w:val="Bullet 1"/>
    <w:basedOn w:val="Normal"/>
    <w:uiPriority w:val="34"/>
    <w:semiHidden/>
    <w:rsid w:val="00800E03"/>
    <w:pPr>
      <w:numPr>
        <w:numId w:val="1"/>
      </w:numPr>
    </w:pPr>
  </w:style>
  <w:style w:type="character" w:customStyle="1" w:styleId="Act">
    <w:name w:val="Act"/>
    <w:basedOn w:val="DefaultParagraphFont"/>
    <w:uiPriority w:val="23"/>
    <w:qFormat/>
    <w:rsid w:val="00335A8F"/>
    <w:rPr>
      <w:i/>
    </w:rPr>
  </w:style>
  <w:style w:type="paragraph" w:styleId="Title">
    <w:name w:val="Title"/>
    <w:aliases w:val="Title Artwork"/>
    <w:basedOn w:val="Normal"/>
    <w:next w:val="Subtitle"/>
    <w:link w:val="TitleChar"/>
    <w:qFormat/>
    <w:rsid w:val="0007116B"/>
    <w:pPr>
      <w:spacing w:before="9000" w:after="300"/>
      <w:ind w:left="6804" w:right="260"/>
      <w:contextualSpacing/>
      <w:jc w:val="right"/>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aliases w:val="Title Artwork Char"/>
    <w:basedOn w:val="DefaultParagraphFont"/>
    <w:link w:val="Title"/>
    <w:uiPriority w:val="11"/>
    <w:rsid w:val="0007116B"/>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VersionandDate"/>
    <w:link w:val="SubtitleChar"/>
    <w:qFormat/>
    <w:rsid w:val="00185C14"/>
    <w:pPr>
      <w:numPr>
        <w:ilvl w:val="1"/>
      </w:numPr>
      <w:jc w:val="right"/>
    </w:pPr>
    <w:rPr>
      <w:rFonts w:asciiTheme="majorHAnsi" w:eastAsiaTheme="majorEastAsia" w:hAnsiTheme="majorHAnsi" w:cstheme="majorBidi"/>
      <w:iCs/>
      <w:color w:val="000000" w:themeColor="accent1"/>
      <w:spacing w:val="15"/>
      <w:sz w:val="40"/>
      <w:szCs w:val="40"/>
    </w:rPr>
  </w:style>
  <w:style w:type="character" w:customStyle="1" w:styleId="SubtitleChar">
    <w:name w:val="Subtitle Char"/>
    <w:basedOn w:val="DefaultParagraphFont"/>
    <w:link w:val="Subtitle"/>
    <w:uiPriority w:val="12"/>
    <w:rsid w:val="00185C14"/>
    <w:rPr>
      <w:rFonts w:asciiTheme="majorHAnsi" w:eastAsiaTheme="majorEastAsia" w:hAnsiTheme="majorHAnsi" w:cstheme="majorBidi"/>
      <w:iCs/>
      <w:color w:val="000000" w:themeColor="accent1"/>
      <w:spacing w:val="15"/>
      <w:sz w:val="40"/>
      <w:szCs w:val="40"/>
    </w:rPr>
  </w:style>
  <w:style w:type="paragraph" w:styleId="BalloonText">
    <w:name w:val="Balloon Text"/>
    <w:basedOn w:val="Normal"/>
    <w:link w:val="BalloonTextChar"/>
    <w:uiPriority w:val="99"/>
    <w:unhideWhenUsed/>
    <w:rsid w:val="008B0084"/>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8B0084"/>
    <w:rPr>
      <w:rFonts w:ascii="Tahoma" w:hAnsi="Tahoma" w:cs="Tahoma"/>
      <w:sz w:val="16"/>
      <w:szCs w:val="16"/>
    </w:rPr>
  </w:style>
  <w:style w:type="paragraph" w:customStyle="1" w:styleId="VersionandDate">
    <w:name w:val="Version and Date"/>
    <w:basedOn w:val="Normal"/>
    <w:next w:val="Normal"/>
    <w:uiPriority w:val="13"/>
    <w:qFormat/>
    <w:rsid w:val="0007116B"/>
    <w:pPr>
      <w:ind w:left="6804" w:right="260"/>
      <w:jc w:val="right"/>
    </w:pPr>
    <w:rPr>
      <w:sz w:val="28"/>
      <w:szCs w:val="28"/>
    </w:rPr>
  </w:style>
  <w:style w:type="paragraph" w:customStyle="1" w:styleId="Covernote">
    <w:name w:val="Cover note"/>
    <w:basedOn w:val="Normal"/>
    <w:next w:val="Normal"/>
    <w:uiPriority w:val="14"/>
    <w:rsid w:val="006472C0"/>
    <w:rPr>
      <w:i/>
    </w:rPr>
  </w:style>
  <w:style w:type="character" w:customStyle="1" w:styleId="Heading4Char">
    <w:name w:val="Heading 4 Char"/>
    <w:basedOn w:val="DefaultParagraphFont"/>
    <w:link w:val="Heading4"/>
    <w:rsid w:val="00181B15"/>
    <w:rPr>
      <w:rFonts w:asciiTheme="majorHAnsi" w:eastAsiaTheme="majorEastAsia" w:hAnsiTheme="majorHAnsi" w:cstheme="majorBidi"/>
      <w:b/>
      <w:bCs/>
      <w:i/>
      <w:iCs/>
      <w:color w:val="000000" w:themeColor="accent1"/>
      <w:sz w:val="24"/>
    </w:rPr>
  </w:style>
  <w:style w:type="table" w:styleId="TableGrid">
    <w:name w:val="Table Grid"/>
    <w:basedOn w:val="TableNormal"/>
    <w:uiPriority w:val="59"/>
    <w:rsid w:val="000B1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1BEE"/>
    <w:pPr>
      <w:autoSpaceDE w:val="0"/>
      <w:autoSpaceDN w:val="0"/>
      <w:adjustRightInd w:val="0"/>
      <w:spacing w:after="0" w:line="240" w:lineRule="auto"/>
    </w:pPr>
    <w:rPr>
      <w:rFonts w:ascii="Arial" w:hAnsi="Arial" w:cs="Arial"/>
      <w:color w:val="000000"/>
      <w:sz w:val="24"/>
      <w:szCs w:val="24"/>
    </w:rPr>
  </w:style>
  <w:style w:type="table" w:styleId="LightList-Accent6">
    <w:name w:val="Light List Accent 6"/>
    <w:basedOn w:val="TableNormal"/>
    <w:uiPriority w:val="61"/>
    <w:rsid w:val="00EC68AC"/>
    <w:pPr>
      <w:spacing w:before="40" w:after="40" w:line="240" w:lineRule="auto"/>
    </w:pPr>
    <w:tblPr>
      <w:tblStyleRowBandSize w:val="1"/>
      <w:tblStyleColBandSize w:val="1"/>
      <w:tblBorders>
        <w:top w:val="single" w:sz="8" w:space="0" w:color="004200" w:themeColor="accent6"/>
        <w:left w:val="single" w:sz="8" w:space="0" w:color="004200" w:themeColor="accent6"/>
        <w:bottom w:val="single" w:sz="8" w:space="0" w:color="004200" w:themeColor="accent6"/>
        <w:right w:val="single" w:sz="8" w:space="0" w:color="004200" w:themeColor="accent6"/>
        <w:insideH w:val="single" w:sz="8" w:space="0" w:color="004200" w:themeColor="accent6"/>
        <w:insideV w:val="single" w:sz="8" w:space="0" w:color="004200" w:themeColor="accent6"/>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4200" w:themeFill="accent6"/>
      </w:tcPr>
    </w:tblStylePr>
    <w:tblStylePr w:type="lastRow">
      <w:pPr>
        <w:wordWrap/>
        <w:spacing w:beforeLines="0" w:before="40" w:beforeAutospacing="0" w:afterLines="0" w:after="40" w:afterAutospacing="0" w:line="240" w:lineRule="auto"/>
      </w:pPr>
      <w:rPr>
        <w:b/>
        <w:bCs/>
      </w:rPr>
      <w:tblPr/>
      <w:tcPr>
        <w:tcBorders>
          <w:top w:val="double" w:sz="6" w:space="0" w:color="004200" w:themeColor="accent6"/>
          <w:left w:val="single" w:sz="8" w:space="0" w:color="004200" w:themeColor="accent6"/>
          <w:bottom w:val="single" w:sz="8" w:space="0" w:color="004200" w:themeColor="accent6"/>
          <w:right w:val="single" w:sz="8" w:space="0" w:color="004200" w:themeColor="accent6"/>
        </w:tcBorders>
      </w:tcPr>
    </w:tblStylePr>
    <w:tblStylePr w:type="firstCol">
      <w:rPr>
        <w:b/>
        <w:bCs/>
      </w:rPr>
    </w:tblStylePr>
    <w:tblStylePr w:type="lastCol">
      <w:rPr>
        <w:b/>
        <w:bCs/>
      </w:rPr>
    </w:tblStylePr>
    <w:tblStylePr w:type="band1Vert">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1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2Horz">
      <w:tblPr/>
      <w:tcPr>
        <w:shd w:val="clear" w:color="auto" w:fill="DBDCDD" w:themeFill="accent4" w:themeFillTint="66"/>
      </w:tcPr>
    </w:tblStylePr>
  </w:style>
  <w:style w:type="table" w:styleId="LightList-Accent3">
    <w:name w:val="Light List Accent 3"/>
    <w:basedOn w:val="TableNormal"/>
    <w:uiPriority w:val="61"/>
    <w:rsid w:val="00842C34"/>
    <w:pPr>
      <w:spacing w:before="40" w:after="40" w:line="240" w:lineRule="auto"/>
    </w:pPr>
    <w:tblPr>
      <w:tblStyleRowBandSize w:val="1"/>
      <w:tblStyleColBandSize w:val="1"/>
      <w:tblBorders>
        <w:top w:val="single" w:sz="8" w:space="0" w:color="58595B" w:themeColor="accent2"/>
        <w:left w:val="single" w:sz="8" w:space="0" w:color="58595B" w:themeColor="accent2"/>
        <w:bottom w:val="single" w:sz="8" w:space="0" w:color="58595B" w:themeColor="accent2"/>
        <w:right w:val="single" w:sz="8" w:space="0" w:color="58595B" w:themeColor="accent2"/>
        <w:insideH w:val="single" w:sz="8" w:space="0" w:color="58595B" w:themeColor="accent2"/>
        <w:insideV w:val="single" w:sz="8" w:space="0" w:color="58595B" w:themeColor="accent2"/>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tcBorders>
      </w:tcPr>
    </w:tblStylePr>
    <w:tblStylePr w:type="firstCol">
      <w:rPr>
        <w:b/>
        <w:bCs/>
      </w:rPr>
    </w:tblStylePr>
    <w:tblStylePr w:type="lastCol">
      <w:rPr>
        <w:b/>
        <w:bCs/>
      </w:rPr>
    </w:tblStylePr>
    <w:tblStylePr w:type="band1Vert">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1Horz">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2Horz">
      <w:tblPr/>
      <w:tcPr>
        <w:tcBorders>
          <w:top w:val="single" w:sz="8" w:space="0" w:color="58595B" w:themeColor="accent2"/>
          <w:left w:val="single" w:sz="8" w:space="0" w:color="58595B" w:themeColor="accent2"/>
          <w:bottom w:val="single" w:sz="8" w:space="0" w:color="58595B" w:themeColor="accent2"/>
          <w:right w:val="single" w:sz="8" w:space="0" w:color="58595B" w:themeColor="accent2"/>
          <w:insideH w:val="single" w:sz="8" w:space="0" w:color="58595B" w:themeColor="accent2"/>
          <w:insideV w:val="single" w:sz="8" w:space="0" w:color="58595B" w:themeColor="accent2"/>
          <w:tl2br w:val="nil"/>
          <w:tr2bl w:val="nil"/>
        </w:tcBorders>
        <w:shd w:val="clear" w:color="auto" w:fill="A7A9AC" w:themeFill="accent4"/>
      </w:tcPr>
    </w:tblStylePr>
  </w:style>
  <w:style w:type="table" w:styleId="LightShading-Accent4">
    <w:name w:val="Light Shading Accent 4"/>
    <w:basedOn w:val="TableNormal"/>
    <w:uiPriority w:val="60"/>
    <w:locked/>
    <w:rsid w:val="00DC6A18"/>
    <w:pPr>
      <w:spacing w:after="0" w:line="240" w:lineRule="auto"/>
    </w:pPr>
    <w:rPr>
      <w:color w:val="7B7E82" w:themeColor="accent4" w:themeShade="BF"/>
    </w:rPr>
    <w:tblPr>
      <w:tblStyleRowBandSize w:val="1"/>
      <w:tblStyleColBandSize w:val="1"/>
      <w:tblBorders>
        <w:top w:val="single" w:sz="8" w:space="0" w:color="A7A9AC" w:themeColor="accent4"/>
        <w:bottom w:val="single" w:sz="8" w:space="0" w:color="A7A9AC" w:themeColor="accent4"/>
      </w:tblBorders>
    </w:tblPr>
    <w:tblStylePr w:type="firstRow">
      <w:pPr>
        <w:spacing w:before="0" w:after="0" w:line="240" w:lineRule="auto"/>
      </w:pPr>
      <w:rPr>
        <w:b/>
        <w:bCs/>
      </w:rPr>
      <w:tblPr/>
      <w:tcPr>
        <w:tcBorders>
          <w:top w:val="single" w:sz="8" w:space="0" w:color="A7A9AC" w:themeColor="accent4"/>
          <w:left w:val="nil"/>
          <w:bottom w:val="single" w:sz="8" w:space="0" w:color="A7A9AC" w:themeColor="accent4"/>
          <w:right w:val="nil"/>
          <w:insideH w:val="nil"/>
          <w:insideV w:val="nil"/>
        </w:tcBorders>
      </w:tcPr>
    </w:tblStylePr>
    <w:tblStylePr w:type="lastRow">
      <w:pPr>
        <w:spacing w:before="0" w:after="0" w:line="240" w:lineRule="auto"/>
      </w:pPr>
      <w:rPr>
        <w:b/>
        <w:bCs/>
      </w:rPr>
      <w:tblPr/>
      <w:tcPr>
        <w:tcBorders>
          <w:top w:val="single" w:sz="8" w:space="0" w:color="A7A9AC" w:themeColor="accent4"/>
          <w:left w:val="nil"/>
          <w:bottom w:val="single" w:sz="8" w:space="0" w:color="A7A9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A" w:themeFill="accent4" w:themeFillTint="3F"/>
      </w:tcPr>
    </w:tblStylePr>
    <w:tblStylePr w:type="band1Horz">
      <w:tblPr/>
      <w:tcPr>
        <w:tcBorders>
          <w:left w:val="nil"/>
          <w:right w:val="nil"/>
          <w:insideH w:val="nil"/>
          <w:insideV w:val="nil"/>
        </w:tcBorders>
        <w:shd w:val="clear" w:color="auto" w:fill="E9E9EA" w:themeFill="accent4" w:themeFillTint="3F"/>
      </w:tcPr>
    </w:tblStylePr>
  </w:style>
  <w:style w:type="character" w:styleId="Hyperlink">
    <w:name w:val="Hyperlink"/>
    <w:basedOn w:val="DefaultParagraphFont"/>
    <w:uiPriority w:val="99"/>
    <w:unhideWhenUsed/>
    <w:rsid w:val="00C4098E"/>
    <w:rPr>
      <w:b w:val="0"/>
      <w:color w:val="0000FF" w:themeColor="hyperlink"/>
      <w:sz w:val="22"/>
      <w:u w:val="single"/>
    </w:rPr>
  </w:style>
  <w:style w:type="paragraph" w:styleId="ListBullet">
    <w:name w:val="List Bullet"/>
    <w:basedOn w:val="Normal"/>
    <w:qFormat/>
    <w:rsid w:val="00397D4D"/>
    <w:pPr>
      <w:numPr>
        <w:numId w:val="2"/>
      </w:numPr>
      <w:tabs>
        <w:tab w:val="clear" w:pos="360"/>
        <w:tab w:val="num" w:pos="720"/>
      </w:tabs>
      <w:ind w:left="720"/>
      <w:contextualSpacing/>
    </w:pPr>
  </w:style>
  <w:style w:type="paragraph" w:styleId="ListBullet2">
    <w:name w:val="List Bullet 2"/>
    <w:basedOn w:val="ListBullet"/>
    <w:qFormat/>
    <w:rsid w:val="00397D4D"/>
    <w:pPr>
      <w:tabs>
        <w:tab w:val="clear" w:pos="720"/>
        <w:tab w:val="num" w:pos="1080"/>
      </w:tabs>
      <w:ind w:left="1080"/>
    </w:pPr>
  </w:style>
  <w:style w:type="paragraph" w:customStyle="1" w:styleId="Reportcopyright">
    <w:name w:val="Report (copyright)"/>
    <w:basedOn w:val="Normal"/>
    <w:next w:val="Normal"/>
    <w:uiPriority w:val="15"/>
    <w:qFormat/>
    <w:rsid w:val="005F53D8"/>
    <w:pPr>
      <w:spacing w:before="4000"/>
    </w:pPr>
    <w:rPr>
      <w:b/>
    </w:rPr>
  </w:style>
  <w:style w:type="paragraph" w:customStyle="1" w:styleId="Disclaimer">
    <w:name w:val="Disclaimer"/>
    <w:basedOn w:val="Normal"/>
    <w:uiPriority w:val="16"/>
    <w:qFormat/>
    <w:rsid w:val="00663114"/>
    <w:rPr>
      <w:i/>
    </w:rPr>
  </w:style>
  <w:style w:type="character" w:styleId="Emphasis">
    <w:name w:val="Emphasis"/>
    <w:basedOn w:val="DefaultParagraphFont"/>
    <w:qFormat/>
    <w:rsid w:val="009E755B"/>
    <w:rPr>
      <w:i/>
      <w:iCs/>
    </w:rPr>
  </w:style>
  <w:style w:type="character" w:styleId="Strong">
    <w:name w:val="Strong"/>
    <w:basedOn w:val="DefaultParagraphFont"/>
    <w:qFormat/>
    <w:rsid w:val="003773F8"/>
    <w:rPr>
      <w:b/>
      <w:bCs/>
    </w:rPr>
  </w:style>
  <w:style w:type="table" w:styleId="MediumShading1">
    <w:name w:val="Medium Shading 1"/>
    <w:basedOn w:val="TableNormal"/>
    <w:uiPriority w:val="63"/>
    <w:rsid w:val="00842C34"/>
    <w:pPr>
      <w:spacing w:before="40" w:after="4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051651"/>
    <w:pPr>
      <w:outlineLvl w:val="9"/>
    </w:pPr>
    <w:rPr>
      <w:lang w:val="en-US" w:eastAsia="ja-JP"/>
    </w:rPr>
  </w:style>
  <w:style w:type="paragraph" w:styleId="TOC1">
    <w:name w:val="toc 1"/>
    <w:basedOn w:val="Normal"/>
    <w:next w:val="Normal"/>
    <w:autoRedefine/>
    <w:uiPriority w:val="39"/>
    <w:unhideWhenUsed/>
    <w:qFormat/>
    <w:rsid w:val="00D8256E"/>
    <w:pPr>
      <w:tabs>
        <w:tab w:val="left" w:pos="709"/>
        <w:tab w:val="right" w:leader="dot" w:pos="9016"/>
      </w:tabs>
      <w:spacing w:before="360" w:after="100"/>
    </w:pPr>
    <w:rPr>
      <w:b/>
      <w:noProof/>
      <w:sz w:val="24"/>
    </w:rPr>
  </w:style>
  <w:style w:type="paragraph" w:styleId="TOC2">
    <w:name w:val="toc 2"/>
    <w:basedOn w:val="Normal"/>
    <w:next w:val="Normal"/>
    <w:autoRedefine/>
    <w:uiPriority w:val="39"/>
    <w:unhideWhenUsed/>
    <w:qFormat/>
    <w:rsid w:val="007345CD"/>
    <w:pPr>
      <w:tabs>
        <w:tab w:val="left" w:pos="709"/>
        <w:tab w:val="right" w:leader="dot" w:pos="9016"/>
      </w:tabs>
      <w:spacing w:after="100"/>
    </w:pPr>
    <w:rPr>
      <w:noProof/>
      <w:color w:val="000000" w:themeColor="text1"/>
    </w:rPr>
  </w:style>
  <w:style w:type="paragraph" w:styleId="TOC4">
    <w:name w:val="toc 4"/>
    <w:basedOn w:val="Normal"/>
    <w:next w:val="Normal"/>
    <w:autoRedefine/>
    <w:uiPriority w:val="39"/>
    <w:unhideWhenUsed/>
    <w:rsid w:val="007345CD"/>
    <w:pPr>
      <w:tabs>
        <w:tab w:val="right" w:leader="dot" w:pos="9016"/>
      </w:tabs>
      <w:spacing w:after="100"/>
    </w:pPr>
    <w:rPr>
      <w:i/>
      <w:color w:val="000000" w:themeColor="text1"/>
    </w:rPr>
  </w:style>
  <w:style w:type="paragraph" w:styleId="TOC3">
    <w:name w:val="toc 3"/>
    <w:basedOn w:val="Normal"/>
    <w:next w:val="Normal"/>
    <w:autoRedefine/>
    <w:uiPriority w:val="39"/>
    <w:unhideWhenUsed/>
    <w:qFormat/>
    <w:rsid w:val="007345CD"/>
    <w:pPr>
      <w:tabs>
        <w:tab w:val="left" w:pos="709"/>
        <w:tab w:val="right" w:leader="dot" w:pos="9016"/>
      </w:tabs>
      <w:spacing w:after="100"/>
    </w:pPr>
    <w:rPr>
      <w:i/>
      <w:noProof/>
      <w:color w:val="000000" w:themeColor="text1"/>
    </w:rPr>
  </w:style>
  <w:style w:type="table" w:styleId="LightShading-Accent1">
    <w:name w:val="Light Shading Accent 1"/>
    <w:basedOn w:val="TableNormal"/>
    <w:uiPriority w:val="60"/>
    <w:locked/>
    <w:rsid w:val="004B071D"/>
    <w:pPr>
      <w:spacing w:after="0" w:line="240" w:lineRule="auto"/>
    </w:pPr>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
    <w:name w:val="Light Shading"/>
    <w:basedOn w:val="TableNormal"/>
    <w:uiPriority w:val="60"/>
    <w:locked/>
    <w:rsid w:val="00D23C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037B8"/>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LightList-Accent1">
    <w:name w:val="Light List Accent 1"/>
    <w:basedOn w:val="TableNormal"/>
    <w:uiPriority w:val="61"/>
    <w:rsid w:val="008037B8"/>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LightList-Accent2">
    <w:name w:val="Light List Accent 2"/>
    <w:basedOn w:val="TableNormal"/>
    <w:uiPriority w:val="61"/>
    <w:rsid w:val="00AF1DB3"/>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58595B" w:themeFill="accent2"/>
      </w:tcPr>
    </w:tblStylePr>
    <w:tblStylePr w:type="lastRow">
      <w:pPr>
        <w:wordWrap/>
        <w:spacing w:beforeLines="0" w:before="40" w:beforeAutospacing="0" w:afterLines="0" w:after="4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MediumShading1-Accent3">
    <w:name w:val="Medium Shading 1 Accent 3"/>
    <w:basedOn w:val="TableNormal"/>
    <w:uiPriority w:val="63"/>
    <w:rsid w:val="00842C34"/>
    <w:pPr>
      <w:spacing w:before="40" w:after="40" w:line="240" w:lineRule="auto"/>
    </w:pPr>
    <w:tblPr>
      <w:tblStyleRowBandSize w:val="1"/>
      <w:tblBorders>
        <w:top w:val="single" w:sz="8" w:space="0" w:color="9FA1A3" w:themeColor="accent3" w:themeTint="BF"/>
        <w:left w:val="single" w:sz="8" w:space="0" w:color="9FA1A3" w:themeColor="accent3" w:themeTint="BF"/>
        <w:bottom w:val="single" w:sz="8" w:space="0" w:color="9FA1A3" w:themeColor="accent3" w:themeTint="BF"/>
        <w:right w:val="single" w:sz="8" w:space="0" w:color="9FA1A3" w:themeColor="accent3" w:themeTint="BF"/>
        <w:insideH w:val="single" w:sz="8" w:space="0" w:color="9FA1A3" w:themeColor="accent3" w:themeTint="BF"/>
      </w:tblBorders>
    </w:tblPr>
    <w:tcPr>
      <w:shd w:val="clear" w:color="auto" w:fill="FFFFFF" w:themeFill="background1"/>
    </w:tcPr>
    <w:tblStylePr w:type="firstRow">
      <w:pPr>
        <w:wordWrap/>
        <w:spacing w:beforeLines="0" w:before="40" w:beforeAutospacing="0" w:afterLines="0" w:after="40" w:afterAutospacing="0" w:line="240" w:lineRule="auto"/>
      </w:pPr>
      <w:rPr>
        <w:b/>
        <w:bCs/>
        <w:color w:val="FFFFFF" w:themeColor="background1"/>
      </w:rPr>
      <w:tblPr/>
      <w:tcPr>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9FA1A3" w:themeColor="accent3" w:themeTint="BF"/>
          <w:left w:val="single" w:sz="8" w:space="0" w:color="9FA1A3" w:themeColor="accent3" w:themeTint="BF"/>
          <w:bottom w:val="single" w:sz="8" w:space="0" w:color="9FA1A3" w:themeColor="accent3" w:themeTint="BF"/>
          <w:right w:val="single" w:sz="8" w:space="0" w:color="9FA1A3" w:themeColor="accent3" w:themeTint="BF"/>
          <w:insideH w:val="nil"/>
          <w:insideV w:val="nil"/>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tcBorders>
          <w:insideH w:val="nil"/>
          <w:insideV w:val="nil"/>
        </w:tcBorders>
      </w:tcPr>
    </w:tblStylePr>
  </w:style>
  <w:style w:type="table" w:styleId="DarkList-Accent6">
    <w:name w:val="Dark List Accent 6"/>
    <w:basedOn w:val="TableNormal"/>
    <w:uiPriority w:val="70"/>
    <w:locked/>
    <w:rsid w:val="00A07DFA"/>
    <w:pPr>
      <w:spacing w:after="0" w:line="240" w:lineRule="auto"/>
    </w:pPr>
    <w:rPr>
      <w:color w:val="FFFFFF" w:themeColor="background1"/>
    </w:rPr>
    <w:tblPr>
      <w:tblStyleRowBandSize w:val="1"/>
      <w:tblStyleColBandSize w:val="1"/>
    </w:tblPr>
    <w:tcPr>
      <w:shd w:val="clear" w:color="auto" w:fill="0042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31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3100" w:themeFill="accent6" w:themeFillShade="BF"/>
      </w:tcPr>
    </w:tblStylePr>
    <w:tblStylePr w:type="band1Vert">
      <w:tblPr/>
      <w:tcPr>
        <w:tcBorders>
          <w:top w:val="nil"/>
          <w:left w:val="nil"/>
          <w:bottom w:val="nil"/>
          <w:right w:val="nil"/>
          <w:insideH w:val="nil"/>
          <w:insideV w:val="nil"/>
        </w:tcBorders>
        <w:shd w:val="clear" w:color="auto" w:fill="003100" w:themeFill="accent6" w:themeFillShade="BF"/>
      </w:tcPr>
    </w:tblStylePr>
    <w:tblStylePr w:type="band1Horz">
      <w:tblPr/>
      <w:tcPr>
        <w:tcBorders>
          <w:top w:val="nil"/>
          <w:left w:val="nil"/>
          <w:bottom w:val="nil"/>
          <w:right w:val="nil"/>
          <w:insideH w:val="nil"/>
          <w:insideV w:val="nil"/>
        </w:tcBorders>
        <w:shd w:val="clear" w:color="auto" w:fill="003100" w:themeFill="accent6" w:themeFillShade="BF"/>
      </w:tcPr>
    </w:tblStylePr>
  </w:style>
  <w:style w:type="paragraph" w:customStyle="1" w:styleId="OrganisationName">
    <w:name w:val="Organisation Name"/>
    <w:basedOn w:val="Normal"/>
    <w:next w:val="Title"/>
    <w:uiPriority w:val="10"/>
    <w:qFormat/>
    <w:rsid w:val="00320A93"/>
    <w:rPr>
      <w:b/>
      <w:noProof/>
      <w:sz w:val="36"/>
      <w:szCs w:val="36"/>
      <w:lang w:eastAsia="en-AU"/>
    </w:rPr>
  </w:style>
  <w:style w:type="paragraph" w:styleId="Caption">
    <w:name w:val="caption"/>
    <w:basedOn w:val="Normal"/>
    <w:next w:val="Normal"/>
    <w:uiPriority w:val="35"/>
    <w:unhideWhenUsed/>
    <w:qFormat/>
    <w:rsid w:val="000F6308"/>
    <w:rPr>
      <w:bCs/>
      <w:color w:val="000000" w:themeColor="accent1"/>
      <w:szCs w:val="18"/>
    </w:rPr>
  </w:style>
  <w:style w:type="character" w:customStyle="1" w:styleId="Heading5Char">
    <w:name w:val="Heading 5 Char"/>
    <w:basedOn w:val="DefaultParagraphFont"/>
    <w:link w:val="Heading5"/>
    <w:rsid w:val="00FD485A"/>
    <w:rPr>
      <w:rFonts w:asciiTheme="majorHAnsi" w:eastAsiaTheme="majorEastAsia" w:hAnsiTheme="majorHAnsi" w:cstheme="majorBidi"/>
      <w:color w:val="000000" w:themeColor="accent1" w:themeShade="7F"/>
    </w:rPr>
  </w:style>
  <w:style w:type="character" w:customStyle="1" w:styleId="Heading6Char">
    <w:name w:val="Heading 6 Char"/>
    <w:basedOn w:val="DefaultParagraphFont"/>
    <w:link w:val="Heading6"/>
    <w:rsid w:val="00663114"/>
    <w:rPr>
      <w:rFonts w:asciiTheme="majorHAnsi" w:eastAsiaTheme="majorEastAsia" w:hAnsiTheme="majorHAnsi" w:cstheme="majorBidi"/>
      <w:i/>
      <w:iCs/>
      <w:color w:val="000000" w:themeColor="accent1" w:themeShade="7F"/>
    </w:rPr>
  </w:style>
  <w:style w:type="character" w:customStyle="1" w:styleId="Heading7Char">
    <w:name w:val="Heading 7 Char"/>
    <w:basedOn w:val="DefaultParagraphFont"/>
    <w:link w:val="Heading7"/>
    <w:rsid w:val="00223F52"/>
    <w:rPr>
      <w:rFonts w:asciiTheme="majorHAnsi" w:eastAsiaTheme="majorEastAsia" w:hAnsiTheme="majorHAnsi" w:cstheme="majorBidi"/>
      <w:i/>
      <w:iCs/>
      <w:u w:val="single"/>
    </w:rPr>
  </w:style>
  <w:style w:type="character" w:customStyle="1" w:styleId="Heading8Char">
    <w:name w:val="Heading 8 Char"/>
    <w:basedOn w:val="DefaultParagraphFont"/>
    <w:link w:val="Heading8"/>
    <w:rsid w:val="006631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63114"/>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741A3F"/>
    <w:rPr>
      <w:color w:val="808080"/>
    </w:rPr>
  </w:style>
  <w:style w:type="paragraph" w:styleId="NoSpacing">
    <w:name w:val="No Spacing"/>
    <w:basedOn w:val="Normal"/>
    <w:qFormat/>
    <w:rsid w:val="00D87F12"/>
    <w:pPr>
      <w:spacing w:after="0"/>
    </w:pPr>
    <w:rPr>
      <w:sz w:val="24"/>
    </w:rPr>
  </w:style>
  <w:style w:type="table" w:styleId="MediumShading1-Accent1">
    <w:name w:val="Medium Shading 1 Accent 1"/>
    <w:basedOn w:val="TableNormal"/>
    <w:uiPriority w:val="63"/>
    <w:rsid w:val="00842C34"/>
    <w:pPr>
      <w:spacing w:before="40" w:after="40" w:line="240" w:lineRule="auto"/>
    </w:pPr>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wordWrap/>
        <w:spacing w:beforeLines="0" w:before="40" w:beforeAutospacing="0" w:afterLines="0" w:after="40" w:afterAutospacing="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ColorfulList-Accent6">
    <w:name w:val="Colorful List Accent 6"/>
    <w:basedOn w:val="TableNormal"/>
    <w:uiPriority w:val="72"/>
    <w:locked/>
    <w:rsid w:val="007A6284"/>
    <w:pPr>
      <w:spacing w:after="0" w:line="240" w:lineRule="auto"/>
    </w:pPr>
    <w:rPr>
      <w:color w:val="000000" w:themeColor="text1"/>
    </w:rPr>
    <w:tblPr>
      <w:tblStyleRowBandSize w:val="1"/>
      <w:tblStyleColBandSize w:val="1"/>
    </w:tblPr>
    <w:tcPr>
      <w:shd w:val="clear" w:color="auto" w:fill="D3FFD3" w:themeFill="accent6" w:themeFillTint="19"/>
    </w:tcPr>
    <w:tblStylePr w:type="firstRow">
      <w:rPr>
        <w:b/>
        <w:bCs/>
        <w:color w:val="FFFFFF" w:themeColor="background1"/>
      </w:rPr>
      <w:tblPr/>
      <w:tcPr>
        <w:tcBorders>
          <w:bottom w:val="single" w:sz="12" w:space="0" w:color="FFFFFF" w:themeColor="background1"/>
        </w:tcBorders>
        <w:shd w:val="clear" w:color="auto" w:fill="006E00" w:themeFill="accent5" w:themeFillShade="CC"/>
      </w:tcPr>
    </w:tblStylePr>
    <w:tblStylePr w:type="lastRow">
      <w:rPr>
        <w:b/>
        <w:bCs/>
        <w:color w:val="00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FF91" w:themeFill="accent6" w:themeFillTint="3F"/>
      </w:tcPr>
    </w:tblStylePr>
    <w:tblStylePr w:type="band1Horz">
      <w:tblPr/>
      <w:tcPr>
        <w:shd w:val="clear" w:color="auto" w:fill="A6FFA6" w:themeFill="accent6" w:themeFillTint="33"/>
      </w:tcPr>
    </w:tblStylePr>
  </w:style>
  <w:style w:type="table" w:styleId="LightList-Accent5">
    <w:name w:val="Light List Accent 5"/>
    <w:basedOn w:val="TableNormal"/>
    <w:uiPriority w:val="61"/>
    <w:rsid w:val="00EC68AC"/>
    <w:pPr>
      <w:spacing w:before="40" w:after="40" w:line="240" w:lineRule="auto"/>
    </w:pPr>
    <w:tblPr>
      <w:tblStyleRowBandSize w:val="1"/>
      <w:tblStyleColBandSize w:val="1"/>
      <w:tbl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8A00" w:themeFill="accent5"/>
      </w:tcPr>
    </w:tblStylePr>
    <w:tblStylePr w:type="lastRow">
      <w:pPr>
        <w:wordWrap/>
        <w:spacing w:beforeLines="0" w:before="40" w:beforeAutospacing="0" w:afterLines="0" w:after="40" w:afterAutospacing="0" w:line="240" w:lineRule="auto"/>
      </w:pPr>
      <w:rPr>
        <w:b/>
        <w:bCs/>
      </w:rPr>
      <w:tblPr/>
      <w:tcPr>
        <w:tcBorders>
          <w:top w:val="double" w:sz="6" w:space="0" w:color="008A00" w:themeColor="accent5"/>
          <w:left w:val="single" w:sz="8" w:space="0" w:color="008A00" w:themeColor="accent5"/>
          <w:bottom w:val="single" w:sz="8" w:space="0" w:color="008A00" w:themeColor="accent5"/>
          <w:right w:val="single" w:sz="8" w:space="0" w:color="008A00" w:themeColor="accent5"/>
        </w:tcBorders>
      </w:tcPr>
    </w:tblStylePr>
    <w:tblStylePr w:type="firstCol">
      <w:rPr>
        <w:b/>
        <w:bCs/>
      </w:rPr>
    </w:tblStylePr>
    <w:tblStylePr w:type="lastCol">
      <w:rPr>
        <w:b/>
        <w:bCs/>
      </w:rPr>
    </w:tblStylePr>
    <w:tblStylePr w:type="band1Vert">
      <w:tblPr/>
      <w:tcPr>
        <w:tcBorders>
          <w:top w:val="single" w:sz="8" w:space="0" w:color="008A00" w:themeColor="accent5"/>
          <w:left w:val="single" w:sz="8" w:space="0" w:color="008A00" w:themeColor="accent5"/>
          <w:bottom w:val="single" w:sz="8" w:space="0" w:color="008A00" w:themeColor="accent5"/>
          <w:right w:val="single" w:sz="8" w:space="0" w:color="008A00" w:themeColor="accent5"/>
        </w:tcBorders>
      </w:tcPr>
    </w:tblStylePr>
    <w:tblStylePr w:type="band1Horz">
      <w:tblPr/>
      <w:tcPr>
        <w:tcBorders>
          <w:top w:val="single" w:sz="8" w:space="0" w:color="008A00" w:themeColor="accent5"/>
          <w:left w:val="single" w:sz="8" w:space="0" w:color="008A00" w:themeColor="accent5"/>
          <w:bottom w:val="single" w:sz="8" w:space="0" w:color="008A00" w:themeColor="accent5"/>
          <w:right w:val="single" w:sz="8" w:space="0" w:color="008A00" w:themeColor="accent5"/>
        </w:tcBorders>
      </w:tcPr>
    </w:tblStylePr>
    <w:tblStylePr w:type="band2Horz">
      <w:tblPr/>
      <w:tcPr>
        <w:shd w:val="clear" w:color="auto" w:fill="DBDCDD" w:themeFill="accent4" w:themeFillTint="66"/>
      </w:tcPr>
    </w:tblStylePr>
  </w:style>
  <w:style w:type="table" w:styleId="MediumGrid1">
    <w:name w:val="Medium Grid 1"/>
    <w:basedOn w:val="TableNormal"/>
    <w:uiPriority w:val="67"/>
    <w:locked/>
    <w:rsid w:val="007A62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locked/>
    <w:rsid w:val="007A6284"/>
    <w:pPr>
      <w:spacing w:after="0" w:line="240" w:lineRule="auto"/>
    </w:pPr>
    <w:rPr>
      <w:color w:val="003100" w:themeColor="accent6" w:themeShade="BF"/>
    </w:rPr>
    <w:tblPr>
      <w:tblStyleRowBandSize w:val="1"/>
      <w:tblStyleColBandSize w:val="1"/>
      <w:tblBorders>
        <w:top w:val="single" w:sz="8" w:space="0" w:color="004200" w:themeColor="accent6"/>
        <w:bottom w:val="single" w:sz="8" w:space="0" w:color="004200" w:themeColor="accent6"/>
      </w:tblBorders>
    </w:tblPr>
    <w:tblStylePr w:type="firstRow">
      <w:pPr>
        <w:spacing w:before="0" w:after="0" w:line="240" w:lineRule="auto"/>
      </w:pPr>
      <w:rPr>
        <w:b/>
        <w:bCs/>
      </w:rPr>
      <w:tblPr/>
      <w:tcPr>
        <w:tcBorders>
          <w:top w:val="single" w:sz="8" w:space="0" w:color="004200" w:themeColor="accent6"/>
          <w:left w:val="nil"/>
          <w:bottom w:val="single" w:sz="8" w:space="0" w:color="004200" w:themeColor="accent6"/>
          <w:right w:val="nil"/>
          <w:insideH w:val="nil"/>
          <w:insideV w:val="nil"/>
        </w:tcBorders>
      </w:tcPr>
    </w:tblStylePr>
    <w:tblStylePr w:type="lastRow">
      <w:pPr>
        <w:spacing w:before="0" w:after="0" w:line="240" w:lineRule="auto"/>
      </w:pPr>
      <w:rPr>
        <w:b/>
        <w:bCs/>
      </w:rPr>
      <w:tblPr/>
      <w:tcPr>
        <w:tcBorders>
          <w:top w:val="single" w:sz="8" w:space="0" w:color="004200" w:themeColor="accent6"/>
          <w:left w:val="nil"/>
          <w:bottom w:val="single" w:sz="8" w:space="0" w:color="0042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FF91" w:themeFill="accent6" w:themeFillTint="3F"/>
      </w:tcPr>
    </w:tblStylePr>
    <w:tblStylePr w:type="band1Horz">
      <w:tblPr/>
      <w:tcPr>
        <w:tcBorders>
          <w:left w:val="nil"/>
          <w:right w:val="nil"/>
          <w:insideH w:val="nil"/>
          <w:insideV w:val="nil"/>
        </w:tcBorders>
        <w:shd w:val="clear" w:color="auto" w:fill="91FF91" w:themeFill="accent6" w:themeFillTint="3F"/>
      </w:tcPr>
    </w:tblStylePr>
  </w:style>
  <w:style w:type="table" w:styleId="MediumShading1-Accent2">
    <w:name w:val="Medium Shading 1 Accent 2"/>
    <w:basedOn w:val="TableNormal"/>
    <w:uiPriority w:val="63"/>
    <w:rsid w:val="00842C34"/>
    <w:pPr>
      <w:spacing w:before="40" w:after="40" w:line="240" w:lineRule="auto"/>
    </w:pPr>
    <w:tblPr>
      <w:tblStyleRowBandSize w:val="1"/>
      <w:tblStyleColBandSize w:val="1"/>
      <w:tblBorders>
        <w:top w:val="single" w:sz="8"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single" w:sz="8" w:space="0" w:color="808285" w:themeColor="accent2" w:themeTint="BF"/>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nil"/>
          <w:insideV w:val="nil"/>
        </w:tcBorders>
        <w:shd w:val="clear" w:color="auto" w:fill="58595B" w:themeFill="accent2"/>
      </w:tcPr>
    </w:tblStylePr>
    <w:tblStylePr w:type="lastRow">
      <w:pPr>
        <w:wordWrap/>
        <w:spacing w:beforeLines="0" w:before="40" w:beforeAutospacing="0" w:afterLines="0" w:after="400" w:afterAutospacing="0" w:line="240" w:lineRule="auto"/>
      </w:pPr>
      <w:rPr>
        <w:b/>
        <w:bCs/>
      </w:rPr>
      <w:tblPr/>
      <w:tcPr>
        <w:tcBorders>
          <w:top w:val="double" w:sz="6"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D5D6" w:themeFill="accent2" w:themeFillTint="3F"/>
      </w:tcPr>
    </w:tblStylePr>
    <w:tblStylePr w:type="band1Horz">
      <w:tblPr/>
      <w:tcPr>
        <w:tcBorders>
          <w:insideH w:val="nil"/>
          <w:insideV w:val="nil"/>
        </w:tcBorders>
        <w:shd w:val="clear" w:color="auto" w:fill="D5D5D6"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42C34"/>
    <w:pPr>
      <w:spacing w:after="0" w:line="240" w:lineRule="auto"/>
    </w:pPr>
    <w:tblPr>
      <w:tblStyleRowBandSize w:val="1"/>
      <w:tblStyleColBandSize w:val="1"/>
      <w:tblBorders>
        <w:top w:val="single" w:sz="8"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single" w:sz="8" w:space="0" w:color="BCBEC0" w:themeColor="accent4" w:themeTint="BF"/>
      </w:tblBorders>
    </w:tblPr>
    <w:tblStylePr w:type="firstRow">
      <w:pPr>
        <w:spacing w:before="0" w:after="0" w:line="240" w:lineRule="auto"/>
      </w:pPr>
      <w:rPr>
        <w:b/>
        <w:bCs/>
        <w:color w:val="FFFFFF" w:themeColor="background1"/>
      </w:rPr>
      <w:tblPr/>
      <w:tcPr>
        <w:tcBorders>
          <w:top w:val="single" w:sz="8"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nil"/>
          <w:insideV w:val="nil"/>
        </w:tcBorders>
        <w:shd w:val="clear" w:color="auto" w:fill="A7A9AC" w:themeFill="accent4"/>
      </w:tcPr>
    </w:tblStylePr>
    <w:tblStylePr w:type="lastRow">
      <w:pPr>
        <w:spacing w:before="0" w:after="0" w:line="240" w:lineRule="auto"/>
      </w:pPr>
      <w:rPr>
        <w:b/>
        <w:bCs/>
      </w:rPr>
      <w:tblPr/>
      <w:tcPr>
        <w:tcBorders>
          <w:top w:val="double" w:sz="6"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E9EA" w:themeFill="accent4" w:themeFillTint="3F"/>
      </w:tcPr>
    </w:tblStylePr>
    <w:tblStylePr w:type="band1Horz">
      <w:tblPr/>
      <w:tcPr>
        <w:tcBorders>
          <w:insideH w:val="nil"/>
          <w:insideV w:val="nil"/>
        </w:tcBorders>
        <w:shd w:val="clear" w:color="auto" w:fill="E9E9EA"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42C34"/>
    <w:pPr>
      <w:spacing w:after="0" w:line="240" w:lineRule="auto"/>
    </w:pPr>
    <w:tblPr>
      <w:tblStyleRowBandSize w:val="1"/>
      <w:tblStyleColBandSize w:val="1"/>
      <w:tblBorders>
        <w:top w:val="single" w:sz="8" w:space="0" w:color="004200" w:themeColor="accent6"/>
        <w:left w:val="single" w:sz="8" w:space="0" w:color="004200" w:themeColor="accent6"/>
        <w:bottom w:val="single" w:sz="8" w:space="0" w:color="004200" w:themeColor="accent6"/>
        <w:right w:val="single" w:sz="8" w:space="0" w:color="004200" w:themeColor="accent6"/>
        <w:insideH w:val="single" w:sz="8" w:space="0" w:color="004200" w:themeColor="accent6"/>
        <w:insideV w:val="single" w:sz="8" w:space="0" w:color="0042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00" w:themeColor="accent6"/>
          <w:left w:val="single" w:sz="8" w:space="0" w:color="004200" w:themeColor="accent6"/>
          <w:bottom w:val="single" w:sz="18" w:space="0" w:color="004200" w:themeColor="accent6"/>
          <w:right w:val="single" w:sz="8" w:space="0" w:color="004200" w:themeColor="accent6"/>
          <w:insideH w:val="nil"/>
          <w:insideV w:val="single" w:sz="8" w:space="0" w:color="0042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00" w:themeColor="accent6"/>
          <w:left w:val="single" w:sz="8" w:space="0" w:color="004200" w:themeColor="accent6"/>
          <w:bottom w:val="single" w:sz="8" w:space="0" w:color="004200" w:themeColor="accent6"/>
          <w:right w:val="single" w:sz="8" w:space="0" w:color="004200" w:themeColor="accent6"/>
          <w:insideH w:val="nil"/>
          <w:insideV w:val="single" w:sz="8" w:space="0" w:color="0042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1Vert">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shd w:val="clear" w:color="auto" w:fill="91FF91" w:themeFill="accent6" w:themeFillTint="3F"/>
      </w:tcPr>
    </w:tblStylePr>
    <w:tblStylePr w:type="band1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insideV w:val="single" w:sz="8" w:space="0" w:color="004200" w:themeColor="accent6"/>
        </w:tcBorders>
        <w:shd w:val="clear" w:color="auto" w:fill="91FF91" w:themeFill="accent6" w:themeFillTint="3F"/>
      </w:tcPr>
    </w:tblStylePr>
    <w:tblStylePr w:type="band2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insideV w:val="single" w:sz="8" w:space="0" w:color="004200" w:themeColor="accent6"/>
        </w:tcBorders>
      </w:tcPr>
    </w:tblStylePr>
  </w:style>
  <w:style w:type="table" w:styleId="MediumShading1-Accent5">
    <w:name w:val="Medium Shading 1 Accent 5"/>
    <w:basedOn w:val="TableNormal"/>
    <w:uiPriority w:val="63"/>
    <w:rsid w:val="00EC68AC"/>
    <w:pPr>
      <w:spacing w:before="40" w:after="40" w:line="240" w:lineRule="auto"/>
    </w:pPr>
    <w:tblPr>
      <w:tblStyleRowBandSize w:val="1"/>
      <w:tblStyleColBandSize w:val="1"/>
      <w:tbl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cBorders>
        <w:shd w:val="clear" w:color="auto" w:fill="008A00" w:themeFill="accent5"/>
      </w:tcPr>
    </w:tblStylePr>
    <w:tblStylePr w:type="lastRow">
      <w:pPr>
        <w:wordWrap/>
        <w:spacing w:beforeLines="0" w:before="40" w:beforeAutospacing="0" w:afterLines="0" w:after="40" w:afterAutospacing="0" w:line="240" w:lineRule="auto"/>
      </w:pPr>
      <w:rPr>
        <w:b/>
        <w:bCs/>
      </w:rPr>
      <w:tblPr/>
      <w:tcPr>
        <w:tcBorders>
          <w:top w:val="double" w:sz="6" w:space="0" w:color="008A00" w:themeColor="accent5"/>
          <w:left w:val="single" w:sz="8" w:space="0" w:color="008A00" w:themeColor="accent5"/>
          <w:bottom w:val="single" w:sz="8" w:space="0" w:color="008A00" w:themeColor="accent5"/>
          <w:right w:val="single" w:sz="8" w:space="0" w:color="008A00" w:themeColor="accent5"/>
          <w:insideH w:val="nil"/>
          <w:insideV w:val="nil"/>
        </w:tcBorders>
      </w:tcPr>
    </w:tblStylePr>
    <w:tblStylePr w:type="firstCol">
      <w:rPr>
        <w:b/>
        <w:bCs/>
      </w:rPr>
    </w:tblStylePr>
    <w:tblStylePr w:type="lastCol">
      <w:rPr>
        <w:b/>
        <w:bCs/>
      </w:rPr>
    </w:tblStylePr>
    <w:tblStylePr w:type="band1Vert">
      <w:tblPr/>
      <w:tcPr>
        <w:shd w:val="clear" w:color="auto" w:fill="A3FFA3" w:themeFill="accent5" w:themeFillTint="3F"/>
      </w:tcPr>
    </w:tblStylePr>
    <w:tblStylePr w:type="band1Horz">
      <w:tblPr/>
      <w:tcPr>
        <w:tcBorders>
          <w:insideH w:val="nil"/>
          <w:insideV w:val="nil"/>
        </w:tcBorders>
        <w:shd w:val="clear" w:color="auto" w:fill="A3FFA3" w:themeFill="accent5"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C864ED"/>
    <w:pPr>
      <w:spacing w:before="40" w:after="40" w:line="240" w:lineRule="auto"/>
    </w:pPr>
    <w:tblPr>
      <w:tblStyleRowBandSize w:val="1"/>
      <w:tblStyleColBandSize w:val="1"/>
      <w:tblBorders>
        <w:top w:val="single" w:sz="8" w:space="0" w:color="808285" w:themeColor="accent3"/>
        <w:left w:val="single" w:sz="8" w:space="0" w:color="808285" w:themeColor="accent3"/>
        <w:bottom w:val="single" w:sz="8" w:space="0" w:color="808285" w:themeColor="accent3"/>
        <w:right w:val="single" w:sz="8" w:space="0" w:color="808285" w:themeColor="accent3"/>
        <w:insideH w:val="single" w:sz="8" w:space="0" w:color="808285" w:themeColor="accent3"/>
        <w:insideV w:val="single" w:sz="8" w:space="0" w:color="808285" w:themeColor="accent3"/>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808285" w:themeColor="accent3"/>
          <w:left w:val="single" w:sz="8" w:space="0" w:color="808285" w:themeColor="accent3"/>
          <w:bottom w:val="single" w:sz="8" w:space="0" w:color="808285" w:themeColor="accent3"/>
          <w:right w:val="single" w:sz="8" w:space="0" w:color="808285" w:themeColor="accent3"/>
          <w:insideH w:val="single" w:sz="8" w:space="0" w:color="808285" w:themeColor="accent3"/>
          <w:insideV w:val="single" w:sz="8" w:space="0" w:color="808285" w:themeColor="accent3"/>
        </w:tcBorders>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insideH w:val="nil"/>
          <w:insideV w:val="single" w:sz="8" w:space="0" w:color="808285" w:themeColor="accent3"/>
          <w:tl2br w:val="nil"/>
          <w:tr2bl w:val="nil"/>
        </w:tcBorders>
      </w:tcPr>
    </w:tblStylePr>
    <w:tblStylePr w:type="firstCol">
      <w:rPr>
        <w:b/>
        <w:bCs/>
      </w:rPr>
    </w:tblStylePr>
    <w:tblStylePr w:type="lastCol">
      <w:rPr>
        <w:b/>
        <w:bCs/>
      </w:rPr>
    </w:tblStylePr>
    <w:tblStylePr w:type="band1Vert">
      <w:tblPr/>
      <w:tcPr>
        <w:tcBorders>
          <w:top w:val="single" w:sz="8" w:space="0" w:color="A7A9AC" w:themeColor="accent4"/>
          <w:left w:val="single" w:sz="8" w:space="0" w:color="A7A9AC" w:themeColor="accent4"/>
          <w:bottom w:val="single" w:sz="8" w:space="0" w:color="A7A9AC" w:themeColor="accent4"/>
          <w:right w:val="single" w:sz="8" w:space="0" w:color="A7A9AC" w:themeColor="accent4"/>
        </w:tcBorders>
      </w:tcPr>
    </w:tblStylePr>
    <w:tblStylePr w:type="band1Horz">
      <w:tblPr/>
      <w:tcPr>
        <w:tcBorders>
          <w:top w:val="single" w:sz="8" w:space="0" w:color="A7A9AC" w:themeColor="accent4"/>
          <w:left w:val="single" w:sz="8" w:space="0" w:color="A7A9AC" w:themeColor="accent4"/>
          <w:bottom w:val="single" w:sz="8" w:space="0" w:color="A7A9AC" w:themeColor="accent4"/>
          <w:right w:val="single" w:sz="8" w:space="0" w:color="A7A9AC" w:themeColor="accent4"/>
        </w:tcBorders>
      </w:tcPr>
    </w:tblStylePr>
    <w:tblStylePr w:type="band2Horz">
      <w:tblPr/>
      <w:tcPr>
        <w:shd w:val="clear" w:color="auto" w:fill="A7A9AC" w:themeFill="accent4"/>
      </w:tcPr>
    </w:tblStylePr>
  </w:style>
  <w:style w:type="paragraph" w:customStyle="1" w:styleId="TitlePlain">
    <w:name w:val="Title Plain"/>
    <w:basedOn w:val="Title"/>
    <w:link w:val="TitlePlainChar"/>
    <w:qFormat/>
    <w:rsid w:val="006F0A93"/>
    <w:pPr>
      <w:spacing w:before="6000"/>
      <w:ind w:left="0" w:right="3095"/>
      <w:jc w:val="left"/>
    </w:pPr>
    <w:rPr>
      <w:sz w:val="72"/>
      <w:szCs w:val="72"/>
      <w:lang w:eastAsia="en-AU"/>
    </w:rPr>
  </w:style>
  <w:style w:type="paragraph" w:customStyle="1" w:styleId="VersionandDatePlain">
    <w:name w:val="Version and Date Plain"/>
    <w:basedOn w:val="VersionandDate"/>
    <w:qFormat/>
    <w:rsid w:val="004C5008"/>
    <w:pPr>
      <w:ind w:left="0"/>
      <w:jc w:val="left"/>
    </w:pPr>
  </w:style>
  <w:style w:type="paragraph" w:customStyle="1" w:styleId="SubtitlePlain">
    <w:name w:val="Subtitle Plain"/>
    <w:basedOn w:val="Normal"/>
    <w:qFormat/>
    <w:rsid w:val="006F0A93"/>
    <w:pPr>
      <w:ind w:right="3095"/>
    </w:pPr>
    <w:rPr>
      <w:sz w:val="40"/>
      <w:szCs w:val="40"/>
      <w:lang w:eastAsia="en-AU"/>
    </w:rPr>
  </w:style>
  <w:style w:type="paragraph" w:customStyle="1" w:styleId="VesionanddatePlain">
    <w:name w:val="Vesion and date Plain"/>
    <w:basedOn w:val="Normal"/>
    <w:qFormat/>
    <w:rsid w:val="006F0A93"/>
    <w:pPr>
      <w:ind w:right="3095"/>
    </w:pPr>
    <w:rPr>
      <w:sz w:val="28"/>
    </w:rPr>
  </w:style>
  <w:style w:type="character" w:customStyle="1" w:styleId="TitlePlainChar">
    <w:name w:val="Title Plain Char"/>
    <w:basedOn w:val="TitleChar"/>
    <w:link w:val="TitlePlain"/>
    <w:rsid w:val="00EB2D3D"/>
    <w:rPr>
      <w:rFonts w:asciiTheme="majorHAnsi" w:eastAsiaTheme="majorEastAsia" w:hAnsiTheme="majorHAnsi" w:cstheme="majorBidi"/>
      <w:color w:val="000000" w:themeColor="text1"/>
      <w:spacing w:val="5"/>
      <w:kern w:val="28"/>
      <w:sz w:val="72"/>
      <w:szCs w:val="72"/>
      <w:lang w:eastAsia="en-AU"/>
    </w:rPr>
  </w:style>
  <w:style w:type="character" w:styleId="PageNumber">
    <w:name w:val="page number"/>
    <w:rsid w:val="00460371"/>
    <w:rPr>
      <w:rFonts w:cs="Times New Roman"/>
    </w:rPr>
  </w:style>
  <w:style w:type="paragraph" w:customStyle="1" w:styleId="CEITitle">
    <w:name w:val="CEI Title"/>
    <w:basedOn w:val="Heading1"/>
    <w:autoRedefine/>
    <w:rsid w:val="00460371"/>
  </w:style>
  <w:style w:type="paragraph" w:styleId="BlockText">
    <w:name w:val="Block Text"/>
    <w:basedOn w:val="Normal"/>
    <w:semiHidden/>
    <w:rsid w:val="00460371"/>
    <w:pPr>
      <w:spacing w:before="120"/>
      <w:ind w:left="1440" w:right="1440"/>
    </w:pPr>
    <w:rPr>
      <w:rFonts w:ascii="Arial" w:eastAsia="Times New Roman" w:hAnsi="Arial" w:cs="Times New Roman"/>
      <w:sz w:val="20"/>
    </w:rPr>
  </w:style>
  <w:style w:type="paragraph" w:styleId="BodyText">
    <w:name w:val="Body Text"/>
    <w:basedOn w:val="Normal"/>
    <w:link w:val="BodyTextChar"/>
    <w:autoRedefine/>
    <w:rsid w:val="00460371"/>
    <w:pPr>
      <w:spacing w:before="120"/>
    </w:pPr>
    <w:rPr>
      <w:rFonts w:ascii="Arial" w:eastAsia="Times New Roman" w:hAnsi="Arial" w:cs="Times New Roman"/>
      <w:b/>
      <w:i/>
      <w:sz w:val="20"/>
    </w:rPr>
  </w:style>
  <w:style w:type="character" w:customStyle="1" w:styleId="BodyTextChar">
    <w:name w:val="Body Text Char"/>
    <w:basedOn w:val="DefaultParagraphFont"/>
    <w:link w:val="BodyText"/>
    <w:rsid w:val="00460371"/>
    <w:rPr>
      <w:rFonts w:ascii="Arial" w:eastAsia="Times New Roman" w:hAnsi="Arial" w:cs="Times New Roman"/>
      <w:b/>
      <w:i/>
      <w:sz w:val="20"/>
    </w:rPr>
  </w:style>
  <w:style w:type="paragraph" w:styleId="BodyTextFirstIndent">
    <w:name w:val="Body Text First Indent"/>
    <w:basedOn w:val="BodyText"/>
    <w:link w:val="BodyTextFirstIndentChar"/>
    <w:semiHidden/>
    <w:rsid w:val="00460371"/>
    <w:pPr>
      <w:ind w:firstLine="210"/>
    </w:pPr>
  </w:style>
  <w:style w:type="character" w:customStyle="1" w:styleId="BodyTextFirstIndentChar">
    <w:name w:val="Body Text First Indent Char"/>
    <w:basedOn w:val="BodyTextChar"/>
    <w:link w:val="BodyTextFirstIndent"/>
    <w:semiHidden/>
    <w:rsid w:val="00460371"/>
    <w:rPr>
      <w:rFonts w:ascii="Arial" w:eastAsia="Times New Roman" w:hAnsi="Arial" w:cs="Times New Roman"/>
      <w:b/>
      <w:i/>
      <w:sz w:val="20"/>
    </w:rPr>
  </w:style>
  <w:style w:type="paragraph" w:styleId="BodyTextIndent">
    <w:name w:val="Body Text Indent"/>
    <w:basedOn w:val="Normal"/>
    <w:link w:val="BodyTextIndentChar"/>
    <w:semiHidden/>
    <w:rsid w:val="00460371"/>
    <w:pPr>
      <w:spacing w:before="120"/>
      <w:ind w:left="283"/>
    </w:pPr>
    <w:rPr>
      <w:rFonts w:ascii="Arial" w:eastAsia="Times New Roman" w:hAnsi="Arial" w:cs="Times New Roman"/>
      <w:sz w:val="20"/>
    </w:rPr>
  </w:style>
  <w:style w:type="character" w:customStyle="1" w:styleId="BodyTextIndentChar">
    <w:name w:val="Body Text Indent Char"/>
    <w:basedOn w:val="DefaultParagraphFont"/>
    <w:link w:val="BodyTextIndent"/>
    <w:semiHidden/>
    <w:rsid w:val="00460371"/>
    <w:rPr>
      <w:rFonts w:ascii="Arial" w:eastAsia="Times New Roman" w:hAnsi="Arial" w:cs="Times New Roman"/>
      <w:sz w:val="20"/>
    </w:rPr>
  </w:style>
  <w:style w:type="paragraph" w:styleId="BodyTextFirstIndent2">
    <w:name w:val="Body Text First Indent 2"/>
    <w:basedOn w:val="BodyTextIndent"/>
    <w:link w:val="BodyTextFirstIndent2Char"/>
    <w:semiHidden/>
    <w:rsid w:val="00460371"/>
    <w:pPr>
      <w:ind w:firstLine="210"/>
    </w:pPr>
  </w:style>
  <w:style w:type="character" w:customStyle="1" w:styleId="BodyTextFirstIndent2Char">
    <w:name w:val="Body Text First Indent 2 Char"/>
    <w:basedOn w:val="BodyTextIndentChar"/>
    <w:link w:val="BodyTextFirstIndent2"/>
    <w:semiHidden/>
    <w:rsid w:val="00460371"/>
    <w:rPr>
      <w:rFonts w:ascii="Arial" w:eastAsia="Times New Roman" w:hAnsi="Arial" w:cs="Times New Roman"/>
      <w:sz w:val="20"/>
    </w:rPr>
  </w:style>
  <w:style w:type="paragraph" w:styleId="BodyTextIndent2">
    <w:name w:val="Body Text Indent 2"/>
    <w:basedOn w:val="Normal"/>
    <w:link w:val="BodyTextIndent2Char"/>
    <w:semiHidden/>
    <w:rsid w:val="00460371"/>
    <w:pPr>
      <w:spacing w:before="120" w:line="480" w:lineRule="auto"/>
      <w:ind w:left="283"/>
    </w:pPr>
    <w:rPr>
      <w:rFonts w:ascii="Arial" w:eastAsia="Times New Roman" w:hAnsi="Arial" w:cs="Times New Roman"/>
      <w:sz w:val="20"/>
    </w:rPr>
  </w:style>
  <w:style w:type="character" w:customStyle="1" w:styleId="BodyTextIndent2Char">
    <w:name w:val="Body Text Indent 2 Char"/>
    <w:basedOn w:val="DefaultParagraphFont"/>
    <w:link w:val="BodyTextIndent2"/>
    <w:semiHidden/>
    <w:rsid w:val="00460371"/>
    <w:rPr>
      <w:rFonts w:ascii="Arial" w:eastAsia="Times New Roman" w:hAnsi="Arial" w:cs="Times New Roman"/>
      <w:sz w:val="20"/>
    </w:rPr>
  </w:style>
  <w:style w:type="paragraph" w:styleId="BodyTextIndent3">
    <w:name w:val="Body Text Indent 3"/>
    <w:basedOn w:val="Normal"/>
    <w:link w:val="BodyTextIndent3Char"/>
    <w:semiHidden/>
    <w:rsid w:val="00460371"/>
    <w:pPr>
      <w:spacing w:before="120"/>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semiHidden/>
    <w:rsid w:val="00460371"/>
    <w:rPr>
      <w:rFonts w:ascii="Arial" w:eastAsia="Times New Roman" w:hAnsi="Arial" w:cs="Times New Roman"/>
      <w:sz w:val="16"/>
      <w:szCs w:val="16"/>
    </w:rPr>
  </w:style>
  <w:style w:type="paragraph" w:styleId="Closing">
    <w:name w:val="Closing"/>
    <w:basedOn w:val="Normal"/>
    <w:link w:val="ClosingChar"/>
    <w:semiHidden/>
    <w:rsid w:val="00460371"/>
    <w:pPr>
      <w:spacing w:before="120"/>
      <w:ind w:left="4252"/>
    </w:pPr>
    <w:rPr>
      <w:rFonts w:ascii="Arial" w:eastAsia="Times New Roman" w:hAnsi="Arial" w:cs="Times New Roman"/>
      <w:sz w:val="20"/>
    </w:rPr>
  </w:style>
  <w:style w:type="character" w:customStyle="1" w:styleId="ClosingChar">
    <w:name w:val="Closing Char"/>
    <w:basedOn w:val="DefaultParagraphFont"/>
    <w:link w:val="Closing"/>
    <w:semiHidden/>
    <w:rsid w:val="00460371"/>
    <w:rPr>
      <w:rFonts w:ascii="Arial" w:eastAsia="Times New Roman" w:hAnsi="Arial" w:cs="Times New Roman"/>
      <w:sz w:val="20"/>
    </w:rPr>
  </w:style>
  <w:style w:type="paragraph" w:styleId="E-mailSignature">
    <w:name w:val="E-mail Signature"/>
    <w:basedOn w:val="Normal"/>
    <w:link w:val="E-mailSignatureChar"/>
    <w:semiHidden/>
    <w:rsid w:val="00460371"/>
    <w:pPr>
      <w:spacing w:before="120"/>
    </w:pPr>
    <w:rPr>
      <w:rFonts w:ascii="Arial" w:eastAsia="Times New Roman" w:hAnsi="Arial" w:cs="Times New Roman"/>
      <w:sz w:val="20"/>
    </w:rPr>
  </w:style>
  <w:style w:type="character" w:customStyle="1" w:styleId="E-mailSignatureChar">
    <w:name w:val="E-mail Signature Char"/>
    <w:basedOn w:val="DefaultParagraphFont"/>
    <w:link w:val="E-mailSignature"/>
    <w:semiHidden/>
    <w:rsid w:val="00460371"/>
    <w:rPr>
      <w:rFonts w:ascii="Arial" w:eastAsia="Times New Roman" w:hAnsi="Arial" w:cs="Times New Roman"/>
      <w:sz w:val="20"/>
    </w:rPr>
  </w:style>
  <w:style w:type="paragraph" w:styleId="EnvelopeAddress">
    <w:name w:val="envelope address"/>
    <w:basedOn w:val="Normal"/>
    <w:semiHidden/>
    <w:rsid w:val="00460371"/>
    <w:pPr>
      <w:framePr w:w="7920" w:h="1980" w:hRule="exact" w:hSpace="180" w:wrap="auto" w:hAnchor="page" w:xAlign="center" w:yAlign="bottom"/>
      <w:spacing w:before="120"/>
      <w:ind w:left="2880"/>
    </w:pPr>
    <w:rPr>
      <w:rFonts w:ascii="Arial" w:eastAsia="Times New Roman" w:hAnsi="Arial" w:cs="Arial"/>
      <w:sz w:val="24"/>
      <w:szCs w:val="24"/>
    </w:rPr>
  </w:style>
  <w:style w:type="paragraph" w:styleId="EnvelopeReturn">
    <w:name w:val="envelope return"/>
    <w:basedOn w:val="Normal"/>
    <w:semiHidden/>
    <w:rsid w:val="00460371"/>
    <w:pPr>
      <w:spacing w:before="120"/>
    </w:pPr>
    <w:rPr>
      <w:rFonts w:ascii="Arial" w:eastAsia="Times New Roman" w:hAnsi="Arial" w:cs="Arial"/>
      <w:sz w:val="20"/>
      <w:szCs w:val="20"/>
    </w:rPr>
  </w:style>
  <w:style w:type="character" w:styleId="FollowedHyperlink">
    <w:name w:val="FollowedHyperlink"/>
    <w:semiHidden/>
    <w:rsid w:val="00460371"/>
    <w:rPr>
      <w:color w:val="008080"/>
      <w:u w:val="single"/>
    </w:rPr>
  </w:style>
  <w:style w:type="character" w:styleId="HTMLAcronym">
    <w:name w:val="HTML Acronym"/>
    <w:semiHidden/>
    <w:rsid w:val="00460371"/>
    <w:rPr>
      <w:rFonts w:cs="Times New Roman"/>
    </w:rPr>
  </w:style>
  <w:style w:type="paragraph" w:styleId="HTMLAddress">
    <w:name w:val="HTML Address"/>
    <w:basedOn w:val="Normal"/>
    <w:link w:val="HTMLAddressChar"/>
    <w:semiHidden/>
    <w:rsid w:val="00460371"/>
    <w:pPr>
      <w:spacing w:before="120"/>
    </w:pPr>
    <w:rPr>
      <w:rFonts w:ascii="Arial" w:eastAsia="Times New Roman" w:hAnsi="Arial" w:cs="Times New Roman"/>
      <w:i/>
      <w:iCs/>
      <w:sz w:val="20"/>
    </w:rPr>
  </w:style>
  <w:style w:type="character" w:customStyle="1" w:styleId="HTMLAddressChar">
    <w:name w:val="HTML Address Char"/>
    <w:basedOn w:val="DefaultParagraphFont"/>
    <w:link w:val="HTMLAddress"/>
    <w:semiHidden/>
    <w:rsid w:val="00460371"/>
    <w:rPr>
      <w:rFonts w:ascii="Arial" w:eastAsia="Times New Roman" w:hAnsi="Arial" w:cs="Times New Roman"/>
      <w:i/>
      <w:iCs/>
      <w:sz w:val="20"/>
    </w:rPr>
  </w:style>
  <w:style w:type="character" w:styleId="HTMLCite">
    <w:name w:val="HTML Cite"/>
    <w:semiHidden/>
    <w:rsid w:val="00460371"/>
    <w:rPr>
      <w:i/>
    </w:rPr>
  </w:style>
  <w:style w:type="character" w:styleId="HTMLCode">
    <w:name w:val="HTML Code"/>
    <w:semiHidden/>
    <w:rsid w:val="00460371"/>
    <w:rPr>
      <w:rFonts w:ascii="Courier New" w:hAnsi="Courier New"/>
      <w:sz w:val="20"/>
    </w:rPr>
  </w:style>
  <w:style w:type="character" w:styleId="HTMLDefinition">
    <w:name w:val="HTML Definition"/>
    <w:semiHidden/>
    <w:rsid w:val="00460371"/>
    <w:rPr>
      <w:i/>
    </w:rPr>
  </w:style>
  <w:style w:type="character" w:styleId="HTMLKeyboard">
    <w:name w:val="HTML Keyboard"/>
    <w:semiHidden/>
    <w:rsid w:val="00460371"/>
    <w:rPr>
      <w:rFonts w:ascii="Courier New" w:hAnsi="Courier New"/>
      <w:sz w:val="20"/>
    </w:rPr>
  </w:style>
  <w:style w:type="paragraph" w:styleId="HTMLPreformatted">
    <w:name w:val="HTML Preformatted"/>
    <w:basedOn w:val="Normal"/>
    <w:link w:val="HTMLPreformattedChar"/>
    <w:semiHidden/>
    <w:rsid w:val="00460371"/>
    <w:pPr>
      <w:spacing w:before="12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460371"/>
    <w:rPr>
      <w:rFonts w:ascii="Courier New" w:eastAsia="Times New Roman" w:hAnsi="Courier New" w:cs="Courier New"/>
      <w:sz w:val="20"/>
      <w:szCs w:val="20"/>
    </w:rPr>
  </w:style>
  <w:style w:type="character" w:styleId="HTMLSample">
    <w:name w:val="HTML Sample"/>
    <w:semiHidden/>
    <w:rsid w:val="00460371"/>
    <w:rPr>
      <w:rFonts w:ascii="Courier New" w:hAnsi="Courier New"/>
    </w:rPr>
  </w:style>
  <w:style w:type="character" w:styleId="HTMLTypewriter">
    <w:name w:val="HTML Typewriter"/>
    <w:semiHidden/>
    <w:rsid w:val="00460371"/>
    <w:rPr>
      <w:rFonts w:ascii="Courier New" w:hAnsi="Courier New"/>
      <w:sz w:val="20"/>
    </w:rPr>
  </w:style>
  <w:style w:type="character" w:styleId="HTMLVariable">
    <w:name w:val="HTML Variable"/>
    <w:semiHidden/>
    <w:rsid w:val="00460371"/>
    <w:rPr>
      <w:i/>
    </w:rPr>
  </w:style>
  <w:style w:type="character" w:styleId="LineNumber">
    <w:name w:val="line number"/>
    <w:semiHidden/>
    <w:rsid w:val="00460371"/>
    <w:rPr>
      <w:rFonts w:cs="Times New Roman"/>
    </w:rPr>
  </w:style>
  <w:style w:type="paragraph" w:styleId="List">
    <w:name w:val="List"/>
    <w:basedOn w:val="Normal"/>
    <w:semiHidden/>
    <w:rsid w:val="00460371"/>
    <w:pPr>
      <w:spacing w:before="120"/>
      <w:ind w:left="283" w:hanging="283"/>
    </w:pPr>
    <w:rPr>
      <w:rFonts w:ascii="Arial" w:eastAsia="Times New Roman" w:hAnsi="Arial" w:cs="Times New Roman"/>
      <w:sz w:val="20"/>
    </w:rPr>
  </w:style>
  <w:style w:type="paragraph" w:styleId="List2">
    <w:name w:val="List 2"/>
    <w:basedOn w:val="Normal"/>
    <w:semiHidden/>
    <w:rsid w:val="00460371"/>
    <w:pPr>
      <w:spacing w:before="120"/>
      <w:ind w:left="566" w:hanging="283"/>
    </w:pPr>
    <w:rPr>
      <w:rFonts w:ascii="Arial" w:eastAsia="Times New Roman" w:hAnsi="Arial" w:cs="Times New Roman"/>
      <w:sz w:val="20"/>
    </w:rPr>
  </w:style>
  <w:style w:type="paragraph" w:styleId="List3">
    <w:name w:val="List 3"/>
    <w:basedOn w:val="Normal"/>
    <w:semiHidden/>
    <w:rsid w:val="00460371"/>
    <w:pPr>
      <w:spacing w:before="120"/>
      <w:ind w:left="849" w:hanging="283"/>
    </w:pPr>
    <w:rPr>
      <w:rFonts w:ascii="Arial" w:eastAsia="Times New Roman" w:hAnsi="Arial" w:cs="Times New Roman"/>
      <w:sz w:val="20"/>
    </w:rPr>
  </w:style>
  <w:style w:type="paragraph" w:styleId="List4">
    <w:name w:val="List 4"/>
    <w:basedOn w:val="Normal"/>
    <w:semiHidden/>
    <w:rsid w:val="00460371"/>
    <w:pPr>
      <w:spacing w:before="120"/>
      <w:ind w:left="1132" w:hanging="283"/>
    </w:pPr>
    <w:rPr>
      <w:rFonts w:ascii="Arial" w:eastAsia="Times New Roman" w:hAnsi="Arial" w:cs="Times New Roman"/>
      <w:sz w:val="20"/>
    </w:rPr>
  </w:style>
  <w:style w:type="paragraph" w:styleId="List5">
    <w:name w:val="List 5"/>
    <w:basedOn w:val="Normal"/>
    <w:semiHidden/>
    <w:rsid w:val="00460371"/>
    <w:pPr>
      <w:spacing w:before="120"/>
      <w:ind w:left="1415" w:hanging="283"/>
    </w:pPr>
    <w:rPr>
      <w:rFonts w:ascii="Arial" w:eastAsia="Times New Roman" w:hAnsi="Arial" w:cs="Times New Roman"/>
      <w:sz w:val="20"/>
    </w:rPr>
  </w:style>
  <w:style w:type="paragraph" w:styleId="ListBullet4">
    <w:name w:val="List Bullet 4"/>
    <w:basedOn w:val="Normal"/>
    <w:semiHidden/>
    <w:rsid w:val="00460371"/>
    <w:pPr>
      <w:numPr>
        <w:numId w:val="6"/>
      </w:numPr>
      <w:spacing w:before="120"/>
    </w:pPr>
    <w:rPr>
      <w:rFonts w:ascii="Arial" w:eastAsia="Times New Roman" w:hAnsi="Arial" w:cs="Times New Roman"/>
      <w:sz w:val="20"/>
    </w:rPr>
  </w:style>
  <w:style w:type="paragraph" w:styleId="ListBullet5">
    <w:name w:val="List Bullet 5"/>
    <w:basedOn w:val="Normal"/>
    <w:semiHidden/>
    <w:rsid w:val="00460371"/>
    <w:pPr>
      <w:numPr>
        <w:numId w:val="7"/>
      </w:numPr>
      <w:spacing w:before="120"/>
    </w:pPr>
    <w:rPr>
      <w:rFonts w:ascii="Arial" w:eastAsia="Times New Roman" w:hAnsi="Arial" w:cs="Times New Roman"/>
      <w:sz w:val="20"/>
    </w:rPr>
  </w:style>
  <w:style w:type="paragraph" w:styleId="ListContinue">
    <w:name w:val="List Continue"/>
    <w:basedOn w:val="Normal"/>
    <w:semiHidden/>
    <w:rsid w:val="00460371"/>
    <w:pPr>
      <w:spacing w:before="120"/>
      <w:ind w:left="283"/>
    </w:pPr>
    <w:rPr>
      <w:rFonts w:ascii="Arial" w:eastAsia="Times New Roman" w:hAnsi="Arial" w:cs="Times New Roman"/>
      <w:sz w:val="20"/>
    </w:rPr>
  </w:style>
  <w:style w:type="paragraph" w:styleId="ListContinue2">
    <w:name w:val="List Continue 2"/>
    <w:basedOn w:val="Normal"/>
    <w:semiHidden/>
    <w:rsid w:val="00460371"/>
    <w:pPr>
      <w:spacing w:before="120"/>
      <w:ind w:left="566"/>
    </w:pPr>
    <w:rPr>
      <w:rFonts w:ascii="Arial" w:eastAsia="Times New Roman" w:hAnsi="Arial" w:cs="Times New Roman"/>
      <w:sz w:val="20"/>
    </w:rPr>
  </w:style>
  <w:style w:type="paragraph" w:styleId="ListContinue3">
    <w:name w:val="List Continue 3"/>
    <w:basedOn w:val="Normal"/>
    <w:semiHidden/>
    <w:rsid w:val="00460371"/>
    <w:pPr>
      <w:spacing w:before="120"/>
      <w:ind w:left="849"/>
    </w:pPr>
    <w:rPr>
      <w:rFonts w:ascii="Arial" w:eastAsia="Times New Roman" w:hAnsi="Arial" w:cs="Times New Roman"/>
      <w:sz w:val="20"/>
    </w:rPr>
  </w:style>
  <w:style w:type="paragraph" w:styleId="ListContinue4">
    <w:name w:val="List Continue 4"/>
    <w:basedOn w:val="Normal"/>
    <w:semiHidden/>
    <w:rsid w:val="00460371"/>
    <w:pPr>
      <w:spacing w:before="120"/>
      <w:ind w:left="1132"/>
    </w:pPr>
    <w:rPr>
      <w:rFonts w:ascii="Arial" w:eastAsia="Times New Roman" w:hAnsi="Arial" w:cs="Times New Roman"/>
      <w:sz w:val="20"/>
    </w:rPr>
  </w:style>
  <w:style w:type="paragraph" w:styleId="ListContinue5">
    <w:name w:val="List Continue 5"/>
    <w:basedOn w:val="Normal"/>
    <w:semiHidden/>
    <w:rsid w:val="00460371"/>
    <w:pPr>
      <w:spacing w:before="120"/>
      <w:ind w:left="1415"/>
    </w:pPr>
    <w:rPr>
      <w:rFonts w:ascii="Arial" w:eastAsia="Times New Roman" w:hAnsi="Arial" w:cs="Times New Roman"/>
      <w:sz w:val="20"/>
    </w:rPr>
  </w:style>
  <w:style w:type="paragraph" w:styleId="ListNumber">
    <w:name w:val="List Number"/>
    <w:basedOn w:val="Normal"/>
    <w:semiHidden/>
    <w:rsid w:val="00460371"/>
    <w:pPr>
      <w:numPr>
        <w:numId w:val="8"/>
      </w:numPr>
      <w:spacing w:before="120"/>
    </w:pPr>
    <w:rPr>
      <w:rFonts w:ascii="Arial" w:eastAsia="Times New Roman" w:hAnsi="Arial" w:cs="Times New Roman"/>
      <w:sz w:val="20"/>
    </w:rPr>
  </w:style>
  <w:style w:type="paragraph" w:styleId="ListNumber2">
    <w:name w:val="List Number 2"/>
    <w:basedOn w:val="Normal"/>
    <w:semiHidden/>
    <w:rsid w:val="00460371"/>
    <w:pPr>
      <w:numPr>
        <w:numId w:val="9"/>
      </w:numPr>
      <w:spacing w:before="120"/>
    </w:pPr>
    <w:rPr>
      <w:rFonts w:ascii="Arial" w:eastAsia="Times New Roman" w:hAnsi="Arial" w:cs="Times New Roman"/>
      <w:sz w:val="20"/>
    </w:rPr>
  </w:style>
  <w:style w:type="paragraph" w:styleId="ListNumber3">
    <w:name w:val="List Number 3"/>
    <w:basedOn w:val="Normal"/>
    <w:semiHidden/>
    <w:rsid w:val="00460371"/>
    <w:pPr>
      <w:numPr>
        <w:numId w:val="10"/>
      </w:numPr>
      <w:spacing w:before="120"/>
    </w:pPr>
    <w:rPr>
      <w:rFonts w:ascii="Arial" w:eastAsia="Times New Roman" w:hAnsi="Arial" w:cs="Times New Roman"/>
      <w:sz w:val="20"/>
    </w:rPr>
  </w:style>
  <w:style w:type="paragraph" w:styleId="ListNumber4">
    <w:name w:val="List Number 4"/>
    <w:basedOn w:val="Normal"/>
    <w:semiHidden/>
    <w:rsid w:val="00460371"/>
    <w:pPr>
      <w:numPr>
        <w:numId w:val="11"/>
      </w:numPr>
      <w:spacing w:before="120"/>
    </w:pPr>
    <w:rPr>
      <w:rFonts w:ascii="Arial" w:eastAsia="Times New Roman" w:hAnsi="Arial" w:cs="Times New Roman"/>
      <w:sz w:val="20"/>
    </w:rPr>
  </w:style>
  <w:style w:type="paragraph" w:styleId="ListNumber5">
    <w:name w:val="List Number 5"/>
    <w:basedOn w:val="Normal"/>
    <w:semiHidden/>
    <w:rsid w:val="00460371"/>
    <w:pPr>
      <w:tabs>
        <w:tab w:val="num" w:pos="1492"/>
      </w:tabs>
      <w:spacing w:before="120"/>
      <w:ind w:left="1492" w:hanging="360"/>
    </w:pPr>
    <w:rPr>
      <w:rFonts w:ascii="Arial" w:eastAsia="Times New Roman" w:hAnsi="Arial" w:cs="Times New Roman"/>
      <w:sz w:val="20"/>
    </w:rPr>
  </w:style>
  <w:style w:type="paragraph" w:styleId="MessageHeader">
    <w:name w:val="Message Header"/>
    <w:basedOn w:val="Normal"/>
    <w:link w:val="MessageHeaderChar"/>
    <w:semiHidden/>
    <w:rsid w:val="00460371"/>
    <w:pPr>
      <w:pBdr>
        <w:top w:val="single" w:sz="6" w:space="1" w:color="auto"/>
        <w:left w:val="single" w:sz="6" w:space="1" w:color="auto"/>
        <w:bottom w:val="single" w:sz="6" w:space="1" w:color="auto"/>
        <w:right w:val="single" w:sz="6" w:space="1" w:color="auto"/>
      </w:pBdr>
      <w:shd w:val="pct20" w:color="auto" w:fill="auto"/>
      <w:spacing w:before="120"/>
      <w:ind w:left="1134" w:hanging="1134"/>
    </w:pPr>
    <w:rPr>
      <w:rFonts w:ascii="Arial" w:eastAsia="Times New Roman" w:hAnsi="Arial" w:cs="Arial"/>
      <w:sz w:val="20"/>
      <w:szCs w:val="24"/>
    </w:rPr>
  </w:style>
  <w:style w:type="character" w:customStyle="1" w:styleId="MessageHeaderChar">
    <w:name w:val="Message Header Char"/>
    <w:basedOn w:val="DefaultParagraphFont"/>
    <w:link w:val="MessageHeader"/>
    <w:semiHidden/>
    <w:rsid w:val="00460371"/>
    <w:rPr>
      <w:rFonts w:ascii="Arial" w:eastAsia="Times New Roman" w:hAnsi="Arial" w:cs="Arial"/>
      <w:sz w:val="20"/>
      <w:szCs w:val="24"/>
      <w:shd w:val="pct20" w:color="auto" w:fill="auto"/>
    </w:rPr>
  </w:style>
  <w:style w:type="paragraph" w:styleId="NormalWeb">
    <w:name w:val="Normal (Web)"/>
    <w:basedOn w:val="Normal"/>
    <w:uiPriority w:val="99"/>
    <w:rsid w:val="00460371"/>
    <w:pPr>
      <w:spacing w:before="120"/>
    </w:pPr>
    <w:rPr>
      <w:rFonts w:ascii="Times New Roman" w:eastAsia="Times New Roman" w:hAnsi="Times New Roman" w:cs="Times New Roman"/>
      <w:sz w:val="24"/>
      <w:szCs w:val="24"/>
    </w:rPr>
  </w:style>
  <w:style w:type="paragraph" w:styleId="NormalIndent">
    <w:name w:val="Normal Indent"/>
    <w:basedOn w:val="Normal"/>
    <w:semiHidden/>
    <w:rsid w:val="00460371"/>
    <w:pPr>
      <w:spacing w:before="120"/>
      <w:ind w:left="720"/>
    </w:pPr>
    <w:rPr>
      <w:rFonts w:ascii="Arial" w:eastAsia="Times New Roman" w:hAnsi="Arial" w:cs="Times New Roman"/>
      <w:sz w:val="20"/>
    </w:rPr>
  </w:style>
  <w:style w:type="paragraph" w:styleId="NoteHeading">
    <w:name w:val="Note Heading"/>
    <w:basedOn w:val="Normal"/>
    <w:next w:val="Normal"/>
    <w:link w:val="NoteHeadingChar"/>
    <w:semiHidden/>
    <w:rsid w:val="00460371"/>
    <w:pPr>
      <w:spacing w:before="120"/>
    </w:pPr>
    <w:rPr>
      <w:rFonts w:ascii="Arial" w:eastAsia="Times New Roman" w:hAnsi="Arial" w:cs="Times New Roman"/>
      <w:sz w:val="20"/>
    </w:rPr>
  </w:style>
  <w:style w:type="character" w:customStyle="1" w:styleId="NoteHeadingChar">
    <w:name w:val="Note Heading Char"/>
    <w:basedOn w:val="DefaultParagraphFont"/>
    <w:link w:val="NoteHeading"/>
    <w:semiHidden/>
    <w:rsid w:val="00460371"/>
    <w:rPr>
      <w:rFonts w:ascii="Arial" w:eastAsia="Times New Roman" w:hAnsi="Arial" w:cs="Times New Roman"/>
      <w:sz w:val="20"/>
    </w:rPr>
  </w:style>
  <w:style w:type="paragraph" w:styleId="PlainText">
    <w:name w:val="Plain Text"/>
    <w:basedOn w:val="Normal"/>
    <w:link w:val="PlainTextChar"/>
    <w:semiHidden/>
    <w:rsid w:val="00460371"/>
    <w:pPr>
      <w:spacing w:before="120"/>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460371"/>
    <w:rPr>
      <w:rFonts w:ascii="Courier New" w:eastAsia="Times New Roman" w:hAnsi="Courier New" w:cs="Courier New"/>
      <w:sz w:val="20"/>
      <w:szCs w:val="20"/>
    </w:rPr>
  </w:style>
  <w:style w:type="paragraph" w:styleId="Salutation">
    <w:name w:val="Salutation"/>
    <w:basedOn w:val="Normal"/>
    <w:next w:val="Normal"/>
    <w:link w:val="SalutationChar"/>
    <w:semiHidden/>
    <w:rsid w:val="00460371"/>
    <w:pPr>
      <w:spacing w:before="120"/>
    </w:pPr>
    <w:rPr>
      <w:rFonts w:ascii="Arial" w:eastAsia="Times New Roman" w:hAnsi="Arial" w:cs="Times New Roman"/>
      <w:sz w:val="20"/>
    </w:rPr>
  </w:style>
  <w:style w:type="character" w:customStyle="1" w:styleId="SalutationChar">
    <w:name w:val="Salutation Char"/>
    <w:basedOn w:val="DefaultParagraphFont"/>
    <w:link w:val="Salutation"/>
    <w:semiHidden/>
    <w:rsid w:val="00460371"/>
    <w:rPr>
      <w:rFonts w:ascii="Arial" w:eastAsia="Times New Roman" w:hAnsi="Arial" w:cs="Times New Roman"/>
      <w:sz w:val="20"/>
    </w:rPr>
  </w:style>
  <w:style w:type="paragraph" w:styleId="Signature">
    <w:name w:val="Signature"/>
    <w:basedOn w:val="Normal"/>
    <w:link w:val="SignatureChar"/>
    <w:semiHidden/>
    <w:rsid w:val="00460371"/>
    <w:pPr>
      <w:spacing w:before="120"/>
      <w:ind w:left="4252"/>
    </w:pPr>
    <w:rPr>
      <w:rFonts w:ascii="Arial" w:eastAsia="Times New Roman" w:hAnsi="Arial" w:cs="Times New Roman"/>
      <w:sz w:val="20"/>
    </w:rPr>
  </w:style>
  <w:style w:type="character" w:customStyle="1" w:styleId="SignatureChar">
    <w:name w:val="Signature Char"/>
    <w:basedOn w:val="DefaultParagraphFont"/>
    <w:link w:val="Signature"/>
    <w:semiHidden/>
    <w:rsid w:val="00460371"/>
    <w:rPr>
      <w:rFonts w:ascii="Arial" w:eastAsia="Times New Roman" w:hAnsi="Arial" w:cs="Times New Roman"/>
      <w:sz w:val="20"/>
    </w:rPr>
  </w:style>
  <w:style w:type="table" w:styleId="Table3Deffects1">
    <w:name w:val="Table 3D effects 1"/>
    <w:basedOn w:val="TableNormal"/>
    <w:semiHidden/>
    <w:rsid w:val="00460371"/>
    <w:rPr>
      <w:rFonts w:ascii="Times New Roman" w:eastAsia="Times New Roman" w:hAnsi="Times New Roman" w:cs="Times New Roman"/>
      <w:sz w:val="20"/>
      <w:szCs w:val="20"/>
      <w:lang w:val="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0371"/>
    <w:rPr>
      <w:rFonts w:ascii="Times New Roman" w:eastAsia="Times New Roman" w:hAnsi="Times New Roman" w:cs="Times New Roman"/>
      <w:sz w:val="20"/>
      <w:szCs w:val="20"/>
      <w:lang w:val="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60371"/>
    <w:rPr>
      <w:rFonts w:ascii="Times New Roman" w:eastAsia="Times New Roman" w:hAnsi="Times New Roman" w:cs="Times New Roman"/>
      <w:sz w:val="20"/>
      <w:szCs w:val="20"/>
      <w:lang w:val="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60371"/>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60371"/>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0371"/>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0371"/>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0371"/>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0371"/>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0371"/>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0371"/>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60371"/>
    <w:rPr>
      <w:rFonts w:ascii="Times New Roman" w:eastAsia="Times New Roman" w:hAnsi="Times New Roman" w:cs="Times New Roman"/>
      <w:b/>
      <w:bCs/>
      <w:sz w:val="20"/>
      <w:szCs w:val="20"/>
      <w:lang w:val="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60371"/>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60371"/>
    <w:rPr>
      <w:rFonts w:ascii="Times New Roman" w:eastAsia="Times New Roman" w:hAnsi="Times New Roman" w:cs="Times New Roman"/>
      <w:sz w:val="20"/>
      <w:szCs w:val="20"/>
      <w:lang w:val="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60371"/>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60371"/>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0371"/>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60371"/>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60371"/>
    <w:rPr>
      <w:rFonts w:ascii="Times New Roman" w:eastAsia="Times New Roman" w:hAnsi="Times New Roman" w:cs="Times New Roman"/>
      <w:sz w:val="20"/>
      <w:szCs w:val="20"/>
      <w:lang w:val="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60371"/>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60371"/>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0371"/>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60371"/>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60371"/>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60371"/>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4">
    <w:name w:val="Table List 4"/>
    <w:basedOn w:val="TableNormal"/>
    <w:semiHidden/>
    <w:rsid w:val="00460371"/>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0371"/>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60371"/>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0371"/>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0371"/>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0371"/>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0371"/>
    <w:rPr>
      <w:rFonts w:ascii="Times New Roman" w:eastAsia="Times New Roman" w:hAnsi="Times New Roman" w:cs="Times New Roman"/>
      <w:sz w:val="20"/>
      <w:szCs w:val="20"/>
      <w:lang w:val="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0371"/>
    <w:rPr>
      <w:rFonts w:ascii="Times New Roman" w:eastAsia="Times New Roman" w:hAnsi="Times New Roman" w:cs="Times New Roman"/>
      <w:sz w:val="20"/>
      <w:szCs w:val="20"/>
      <w:lang w:val="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0371"/>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0371"/>
    <w:rPr>
      <w:rFonts w:ascii="Times New Roman" w:eastAsia="Times New Roman" w:hAnsi="Times New Roman" w:cs="Times New Roman"/>
      <w:sz w:val="20"/>
      <w:szCs w:val="20"/>
      <w:lang w:val="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60371"/>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60371"/>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0371"/>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460371"/>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60371"/>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stBullet3">
    <w:name w:val="List Bullet 3"/>
    <w:basedOn w:val="Normal"/>
    <w:rsid w:val="00460371"/>
    <w:pPr>
      <w:numPr>
        <w:numId w:val="13"/>
      </w:numPr>
      <w:spacing w:before="120"/>
    </w:pPr>
    <w:rPr>
      <w:rFonts w:ascii="Arial" w:eastAsia="Times New Roman" w:hAnsi="Arial" w:cs="Times New Roman"/>
      <w:sz w:val="20"/>
    </w:rPr>
  </w:style>
  <w:style w:type="paragraph" w:styleId="BodyText2">
    <w:name w:val="Body Text 2"/>
    <w:basedOn w:val="Normal"/>
    <w:link w:val="BodyText2Char"/>
    <w:autoRedefine/>
    <w:rsid w:val="00460371"/>
    <w:pPr>
      <w:spacing w:before="120"/>
    </w:pPr>
    <w:rPr>
      <w:rFonts w:ascii="Arial" w:eastAsia="Times New Roman" w:hAnsi="Arial" w:cs="Times New Roman"/>
      <w:sz w:val="20"/>
    </w:rPr>
  </w:style>
  <w:style w:type="character" w:customStyle="1" w:styleId="BodyText2Char">
    <w:name w:val="Body Text 2 Char"/>
    <w:basedOn w:val="DefaultParagraphFont"/>
    <w:link w:val="BodyText2"/>
    <w:rsid w:val="00460371"/>
    <w:rPr>
      <w:rFonts w:ascii="Arial" w:eastAsia="Times New Roman" w:hAnsi="Arial" w:cs="Times New Roman"/>
      <w:sz w:val="20"/>
    </w:rPr>
  </w:style>
  <w:style w:type="character" w:styleId="FootnoteReference">
    <w:name w:val="footnote reference"/>
    <w:uiPriority w:val="99"/>
    <w:rsid w:val="00460371"/>
    <w:rPr>
      <w:vertAlign w:val="superscript"/>
    </w:rPr>
  </w:style>
  <w:style w:type="paragraph" w:customStyle="1" w:styleId="Bullet">
    <w:name w:val="Bullet"/>
    <w:basedOn w:val="Normal"/>
    <w:autoRedefine/>
    <w:rsid w:val="00460371"/>
    <w:pPr>
      <w:numPr>
        <w:numId w:val="14"/>
      </w:numPr>
      <w:spacing w:before="120" w:after="240"/>
    </w:pPr>
    <w:rPr>
      <w:rFonts w:ascii="Arial" w:eastAsia="Times New Roman" w:hAnsi="Arial" w:cs="Times New Roman"/>
      <w:sz w:val="20"/>
    </w:rPr>
  </w:style>
  <w:style w:type="paragraph" w:customStyle="1" w:styleId="Dash">
    <w:name w:val="Dash"/>
    <w:basedOn w:val="Normal"/>
    <w:autoRedefine/>
    <w:rsid w:val="00460371"/>
    <w:pPr>
      <w:spacing w:before="60" w:after="60"/>
    </w:pPr>
    <w:rPr>
      <w:rFonts w:ascii="Arial" w:eastAsia="Times New Roman" w:hAnsi="Arial" w:cs="Times New Roman"/>
      <w:sz w:val="24"/>
    </w:rPr>
  </w:style>
  <w:style w:type="paragraph" w:customStyle="1" w:styleId="DoubleDot">
    <w:name w:val="Double Dot"/>
    <w:basedOn w:val="Normal"/>
    <w:rsid w:val="00460371"/>
    <w:pPr>
      <w:numPr>
        <w:ilvl w:val="2"/>
        <w:numId w:val="14"/>
      </w:numPr>
      <w:spacing w:before="120" w:after="240"/>
    </w:pPr>
    <w:rPr>
      <w:rFonts w:ascii="Arial" w:eastAsia="Times New Roman" w:hAnsi="Arial" w:cs="Times New Roman"/>
      <w:sz w:val="24"/>
    </w:rPr>
  </w:style>
  <w:style w:type="paragraph" w:customStyle="1" w:styleId="Appendix">
    <w:name w:val="Appendix"/>
    <w:basedOn w:val="Heading1"/>
    <w:autoRedefine/>
    <w:rsid w:val="00460371"/>
  </w:style>
  <w:style w:type="paragraph" w:customStyle="1" w:styleId="Appendix2">
    <w:name w:val="Appendix 2"/>
    <w:basedOn w:val="Appendix"/>
    <w:rsid w:val="00460371"/>
    <w:pPr>
      <w:pageBreakBefore/>
      <w:spacing w:before="0" w:beforeAutospacing="1" w:after="100" w:afterAutospacing="1" w:line="0" w:lineRule="atLeast"/>
      <w:ind w:left="432" w:hanging="432"/>
      <w:outlineLvl w:val="9"/>
    </w:pPr>
    <w:rPr>
      <w:rFonts w:ascii="Arial" w:eastAsia="Times New Roman" w:hAnsi="Arial" w:cs="Arial"/>
      <w:b w:val="0"/>
      <w:i/>
      <w:color w:val="000000"/>
      <w:kern w:val="32"/>
      <w:sz w:val="18"/>
      <w:szCs w:val="18"/>
    </w:rPr>
  </w:style>
  <w:style w:type="paragraph" w:customStyle="1" w:styleId="InfoMapsubheading">
    <w:name w:val="InfoMap subheading"/>
    <w:basedOn w:val="Normal"/>
    <w:rsid w:val="00460371"/>
    <w:pPr>
      <w:spacing w:before="180" w:after="60"/>
      <w:ind w:left="2268" w:right="567"/>
    </w:pPr>
    <w:rPr>
      <w:rFonts w:ascii="Verdana" w:eastAsia="Times New Roman" w:hAnsi="Verdana" w:cs="Times New Roman"/>
      <w:b/>
      <w:i/>
      <w:sz w:val="20"/>
      <w:lang w:val="en-US"/>
    </w:rPr>
  </w:style>
  <w:style w:type="paragraph" w:customStyle="1" w:styleId="StyleHeading3Before4pt">
    <w:name w:val="Style Heading 3 + Before:  4 pt"/>
    <w:basedOn w:val="Heading3"/>
    <w:rsid w:val="00460371"/>
    <w:pPr>
      <w:numPr>
        <w:ilvl w:val="0"/>
        <w:numId w:val="0"/>
      </w:numPr>
      <w:tabs>
        <w:tab w:val="num" w:pos="1492"/>
      </w:tabs>
      <w:ind w:left="1492" w:hanging="360"/>
    </w:pPr>
  </w:style>
  <w:style w:type="character" w:customStyle="1" w:styleId="StyleCodeLeft0cmLinespacingAtleast12pt">
    <w:name w:val="Style Code + Left:  0 cm Line spacing:  At least 12 pt"/>
    <w:rsid w:val="00460371"/>
    <w:rPr>
      <w:rFonts w:ascii="Courier New" w:hAnsi="Courier New"/>
    </w:rPr>
  </w:style>
  <w:style w:type="paragraph" w:customStyle="1" w:styleId="Itemfieldtitle">
    <w:name w:val="Item field title"/>
    <w:basedOn w:val="Normal"/>
    <w:rsid w:val="00460371"/>
    <w:pPr>
      <w:spacing w:before="40" w:after="40"/>
    </w:pPr>
    <w:rPr>
      <w:rFonts w:ascii="Book Antiqua" w:eastAsia="Times New Roman" w:hAnsi="Book Antiqua" w:cs="Times New Roman"/>
      <w:b/>
      <w:i/>
      <w:sz w:val="20"/>
      <w:szCs w:val="20"/>
    </w:rPr>
  </w:style>
  <w:style w:type="paragraph" w:customStyle="1" w:styleId="Itemfieldvalue">
    <w:name w:val="Item field value"/>
    <w:basedOn w:val="Normal"/>
    <w:rsid w:val="00460371"/>
    <w:pPr>
      <w:spacing w:before="40" w:after="40"/>
    </w:pPr>
    <w:rPr>
      <w:rFonts w:ascii="Times New Roman" w:eastAsia="Times New Roman" w:hAnsi="Times New Roman" w:cs="Times New Roman"/>
      <w:sz w:val="20"/>
      <w:szCs w:val="20"/>
    </w:rPr>
  </w:style>
  <w:style w:type="paragraph" w:customStyle="1" w:styleId="Itemtitle">
    <w:name w:val="Item title"/>
    <w:basedOn w:val="Normal"/>
    <w:rsid w:val="00460371"/>
    <w:pPr>
      <w:pageBreakBefore/>
      <w:pBdr>
        <w:top w:val="single" w:sz="18" w:space="1" w:color="auto"/>
        <w:bottom w:val="single" w:sz="18" w:space="1" w:color="auto"/>
      </w:pBdr>
      <w:spacing w:before="40" w:after="40"/>
    </w:pPr>
    <w:rPr>
      <w:rFonts w:ascii="Arial" w:eastAsia="Times New Roman" w:hAnsi="Arial" w:cs="Times New Roman"/>
      <w:b/>
      <w:sz w:val="32"/>
      <w:szCs w:val="20"/>
    </w:rPr>
  </w:style>
  <w:style w:type="paragraph" w:customStyle="1" w:styleId="Itemsectiontitle">
    <w:name w:val="Item section title"/>
    <w:basedOn w:val="Normal"/>
    <w:next w:val="Itemfieldtitle"/>
    <w:rsid w:val="00460371"/>
    <w:pPr>
      <w:spacing w:before="180" w:after="60"/>
    </w:pPr>
    <w:rPr>
      <w:rFonts w:ascii="Arial" w:eastAsia="Times New Roman" w:hAnsi="Arial" w:cs="Times New Roman"/>
      <w:b/>
      <w:sz w:val="24"/>
      <w:szCs w:val="20"/>
    </w:rPr>
  </w:style>
  <w:style w:type="paragraph" w:customStyle="1" w:styleId="TPVerso">
    <w:name w:val="T/P: Verso"/>
    <w:rsid w:val="00460371"/>
    <w:pPr>
      <w:keepLines/>
      <w:spacing w:before="60" w:after="60" w:line="240" w:lineRule="auto"/>
    </w:pPr>
    <w:rPr>
      <w:rFonts w:ascii="Helvetica" w:eastAsia="Times New Roman" w:hAnsi="Helvetica" w:cs="Times New Roman"/>
      <w:szCs w:val="20"/>
    </w:rPr>
  </w:style>
  <w:style w:type="paragraph" w:customStyle="1" w:styleId="Iteminsertedtitle">
    <w:name w:val="Item inserted title"/>
    <w:basedOn w:val="Itemsectiontitle"/>
    <w:rsid w:val="00460371"/>
    <w:pPr>
      <w:pBdr>
        <w:bottom w:val="single" w:sz="8" w:space="1" w:color="auto"/>
      </w:pBdr>
      <w:spacing w:before="240"/>
    </w:pPr>
    <w:rPr>
      <w:sz w:val="28"/>
    </w:rPr>
  </w:style>
  <w:style w:type="paragraph" w:customStyle="1" w:styleId="Alternatename">
    <w:name w:val="Alternate name"/>
    <w:basedOn w:val="Normal"/>
    <w:rsid w:val="00460371"/>
    <w:pPr>
      <w:spacing w:before="40" w:after="40"/>
    </w:pPr>
    <w:rPr>
      <w:rFonts w:ascii="Book Antiqua" w:eastAsia="Times New Roman" w:hAnsi="Book Antiqua" w:cs="Times New Roman"/>
      <w:sz w:val="20"/>
      <w:szCs w:val="20"/>
    </w:rPr>
  </w:style>
  <w:style w:type="paragraph" w:customStyle="1" w:styleId="Sectiontitle">
    <w:name w:val="Section title"/>
    <w:basedOn w:val="Normal"/>
    <w:link w:val="SectiontitleChar"/>
    <w:rsid w:val="00460371"/>
    <w:pPr>
      <w:pageBreakBefore/>
      <w:spacing w:before="40" w:after="40"/>
    </w:pPr>
    <w:rPr>
      <w:rFonts w:ascii="Arial" w:eastAsia="Times New Roman" w:hAnsi="Arial" w:cs="Times New Roman"/>
      <w:b/>
      <w:sz w:val="36"/>
      <w:szCs w:val="36"/>
      <w:lang w:val="en-US"/>
    </w:rPr>
  </w:style>
  <w:style w:type="character" w:customStyle="1" w:styleId="SectiontitleChar">
    <w:name w:val="Section title Char"/>
    <w:link w:val="Sectiontitle"/>
    <w:locked/>
    <w:rsid w:val="00460371"/>
    <w:rPr>
      <w:rFonts w:ascii="Arial" w:eastAsia="Times New Roman" w:hAnsi="Arial" w:cs="Times New Roman"/>
      <w:b/>
      <w:sz w:val="36"/>
      <w:szCs w:val="36"/>
      <w:lang w:val="en-US"/>
    </w:rPr>
  </w:style>
  <w:style w:type="paragraph" w:customStyle="1" w:styleId="table">
    <w:name w:val="table"/>
    <w:basedOn w:val="Normal"/>
    <w:autoRedefine/>
    <w:rsid w:val="00D03C89"/>
    <w:pPr>
      <w:spacing w:before="240"/>
    </w:pPr>
    <w:rPr>
      <w:rFonts w:ascii="Arial" w:eastAsia="Times New Roman" w:hAnsi="Arial" w:cstheme="minorHAnsi"/>
      <w:b/>
      <w:color w:val="000000"/>
      <w:sz w:val="20"/>
      <w:szCs w:val="20"/>
      <w:lang w:eastAsia="en-AU"/>
    </w:rPr>
  </w:style>
  <w:style w:type="table" w:styleId="TableList3">
    <w:name w:val="Table List 3"/>
    <w:basedOn w:val="TableNormal"/>
    <w:rsid w:val="00460371"/>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LightShading-Accent21">
    <w:name w:val="Light Shading - Accent 21"/>
    <w:rsid w:val="00460371"/>
    <w:pPr>
      <w:spacing w:after="0" w:line="240" w:lineRule="auto"/>
    </w:pPr>
    <w:rPr>
      <w:rFonts w:ascii="Times New Roman" w:eastAsia="Times New Roman" w:hAnsi="Times New Roman"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11">
    <w:name w:val="Light Shading - Accent 11"/>
    <w:rsid w:val="00460371"/>
    <w:pPr>
      <w:spacing w:after="0" w:line="240" w:lineRule="auto"/>
    </w:pPr>
    <w:rPr>
      <w:rFonts w:ascii="Times New Roman" w:eastAsia="Times New Roman" w:hAnsi="Times New Roman"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rsid w:val="00460371"/>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List1">
    <w:name w:val="Table List 1"/>
    <w:basedOn w:val="TableNormal"/>
    <w:rsid w:val="00460371"/>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460371"/>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LightShading-Accent31">
    <w:name w:val="Light Shading - Accent 31"/>
    <w:rsid w:val="00460371"/>
    <w:pPr>
      <w:spacing w:after="0" w:line="240" w:lineRule="auto"/>
    </w:pPr>
    <w:rPr>
      <w:rFonts w:ascii="Times New Roman" w:eastAsia="Times New Roman" w:hAnsi="Times New Roman"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ghtList-Accent11">
    <w:name w:val="Light List - Accent 11"/>
    <w:rsid w:val="00460371"/>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Headingnonumber">
    <w:name w:val="Heading no number"/>
    <w:basedOn w:val="Header"/>
    <w:autoRedefine/>
    <w:rsid w:val="001B2079"/>
    <w:pPr>
      <w:tabs>
        <w:tab w:val="clear" w:pos="4513"/>
        <w:tab w:val="clear" w:pos="9026"/>
      </w:tabs>
      <w:spacing w:before="360" w:after="200"/>
    </w:pPr>
    <w:rPr>
      <w:i/>
      <w:noProof w:val="0"/>
      <w:u w:val="single"/>
      <w:lang w:eastAsia="en-US"/>
    </w:rPr>
  </w:style>
  <w:style w:type="paragraph" w:customStyle="1" w:styleId="table2">
    <w:name w:val="table 2"/>
    <w:basedOn w:val="Normal"/>
    <w:autoRedefine/>
    <w:rsid w:val="00460371"/>
    <w:pPr>
      <w:pBdr>
        <w:top w:val="single" w:sz="4" w:space="1" w:color="FF0000"/>
        <w:left w:val="single" w:sz="4" w:space="4" w:color="FF0000"/>
        <w:bottom w:val="single" w:sz="4" w:space="1" w:color="FF0000"/>
        <w:right w:val="single" w:sz="4" w:space="4" w:color="FF0000"/>
      </w:pBdr>
      <w:spacing w:before="120" w:after="0"/>
    </w:pPr>
    <w:rPr>
      <w:rFonts w:ascii="Arial" w:eastAsia="Times New Roman" w:hAnsi="Arial" w:cs="Times New Roman"/>
      <w:sz w:val="20"/>
    </w:rPr>
  </w:style>
  <w:style w:type="paragraph" w:customStyle="1" w:styleId="NormalArial">
    <w:name w:val="Normal + Arial"/>
    <w:aliases w:val="11 pt"/>
    <w:basedOn w:val="Normal"/>
    <w:rsid w:val="00460371"/>
    <w:pPr>
      <w:spacing w:before="120" w:after="0"/>
      <w:ind w:left="550"/>
    </w:pPr>
    <w:rPr>
      <w:rFonts w:ascii="Arial" w:eastAsia="Times New Roman" w:hAnsi="Arial" w:cs="Arial"/>
      <w:sz w:val="20"/>
      <w:lang w:eastAsia="zh-CN"/>
    </w:rPr>
  </w:style>
  <w:style w:type="paragraph" w:customStyle="1" w:styleId="diagram">
    <w:name w:val="diagram"/>
    <w:basedOn w:val="Normal"/>
    <w:autoRedefine/>
    <w:rsid w:val="00460371"/>
    <w:pPr>
      <w:spacing w:after="0"/>
      <w:jc w:val="center"/>
    </w:pPr>
    <w:rPr>
      <w:rFonts w:ascii="Arial" w:eastAsia="Times New Roman" w:hAnsi="Arial" w:cs="Times New Roman"/>
      <w:noProof/>
      <w:sz w:val="20"/>
      <w:lang w:eastAsia="en-AU"/>
    </w:rPr>
  </w:style>
  <w:style w:type="paragraph" w:customStyle="1" w:styleId="Execsummary1">
    <w:name w:val="Exec summary 1"/>
    <w:basedOn w:val="Normal"/>
    <w:link w:val="Execsummary1Char"/>
    <w:rsid w:val="00460371"/>
    <w:pPr>
      <w:spacing w:before="120"/>
    </w:pPr>
    <w:rPr>
      <w:rFonts w:ascii="Arial" w:eastAsia="Times New Roman" w:hAnsi="Arial" w:cs="Times New Roman"/>
      <w:b/>
      <w:color w:val="7F7F7F"/>
      <w:sz w:val="32"/>
      <w:lang w:val="en-US"/>
    </w:rPr>
  </w:style>
  <w:style w:type="paragraph" w:styleId="FootnoteText">
    <w:name w:val="footnote text"/>
    <w:basedOn w:val="Normal"/>
    <w:link w:val="FootnoteTextChar"/>
    <w:uiPriority w:val="99"/>
    <w:rsid w:val="00460371"/>
    <w:pPr>
      <w:spacing w:before="120"/>
    </w:pPr>
    <w:rPr>
      <w:rFonts w:ascii="Arial" w:eastAsia="Times New Roman" w:hAnsi="Arial" w:cs="Times New Roman"/>
      <w:sz w:val="16"/>
      <w:szCs w:val="20"/>
      <w:lang w:val="en-US"/>
    </w:rPr>
  </w:style>
  <w:style w:type="character" w:customStyle="1" w:styleId="FootnoteTextChar">
    <w:name w:val="Footnote Text Char"/>
    <w:basedOn w:val="DefaultParagraphFont"/>
    <w:link w:val="FootnoteText"/>
    <w:uiPriority w:val="99"/>
    <w:rsid w:val="00460371"/>
    <w:rPr>
      <w:rFonts w:ascii="Arial" w:eastAsia="Times New Roman" w:hAnsi="Arial" w:cs="Times New Roman"/>
      <w:sz w:val="16"/>
      <w:szCs w:val="20"/>
      <w:lang w:val="en-US"/>
    </w:rPr>
  </w:style>
  <w:style w:type="character" w:customStyle="1" w:styleId="Execsummary1Char">
    <w:name w:val="Exec summary 1 Char"/>
    <w:link w:val="Execsummary1"/>
    <w:locked/>
    <w:rsid w:val="00460371"/>
    <w:rPr>
      <w:rFonts w:ascii="Arial" w:eastAsia="Times New Roman" w:hAnsi="Arial" w:cs="Times New Roman"/>
      <w:b/>
      <w:color w:val="7F7F7F"/>
      <w:sz w:val="32"/>
      <w:lang w:val="en-US"/>
    </w:rPr>
  </w:style>
  <w:style w:type="paragraph" w:customStyle="1" w:styleId="Streamheading">
    <w:name w:val="Stream heading"/>
    <w:basedOn w:val="Heading1"/>
    <w:link w:val="StreamheadingChar"/>
    <w:rsid w:val="00460371"/>
  </w:style>
  <w:style w:type="paragraph" w:customStyle="1" w:styleId="Heading2Level2">
    <w:name w:val="Heading 2 Level 2"/>
    <w:basedOn w:val="Heading2"/>
    <w:link w:val="Heading2Level2Char"/>
    <w:rsid w:val="00460371"/>
    <w:pPr>
      <w:numPr>
        <w:numId w:val="20"/>
      </w:numPr>
      <w:ind w:left="0" w:firstLine="0"/>
    </w:pPr>
  </w:style>
  <w:style w:type="character" w:customStyle="1" w:styleId="StreamheadingChar">
    <w:name w:val="Stream heading Char"/>
    <w:basedOn w:val="Heading1Char"/>
    <w:link w:val="Streamheading"/>
    <w:locked/>
    <w:rsid w:val="00460371"/>
    <w:rPr>
      <w:rFonts w:asciiTheme="majorHAnsi" w:eastAsiaTheme="majorEastAsia" w:hAnsiTheme="majorHAnsi" w:cstheme="majorBidi"/>
      <w:b/>
      <w:bCs/>
      <w:color w:val="008A00" w:themeColor="background2"/>
      <w:sz w:val="32"/>
      <w:szCs w:val="28"/>
    </w:rPr>
  </w:style>
  <w:style w:type="character" w:customStyle="1" w:styleId="Heading2Level2Char">
    <w:name w:val="Heading 2 Level 2 Char"/>
    <w:basedOn w:val="Heading2Char"/>
    <w:link w:val="Heading2Level2"/>
    <w:locked/>
    <w:rsid w:val="00460371"/>
    <w:rPr>
      <w:rFonts w:asciiTheme="majorHAnsi" w:eastAsiaTheme="majorEastAsia" w:hAnsiTheme="majorHAnsi" w:cstheme="majorBidi"/>
      <w:b/>
      <w:bCs/>
      <w:color w:val="008A00" w:themeColor="background2"/>
      <w:sz w:val="28"/>
      <w:szCs w:val="32"/>
    </w:rPr>
  </w:style>
  <w:style w:type="paragraph" w:customStyle="1" w:styleId="xl63">
    <w:name w:val="xl63"/>
    <w:basedOn w:val="Normal"/>
    <w:rsid w:val="00460371"/>
    <w:pPr>
      <w:spacing w:before="100" w:beforeAutospacing="1" w:after="100" w:afterAutospacing="1"/>
    </w:pPr>
    <w:rPr>
      <w:rFonts w:ascii="Times New Roman" w:eastAsia="Times New Roman" w:hAnsi="Times New Roman" w:cs="Times New Roman"/>
      <w:sz w:val="18"/>
      <w:szCs w:val="18"/>
      <w:lang w:eastAsia="en-AU"/>
    </w:rPr>
  </w:style>
  <w:style w:type="paragraph" w:customStyle="1" w:styleId="xl64">
    <w:name w:val="xl64"/>
    <w:basedOn w:val="Normal"/>
    <w:rsid w:val="00460371"/>
    <w:pPr>
      <w:spacing w:before="100" w:beforeAutospacing="1" w:after="100" w:afterAutospacing="1"/>
    </w:pPr>
    <w:rPr>
      <w:rFonts w:ascii="Times New Roman" w:eastAsia="Times New Roman" w:hAnsi="Times New Roman" w:cs="Times New Roman"/>
      <w:sz w:val="18"/>
      <w:szCs w:val="18"/>
      <w:lang w:eastAsia="en-AU"/>
    </w:rPr>
  </w:style>
  <w:style w:type="paragraph" w:customStyle="1" w:styleId="xl65">
    <w:name w:val="xl65"/>
    <w:basedOn w:val="Normal"/>
    <w:rsid w:val="00460371"/>
    <w:pPr>
      <w:spacing w:before="100" w:beforeAutospacing="1" w:after="100" w:afterAutospacing="1"/>
    </w:pPr>
    <w:rPr>
      <w:rFonts w:ascii="Times New Roman" w:eastAsia="Times New Roman" w:hAnsi="Times New Roman" w:cs="Times New Roman"/>
      <w:sz w:val="18"/>
      <w:szCs w:val="18"/>
      <w:lang w:eastAsia="en-AU"/>
    </w:rPr>
  </w:style>
  <w:style w:type="paragraph" w:customStyle="1" w:styleId="xl66">
    <w:name w:val="xl66"/>
    <w:basedOn w:val="Normal"/>
    <w:rsid w:val="00460371"/>
    <w:pPr>
      <w:shd w:val="clear" w:color="000000" w:fill="339966"/>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n-AU"/>
    </w:rPr>
  </w:style>
  <w:style w:type="paragraph" w:customStyle="1" w:styleId="xl67">
    <w:name w:val="xl67"/>
    <w:basedOn w:val="Normal"/>
    <w:rsid w:val="00460371"/>
    <w:pPr>
      <w:shd w:val="clear" w:color="000000" w:fill="339966"/>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n-AU"/>
    </w:rPr>
  </w:style>
  <w:style w:type="paragraph" w:customStyle="1" w:styleId="xl68">
    <w:name w:val="xl68"/>
    <w:basedOn w:val="Normal"/>
    <w:rsid w:val="00460371"/>
    <w:pPr>
      <w:shd w:val="clear" w:color="000000" w:fill="339966"/>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n-AU"/>
    </w:rPr>
  </w:style>
  <w:style w:type="paragraph" w:customStyle="1" w:styleId="xl69">
    <w:name w:val="xl69"/>
    <w:basedOn w:val="Normal"/>
    <w:rsid w:val="00460371"/>
    <w:pPr>
      <w:spacing w:before="100" w:beforeAutospacing="1" w:after="100" w:afterAutospacing="1"/>
    </w:pPr>
    <w:rPr>
      <w:rFonts w:ascii="Times New Roman" w:eastAsia="Times New Roman" w:hAnsi="Times New Roman" w:cs="Times New Roman"/>
      <w:sz w:val="18"/>
      <w:szCs w:val="18"/>
      <w:lang w:eastAsia="en-AU"/>
    </w:rPr>
  </w:style>
  <w:style w:type="paragraph" w:customStyle="1" w:styleId="xl70">
    <w:name w:val="xl70"/>
    <w:basedOn w:val="Normal"/>
    <w:rsid w:val="00460371"/>
    <w:pPr>
      <w:shd w:val="clear" w:color="000000" w:fill="339966"/>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n-AU"/>
    </w:rPr>
  </w:style>
  <w:style w:type="paragraph" w:customStyle="1" w:styleId="Heading1nonumber">
    <w:name w:val="Heading 1 no number"/>
    <w:basedOn w:val="Heading1"/>
    <w:link w:val="Heading1nonumberChar"/>
    <w:rsid w:val="00460371"/>
  </w:style>
  <w:style w:type="character" w:customStyle="1" w:styleId="Heading1nonumberChar">
    <w:name w:val="Heading 1 no number Char"/>
    <w:link w:val="Heading1nonumber"/>
    <w:locked/>
    <w:rsid w:val="00460371"/>
    <w:rPr>
      <w:rFonts w:asciiTheme="majorHAnsi" w:eastAsiaTheme="majorEastAsia" w:hAnsiTheme="majorHAnsi" w:cstheme="majorBidi"/>
      <w:b/>
      <w:bCs/>
      <w:color w:val="008A00" w:themeColor="background2"/>
      <w:sz w:val="32"/>
      <w:szCs w:val="28"/>
    </w:rPr>
  </w:style>
  <w:style w:type="paragraph" w:customStyle="1" w:styleId="StyleHeadingnonumberSeaGreen">
    <w:name w:val="Style Heading no number + Sea Green"/>
    <w:basedOn w:val="Headingnonumber"/>
    <w:rsid w:val="00460371"/>
    <w:pPr>
      <w:tabs>
        <w:tab w:val="center" w:pos="4153"/>
        <w:tab w:val="right" w:pos="8306"/>
      </w:tabs>
      <w:spacing w:before="120" w:after="120"/>
    </w:pPr>
    <w:rPr>
      <w:rFonts w:ascii="Times New Roman" w:eastAsia="Times New Roman" w:hAnsi="Times New Roman" w:cs="Calibri"/>
      <w:b/>
      <w:bCs/>
      <w:color w:val="7F7F7F"/>
      <w:sz w:val="32"/>
      <w:szCs w:val="24"/>
      <w:lang w:val="en-US"/>
    </w:rPr>
  </w:style>
  <w:style w:type="character" w:customStyle="1" w:styleId="Style18ptBoldItalicSeaGreen">
    <w:name w:val="Style 18 pt Bold Italic Sea Green"/>
    <w:rsid w:val="00460371"/>
    <w:rPr>
      <w:rFonts w:cs="Times New Roman"/>
      <w:b/>
      <w:bCs/>
      <w:i/>
      <w:iCs/>
      <w:color w:val="7F7F7F"/>
      <w:sz w:val="36"/>
    </w:rPr>
  </w:style>
  <w:style w:type="character" w:styleId="CommentReference">
    <w:name w:val="annotation reference"/>
    <w:rsid w:val="00460371"/>
    <w:rPr>
      <w:rFonts w:cs="Times New Roman"/>
      <w:sz w:val="16"/>
      <w:szCs w:val="16"/>
    </w:rPr>
  </w:style>
  <w:style w:type="paragraph" w:styleId="CommentText">
    <w:name w:val="annotation text"/>
    <w:basedOn w:val="Normal"/>
    <w:link w:val="CommentTextChar"/>
    <w:rsid w:val="00460371"/>
    <w:pPr>
      <w:spacing w:before="120"/>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6037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460371"/>
    <w:rPr>
      <w:b/>
      <w:bCs/>
    </w:rPr>
  </w:style>
  <w:style w:type="character" w:customStyle="1" w:styleId="CommentSubjectChar">
    <w:name w:val="Comment Subject Char"/>
    <w:basedOn w:val="CommentTextChar"/>
    <w:link w:val="CommentSubject"/>
    <w:rsid w:val="00460371"/>
    <w:rPr>
      <w:rFonts w:ascii="Arial" w:eastAsia="Times New Roman" w:hAnsi="Arial" w:cs="Times New Roman"/>
      <w:b/>
      <w:bCs/>
      <w:sz w:val="20"/>
      <w:szCs w:val="20"/>
    </w:rPr>
  </w:style>
  <w:style w:type="numbering" w:styleId="111111">
    <w:name w:val="Outline List 2"/>
    <w:basedOn w:val="NoList"/>
    <w:rsid w:val="00460371"/>
    <w:pPr>
      <w:numPr>
        <w:numId w:val="3"/>
      </w:numPr>
    </w:pPr>
  </w:style>
  <w:style w:type="numbering" w:customStyle="1" w:styleId="Style1">
    <w:name w:val="Style1"/>
    <w:rsid w:val="00460371"/>
    <w:pPr>
      <w:numPr>
        <w:numId w:val="22"/>
      </w:numPr>
    </w:pPr>
  </w:style>
  <w:style w:type="numbering" w:styleId="ArticleSection">
    <w:name w:val="Outline List 3"/>
    <w:basedOn w:val="NoList"/>
    <w:rsid w:val="00460371"/>
    <w:pPr>
      <w:numPr>
        <w:numId w:val="5"/>
      </w:numPr>
    </w:pPr>
  </w:style>
  <w:style w:type="numbering" w:styleId="1ai">
    <w:name w:val="Outline List 1"/>
    <w:basedOn w:val="NoList"/>
    <w:rsid w:val="00460371"/>
    <w:pPr>
      <w:numPr>
        <w:numId w:val="4"/>
      </w:numPr>
    </w:pPr>
  </w:style>
  <w:style w:type="paragraph" w:styleId="TableofFigures">
    <w:name w:val="table of figures"/>
    <w:basedOn w:val="Normal"/>
    <w:next w:val="Normal"/>
    <w:uiPriority w:val="99"/>
    <w:unhideWhenUsed/>
    <w:rsid w:val="00460371"/>
    <w:pPr>
      <w:spacing w:after="0" w:line="276" w:lineRule="auto"/>
    </w:pPr>
    <w:rPr>
      <w:rFonts w:ascii="Times New Roman" w:hAnsi="Times New Roman"/>
      <w:sz w:val="24"/>
    </w:rPr>
  </w:style>
  <w:style w:type="paragraph" w:styleId="TOC5">
    <w:name w:val="toc 5"/>
    <w:basedOn w:val="Normal"/>
    <w:next w:val="Normal"/>
    <w:autoRedefine/>
    <w:uiPriority w:val="39"/>
    <w:unhideWhenUsed/>
    <w:rsid w:val="00460371"/>
    <w:pPr>
      <w:spacing w:after="100" w:line="276" w:lineRule="auto"/>
      <w:ind w:left="880"/>
    </w:pPr>
    <w:rPr>
      <w:rFonts w:eastAsiaTheme="minorEastAsia"/>
      <w:sz w:val="20"/>
      <w:lang w:eastAsia="en-AU"/>
    </w:rPr>
  </w:style>
  <w:style w:type="paragraph" w:styleId="TOC6">
    <w:name w:val="toc 6"/>
    <w:basedOn w:val="Normal"/>
    <w:next w:val="Normal"/>
    <w:autoRedefine/>
    <w:uiPriority w:val="39"/>
    <w:unhideWhenUsed/>
    <w:rsid w:val="00460371"/>
    <w:pPr>
      <w:spacing w:after="100" w:line="276" w:lineRule="auto"/>
      <w:ind w:left="1100"/>
    </w:pPr>
    <w:rPr>
      <w:rFonts w:eastAsiaTheme="minorEastAsia"/>
      <w:sz w:val="20"/>
      <w:lang w:eastAsia="en-AU"/>
    </w:rPr>
  </w:style>
  <w:style w:type="paragraph" w:styleId="TOC7">
    <w:name w:val="toc 7"/>
    <w:basedOn w:val="Normal"/>
    <w:next w:val="Normal"/>
    <w:autoRedefine/>
    <w:uiPriority w:val="39"/>
    <w:unhideWhenUsed/>
    <w:rsid w:val="00460371"/>
    <w:pPr>
      <w:spacing w:after="100" w:line="276" w:lineRule="auto"/>
      <w:ind w:left="1320"/>
    </w:pPr>
    <w:rPr>
      <w:rFonts w:eastAsiaTheme="minorEastAsia"/>
      <w:sz w:val="20"/>
      <w:lang w:eastAsia="en-AU"/>
    </w:rPr>
  </w:style>
  <w:style w:type="paragraph" w:styleId="TOC8">
    <w:name w:val="toc 8"/>
    <w:basedOn w:val="Normal"/>
    <w:next w:val="Normal"/>
    <w:autoRedefine/>
    <w:uiPriority w:val="39"/>
    <w:unhideWhenUsed/>
    <w:rsid w:val="00460371"/>
    <w:pPr>
      <w:spacing w:after="100" w:line="276" w:lineRule="auto"/>
      <w:ind w:left="1540"/>
    </w:pPr>
    <w:rPr>
      <w:rFonts w:eastAsiaTheme="minorEastAsia"/>
      <w:sz w:val="20"/>
      <w:lang w:eastAsia="en-AU"/>
    </w:rPr>
  </w:style>
  <w:style w:type="paragraph" w:styleId="TOC9">
    <w:name w:val="toc 9"/>
    <w:basedOn w:val="Normal"/>
    <w:next w:val="Normal"/>
    <w:autoRedefine/>
    <w:uiPriority w:val="39"/>
    <w:unhideWhenUsed/>
    <w:rsid w:val="00460371"/>
    <w:pPr>
      <w:spacing w:after="100" w:line="276" w:lineRule="auto"/>
      <w:ind w:left="1760"/>
    </w:pPr>
    <w:rPr>
      <w:rFonts w:eastAsiaTheme="minorEastAsia"/>
      <w:sz w:val="20"/>
      <w:lang w:eastAsia="en-AU"/>
    </w:rPr>
  </w:style>
  <w:style w:type="paragraph" w:styleId="Revision">
    <w:name w:val="Revision"/>
    <w:hidden/>
    <w:uiPriority w:val="99"/>
    <w:semiHidden/>
    <w:rsid w:val="00460371"/>
    <w:pPr>
      <w:spacing w:after="0" w:line="240" w:lineRule="auto"/>
    </w:pPr>
    <w:rPr>
      <w:rFonts w:ascii="Arial" w:eastAsia="Times New Roman" w:hAnsi="Arial" w:cs="Times New Roman"/>
      <w:sz w:val="20"/>
    </w:rPr>
  </w:style>
  <w:style w:type="numbering" w:customStyle="1" w:styleId="NoList1">
    <w:name w:val="No List1"/>
    <w:next w:val="NoList"/>
    <w:uiPriority w:val="99"/>
    <w:semiHidden/>
    <w:unhideWhenUsed/>
    <w:rsid w:val="00460371"/>
  </w:style>
  <w:style w:type="table" w:customStyle="1" w:styleId="TableGrid10">
    <w:name w:val="Table Grid1"/>
    <w:basedOn w:val="TableNormal"/>
    <w:next w:val="TableGrid"/>
    <w:uiPriority w:val="59"/>
    <w:rsid w:val="00460371"/>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
    <w:name w:val="Headings"/>
    <w:uiPriority w:val="99"/>
    <w:rsid w:val="00460371"/>
    <w:pPr>
      <w:numPr>
        <w:numId w:val="42"/>
      </w:numPr>
    </w:pPr>
  </w:style>
  <w:style w:type="character" w:customStyle="1" w:styleId="Heading1Char1">
    <w:name w:val="Heading 1 Char1"/>
    <w:basedOn w:val="DefaultParagraphFont"/>
    <w:uiPriority w:val="9"/>
    <w:rsid w:val="00460371"/>
    <w:rPr>
      <w:rFonts w:ascii="Calibri" w:eastAsia="Times New Roman" w:hAnsi="Calibri" w:cs="Times New Roman"/>
      <w:b/>
      <w:bCs/>
      <w:szCs w:val="28"/>
    </w:rPr>
  </w:style>
  <w:style w:type="character" w:customStyle="1" w:styleId="Heading2Char1">
    <w:name w:val="Heading 2 Char1"/>
    <w:basedOn w:val="DefaultParagraphFont"/>
    <w:uiPriority w:val="9"/>
    <w:rsid w:val="00460371"/>
    <w:rPr>
      <w:rFonts w:ascii="Calibri" w:eastAsia="Times New Roman" w:hAnsi="Calibri" w:cs="Times New Roman"/>
      <w:b/>
      <w:szCs w:val="26"/>
    </w:rPr>
  </w:style>
  <w:style w:type="numbering" w:customStyle="1" w:styleId="Headingsv2">
    <w:name w:val="Headings v2"/>
    <w:uiPriority w:val="99"/>
    <w:rsid w:val="00460371"/>
    <w:pPr>
      <w:numPr>
        <w:numId w:val="43"/>
      </w:numPr>
    </w:pPr>
  </w:style>
  <w:style w:type="paragraph" w:customStyle="1" w:styleId="EndnoteText1">
    <w:name w:val="Endnote Text1"/>
    <w:basedOn w:val="Normal"/>
    <w:next w:val="EndnoteText"/>
    <w:link w:val="EndnoteTextChar"/>
    <w:uiPriority w:val="99"/>
    <w:semiHidden/>
    <w:unhideWhenUsed/>
    <w:rsid w:val="00460371"/>
    <w:pPr>
      <w:spacing w:after="0"/>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1"/>
    <w:uiPriority w:val="99"/>
    <w:semiHidden/>
    <w:rsid w:val="00460371"/>
    <w:rPr>
      <w:rFonts w:ascii="Calibri" w:eastAsia="Times New Roman" w:hAnsi="Calibri" w:cs="Times New Roman"/>
      <w:sz w:val="20"/>
      <w:szCs w:val="20"/>
      <w:lang w:eastAsia="en-AU"/>
    </w:rPr>
  </w:style>
  <w:style w:type="character" w:styleId="EndnoteReference">
    <w:name w:val="endnote reference"/>
    <w:basedOn w:val="DefaultParagraphFont"/>
    <w:uiPriority w:val="99"/>
    <w:unhideWhenUsed/>
    <w:rsid w:val="00460371"/>
    <w:rPr>
      <w:vertAlign w:val="superscript"/>
    </w:rPr>
  </w:style>
  <w:style w:type="paragraph" w:styleId="EndnoteText">
    <w:name w:val="endnote text"/>
    <w:basedOn w:val="Normal"/>
    <w:link w:val="EndnoteTextChar1"/>
    <w:rsid w:val="00460371"/>
    <w:pPr>
      <w:spacing w:after="0"/>
    </w:pPr>
    <w:rPr>
      <w:rFonts w:ascii="Arial" w:eastAsia="Times New Roman" w:hAnsi="Arial" w:cs="Times New Roman"/>
      <w:sz w:val="20"/>
      <w:szCs w:val="20"/>
    </w:rPr>
  </w:style>
  <w:style w:type="character" w:customStyle="1" w:styleId="EndnoteTextChar1">
    <w:name w:val="Endnote Text Char1"/>
    <w:basedOn w:val="DefaultParagraphFont"/>
    <w:link w:val="EndnoteText"/>
    <w:rsid w:val="00460371"/>
    <w:rPr>
      <w:rFonts w:ascii="Arial" w:eastAsia="Times New Roman" w:hAnsi="Arial" w:cs="Times New Roman"/>
      <w:sz w:val="20"/>
      <w:szCs w:val="20"/>
    </w:rPr>
  </w:style>
  <w:style w:type="character" w:customStyle="1" w:styleId="ListParagraphChar">
    <w:name w:val="List Paragraph Char"/>
    <w:link w:val="ListParagraph"/>
    <w:uiPriority w:val="34"/>
    <w:locked/>
    <w:rsid w:val="004B4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016096">
      <w:bodyDiv w:val="1"/>
      <w:marLeft w:val="0"/>
      <w:marRight w:val="0"/>
      <w:marTop w:val="0"/>
      <w:marBottom w:val="0"/>
      <w:divBdr>
        <w:top w:val="none" w:sz="0" w:space="0" w:color="auto"/>
        <w:left w:val="none" w:sz="0" w:space="0" w:color="auto"/>
        <w:bottom w:val="none" w:sz="0" w:space="0" w:color="auto"/>
        <w:right w:val="none" w:sz="0" w:space="0" w:color="auto"/>
      </w:divBdr>
      <w:divsChild>
        <w:div w:id="1597136041">
          <w:marLeft w:val="0"/>
          <w:marRight w:val="0"/>
          <w:marTop w:val="0"/>
          <w:marBottom w:val="0"/>
          <w:divBdr>
            <w:top w:val="none" w:sz="0" w:space="0" w:color="auto"/>
            <w:left w:val="none" w:sz="0" w:space="0" w:color="auto"/>
            <w:bottom w:val="none" w:sz="0" w:space="0" w:color="auto"/>
            <w:right w:val="none" w:sz="0" w:space="0" w:color="auto"/>
          </w:divBdr>
        </w:div>
        <w:div w:id="1837837152">
          <w:marLeft w:val="0"/>
          <w:marRight w:val="0"/>
          <w:marTop w:val="0"/>
          <w:marBottom w:val="0"/>
          <w:divBdr>
            <w:top w:val="none" w:sz="0" w:space="0" w:color="auto"/>
            <w:left w:val="none" w:sz="0" w:space="0" w:color="auto"/>
            <w:bottom w:val="none" w:sz="0" w:space="0" w:color="auto"/>
            <w:right w:val="none" w:sz="0" w:space="0" w:color="auto"/>
          </w:divBdr>
        </w:div>
        <w:div w:id="102238642">
          <w:marLeft w:val="0"/>
          <w:marRight w:val="0"/>
          <w:marTop w:val="0"/>
          <w:marBottom w:val="0"/>
          <w:divBdr>
            <w:top w:val="none" w:sz="0" w:space="0" w:color="auto"/>
            <w:left w:val="none" w:sz="0" w:space="0" w:color="auto"/>
            <w:bottom w:val="none" w:sz="0" w:space="0" w:color="auto"/>
            <w:right w:val="none" w:sz="0" w:space="0" w:color="auto"/>
          </w:divBdr>
        </w:div>
        <w:div w:id="58333017">
          <w:marLeft w:val="0"/>
          <w:marRight w:val="0"/>
          <w:marTop w:val="0"/>
          <w:marBottom w:val="0"/>
          <w:divBdr>
            <w:top w:val="none" w:sz="0" w:space="0" w:color="auto"/>
            <w:left w:val="none" w:sz="0" w:space="0" w:color="auto"/>
            <w:bottom w:val="none" w:sz="0" w:space="0" w:color="auto"/>
            <w:right w:val="none" w:sz="0" w:space="0" w:color="auto"/>
          </w:divBdr>
        </w:div>
        <w:div w:id="984237947">
          <w:marLeft w:val="0"/>
          <w:marRight w:val="0"/>
          <w:marTop w:val="0"/>
          <w:marBottom w:val="0"/>
          <w:divBdr>
            <w:top w:val="none" w:sz="0" w:space="0" w:color="auto"/>
            <w:left w:val="none" w:sz="0" w:space="0" w:color="auto"/>
            <w:bottom w:val="none" w:sz="0" w:space="0" w:color="auto"/>
            <w:right w:val="none" w:sz="0" w:space="0" w:color="auto"/>
          </w:divBdr>
        </w:div>
        <w:div w:id="1587348545">
          <w:marLeft w:val="0"/>
          <w:marRight w:val="0"/>
          <w:marTop w:val="0"/>
          <w:marBottom w:val="0"/>
          <w:divBdr>
            <w:top w:val="none" w:sz="0" w:space="0" w:color="auto"/>
            <w:left w:val="none" w:sz="0" w:space="0" w:color="auto"/>
            <w:bottom w:val="none" w:sz="0" w:space="0" w:color="auto"/>
            <w:right w:val="none" w:sz="0" w:space="0" w:color="auto"/>
          </w:divBdr>
        </w:div>
        <w:div w:id="1037586069">
          <w:marLeft w:val="0"/>
          <w:marRight w:val="0"/>
          <w:marTop w:val="0"/>
          <w:marBottom w:val="0"/>
          <w:divBdr>
            <w:top w:val="none" w:sz="0" w:space="0" w:color="auto"/>
            <w:left w:val="none" w:sz="0" w:space="0" w:color="auto"/>
            <w:bottom w:val="none" w:sz="0" w:space="0" w:color="auto"/>
            <w:right w:val="none" w:sz="0" w:space="0" w:color="auto"/>
          </w:divBdr>
        </w:div>
        <w:div w:id="1518814095">
          <w:marLeft w:val="0"/>
          <w:marRight w:val="0"/>
          <w:marTop w:val="0"/>
          <w:marBottom w:val="0"/>
          <w:divBdr>
            <w:top w:val="none" w:sz="0" w:space="0" w:color="auto"/>
            <w:left w:val="none" w:sz="0" w:space="0" w:color="auto"/>
            <w:bottom w:val="none" w:sz="0" w:space="0" w:color="auto"/>
            <w:right w:val="none" w:sz="0" w:space="0" w:color="auto"/>
          </w:divBdr>
        </w:div>
        <w:div w:id="1368025216">
          <w:marLeft w:val="0"/>
          <w:marRight w:val="0"/>
          <w:marTop w:val="0"/>
          <w:marBottom w:val="0"/>
          <w:divBdr>
            <w:top w:val="none" w:sz="0" w:space="0" w:color="auto"/>
            <w:left w:val="none" w:sz="0" w:space="0" w:color="auto"/>
            <w:bottom w:val="none" w:sz="0" w:space="0" w:color="auto"/>
            <w:right w:val="none" w:sz="0" w:space="0" w:color="auto"/>
          </w:divBdr>
        </w:div>
        <w:div w:id="283970248">
          <w:marLeft w:val="0"/>
          <w:marRight w:val="0"/>
          <w:marTop w:val="0"/>
          <w:marBottom w:val="0"/>
          <w:divBdr>
            <w:top w:val="none" w:sz="0" w:space="0" w:color="auto"/>
            <w:left w:val="none" w:sz="0" w:space="0" w:color="auto"/>
            <w:bottom w:val="none" w:sz="0" w:space="0" w:color="auto"/>
            <w:right w:val="none" w:sz="0" w:space="0" w:color="auto"/>
          </w:divBdr>
        </w:div>
        <w:div w:id="437022254">
          <w:marLeft w:val="0"/>
          <w:marRight w:val="0"/>
          <w:marTop w:val="0"/>
          <w:marBottom w:val="0"/>
          <w:divBdr>
            <w:top w:val="none" w:sz="0" w:space="0" w:color="auto"/>
            <w:left w:val="none" w:sz="0" w:space="0" w:color="auto"/>
            <w:bottom w:val="none" w:sz="0" w:space="0" w:color="auto"/>
            <w:right w:val="none" w:sz="0" w:space="0" w:color="auto"/>
          </w:divBdr>
        </w:div>
        <w:div w:id="1944266732">
          <w:marLeft w:val="0"/>
          <w:marRight w:val="0"/>
          <w:marTop w:val="0"/>
          <w:marBottom w:val="0"/>
          <w:divBdr>
            <w:top w:val="none" w:sz="0" w:space="0" w:color="auto"/>
            <w:left w:val="none" w:sz="0" w:space="0" w:color="auto"/>
            <w:bottom w:val="none" w:sz="0" w:space="0" w:color="auto"/>
            <w:right w:val="none" w:sz="0" w:space="0" w:color="auto"/>
          </w:divBdr>
        </w:div>
        <w:div w:id="213155157">
          <w:marLeft w:val="0"/>
          <w:marRight w:val="0"/>
          <w:marTop w:val="0"/>
          <w:marBottom w:val="0"/>
          <w:divBdr>
            <w:top w:val="none" w:sz="0" w:space="0" w:color="auto"/>
            <w:left w:val="none" w:sz="0" w:space="0" w:color="auto"/>
            <w:bottom w:val="none" w:sz="0" w:space="0" w:color="auto"/>
            <w:right w:val="none" w:sz="0" w:space="0" w:color="auto"/>
          </w:divBdr>
        </w:div>
        <w:div w:id="1211040498">
          <w:marLeft w:val="0"/>
          <w:marRight w:val="0"/>
          <w:marTop w:val="0"/>
          <w:marBottom w:val="0"/>
          <w:divBdr>
            <w:top w:val="none" w:sz="0" w:space="0" w:color="auto"/>
            <w:left w:val="none" w:sz="0" w:space="0" w:color="auto"/>
            <w:bottom w:val="none" w:sz="0" w:space="0" w:color="auto"/>
            <w:right w:val="none" w:sz="0" w:space="0" w:color="auto"/>
          </w:divBdr>
        </w:div>
        <w:div w:id="1963539240">
          <w:marLeft w:val="0"/>
          <w:marRight w:val="0"/>
          <w:marTop w:val="0"/>
          <w:marBottom w:val="0"/>
          <w:divBdr>
            <w:top w:val="none" w:sz="0" w:space="0" w:color="auto"/>
            <w:left w:val="none" w:sz="0" w:space="0" w:color="auto"/>
            <w:bottom w:val="none" w:sz="0" w:space="0" w:color="auto"/>
            <w:right w:val="none" w:sz="0" w:space="0" w:color="auto"/>
          </w:divBdr>
        </w:div>
        <w:div w:id="337512382">
          <w:marLeft w:val="0"/>
          <w:marRight w:val="0"/>
          <w:marTop w:val="0"/>
          <w:marBottom w:val="0"/>
          <w:divBdr>
            <w:top w:val="none" w:sz="0" w:space="0" w:color="auto"/>
            <w:left w:val="none" w:sz="0" w:space="0" w:color="auto"/>
            <w:bottom w:val="none" w:sz="0" w:space="0" w:color="auto"/>
            <w:right w:val="none" w:sz="0" w:space="0" w:color="auto"/>
          </w:divBdr>
        </w:div>
        <w:div w:id="114908513">
          <w:marLeft w:val="0"/>
          <w:marRight w:val="0"/>
          <w:marTop w:val="0"/>
          <w:marBottom w:val="0"/>
          <w:divBdr>
            <w:top w:val="none" w:sz="0" w:space="0" w:color="auto"/>
            <w:left w:val="none" w:sz="0" w:space="0" w:color="auto"/>
            <w:bottom w:val="none" w:sz="0" w:space="0" w:color="auto"/>
            <w:right w:val="none" w:sz="0" w:space="0" w:color="auto"/>
          </w:divBdr>
        </w:div>
        <w:div w:id="1697534098">
          <w:marLeft w:val="0"/>
          <w:marRight w:val="0"/>
          <w:marTop w:val="0"/>
          <w:marBottom w:val="0"/>
          <w:divBdr>
            <w:top w:val="none" w:sz="0" w:space="0" w:color="auto"/>
            <w:left w:val="none" w:sz="0" w:space="0" w:color="auto"/>
            <w:bottom w:val="none" w:sz="0" w:space="0" w:color="auto"/>
            <w:right w:val="none" w:sz="0" w:space="0" w:color="auto"/>
          </w:divBdr>
        </w:div>
        <w:div w:id="426776993">
          <w:marLeft w:val="0"/>
          <w:marRight w:val="0"/>
          <w:marTop w:val="0"/>
          <w:marBottom w:val="0"/>
          <w:divBdr>
            <w:top w:val="none" w:sz="0" w:space="0" w:color="auto"/>
            <w:left w:val="none" w:sz="0" w:space="0" w:color="auto"/>
            <w:bottom w:val="none" w:sz="0" w:space="0" w:color="auto"/>
            <w:right w:val="none" w:sz="0" w:space="0" w:color="auto"/>
          </w:divBdr>
        </w:div>
        <w:div w:id="1452281202">
          <w:marLeft w:val="0"/>
          <w:marRight w:val="0"/>
          <w:marTop w:val="0"/>
          <w:marBottom w:val="0"/>
          <w:divBdr>
            <w:top w:val="none" w:sz="0" w:space="0" w:color="auto"/>
            <w:left w:val="none" w:sz="0" w:space="0" w:color="auto"/>
            <w:bottom w:val="none" w:sz="0" w:space="0" w:color="auto"/>
            <w:right w:val="none" w:sz="0" w:space="0" w:color="auto"/>
          </w:divBdr>
        </w:div>
        <w:div w:id="1244686789">
          <w:marLeft w:val="0"/>
          <w:marRight w:val="0"/>
          <w:marTop w:val="0"/>
          <w:marBottom w:val="0"/>
          <w:divBdr>
            <w:top w:val="none" w:sz="0" w:space="0" w:color="auto"/>
            <w:left w:val="none" w:sz="0" w:space="0" w:color="auto"/>
            <w:bottom w:val="none" w:sz="0" w:space="0" w:color="auto"/>
            <w:right w:val="none" w:sz="0" w:space="0" w:color="auto"/>
          </w:divBdr>
        </w:div>
        <w:div w:id="1322543759">
          <w:marLeft w:val="0"/>
          <w:marRight w:val="0"/>
          <w:marTop w:val="0"/>
          <w:marBottom w:val="0"/>
          <w:divBdr>
            <w:top w:val="none" w:sz="0" w:space="0" w:color="auto"/>
            <w:left w:val="none" w:sz="0" w:space="0" w:color="auto"/>
            <w:bottom w:val="none" w:sz="0" w:space="0" w:color="auto"/>
            <w:right w:val="none" w:sz="0" w:space="0" w:color="auto"/>
          </w:divBdr>
        </w:div>
        <w:div w:id="412510324">
          <w:marLeft w:val="0"/>
          <w:marRight w:val="0"/>
          <w:marTop w:val="0"/>
          <w:marBottom w:val="0"/>
          <w:divBdr>
            <w:top w:val="none" w:sz="0" w:space="0" w:color="auto"/>
            <w:left w:val="none" w:sz="0" w:space="0" w:color="auto"/>
            <w:bottom w:val="none" w:sz="0" w:space="0" w:color="auto"/>
            <w:right w:val="none" w:sz="0" w:space="0" w:color="auto"/>
          </w:divBdr>
        </w:div>
        <w:div w:id="1251162309">
          <w:marLeft w:val="0"/>
          <w:marRight w:val="0"/>
          <w:marTop w:val="0"/>
          <w:marBottom w:val="0"/>
          <w:divBdr>
            <w:top w:val="none" w:sz="0" w:space="0" w:color="auto"/>
            <w:left w:val="none" w:sz="0" w:space="0" w:color="auto"/>
            <w:bottom w:val="none" w:sz="0" w:space="0" w:color="auto"/>
            <w:right w:val="none" w:sz="0" w:space="0" w:color="auto"/>
          </w:divBdr>
        </w:div>
        <w:div w:id="93332197">
          <w:marLeft w:val="0"/>
          <w:marRight w:val="0"/>
          <w:marTop w:val="0"/>
          <w:marBottom w:val="0"/>
          <w:divBdr>
            <w:top w:val="none" w:sz="0" w:space="0" w:color="auto"/>
            <w:left w:val="none" w:sz="0" w:space="0" w:color="auto"/>
            <w:bottom w:val="none" w:sz="0" w:space="0" w:color="auto"/>
            <w:right w:val="none" w:sz="0" w:space="0" w:color="auto"/>
          </w:divBdr>
        </w:div>
        <w:div w:id="767118247">
          <w:marLeft w:val="0"/>
          <w:marRight w:val="0"/>
          <w:marTop w:val="0"/>
          <w:marBottom w:val="0"/>
          <w:divBdr>
            <w:top w:val="none" w:sz="0" w:space="0" w:color="auto"/>
            <w:left w:val="none" w:sz="0" w:space="0" w:color="auto"/>
            <w:bottom w:val="none" w:sz="0" w:space="0" w:color="auto"/>
            <w:right w:val="none" w:sz="0" w:space="0" w:color="auto"/>
          </w:divBdr>
        </w:div>
        <w:div w:id="1827210154">
          <w:marLeft w:val="0"/>
          <w:marRight w:val="0"/>
          <w:marTop w:val="0"/>
          <w:marBottom w:val="0"/>
          <w:divBdr>
            <w:top w:val="none" w:sz="0" w:space="0" w:color="auto"/>
            <w:left w:val="none" w:sz="0" w:space="0" w:color="auto"/>
            <w:bottom w:val="none" w:sz="0" w:space="0" w:color="auto"/>
            <w:right w:val="none" w:sz="0" w:space="0" w:color="auto"/>
          </w:divBdr>
        </w:div>
        <w:div w:id="454064972">
          <w:marLeft w:val="0"/>
          <w:marRight w:val="0"/>
          <w:marTop w:val="0"/>
          <w:marBottom w:val="0"/>
          <w:divBdr>
            <w:top w:val="none" w:sz="0" w:space="0" w:color="auto"/>
            <w:left w:val="none" w:sz="0" w:space="0" w:color="auto"/>
            <w:bottom w:val="none" w:sz="0" w:space="0" w:color="auto"/>
            <w:right w:val="none" w:sz="0" w:space="0" w:color="auto"/>
          </w:divBdr>
        </w:div>
        <w:div w:id="1088228798">
          <w:marLeft w:val="0"/>
          <w:marRight w:val="0"/>
          <w:marTop w:val="0"/>
          <w:marBottom w:val="0"/>
          <w:divBdr>
            <w:top w:val="none" w:sz="0" w:space="0" w:color="auto"/>
            <w:left w:val="none" w:sz="0" w:space="0" w:color="auto"/>
            <w:bottom w:val="none" w:sz="0" w:space="0" w:color="auto"/>
            <w:right w:val="none" w:sz="0" w:space="0" w:color="auto"/>
          </w:divBdr>
        </w:div>
        <w:div w:id="1262254157">
          <w:marLeft w:val="0"/>
          <w:marRight w:val="0"/>
          <w:marTop w:val="0"/>
          <w:marBottom w:val="0"/>
          <w:divBdr>
            <w:top w:val="none" w:sz="0" w:space="0" w:color="auto"/>
            <w:left w:val="none" w:sz="0" w:space="0" w:color="auto"/>
            <w:bottom w:val="none" w:sz="0" w:space="0" w:color="auto"/>
            <w:right w:val="none" w:sz="0" w:space="0" w:color="auto"/>
          </w:divBdr>
        </w:div>
        <w:div w:id="1327242298">
          <w:marLeft w:val="0"/>
          <w:marRight w:val="0"/>
          <w:marTop w:val="0"/>
          <w:marBottom w:val="0"/>
          <w:divBdr>
            <w:top w:val="none" w:sz="0" w:space="0" w:color="auto"/>
            <w:left w:val="none" w:sz="0" w:space="0" w:color="auto"/>
            <w:bottom w:val="none" w:sz="0" w:space="0" w:color="auto"/>
            <w:right w:val="none" w:sz="0" w:space="0" w:color="auto"/>
          </w:divBdr>
        </w:div>
        <w:div w:id="2092583312">
          <w:marLeft w:val="0"/>
          <w:marRight w:val="0"/>
          <w:marTop w:val="0"/>
          <w:marBottom w:val="0"/>
          <w:divBdr>
            <w:top w:val="none" w:sz="0" w:space="0" w:color="auto"/>
            <w:left w:val="none" w:sz="0" w:space="0" w:color="auto"/>
            <w:bottom w:val="none" w:sz="0" w:space="0" w:color="auto"/>
            <w:right w:val="none" w:sz="0" w:space="0" w:color="auto"/>
          </w:divBdr>
        </w:div>
        <w:div w:id="1057162345">
          <w:marLeft w:val="0"/>
          <w:marRight w:val="0"/>
          <w:marTop w:val="0"/>
          <w:marBottom w:val="0"/>
          <w:divBdr>
            <w:top w:val="none" w:sz="0" w:space="0" w:color="auto"/>
            <w:left w:val="none" w:sz="0" w:space="0" w:color="auto"/>
            <w:bottom w:val="none" w:sz="0" w:space="0" w:color="auto"/>
            <w:right w:val="none" w:sz="0" w:space="0" w:color="auto"/>
          </w:divBdr>
        </w:div>
        <w:div w:id="1218204777">
          <w:marLeft w:val="0"/>
          <w:marRight w:val="0"/>
          <w:marTop w:val="0"/>
          <w:marBottom w:val="0"/>
          <w:divBdr>
            <w:top w:val="none" w:sz="0" w:space="0" w:color="auto"/>
            <w:left w:val="none" w:sz="0" w:space="0" w:color="auto"/>
            <w:bottom w:val="none" w:sz="0" w:space="0" w:color="auto"/>
            <w:right w:val="none" w:sz="0" w:space="0" w:color="auto"/>
          </w:divBdr>
        </w:div>
        <w:div w:id="1550071873">
          <w:marLeft w:val="0"/>
          <w:marRight w:val="0"/>
          <w:marTop w:val="0"/>
          <w:marBottom w:val="0"/>
          <w:divBdr>
            <w:top w:val="none" w:sz="0" w:space="0" w:color="auto"/>
            <w:left w:val="none" w:sz="0" w:space="0" w:color="auto"/>
            <w:bottom w:val="none" w:sz="0" w:space="0" w:color="auto"/>
            <w:right w:val="none" w:sz="0" w:space="0" w:color="auto"/>
          </w:divBdr>
        </w:div>
        <w:div w:id="706611803">
          <w:marLeft w:val="0"/>
          <w:marRight w:val="0"/>
          <w:marTop w:val="0"/>
          <w:marBottom w:val="0"/>
          <w:divBdr>
            <w:top w:val="none" w:sz="0" w:space="0" w:color="auto"/>
            <w:left w:val="none" w:sz="0" w:space="0" w:color="auto"/>
            <w:bottom w:val="none" w:sz="0" w:space="0" w:color="auto"/>
            <w:right w:val="none" w:sz="0" w:space="0" w:color="auto"/>
          </w:divBdr>
        </w:div>
        <w:div w:id="1479302086">
          <w:marLeft w:val="0"/>
          <w:marRight w:val="0"/>
          <w:marTop w:val="0"/>
          <w:marBottom w:val="0"/>
          <w:divBdr>
            <w:top w:val="none" w:sz="0" w:space="0" w:color="auto"/>
            <w:left w:val="none" w:sz="0" w:space="0" w:color="auto"/>
            <w:bottom w:val="none" w:sz="0" w:space="0" w:color="auto"/>
            <w:right w:val="none" w:sz="0" w:space="0" w:color="auto"/>
          </w:divBdr>
        </w:div>
        <w:div w:id="1373311093">
          <w:marLeft w:val="0"/>
          <w:marRight w:val="0"/>
          <w:marTop w:val="0"/>
          <w:marBottom w:val="0"/>
          <w:divBdr>
            <w:top w:val="none" w:sz="0" w:space="0" w:color="auto"/>
            <w:left w:val="none" w:sz="0" w:space="0" w:color="auto"/>
            <w:bottom w:val="none" w:sz="0" w:space="0" w:color="auto"/>
            <w:right w:val="none" w:sz="0" w:space="0" w:color="auto"/>
          </w:divBdr>
        </w:div>
        <w:div w:id="1807576786">
          <w:marLeft w:val="0"/>
          <w:marRight w:val="0"/>
          <w:marTop w:val="0"/>
          <w:marBottom w:val="0"/>
          <w:divBdr>
            <w:top w:val="none" w:sz="0" w:space="0" w:color="auto"/>
            <w:left w:val="none" w:sz="0" w:space="0" w:color="auto"/>
            <w:bottom w:val="none" w:sz="0" w:space="0" w:color="auto"/>
            <w:right w:val="none" w:sz="0" w:space="0" w:color="auto"/>
          </w:divBdr>
        </w:div>
        <w:div w:id="507330149">
          <w:marLeft w:val="0"/>
          <w:marRight w:val="0"/>
          <w:marTop w:val="0"/>
          <w:marBottom w:val="0"/>
          <w:divBdr>
            <w:top w:val="none" w:sz="0" w:space="0" w:color="auto"/>
            <w:left w:val="none" w:sz="0" w:space="0" w:color="auto"/>
            <w:bottom w:val="none" w:sz="0" w:space="0" w:color="auto"/>
            <w:right w:val="none" w:sz="0" w:space="0" w:color="auto"/>
          </w:divBdr>
        </w:div>
        <w:div w:id="1075474887">
          <w:marLeft w:val="0"/>
          <w:marRight w:val="0"/>
          <w:marTop w:val="0"/>
          <w:marBottom w:val="0"/>
          <w:divBdr>
            <w:top w:val="none" w:sz="0" w:space="0" w:color="auto"/>
            <w:left w:val="none" w:sz="0" w:space="0" w:color="auto"/>
            <w:bottom w:val="none" w:sz="0" w:space="0" w:color="auto"/>
            <w:right w:val="none" w:sz="0" w:space="0" w:color="auto"/>
          </w:divBdr>
        </w:div>
        <w:div w:id="322247939">
          <w:marLeft w:val="0"/>
          <w:marRight w:val="0"/>
          <w:marTop w:val="0"/>
          <w:marBottom w:val="0"/>
          <w:divBdr>
            <w:top w:val="none" w:sz="0" w:space="0" w:color="auto"/>
            <w:left w:val="none" w:sz="0" w:space="0" w:color="auto"/>
            <w:bottom w:val="none" w:sz="0" w:space="0" w:color="auto"/>
            <w:right w:val="none" w:sz="0" w:space="0" w:color="auto"/>
          </w:divBdr>
        </w:div>
        <w:div w:id="485585905">
          <w:marLeft w:val="0"/>
          <w:marRight w:val="0"/>
          <w:marTop w:val="0"/>
          <w:marBottom w:val="0"/>
          <w:divBdr>
            <w:top w:val="none" w:sz="0" w:space="0" w:color="auto"/>
            <w:left w:val="none" w:sz="0" w:space="0" w:color="auto"/>
            <w:bottom w:val="none" w:sz="0" w:space="0" w:color="auto"/>
            <w:right w:val="none" w:sz="0" w:space="0" w:color="auto"/>
          </w:divBdr>
        </w:div>
        <w:div w:id="2105110979">
          <w:marLeft w:val="0"/>
          <w:marRight w:val="0"/>
          <w:marTop w:val="0"/>
          <w:marBottom w:val="0"/>
          <w:divBdr>
            <w:top w:val="none" w:sz="0" w:space="0" w:color="auto"/>
            <w:left w:val="none" w:sz="0" w:space="0" w:color="auto"/>
            <w:bottom w:val="none" w:sz="0" w:space="0" w:color="auto"/>
            <w:right w:val="none" w:sz="0" w:space="0" w:color="auto"/>
          </w:divBdr>
        </w:div>
        <w:div w:id="2106262176">
          <w:marLeft w:val="0"/>
          <w:marRight w:val="0"/>
          <w:marTop w:val="0"/>
          <w:marBottom w:val="0"/>
          <w:divBdr>
            <w:top w:val="none" w:sz="0" w:space="0" w:color="auto"/>
            <w:left w:val="none" w:sz="0" w:space="0" w:color="auto"/>
            <w:bottom w:val="none" w:sz="0" w:space="0" w:color="auto"/>
            <w:right w:val="none" w:sz="0" w:space="0" w:color="auto"/>
          </w:divBdr>
        </w:div>
        <w:div w:id="713386910">
          <w:marLeft w:val="0"/>
          <w:marRight w:val="0"/>
          <w:marTop w:val="0"/>
          <w:marBottom w:val="0"/>
          <w:divBdr>
            <w:top w:val="none" w:sz="0" w:space="0" w:color="auto"/>
            <w:left w:val="none" w:sz="0" w:space="0" w:color="auto"/>
            <w:bottom w:val="none" w:sz="0" w:space="0" w:color="auto"/>
            <w:right w:val="none" w:sz="0" w:space="0" w:color="auto"/>
          </w:divBdr>
        </w:div>
        <w:div w:id="920455642">
          <w:marLeft w:val="0"/>
          <w:marRight w:val="0"/>
          <w:marTop w:val="0"/>
          <w:marBottom w:val="0"/>
          <w:divBdr>
            <w:top w:val="none" w:sz="0" w:space="0" w:color="auto"/>
            <w:left w:val="none" w:sz="0" w:space="0" w:color="auto"/>
            <w:bottom w:val="none" w:sz="0" w:space="0" w:color="auto"/>
            <w:right w:val="none" w:sz="0" w:space="0" w:color="auto"/>
          </w:divBdr>
        </w:div>
        <w:div w:id="1974208860">
          <w:marLeft w:val="0"/>
          <w:marRight w:val="0"/>
          <w:marTop w:val="0"/>
          <w:marBottom w:val="0"/>
          <w:divBdr>
            <w:top w:val="none" w:sz="0" w:space="0" w:color="auto"/>
            <w:left w:val="none" w:sz="0" w:space="0" w:color="auto"/>
            <w:bottom w:val="none" w:sz="0" w:space="0" w:color="auto"/>
            <w:right w:val="none" w:sz="0" w:space="0" w:color="auto"/>
          </w:divBdr>
        </w:div>
        <w:div w:id="157380261">
          <w:marLeft w:val="0"/>
          <w:marRight w:val="0"/>
          <w:marTop w:val="0"/>
          <w:marBottom w:val="0"/>
          <w:divBdr>
            <w:top w:val="none" w:sz="0" w:space="0" w:color="auto"/>
            <w:left w:val="none" w:sz="0" w:space="0" w:color="auto"/>
            <w:bottom w:val="none" w:sz="0" w:space="0" w:color="auto"/>
            <w:right w:val="none" w:sz="0" w:space="0" w:color="auto"/>
          </w:divBdr>
        </w:div>
        <w:div w:id="1515150264">
          <w:marLeft w:val="0"/>
          <w:marRight w:val="0"/>
          <w:marTop w:val="0"/>
          <w:marBottom w:val="0"/>
          <w:divBdr>
            <w:top w:val="none" w:sz="0" w:space="0" w:color="auto"/>
            <w:left w:val="none" w:sz="0" w:space="0" w:color="auto"/>
            <w:bottom w:val="none" w:sz="0" w:space="0" w:color="auto"/>
            <w:right w:val="none" w:sz="0" w:space="0" w:color="auto"/>
          </w:divBdr>
        </w:div>
        <w:div w:id="1322391837">
          <w:marLeft w:val="0"/>
          <w:marRight w:val="0"/>
          <w:marTop w:val="0"/>
          <w:marBottom w:val="0"/>
          <w:divBdr>
            <w:top w:val="none" w:sz="0" w:space="0" w:color="auto"/>
            <w:left w:val="none" w:sz="0" w:space="0" w:color="auto"/>
            <w:bottom w:val="none" w:sz="0" w:space="0" w:color="auto"/>
            <w:right w:val="none" w:sz="0" w:space="0" w:color="auto"/>
          </w:divBdr>
        </w:div>
        <w:div w:id="141435736">
          <w:marLeft w:val="0"/>
          <w:marRight w:val="0"/>
          <w:marTop w:val="0"/>
          <w:marBottom w:val="0"/>
          <w:divBdr>
            <w:top w:val="none" w:sz="0" w:space="0" w:color="auto"/>
            <w:left w:val="none" w:sz="0" w:space="0" w:color="auto"/>
            <w:bottom w:val="none" w:sz="0" w:space="0" w:color="auto"/>
            <w:right w:val="none" w:sz="0" w:space="0" w:color="auto"/>
          </w:divBdr>
        </w:div>
        <w:div w:id="2112505729">
          <w:marLeft w:val="0"/>
          <w:marRight w:val="0"/>
          <w:marTop w:val="0"/>
          <w:marBottom w:val="0"/>
          <w:divBdr>
            <w:top w:val="none" w:sz="0" w:space="0" w:color="auto"/>
            <w:left w:val="none" w:sz="0" w:space="0" w:color="auto"/>
            <w:bottom w:val="none" w:sz="0" w:space="0" w:color="auto"/>
            <w:right w:val="none" w:sz="0" w:space="0" w:color="auto"/>
          </w:divBdr>
        </w:div>
        <w:div w:id="981541785">
          <w:marLeft w:val="0"/>
          <w:marRight w:val="0"/>
          <w:marTop w:val="0"/>
          <w:marBottom w:val="0"/>
          <w:divBdr>
            <w:top w:val="none" w:sz="0" w:space="0" w:color="auto"/>
            <w:left w:val="none" w:sz="0" w:space="0" w:color="auto"/>
            <w:bottom w:val="none" w:sz="0" w:space="0" w:color="auto"/>
            <w:right w:val="none" w:sz="0" w:space="0" w:color="auto"/>
          </w:divBdr>
        </w:div>
        <w:div w:id="795296335">
          <w:marLeft w:val="0"/>
          <w:marRight w:val="0"/>
          <w:marTop w:val="0"/>
          <w:marBottom w:val="0"/>
          <w:divBdr>
            <w:top w:val="none" w:sz="0" w:space="0" w:color="auto"/>
            <w:left w:val="none" w:sz="0" w:space="0" w:color="auto"/>
            <w:bottom w:val="none" w:sz="0" w:space="0" w:color="auto"/>
            <w:right w:val="none" w:sz="0" w:space="0" w:color="auto"/>
          </w:divBdr>
        </w:div>
        <w:div w:id="2107534785">
          <w:marLeft w:val="0"/>
          <w:marRight w:val="0"/>
          <w:marTop w:val="0"/>
          <w:marBottom w:val="0"/>
          <w:divBdr>
            <w:top w:val="none" w:sz="0" w:space="0" w:color="auto"/>
            <w:left w:val="none" w:sz="0" w:space="0" w:color="auto"/>
            <w:bottom w:val="none" w:sz="0" w:space="0" w:color="auto"/>
            <w:right w:val="none" w:sz="0" w:space="0" w:color="auto"/>
          </w:divBdr>
        </w:div>
        <w:div w:id="505562633">
          <w:marLeft w:val="0"/>
          <w:marRight w:val="0"/>
          <w:marTop w:val="0"/>
          <w:marBottom w:val="0"/>
          <w:divBdr>
            <w:top w:val="none" w:sz="0" w:space="0" w:color="auto"/>
            <w:left w:val="none" w:sz="0" w:space="0" w:color="auto"/>
            <w:bottom w:val="none" w:sz="0" w:space="0" w:color="auto"/>
            <w:right w:val="none" w:sz="0" w:space="0" w:color="auto"/>
          </w:divBdr>
        </w:div>
        <w:div w:id="1406683258">
          <w:marLeft w:val="0"/>
          <w:marRight w:val="0"/>
          <w:marTop w:val="0"/>
          <w:marBottom w:val="0"/>
          <w:divBdr>
            <w:top w:val="none" w:sz="0" w:space="0" w:color="auto"/>
            <w:left w:val="none" w:sz="0" w:space="0" w:color="auto"/>
            <w:bottom w:val="none" w:sz="0" w:space="0" w:color="auto"/>
            <w:right w:val="none" w:sz="0" w:space="0" w:color="auto"/>
          </w:divBdr>
        </w:div>
        <w:div w:id="177156715">
          <w:marLeft w:val="0"/>
          <w:marRight w:val="0"/>
          <w:marTop w:val="0"/>
          <w:marBottom w:val="0"/>
          <w:divBdr>
            <w:top w:val="none" w:sz="0" w:space="0" w:color="auto"/>
            <w:left w:val="none" w:sz="0" w:space="0" w:color="auto"/>
            <w:bottom w:val="none" w:sz="0" w:space="0" w:color="auto"/>
            <w:right w:val="none" w:sz="0" w:space="0" w:color="auto"/>
          </w:divBdr>
        </w:div>
        <w:div w:id="1089232997">
          <w:marLeft w:val="0"/>
          <w:marRight w:val="0"/>
          <w:marTop w:val="0"/>
          <w:marBottom w:val="0"/>
          <w:divBdr>
            <w:top w:val="none" w:sz="0" w:space="0" w:color="auto"/>
            <w:left w:val="none" w:sz="0" w:space="0" w:color="auto"/>
            <w:bottom w:val="none" w:sz="0" w:space="0" w:color="auto"/>
            <w:right w:val="none" w:sz="0" w:space="0" w:color="auto"/>
          </w:divBdr>
        </w:div>
        <w:div w:id="542837332">
          <w:marLeft w:val="0"/>
          <w:marRight w:val="0"/>
          <w:marTop w:val="0"/>
          <w:marBottom w:val="0"/>
          <w:divBdr>
            <w:top w:val="none" w:sz="0" w:space="0" w:color="auto"/>
            <w:left w:val="none" w:sz="0" w:space="0" w:color="auto"/>
            <w:bottom w:val="none" w:sz="0" w:space="0" w:color="auto"/>
            <w:right w:val="none" w:sz="0" w:space="0" w:color="auto"/>
          </w:divBdr>
        </w:div>
        <w:div w:id="1278172194">
          <w:marLeft w:val="0"/>
          <w:marRight w:val="0"/>
          <w:marTop w:val="0"/>
          <w:marBottom w:val="0"/>
          <w:divBdr>
            <w:top w:val="none" w:sz="0" w:space="0" w:color="auto"/>
            <w:left w:val="none" w:sz="0" w:space="0" w:color="auto"/>
            <w:bottom w:val="none" w:sz="0" w:space="0" w:color="auto"/>
            <w:right w:val="none" w:sz="0" w:space="0" w:color="auto"/>
          </w:divBdr>
        </w:div>
        <w:div w:id="654837276">
          <w:marLeft w:val="0"/>
          <w:marRight w:val="0"/>
          <w:marTop w:val="0"/>
          <w:marBottom w:val="0"/>
          <w:divBdr>
            <w:top w:val="none" w:sz="0" w:space="0" w:color="auto"/>
            <w:left w:val="none" w:sz="0" w:space="0" w:color="auto"/>
            <w:bottom w:val="none" w:sz="0" w:space="0" w:color="auto"/>
            <w:right w:val="none" w:sz="0" w:space="0" w:color="auto"/>
          </w:divBdr>
        </w:div>
        <w:div w:id="1763067310">
          <w:marLeft w:val="0"/>
          <w:marRight w:val="0"/>
          <w:marTop w:val="0"/>
          <w:marBottom w:val="0"/>
          <w:divBdr>
            <w:top w:val="none" w:sz="0" w:space="0" w:color="auto"/>
            <w:left w:val="none" w:sz="0" w:space="0" w:color="auto"/>
            <w:bottom w:val="none" w:sz="0" w:space="0" w:color="auto"/>
            <w:right w:val="none" w:sz="0" w:space="0" w:color="auto"/>
          </w:divBdr>
        </w:div>
        <w:div w:id="1023361116">
          <w:marLeft w:val="0"/>
          <w:marRight w:val="0"/>
          <w:marTop w:val="0"/>
          <w:marBottom w:val="0"/>
          <w:divBdr>
            <w:top w:val="none" w:sz="0" w:space="0" w:color="auto"/>
            <w:left w:val="none" w:sz="0" w:space="0" w:color="auto"/>
            <w:bottom w:val="none" w:sz="0" w:space="0" w:color="auto"/>
            <w:right w:val="none" w:sz="0" w:space="0" w:color="auto"/>
          </w:divBdr>
        </w:div>
        <w:div w:id="615255863">
          <w:marLeft w:val="0"/>
          <w:marRight w:val="0"/>
          <w:marTop w:val="0"/>
          <w:marBottom w:val="0"/>
          <w:divBdr>
            <w:top w:val="none" w:sz="0" w:space="0" w:color="auto"/>
            <w:left w:val="none" w:sz="0" w:space="0" w:color="auto"/>
            <w:bottom w:val="none" w:sz="0" w:space="0" w:color="auto"/>
            <w:right w:val="none" w:sz="0" w:space="0" w:color="auto"/>
          </w:divBdr>
        </w:div>
        <w:div w:id="1312061500">
          <w:marLeft w:val="0"/>
          <w:marRight w:val="0"/>
          <w:marTop w:val="0"/>
          <w:marBottom w:val="0"/>
          <w:divBdr>
            <w:top w:val="none" w:sz="0" w:space="0" w:color="auto"/>
            <w:left w:val="none" w:sz="0" w:space="0" w:color="auto"/>
            <w:bottom w:val="none" w:sz="0" w:space="0" w:color="auto"/>
            <w:right w:val="none" w:sz="0" w:space="0" w:color="auto"/>
          </w:divBdr>
        </w:div>
        <w:div w:id="1219633579">
          <w:marLeft w:val="0"/>
          <w:marRight w:val="0"/>
          <w:marTop w:val="0"/>
          <w:marBottom w:val="0"/>
          <w:divBdr>
            <w:top w:val="none" w:sz="0" w:space="0" w:color="auto"/>
            <w:left w:val="none" w:sz="0" w:space="0" w:color="auto"/>
            <w:bottom w:val="none" w:sz="0" w:space="0" w:color="auto"/>
            <w:right w:val="none" w:sz="0" w:space="0" w:color="auto"/>
          </w:divBdr>
        </w:div>
        <w:div w:id="485245922">
          <w:marLeft w:val="0"/>
          <w:marRight w:val="0"/>
          <w:marTop w:val="0"/>
          <w:marBottom w:val="0"/>
          <w:divBdr>
            <w:top w:val="none" w:sz="0" w:space="0" w:color="auto"/>
            <w:left w:val="none" w:sz="0" w:space="0" w:color="auto"/>
            <w:bottom w:val="none" w:sz="0" w:space="0" w:color="auto"/>
            <w:right w:val="none" w:sz="0" w:space="0" w:color="auto"/>
          </w:divBdr>
        </w:div>
        <w:div w:id="1590577242">
          <w:marLeft w:val="0"/>
          <w:marRight w:val="0"/>
          <w:marTop w:val="0"/>
          <w:marBottom w:val="0"/>
          <w:divBdr>
            <w:top w:val="none" w:sz="0" w:space="0" w:color="auto"/>
            <w:left w:val="none" w:sz="0" w:space="0" w:color="auto"/>
            <w:bottom w:val="none" w:sz="0" w:space="0" w:color="auto"/>
            <w:right w:val="none" w:sz="0" w:space="0" w:color="auto"/>
          </w:divBdr>
        </w:div>
      </w:divsChild>
    </w:div>
    <w:div w:id="1206717164">
      <w:bodyDiv w:val="1"/>
      <w:marLeft w:val="0"/>
      <w:marRight w:val="0"/>
      <w:marTop w:val="0"/>
      <w:marBottom w:val="0"/>
      <w:divBdr>
        <w:top w:val="none" w:sz="0" w:space="0" w:color="auto"/>
        <w:left w:val="none" w:sz="0" w:space="0" w:color="auto"/>
        <w:bottom w:val="none" w:sz="0" w:space="0" w:color="auto"/>
        <w:right w:val="none" w:sz="0" w:space="0" w:color="auto"/>
      </w:divBdr>
      <w:divsChild>
        <w:div w:id="178929447">
          <w:marLeft w:val="0"/>
          <w:marRight w:val="0"/>
          <w:marTop w:val="0"/>
          <w:marBottom w:val="0"/>
          <w:divBdr>
            <w:top w:val="none" w:sz="0" w:space="0" w:color="auto"/>
            <w:left w:val="none" w:sz="0" w:space="0" w:color="auto"/>
            <w:bottom w:val="none" w:sz="0" w:space="0" w:color="auto"/>
            <w:right w:val="none" w:sz="0" w:space="0" w:color="auto"/>
          </w:divBdr>
        </w:div>
        <w:div w:id="1478690931">
          <w:marLeft w:val="0"/>
          <w:marRight w:val="0"/>
          <w:marTop w:val="0"/>
          <w:marBottom w:val="0"/>
          <w:divBdr>
            <w:top w:val="none" w:sz="0" w:space="0" w:color="auto"/>
            <w:left w:val="none" w:sz="0" w:space="0" w:color="auto"/>
            <w:bottom w:val="none" w:sz="0" w:space="0" w:color="auto"/>
            <w:right w:val="none" w:sz="0" w:space="0" w:color="auto"/>
          </w:divBdr>
        </w:div>
        <w:div w:id="692997394">
          <w:marLeft w:val="0"/>
          <w:marRight w:val="0"/>
          <w:marTop w:val="0"/>
          <w:marBottom w:val="0"/>
          <w:divBdr>
            <w:top w:val="none" w:sz="0" w:space="0" w:color="auto"/>
            <w:left w:val="none" w:sz="0" w:space="0" w:color="auto"/>
            <w:bottom w:val="none" w:sz="0" w:space="0" w:color="auto"/>
            <w:right w:val="none" w:sz="0" w:space="0" w:color="auto"/>
          </w:divBdr>
        </w:div>
        <w:div w:id="1220701879">
          <w:marLeft w:val="0"/>
          <w:marRight w:val="0"/>
          <w:marTop w:val="0"/>
          <w:marBottom w:val="0"/>
          <w:divBdr>
            <w:top w:val="none" w:sz="0" w:space="0" w:color="auto"/>
            <w:left w:val="none" w:sz="0" w:space="0" w:color="auto"/>
            <w:bottom w:val="none" w:sz="0" w:space="0" w:color="auto"/>
            <w:right w:val="none" w:sz="0" w:space="0" w:color="auto"/>
          </w:divBdr>
        </w:div>
        <w:div w:id="474837759">
          <w:marLeft w:val="0"/>
          <w:marRight w:val="0"/>
          <w:marTop w:val="0"/>
          <w:marBottom w:val="0"/>
          <w:divBdr>
            <w:top w:val="none" w:sz="0" w:space="0" w:color="auto"/>
            <w:left w:val="none" w:sz="0" w:space="0" w:color="auto"/>
            <w:bottom w:val="none" w:sz="0" w:space="0" w:color="auto"/>
            <w:right w:val="none" w:sz="0" w:space="0" w:color="auto"/>
          </w:divBdr>
        </w:div>
        <w:div w:id="1271358039">
          <w:marLeft w:val="0"/>
          <w:marRight w:val="0"/>
          <w:marTop w:val="0"/>
          <w:marBottom w:val="0"/>
          <w:divBdr>
            <w:top w:val="none" w:sz="0" w:space="0" w:color="auto"/>
            <w:left w:val="none" w:sz="0" w:space="0" w:color="auto"/>
            <w:bottom w:val="none" w:sz="0" w:space="0" w:color="auto"/>
            <w:right w:val="none" w:sz="0" w:space="0" w:color="auto"/>
          </w:divBdr>
        </w:div>
        <w:div w:id="1008949084">
          <w:marLeft w:val="0"/>
          <w:marRight w:val="0"/>
          <w:marTop w:val="0"/>
          <w:marBottom w:val="0"/>
          <w:divBdr>
            <w:top w:val="none" w:sz="0" w:space="0" w:color="auto"/>
            <w:left w:val="none" w:sz="0" w:space="0" w:color="auto"/>
            <w:bottom w:val="none" w:sz="0" w:space="0" w:color="auto"/>
            <w:right w:val="none" w:sz="0" w:space="0" w:color="auto"/>
          </w:divBdr>
        </w:div>
        <w:div w:id="167214304">
          <w:marLeft w:val="0"/>
          <w:marRight w:val="0"/>
          <w:marTop w:val="0"/>
          <w:marBottom w:val="0"/>
          <w:divBdr>
            <w:top w:val="none" w:sz="0" w:space="0" w:color="auto"/>
            <w:left w:val="none" w:sz="0" w:space="0" w:color="auto"/>
            <w:bottom w:val="none" w:sz="0" w:space="0" w:color="auto"/>
            <w:right w:val="none" w:sz="0" w:space="0" w:color="auto"/>
          </w:divBdr>
        </w:div>
        <w:div w:id="1484271692">
          <w:marLeft w:val="0"/>
          <w:marRight w:val="0"/>
          <w:marTop w:val="0"/>
          <w:marBottom w:val="0"/>
          <w:divBdr>
            <w:top w:val="none" w:sz="0" w:space="0" w:color="auto"/>
            <w:left w:val="none" w:sz="0" w:space="0" w:color="auto"/>
            <w:bottom w:val="none" w:sz="0" w:space="0" w:color="auto"/>
            <w:right w:val="none" w:sz="0" w:space="0" w:color="auto"/>
          </w:divBdr>
        </w:div>
        <w:div w:id="1782412661">
          <w:marLeft w:val="0"/>
          <w:marRight w:val="0"/>
          <w:marTop w:val="0"/>
          <w:marBottom w:val="0"/>
          <w:divBdr>
            <w:top w:val="none" w:sz="0" w:space="0" w:color="auto"/>
            <w:left w:val="none" w:sz="0" w:space="0" w:color="auto"/>
            <w:bottom w:val="none" w:sz="0" w:space="0" w:color="auto"/>
            <w:right w:val="none" w:sz="0" w:space="0" w:color="auto"/>
          </w:divBdr>
        </w:div>
        <w:div w:id="1072699758">
          <w:marLeft w:val="0"/>
          <w:marRight w:val="0"/>
          <w:marTop w:val="0"/>
          <w:marBottom w:val="0"/>
          <w:divBdr>
            <w:top w:val="none" w:sz="0" w:space="0" w:color="auto"/>
            <w:left w:val="none" w:sz="0" w:space="0" w:color="auto"/>
            <w:bottom w:val="none" w:sz="0" w:space="0" w:color="auto"/>
            <w:right w:val="none" w:sz="0" w:space="0" w:color="auto"/>
          </w:divBdr>
        </w:div>
        <w:div w:id="823619337">
          <w:marLeft w:val="0"/>
          <w:marRight w:val="0"/>
          <w:marTop w:val="0"/>
          <w:marBottom w:val="0"/>
          <w:divBdr>
            <w:top w:val="none" w:sz="0" w:space="0" w:color="auto"/>
            <w:left w:val="none" w:sz="0" w:space="0" w:color="auto"/>
            <w:bottom w:val="none" w:sz="0" w:space="0" w:color="auto"/>
            <w:right w:val="none" w:sz="0" w:space="0" w:color="auto"/>
          </w:divBdr>
        </w:div>
      </w:divsChild>
    </w:div>
    <w:div w:id="1572038580">
      <w:bodyDiv w:val="1"/>
      <w:marLeft w:val="0"/>
      <w:marRight w:val="0"/>
      <w:marTop w:val="0"/>
      <w:marBottom w:val="0"/>
      <w:divBdr>
        <w:top w:val="none" w:sz="0" w:space="0" w:color="auto"/>
        <w:left w:val="none" w:sz="0" w:space="0" w:color="auto"/>
        <w:bottom w:val="none" w:sz="0" w:space="0" w:color="auto"/>
        <w:right w:val="none" w:sz="0" w:space="0" w:color="auto"/>
      </w:divBdr>
      <w:divsChild>
        <w:div w:id="1319842775">
          <w:marLeft w:val="0"/>
          <w:marRight w:val="0"/>
          <w:marTop w:val="0"/>
          <w:marBottom w:val="0"/>
          <w:divBdr>
            <w:top w:val="none" w:sz="0" w:space="0" w:color="auto"/>
            <w:left w:val="none" w:sz="0" w:space="0" w:color="auto"/>
            <w:bottom w:val="none" w:sz="0" w:space="0" w:color="auto"/>
            <w:right w:val="none" w:sz="0" w:space="0" w:color="auto"/>
          </w:divBdr>
        </w:div>
        <w:div w:id="1521821317">
          <w:marLeft w:val="0"/>
          <w:marRight w:val="0"/>
          <w:marTop w:val="0"/>
          <w:marBottom w:val="0"/>
          <w:divBdr>
            <w:top w:val="none" w:sz="0" w:space="0" w:color="auto"/>
            <w:left w:val="none" w:sz="0" w:space="0" w:color="auto"/>
            <w:bottom w:val="none" w:sz="0" w:space="0" w:color="auto"/>
            <w:right w:val="none" w:sz="0" w:space="0" w:color="auto"/>
          </w:divBdr>
        </w:div>
        <w:div w:id="1401978808">
          <w:marLeft w:val="0"/>
          <w:marRight w:val="0"/>
          <w:marTop w:val="0"/>
          <w:marBottom w:val="0"/>
          <w:divBdr>
            <w:top w:val="none" w:sz="0" w:space="0" w:color="auto"/>
            <w:left w:val="none" w:sz="0" w:space="0" w:color="auto"/>
            <w:bottom w:val="none" w:sz="0" w:space="0" w:color="auto"/>
            <w:right w:val="none" w:sz="0" w:space="0" w:color="auto"/>
          </w:divBdr>
        </w:div>
        <w:div w:id="1918055270">
          <w:marLeft w:val="0"/>
          <w:marRight w:val="0"/>
          <w:marTop w:val="0"/>
          <w:marBottom w:val="0"/>
          <w:divBdr>
            <w:top w:val="none" w:sz="0" w:space="0" w:color="auto"/>
            <w:left w:val="none" w:sz="0" w:space="0" w:color="auto"/>
            <w:bottom w:val="none" w:sz="0" w:space="0" w:color="auto"/>
            <w:right w:val="none" w:sz="0" w:space="0" w:color="auto"/>
          </w:divBdr>
        </w:div>
        <w:div w:id="1473212992">
          <w:marLeft w:val="0"/>
          <w:marRight w:val="0"/>
          <w:marTop w:val="0"/>
          <w:marBottom w:val="0"/>
          <w:divBdr>
            <w:top w:val="none" w:sz="0" w:space="0" w:color="auto"/>
            <w:left w:val="none" w:sz="0" w:space="0" w:color="auto"/>
            <w:bottom w:val="none" w:sz="0" w:space="0" w:color="auto"/>
            <w:right w:val="none" w:sz="0" w:space="0" w:color="auto"/>
          </w:divBdr>
        </w:div>
        <w:div w:id="671219950">
          <w:marLeft w:val="0"/>
          <w:marRight w:val="0"/>
          <w:marTop w:val="0"/>
          <w:marBottom w:val="0"/>
          <w:divBdr>
            <w:top w:val="none" w:sz="0" w:space="0" w:color="auto"/>
            <w:left w:val="none" w:sz="0" w:space="0" w:color="auto"/>
            <w:bottom w:val="none" w:sz="0" w:space="0" w:color="auto"/>
            <w:right w:val="none" w:sz="0" w:space="0" w:color="auto"/>
          </w:divBdr>
        </w:div>
        <w:div w:id="866018665">
          <w:marLeft w:val="0"/>
          <w:marRight w:val="0"/>
          <w:marTop w:val="0"/>
          <w:marBottom w:val="0"/>
          <w:divBdr>
            <w:top w:val="none" w:sz="0" w:space="0" w:color="auto"/>
            <w:left w:val="none" w:sz="0" w:space="0" w:color="auto"/>
            <w:bottom w:val="none" w:sz="0" w:space="0" w:color="auto"/>
            <w:right w:val="none" w:sz="0" w:space="0" w:color="auto"/>
          </w:divBdr>
        </w:div>
        <w:div w:id="159588465">
          <w:marLeft w:val="0"/>
          <w:marRight w:val="0"/>
          <w:marTop w:val="0"/>
          <w:marBottom w:val="0"/>
          <w:divBdr>
            <w:top w:val="none" w:sz="0" w:space="0" w:color="auto"/>
            <w:left w:val="none" w:sz="0" w:space="0" w:color="auto"/>
            <w:bottom w:val="none" w:sz="0" w:space="0" w:color="auto"/>
            <w:right w:val="none" w:sz="0" w:space="0" w:color="auto"/>
          </w:divBdr>
        </w:div>
        <w:div w:id="226305188">
          <w:marLeft w:val="0"/>
          <w:marRight w:val="0"/>
          <w:marTop w:val="0"/>
          <w:marBottom w:val="0"/>
          <w:divBdr>
            <w:top w:val="none" w:sz="0" w:space="0" w:color="auto"/>
            <w:left w:val="none" w:sz="0" w:space="0" w:color="auto"/>
            <w:bottom w:val="none" w:sz="0" w:space="0" w:color="auto"/>
            <w:right w:val="none" w:sz="0" w:space="0" w:color="auto"/>
          </w:divBdr>
        </w:div>
        <w:div w:id="1005598864">
          <w:marLeft w:val="0"/>
          <w:marRight w:val="0"/>
          <w:marTop w:val="0"/>
          <w:marBottom w:val="0"/>
          <w:divBdr>
            <w:top w:val="none" w:sz="0" w:space="0" w:color="auto"/>
            <w:left w:val="none" w:sz="0" w:space="0" w:color="auto"/>
            <w:bottom w:val="none" w:sz="0" w:space="0" w:color="auto"/>
            <w:right w:val="none" w:sz="0" w:space="0" w:color="auto"/>
          </w:divBdr>
        </w:div>
        <w:div w:id="2112506477">
          <w:marLeft w:val="0"/>
          <w:marRight w:val="0"/>
          <w:marTop w:val="0"/>
          <w:marBottom w:val="0"/>
          <w:divBdr>
            <w:top w:val="none" w:sz="0" w:space="0" w:color="auto"/>
            <w:left w:val="none" w:sz="0" w:space="0" w:color="auto"/>
            <w:bottom w:val="none" w:sz="0" w:space="0" w:color="auto"/>
            <w:right w:val="none" w:sz="0" w:space="0" w:color="auto"/>
          </w:divBdr>
        </w:div>
        <w:div w:id="1479569960">
          <w:marLeft w:val="0"/>
          <w:marRight w:val="0"/>
          <w:marTop w:val="0"/>
          <w:marBottom w:val="0"/>
          <w:divBdr>
            <w:top w:val="none" w:sz="0" w:space="0" w:color="auto"/>
            <w:left w:val="none" w:sz="0" w:space="0" w:color="auto"/>
            <w:bottom w:val="none" w:sz="0" w:space="0" w:color="auto"/>
            <w:right w:val="none" w:sz="0" w:space="0" w:color="auto"/>
          </w:divBdr>
        </w:div>
        <w:div w:id="444160275">
          <w:marLeft w:val="0"/>
          <w:marRight w:val="0"/>
          <w:marTop w:val="0"/>
          <w:marBottom w:val="0"/>
          <w:divBdr>
            <w:top w:val="none" w:sz="0" w:space="0" w:color="auto"/>
            <w:left w:val="none" w:sz="0" w:space="0" w:color="auto"/>
            <w:bottom w:val="none" w:sz="0" w:space="0" w:color="auto"/>
            <w:right w:val="none" w:sz="0" w:space="0" w:color="auto"/>
          </w:divBdr>
        </w:div>
        <w:div w:id="1634479706">
          <w:marLeft w:val="0"/>
          <w:marRight w:val="0"/>
          <w:marTop w:val="0"/>
          <w:marBottom w:val="0"/>
          <w:divBdr>
            <w:top w:val="none" w:sz="0" w:space="0" w:color="auto"/>
            <w:left w:val="none" w:sz="0" w:space="0" w:color="auto"/>
            <w:bottom w:val="none" w:sz="0" w:space="0" w:color="auto"/>
            <w:right w:val="none" w:sz="0" w:space="0" w:color="auto"/>
          </w:divBdr>
        </w:div>
        <w:div w:id="1044063206">
          <w:marLeft w:val="0"/>
          <w:marRight w:val="0"/>
          <w:marTop w:val="0"/>
          <w:marBottom w:val="0"/>
          <w:divBdr>
            <w:top w:val="none" w:sz="0" w:space="0" w:color="auto"/>
            <w:left w:val="none" w:sz="0" w:space="0" w:color="auto"/>
            <w:bottom w:val="none" w:sz="0" w:space="0" w:color="auto"/>
            <w:right w:val="none" w:sz="0" w:space="0" w:color="auto"/>
          </w:divBdr>
        </w:div>
        <w:div w:id="873231975">
          <w:marLeft w:val="0"/>
          <w:marRight w:val="0"/>
          <w:marTop w:val="0"/>
          <w:marBottom w:val="0"/>
          <w:divBdr>
            <w:top w:val="none" w:sz="0" w:space="0" w:color="auto"/>
            <w:left w:val="none" w:sz="0" w:space="0" w:color="auto"/>
            <w:bottom w:val="none" w:sz="0" w:space="0" w:color="auto"/>
            <w:right w:val="none" w:sz="0" w:space="0" w:color="auto"/>
          </w:divBdr>
        </w:div>
        <w:div w:id="1959682340">
          <w:marLeft w:val="0"/>
          <w:marRight w:val="0"/>
          <w:marTop w:val="0"/>
          <w:marBottom w:val="0"/>
          <w:divBdr>
            <w:top w:val="none" w:sz="0" w:space="0" w:color="auto"/>
            <w:left w:val="none" w:sz="0" w:space="0" w:color="auto"/>
            <w:bottom w:val="none" w:sz="0" w:space="0" w:color="auto"/>
            <w:right w:val="none" w:sz="0" w:space="0" w:color="auto"/>
          </w:divBdr>
        </w:div>
        <w:div w:id="1359812545">
          <w:marLeft w:val="0"/>
          <w:marRight w:val="0"/>
          <w:marTop w:val="0"/>
          <w:marBottom w:val="0"/>
          <w:divBdr>
            <w:top w:val="none" w:sz="0" w:space="0" w:color="auto"/>
            <w:left w:val="none" w:sz="0" w:space="0" w:color="auto"/>
            <w:bottom w:val="none" w:sz="0" w:space="0" w:color="auto"/>
            <w:right w:val="none" w:sz="0" w:space="0" w:color="auto"/>
          </w:divBdr>
        </w:div>
        <w:div w:id="1474953759">
          <w:marLeft w:val="0"/>
          <w:marRight w:val="0"/>
          <w:marTop w:val="0"/>
          <w:marBottom w:val="0"/>
          <w:divBdr>
            <w:top w:val="none" w:sz="0" w:space="0" w:color="auto"/>
            <w:left w:val="none" w:sz="0" w:space="0" w:color="auto"/>
            <w:bottom w:val="none" w:sz="0" w:space="0" w:color="auto"/>
            <w:right w:val="none" w:sz="0" w:space="0" w:color="auto"/>
          </w:divBdr>
        </w:div>
        <w:div w:id="1870100993">
          <w:marLeft w:val="0"/>
          <w:marRight w:val="0"/>
          <w:marTop w:val="0"/>
          <w:marBottom w:val="0"/>
          <w:divBdr>
            <w:top w:val="none" w:sz="0" w:space="0" w:color="auto"/>
            <w:left w:val="none" w:sz="0" w:space="0" w:color="auto"/>
            <w:bottom w:val="none" w:sz="0" w:space="0" w:color="auto"/>
            <w:right w:val="none" w:sz="0" w:space="0" w:color="auto"/>
          </w:divBdr>
        </w:div>
        <w:div w:id="801774842">
          <w:marLeft w:val="0"/>
          <w:marRight w:val="0"/>
          <w:marTop w:val="0"/>
          <w:marBottom w:val="0"/>
          <w:divBdr>
            <w:top w:val="none" w:sz="0" w:space="0" w:color="auto"/>
            <w:left w:val="none" w:sz="0" w:space="0" w:color="auto"/>
            <w:bottom w:val="none" w:sz="0" w:space="0" w:color="auto"/>
            <w:right w:val="none" w:sz="0" w:space="0" w:color="auto"/>
          </w:divBdr>
        </w:div>
        <w:div w:id="950553525">
          <w:marLeft w:val="0"/>
          <w:marRight w:val="0"/>
          <w:marTop w:val="0"/>
          <w:marBottom w:val="0"/>
          <w:divBdr>
            <w:top w:val="none" w:sz="0" w:space="0" w:color="auto"/>
            <w:left w:val="none" w:sz="0" w:space="0" w:color="auto"/>
            <w:bottom w:val="none" w:sz="0" w:space="0" w:color="auto"/>
            <w:right w:val="none" w:sz="0" w:space="0" w:color="auto"/>
          </w:divBdr>
        </w:div>
        <w:div w:id="1869023786">
          <w:marLeft w:val="0"/>
          <w:marRight w:val="0"/>
          <w:marTop w:val="0"/>
          <w:marBottom w:val="0"/>
          <w:divBdr>
            <w:top w:val="none" w:sz="0" w:space="0" w:color="auto"/>
            <w:left w:val="none" w:sz="0" w:space="0" w:color="auto"/>
            <w:bottom w:val="none" w:sz="0" w:space="0" w:color="auto"/>
            <w:right w:val="none" w:sz="0" w:space="0" w:color="auto"/>
          </w:divBdr>
        </w:div>
        <w:div w:id="1998875874">
          <w:marLeft w:val="0"/>
          <w:marRight w:val="0"/>
          <w:marTop w:val="0"/>
          <w:marBottom w:val="0"/>
          <w:divBdr>
            <w:top w:val="none" w:sz="0" w:space="0" w:color="auto"/>
            <w:left w:val="none" w:sz="0" w:space="0" w:color="auto"/>
            <w:bottom w:val="none" w:sz="0" w:space="0" w:color="auto"/>
            <w:right w:val="none" w:sz="0" w:space="0" w:color="auto"/>
          </w:divBdr>
        </w:div>
        <w:div w:id="1132285364">
          <w:marLeft w:val="0"/>
          <w:marRight w:val="0"/>
          <w:marTop w:val="0"/>
          <w:marBottom w:val="0"/>
          <w:divBdr>
            <w:top w:val="none" w:sz="0" w:space="0" w:color="auto"/>
            <w:left w:val="none" w:sz="0" w:space="0" w:color="auto"/>
            <w:bottom w:val="none" w:sz="0" w:space="0" w:color="auto"/>
            <w:right w:val="none" w:sz="0" w:space="0" w:color="auto"/>
          </w:divBdr>
        </w:div>
        <w:div w:id="70927959">
          <w:marLeft w:val="0"/>
          <w:marRight w:val="0"/>
          <w:marTop w:val="0"/>
          <w:marBottom w:val="0"/>
          <w:divBdr>
            <w:top w:val="none" w:sz="0" w:space="0" w:color="auto"/>
            <w:left w:val="none" w:sz="0" w:space="0" w:color="auto"/>
            <w:bottom w:val="none" w:sz="0" w:space="0" w:color="auto"/>
            <w:right w:val="none" w:sz="0" w:space="0" w:color="auto"/>
          </w:divBdr>
        </w:div>
        <w:div w:id="365107429">
          <w:marLeft w:val="0"/>
          <w:marRight w:val="0"/>
          <w:marTop w:val="0"/>
          <w:marBottom w:val="0"/>
          <w:divBdr>
            <w:top w:val="none" w:sz="0" w:space="0" w:color="auto"/>
            <w:left w:val="none" w:sz="0" w:space="0" w:color="auto"/>
            <w:bottom w:val="none" w:sz="0" w:space="0" w:color="auto"/>
            <w:right w:val="none" w:sz="0" w:space="0" w:color="auto"/>
          </w:divBdr>
        </w:div>
        <w:div w:id="416097189">
          <w:marLeft w:val="0"/>
          <w:marRight w:val="0"/>
          <w:marTop w:val="0"/>
          <w:marBottom w:val="0"/>
          <w:divBdr>
            <w:top w:val="none" w:sz="0" w:space="0" w:color="auto"/>
            <w:left w:val="none" w:sz="0" w:space="0" w:color="auto"/>
            <w:bottom w:val="none" w:sz="0" w:space="0" w:color="auto"/>
            <w:right w:val="none" w:sz="0" w:space="0" w:color="auto"/>
          </w:divBdr>
        </w:div>
        <w:div w:id="2086679037">
          <w:marLeft w:val="0"/>
          <w:marRight w:val="0"/>
          <w:marTop w:val="0"/>
          <w:marBottom w:val="0"/>
          <w:divBdr>
            <w:top w:val="none" w:sz="0" w:space="0" w:color="auto"/>
            <w:left w:val="none" w:sz="0" w:space="0" w:color="auto"/>
            <w:bottom w:val="none" w:sz="0" w:space="0" w:color="auto"/>
            <w:right w:val="none" w:sz="0" w:space="0" w:color="auto"/>
          </w:divBdr>
        </w:div>
        <w:div w:id="1191452186">
          <w:marLeft w:val="0"/>
          <w:marRight w:val="0"/>
          <w:marTop w:val="0"/>
          <w:marBottom w:val="0"/>
          <w:divBdr>
            <w:top w:val="none" w:sz="0" w:space="0" w:color="auto"/>
            <w:left w:val="none" w:sz="0" w:space="0" w:color="auto"/>
            <w:bottom w:val="none" w:sz="0" w:space="0" w:color="auto"/>
            <w:right w:val="none" w:sz="0" w:space="0" w:color="auto"/>
          </w:divBdr>
        </w:div>
        <w:div w:id="1381786889">
          <w:marLeft w:val="0"/>
          <w:marRight w:val="0"/>
          <w:marTop w:val="0"/>
          <w:marBottom w:val="0"/>
          <w:divBdr>
            <w:top w:val="none" w:sz="0" w:space="0" w:color="auto"/>
            <w:left w:val="none" w:sz="0" w:space="0" w:color="auto"/>
            <w:bottom w:val="none" w:sz="0" w:space="0" w:color="auto"/>
            <w:right w:val="none" w:sz="0" w:space="0" w:color="auto"/>
          </w:divBdr>
        </w:div>
        <w:div w:id="892497950">
          <w:marLeft w:val="0"/>
          <w:marRight w:val="0"/>
          <w:marTop w:val="0"/>
          <w:marBottom w:val="0"/>
          <w:divBdr>
            <w:top w:val="none" w:sz="0" w:space="0" w:color="auto"/>
            <w:left w:val="none" w:sz="0" w:space="0" w:color="auto"/>
            <w:bottom w:val="none" w:sz="0" w:space="0" w:color="auto"/>
            <w:right w:val="none" w:sz="0" w:space="0" w:color="auto"/>
          </w:divBdr>
        </w:div>
        <w:div w:id="1679842654">
          <w:marLeft w:val="0"/>
          <w:marRight w:val="0"/>
          <w:marTop w:val="0"/>
          <w:marBottom w:val="0"/>
          <w:divBdr>
            <w:top w:val="none" w:sz="0" w:space="0" w:color="auto"/>
            <w:left w:val="none" w:sz="0" w:space="0" w:color="auto"/>
            <w:bottom w:val="none" w:sz="0" w:space="0" w:color="auto"/>
            <w:right w:val="none" w:sz="0" w:space="0" w:color="auto"/>
          </w:divBdr>
        </w:div>
        <w:div w:id="165092299">
          <w:marLeft w:val="0"/>
          <w:marRight w:val="0"/>
          <w:marTop w:val="0"/>
          <w:marBottom w:val="0"/>
          <w:divBdr>
            <w:top w:val="none" w:sz="0" w:space="0" w:color="auto"/>
            <w:left w:val="none" w:sz="0" w:space="0" w:color="auto"/>
            <w:bottom w:val="none" w:sz="0" w:space="0" w:color="auto"/>
            <w:right w:val="none" w:sz="0" w:space="0" w:color="auto"/>
          </w:divBdr>
        </w:div>
        <w:div w:id="1400133298">
          <w:marLeft w:val="0"/>
          <w:marRight w:val="0"/>
          <w:marTop w:val="0"/>
          <w:marBottom w:val="0"/>
          <w:divBdr>
            <w:top w:val="none" w:sz="0" w:space="0" w:color="auto"/>
            <w:left w:val="none" w:sz="0" w:space="0" w:color="auto"/>
            <w:bottom w:val="none" w:sz="0" w:space="0" w:color="auto"/>
            <w:right w:val="none" w:sz="0" w:space="0" w:color="auto"/>
          </w:divBdr>
        </w:div>
        <w:div w:id="136338566">
          <w:marLeft w:val="0"/>
          <w:marRight w:val="0"/>
          <w:marTop w:val="0"/>
          <w:marBottom w:val="0"/>
          <w:divBdr>
            <w:top w:val="none" w:sz="0" w:space="0" w:color="auto"/>
            <w:left w:val="none" w:sz="0" w:space="0" w:color="auto"/>
            <w:bottom w:val="none" w:sz="0" w:space="0" w:color="auto"/>
            <w:right w:val="none" w:sz="0" w:space="0" w:color="auto"/>
          </w:divBdr>
        </w:div>
        <w:div w:id="417412227">
          <w:marLeft w:val="0"/>
          <w:marRight w:val="0"/>
          <w:marTop w:val="0"/>
          <w:marBottom w:val="0"/>
          <w:divBdr>
            <w:top w:val="none" w:sz="0" w:space="0" w:color="auto"/>
            <w:left w:val="none" w:sz="0" w:space="0" w:color="auto"/>
            <w:bottom w:val="none" w:sz="0" w:space="0" w:color="auto"/>
            <w:right w:val="none" w:sz="0" w:space="0" w:color="auto"/>
          </w:divBdr>
        </w:div>
        <w:div w:id="764686877">
          <w:marLeft w:val="0"/>
          <w:marRight w:val="0"/>
          <w:marTop w:val="0"/>
          <w:marBottom w:val="0"/>
          <w:divBdr>
            <w:top w:val="none" w:sz="0" w:space="0" w:color="auto"/>
            <w:left w:val="none" w:sz="0" w:space="0" w:color="auto"/>
            <w:bottom w:val="none" w:sz="0" w:space="0" w:color="auto"/>
            <w:right w:val="none" w:sz="0" w:space="0" w:color="auto"/>
          </w:divBdr>
        </w:div>
        <w:div w:id="340742080">
          <w:marLeft w:val="0"/>
          <w:marRight w:val="0"/>
          <w:marTop w:val="0"/>
          <w:marBottom w:val="0"/>
          <w:divBdr>
            <w:top w:val="none" w:sz="0" w:space="0" w:color="auto"/>
            <w:left w:val="none" w:sz="0" w:space="0" w:color="auto"/>
            <w:bottom w:val="none" w:sz="0" w:space="0" w:color="auto"/>
            <w:right w:val="none" w:sz="0" w:space="0" w:color="auto"/>
          </w:divBdr>
        </w:div>
        <w:div w:id="207961855">
          <w:marLeft w:val="0"/>
          <w:marRight w:val="0"/>
          <w:marTop w:val="0"/>
          <w:marBottom w:val="0"/>
          <w:divBdr>
            <w:top w:val="none" w:sz="0" w:space="0" w:color="auto"/>
            <w:left w:val="none" w:sz="0" w:space="0" w:color="auto"/>
            <w:bottom w:val="none" w:sz="0" w:space="0" w:color="auto"/>
            <w:right w:val="none" w:sz="0" w:space="0" w:color="auto"/>
          </w:divBdr>
        </w:div>
        <w:div w:id="1663464691">
          <w:marLeft w:val="0"/>
          <w:marRight w:val="0"/>
          <w:marTop w:val="0"/>
          <w:marBottom w:val="0"/>
          <w:divBdr>
            <w:top w:val="none" w:sz="0" w:space="0" w:color="auto"/>
            <w:left w:val="none" w:sz="0" w:space="0" w:color="auto"/>
            <w:bottom w:val="none" w:sz="0" w:space="0" w:color="auto"/>
            <w:right w:val="none" w:sz="0" w:space="0" w:color="auto"/>
          </w:divBdr>
        </w:div>
        <w:div w:id="666833046">
          <w:marLeft w:val="0"/>
          <w:marRight w:val="0"/>
          <w:marTop w:val="0"/>
          <w:marBottom w:val="0"/>
          <w:divBdr>
            <w:top w:val="none" w:sz="0" w:space="0" w:color="auto"/>
            <w:left w:val="none" w:sz="0" w:space="0" w:color="auto"/>
            <w:bottom w:val="none" w:sz="0" w:space="0" w:color="auto"/>
            <w:right w:val="none" w:sz="0" w:space="0" w:color="auto"/>
          </w:divBdr>
        </w:div>
        <w:div w:id="1751585120">
          <w:marLeft w:val="0"/>
          <w:marRight w:val="0"/>
          <w:marTop w:val="0"/>
          <w:marBottom w:val="0"/>
          <w:divBdr>
            <w:top w:val="none" w:sz="0" w:space="0" w:color="auto"/>
            <w:left w:val="none" w:sz="0" w:space="0" w:color="auto"/>
            <w:bottom w:val="none" w:sz="0" w:space="0" w:color="auto"/>
            <w:right w:val="none" w:sz="0" w:space="0" w:color="auto"/>
          </w:divBdr>
        </w:div>
        <w:div w:id="384985535">
          <w:marLeft w:val="0"/>
          <w:marRight w:val="0"/>
          <w:marTop w:val="0"/>
          <w:marBottom w:val="0"/>
          <w:divBdr>
            <w:top w:val="none" w:sz="0" w:space="0" w:color="auto"/>
            <w:left w:val="none" w:sz="0" w:space="0" w:color="auto"/>
            <w:bottom w:val="none" w:sz="0" w:space="0" w:color="auto"/>
            <w:right w:val="none" w:sz="0" w:space="0" w:color="auto"/>
          </w:divBdr>
        </w:div>
        <w:div w:id="1844932970">
          <w:marLeft w:val="0"/>
          <w:marRight w:val="0"/>
          <w:marTop w:val="0"/>
          <w:marBottom w:val="0"/>
          <w:divBdr>
            <w:top w:val="none" w:sz="0" w:space="0" w:color="auto"/>
            <w:left w:val="none" w:sz="0" w:space="0" w:color="auto"/>
            <w:bottom w:val="none" w:sz="0" w:space="0" w:color="auto"/>
            <w:right w:val="none" w:sz="0" w:space="0" w:color="auto"/>
          </w:divBdr>
        </w:div>
        <w:div w:id="607201387">
          <w:marLeft w:val="0"/>
          <w:marRight w:val="0"/>
          <w:marTop w:val="0"/>
          <w:marBottom w:val="0"/>
          <w:divBdr>
            <w:top w:val="none" w:sz="0" w:space="0" w:color="auto"/>
            <w:left w:val="none" w:sz="0" w:space="0" w:color="auto"/>
            <w:bottom w:val="none" w:sz="0" w:space="0" w:color="auto"/>
            <w:right w:val="none" w:sz="0" w:space="0" w:color="auto"/>
          </w:divBdr>
        </w:div>
        <w:div w:id="332537735">
          <w:marLeft w:val="0"/>
          <w:marRight w:val="0"/>
          <w:marTop w:val="0"/>
          <w:marBottom w:val="0"/>
          <w:divBdr>
            <w:top w:val="none" w:sz="0" w:space="0" w:color="auto"/>
            <w:left w:val="none" w:sz="0" w:space="0" w:color="auto"/>
            <w:bottom w:val="none" w:sz="0" w:space="0" w:color="auto"/>
            <w:right w:val="none" w:sz="0" w:space="0" w:color="auto"/>
          </w:divBdr>
        </w:div>
        <w:div w:id="231736622">
          <w:marLeft w:val="0"/>
          <w:marRight w:val="0"/>
          <w:marTop w:val="0"/>
          <w:marBottom w:val="0"/>
          <w:divBdr>
            <w:top w:val="none" w:sz="0" w:space="0" w:color="auto"/>
            <w:left w:val="none" w:sz="0" w:space="0" w:color="auto"/>
            <w:bottom w:val="none" w:sz="0" w:space="0" w:color="auto"/>
            <w:right w:val="none" w:sz="0" w:space="0" w:color="auto"/>
          </w:divBdr>
        </w:div>
        <w:div w:id="815607671">
          <w:marLeft w:val="0"/>
          <w:marRight w:val="0"/>
          <w:marTop w:val="0"/>
          <w:marBottom w:val="0"/>
          <w:divBdr>
            <w:top w:val="none" w:sz="0" w:space="0" w:color="auto"/>
            <w:left w:val="none" w:sz="0" w:space="0" w:color="auto"/>
            <w:bottom w:val="none" w:sz="0" w:space="0" w:color="auto"/>
            <w:right w:val="none" w:sz="0" w:space="0" w:color="auto"/>
          </w:divBdr>
        </w:div>
        <w:div w:id="124273699">
          <w:marLeft w:val="0"/>
          <w:marRight w:val="0"/>
          <w:marTop w:val="0"/>
          <w:marBottom w:val="0"/>
          <w:divBdr>
            <w:top w:val="none" w:sz="0" w:space="0" w:color="auto"/>
            <w:left w:val="none" w:sz="0" w:space="0" w:color="auto"/>
            <w:bottom w:val="none" w:sz="0" w:space="0" w:color="auto"/>
            <w:right w:val="none" w:sz="0" w:space="0" w:color="auto"/>
          </w:divBdr>
        </w:div>
        <w:div w:id="368143844">
          <w:marLeft w:val="0"/>
          <w:marRight w:val="0"/>
          <w:marTop w:val="0"/>
          <w:marBottom w:val="0"/>
          <w:divBdr>
            <w:top w:val="none" w:sz="0" w:space="0" w:color="auto"/>
            <w:left w:val="none" w:sz="0" w:space="0" w:color="auto"/>
            <w:bottom w:val="none" w:sz="0" w:space="0" w:color="auto"/>
            <w:right w:val="none" w:sz="0" w:space="0" w:color="auto"/>
          </w:divBdr>
        </w:div>
        <w:div w:id="1956519654">
          <w:marLeft w:val="0"/>
          <w:marRight w:val="0"/>
          <w:marTop w:val="0"/>
          <w:marBottom w:val="0"/>
          <w:divBdr>
            <w:top w:val="none" w:sz="0" w:space="0" w:color="auto"/>
            <w:left w:val="none" w:sz="0" w:space="0" w:color="auto"/>
            <w:bottom w:val="none" w:sz="0" w:space="0" w:color="auto"/>
            <w:right w:val="none" w:sz="0" w:space="0" w:color="auto"/>
          </w:divBdr>
        </w:div>
        <w:div w:id="1575973278">
          <w:marLeft w:val="0"/>
          <w:marRight w:val="0"/>
          <w:marTop w:val="0"/>
          <w:marBottom w:val="0"/>
          <w:divBdr>
            <w:top w:val="none" w:sz="0" w:space="0" w:color="auto"/>
            <w:left w:val="none" w:sz="0" w:space="0" w:color="auto"/>
            <w:bottom w:val="none" w:sz="0" w:space="0" w:color="auto"/>
            <w:right w:val="none" w:sz="0" w:space="0" w:color="auto"/>
          </w:divBdr>
        </w:div>
        <w:div w:id="1739866174">
          <w:marLeft w:val="0"/>
          <w:marRight w:val="0"/>
          <w:marTop w:val="0"/>
          <w:marBottom w:val="0"/>
          <w:divBdr>
            <w:top w:val="none" w:sz="0" w:space="0" w:color="auto"/>
            <w:left w:val="none" w:sz="0" w:space="0" w:color="auto"/>
            <w:bottom w:val="none" w:sz="0" w:space="0" w:color="auto"/>
            <w:right w:val="none" w:sz="0" w:space="0" w:color="auto"/>
          </w:divBdr>
        </w:div>
        <w:div w:id="869494316">
          <w:marLeft w:val="0"/>
          <w:marRight w:val="0"/>
          <w:marTop w:val="0"/>
          <w:marBottom w:val="0"/>
          <w:divBdr>
            <w:top w:val="none" w:sz="0" w:space="0" w:color="auto"/>
            <w:left w:val="none" w:sz="0" w:space="0" w:color="auto"/>
            <w:bottom w:val="none" w:sz="0" w:space="0" w:color="auto"/>
            <w:right w:val="none" w:sz="0" w:space="0" w:color="auto"/>
          </w:divBdr>
        </w:div>
        <w:div w:id="1017461181">
          <w:marLeft w:val="0"/>
          <w:marRight w:val="0"/>
          <w:marTop w:val="0"/>
          <w:marBottom w:val="0"/>
          <w:divBdr>
            <w:top w:val="none" w:sz="0" w:space="0" w:color="auto"/>
            <w:left w:val="none" w:sz="0" w:space="0" w:color="auto"/>
            <w:bottom w:val="none" w:sz="0" w:space="0" w:color="auto"/>
            <w:right w:val="none" w:sz="0" w:space="0" w:color="auto"/>
          </w:divBdr>
        </w:div>
        <w:div w:id="665061394">
          <w:marLeft w:val="0"/>
          <w:marRight w:val="0"/>
          <w:marTop w:val="0"/>
          <w:marBottom w:val="0"/>
          <w:divBdr>
            <w:top w:val="none" w:sz="0" w:space="0" w:color="auto"/>
            <w:left w:val="none" w:sz="0" w:space="0" w:color="auto"/>
            <w:bottom w:val="none" w:sz="0" w:space="0" w:color="auto"/>
            <w:right w:val="none" w:sz="0" w:space="0" w:color="auto"/>
          </w:divBdr>
        </w:div>
        <w:div w:id="861941576">
          <w:marLeft w:val="0"/>
          <w:marRight w:val="0"/>
          <w:marTop w:val="0"/>
          <w:marBottom w:val="0"/>
          <w:divBdr>
            <w:top w:val="none" w:sz="0" w:space="0" w:color="auto"/>
            <w:left w:val="none" w:sz="0" w:space="0" w:color="auto"/>
            <w:bottom w:val="none" w:sz="0" w:space="0" w:color="auto"/>
            <w:right w:val="none" w:sz="0" w:space="0" w:color="auto"/>
          </w:divBdr>
        </w:div>
        <w:div w:id="1837500189">
          <w:marLeft w:val="0"/>
          <w:marRight w:val="0"/>
          <w:marTop w:val="0"/>
          <w:marBottom w:val="0"/>
          <w:divBdr>
            <w:top w:val="none" w:sz="0" w:space="0" w:color="auto"/>
            <w:left w:val="none" w:sz="0" w:space="0" w:color="auto"/>
            <w:bottom w:val="none" w:sz="0" w:space="0" w:color="auto"/>
            <w:right w:val="none" w:sz="0" w:space="0" w:color="auto"/>
          </w:divBdr>
        </w:div>
        <w:div w:id="1820226454">
          <w:marLeft w:val="0"/>
          <w:marRight w:val="0"/>
          <w:marTop w:val="0"/>
          <w:marBottom w:val="0"/>
          <w:divBdr>
            <w:top w:val="none" w:sz="0" w:space="0" w:color="auto"/>
            <w:left w:val="none" w:sz="0" w:space="0" w:color="auto"/>
            <w:bottom w:val="none" w:sz="0" w:space="0" w:color="auto"/>
            <w:right w:val="none" w:sz="0" w:space="0" w:color="auto"/>
          </w:divBdr>
        </w:div>
        <w:div w:id="1893299054">
          <w:marLeft w:val="0"/>
          <w:marRight w:val="0"/>
          <w:marTop w:val="0"/>
          <w:marBottom w:val="0"/>
          <w:divBdr>
            <w:top w:val="none" w:sz="0" w:space="0" w:color="auto"/>
            <w:left w:val="none" w:sz="0" w:space="0" w:color="auto"/>
            <w:bottom w:val="none" w:sz="0" w:space="0" w:color="auto"/>
            <w:right w:val="none" w:sz="0" w:space="0" w:color="auto"/>
          </w:divBdr>
        </w:div>
        <w:div w:id="2085686116">
          <w:marLeft w:val="0"/>
          <w:marRight w:val="0"/>
          <w:marTop w:val="0"/>
          <w:marBottom w:val="0"/>
          <w:divBdr>
            <w:top w:val="none" w:sz="0" w:space="0" w:color="auto"/>
            <w:left w:val="none" w:sz="0" w:space="0" w:color="auto"/>
            <w:bottom w:val="none" w:sz="0" w:space="0" w:color="auto"/>
            <w:right w:val="none" w:sz="0" w:space="0" w:color="auto"/>
          </w:divBdr>
        </w:div>
        <w:div w:id="324623999">
          <w:marLeft w:val="0"/>
          <w:marRight w:val="0"/>
          <w:marTop w:val="0"/>
          <w:marBottom w:val="0"/>
          <w:divBdr>
            <w:top w:val="none" w:sz="0" w:space="0" w:color="auto"/>
            <w:left w:val="none" w:sz="0" w:space="0" w:color="auto"/>
            <w:bottom w:val="none" w:sz="0" w:space="0" w:color="auto"/>
            <w:right w:val="none" w:sz="0" w:space="0" w:color="auto"/>
          </w:divBdr>
        </w:div>
        <w:div w:id="1363093167">
          <w:marLeft w:val="0"/>
          <w:marRight w:val="0"/>
          <w:marTop w:val="0"/>
          <w:marBottom w:val="0"/>
          <w:divBdr>
            <w:top w:val="none" w:sz="0" w:space="0" w:color="auto"/>
            <w:left w:val="none" w:sz="0" w:space="0" w:color="auto"/>
            <w:bottom w:val="none" w:sz="0" w:space="0" w:color="auto"/>
            <w:right w:val="none" w:sz="0" w:space="0" w:color="auto"/>
          </w:divBdr>
        </w:div>
        <w:div w:id="630021188">
          <w:marLeft w:val="0"/>
          <w:marRight w:val="0"/>
          <w:marTop w:val="0"/>
          <w:marBottom w:val="0"/>
          <w:divBdr>
            <w:top w:val="none" w:sz="0" w:space="0" w:color="auto"/>
            <w:left w:val="none" w:sz="0" w:space="0" w:color="auto"/>
            <w:bottom w:val="none" w:sz="0" w:space="0" w:color="auto"/>
            <w:right w:val="none" w:sz="0" w:space="0" w:color="auto"/>
          </w:divBdr>
        </w:div>
        <w:div w:id="760416749">
          <w:marLeft w:val="0"/>
          <w:marRight w:val="0"/>
          <w:marTop w:val="0"/>
          <w:marBottom w:val="0"/>
          <w:divBdr>
            <w:top w:val="none" w:sz="0" w:space="0" w:color="auto"/>
            <w:left w:val="none" w:sz="0" w:space="0" w:color="auto"/>
            <w:bottom w:val="none" w:sz="0" w:space="0" w:color="auto"/>
            <w:right w:val="none" w:sz="0" w:space="0" w:color="auto"/>
          </w:divBdr>
        </w:div>
        <w:div w:id="1727290667">
          <w:marLeft w:val="0"/>
          <w:marRight w:val="0"/>
          <w:marTop w:val="0"/>
          <w:marBottom w:val="0"/>
          <w:divBdr>
            <w:top w:val="none" w:sz="0" w:space="0" w:color="auto"/>
            <w:left w:val="none" w:sz="0" w:space="0" w:color="auto"/>
            <w:bottom w:val="none" w:sz="0" w:space="0" w:color="auto"/>
            <w:right w:val="none" w:sz="0" w:space="0" w:color="auto"/>
          </w:divBdr>
        </w:div>
        <w:div w:id="1599555292">
          <w:marLeft w:val="0"/>
          <w:marRight w:val="0"/>
          <w:marTop w:val="0"/>
          <w:marBottom w:val="0"/>
          <w:divBdr>
            <w:top w:val="none" w:sz="0" w:space="0" w:color="auto"/>
            <w:left w:val="none" w:sz="0" w:space="0" w:color="auto"/>
            <w:bottom w:val="none" w:sz="0" w:space="0" w:color="auto"/>
            <w:right w:val="none" w:sz="0" w:space="0" w:color="auto"/>
          </w:divBdr>
        </w:div>
        <w:div w:id="1919561764">
          <w:marLeft w:val="0"/>
          <w:marRight w:val="0"/>
          <w:marTop w:val="0"/>
          <w:marBottom w:val="0"/>
          <w:divBdr>
            <w:top w:val="none" w:sz="0" w:space="0" w:color="auto"/>
            <w:left w:val="none" w:sz="0" w:space="0" w:color="auto"/>
            <w:bottom w:val="none" w:sz="0" w:space="0" w:color="auto"/>
            <w:right w:val="none" w:sz="0" w:space="0" w:color="auto"/>
          </w:divBdr>
        </w:div>
        <w:div w:id="1966037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7.xml"/><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2.emf"/><Relationship Id="rId30" Type="http://schemas.openxmlformats.org/officeDocument/2006/relationships/footer" Target="footer5.xml"/><Relationship Id="rId35"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websitedbs/D3310114.nsf/home/remoteness+struct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Departmental%20Templates\IHPA\External%20report.dotx" TargetMode="External"/></Relationships>
</file>

<file path=word/theme/theme1.xml><?xml version="1.0" encoding="utf-8"?>
<a:theme xmlns:a="http://schemas.openxmlformats.org/drawingml/2006/main" name="Office Theme">
  <a:themeElements>
    <a:clrScheme name="IHPA brand colours">
      <a:dk1>
        <a:sysClr val="windowText" lastClr="000000"/>
      </a:dk1>
      <a:lt1>
        <a:sysClr val="window" lastClr="FFFFFF"/>
      </a:lt1>
      <a:dk2>
        <a:srgbClr val="004200"/>
      </a:dk2>
      <a:lt2>
        <a:srgbClr val="008A00"/>
      </a:lt2>
      <a:accent1>
        <a:srgbClr val="000000"/>
      </a:accent1>
      <a:accent2>
        <a:srgbClr val="58595B"/>
      </a:accent2>
      <a:accent3>
        <a:srgbClr val="808285"/>
      </a:accent3>
      <a:accent4>
        <a:srgbClr val="A7A9AC"/>
      </a:accent4>
      <a:accent5>
        <a:srgbClr val="008A00"/>
      </a:accent5>
      <a:accent6>
        <a:srgbClr val="00420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CE049-E113-4108-8117-377790BBB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report.dotx</Template>
  <TotalTime>1</TotalTime>
  <Pages>79</Pages>
  <Words>22231</Words>
  <Characters>126723</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148657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Olorenshaw Cherry</dc:creator>
  <cp:lastModifiedBy>Alison Wares</cp:lastModifiedBy>
  <cp:revision>3</cp:revision>
  <cp:lastPrinted>2015-02-24T03:01:00Z</cp:lastPrinted>
  <dcterms:created xsi:type="dcterms:W3CDTF">2015-03-18T01:01:00Z</dcterms:created>
  <dcterms:modified xsi:type="dcterms:W3CDTF">2015-03-18T01:02:00Z</dcterms:modified>
</cp:coreProperties>
</file>