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96" w:rsidRDefault="00C3719B" w:rsidP="00FF1B96">
      <w:pPr>
        <w:pStyle w:val="CoverPanelFrame"/>
        <w:framePr w:wrap="notBeside"/>
      </w:pPr>
      <w:r>
        <w:t>‘</w:t>
      </w:r>
    </w:p>
    <w:p w:rsidR="0015174C" w:rsidRPr="00514109" w:rsidRDefault="0015174C" w:rsidP="00D70C18">
      <w:pPr>
        <w:pStyle w:val="BlockText2Client"/>
      </w:pPr>
      <w:r w:rsidRPr="00A1178A">
        <w:t>Private Sector National Hospital Cost Data Collection</w:t>
      </w:r>
    </w:p>
    <w:p w:rsidR="00CD17C4" w:rsidRPr="0015174C" w:rsidRDefault="0015174C" w:rsidP="0015174C">
      <w:pPr>
        <w:pStyle w:val="CoverOutcomeSubtitle"/>
        <w:spacing w:line="240" w:lineRule="auto"/>
      </w:pPr>
      <w:r>
        <w:rPr>
          <w:sz w:val="56"/>
        </w:rPr>
        <w:t>Cost Report</w:t>
      </w:r>
    </w:p>
    <w:p w:rsidR="0015174C" w:rsidRPr="0015174C" w:rsidRDefault="0015174C" w:rsidP="0015174C">
      <w:pPr>
        <w:pStyle w:val="CoverOutcomeSubtitle"/>
        <w:spacing w:line="240" w:lineRule="auto"/>
      </w:pPr>
      <w:r>
        <w:rPr>
          <w:sz w:val="56"/>
        </w:rPr>
        <w:t>Round 16 (2011-2012)</w:t>
      </w:r>
    </w:p>
    <w:p w:rsidR="00F34CFF" w:rsidRDefault="0015174C" w:rsidP="00C3719B">
      <w:pPr>
        <w:pStyle w:val="Covertitle"/>
        <w:framePr w:w="0" w:wrap="auto" w:vAnchor="margin" w:hAnchor="text" w:xAlign="left" w:yAlign="inline"/>
        <w:spacing w:after="480"/>
        <w:rPr>
          <w:sz w:val="56"/>
        </w:rPr>
      </w:pPr>
      <w:proofErr w:type="gramStart"/>
      <w:r w:rsidRPr="00A1178A">
        <w:rPr>
          <w:sz w:val="56"/>
        </w:rPr>
        <w:t>for</w:t>
      </w:r>
      <w:proofErr w:type="gramEnd"/>
      <w:r w:rsidRPr="00A1178A">
        <w:rPr>
          <w:sz w:val="56"/>
        </w:rPr>
        <w:t xml:space="preserve"> </w:t>
      </w:r>
      <w:r w:rsidR="00F846B7" w:rsidRPr="00A1178A">
        <w:rPr>
          <w:sz w:val="56"/>
        </w:rPr>
        <w:t xml:space="preserve">Overnight </w:t>
      </w:r>
      <w:r w:rsidRPr="00A1178A">
        <w:rPr>
          <w:sz w:val="56"/>
        </w:rPr>
        <w:t>Private Hospitals</w:t>
      </w:r>
    </w:p>
    <w:p w:rsidR="00C3719B" w:rsidRPr="00C3719B" w:rsidRDefault="00C3719B" w:rsidP="00C3719B">
      <w:pPr>
        <w:pStyle w:val="CoverDate"/>
        <w:framePr w:w="0" w:wrap="auto" w:vAnchor="margin" w:hAnchor="text" w:xAlign="left" w:yAlign="inline"/>
        <w:spacing w:after="2880"/>
        <w:rPr>
          <w:bCs w:val="0"/>
          <w:sz w:val="56"/>
          <w:szCs w:val="18"/>
        </w:rPr>
      </w:pPr>
      <w:r w:rsidRPr="00C3719B">
        <w:rPr>
          <w:bCs w:val="0"/>
          <w:sz w:val="56"/>
          <w:szCs w:val="18"/>
        </w:rPr>
        <w:t>27 September 2013</w:t>
      </w:r>
    </w:p>
    <w:p w:rsidR="0015174C" w:rsidRPr="000F76FF" w:rsidRDefault="00F43593" w:rsidP="0015174C">
      <w:pPr>
        <w:pStyle w:val="CoverOutcomeSubtitle"/>
        <w:spacing w:line="240" w:lineRule="auto"/>
      </w:pPr>
      <w:r>
        <w:rPr>
          <w:sz w:val="32"/>
        </w:rPr>
        <w:t xml:space="preserve">DRG Version: </w:t>
      </w:r>
      <w:r w:rsidR="0015174C" w:rsidRPr="00F43593">
        <w:rPr>
          <w:sz w:val="32"/>
        </w:rPr>
        <w:t>AR-DRG 6.0x</w:t>
      </w:r>
    </w:p>
    <w:p w:rsidR="009B3E02" w:rsidRPr="00514109" w:rsidRDefault="009B3E02" w:rsidP="00275248">
      <w:pPr>
        <w:pStyle w:val="PwCNormal"/>
        <w:numPr>
          <w:ilvl w:val="0"/>
          <w:numId w:val="0"/>
        </w:numPr>
      </w:pPr>
    </w:p>
    <w:p w:rsidR="00695B02" w:rsidRPr="00514109" w:rsidRDefault="00695B02" w:rsidP="00695B02">
      <w:pPr>
        <w:pStyle w:val="PwCNormal"/>
        <w:numPr>
          <w:ilvl w:val="0"/>
          <w:numId w:val="0"/>
        </w:numPr>
        <w:sectPr w:rsidR="00695B02" w:rsidRPr="00514109" w:rsidSect="00BC75AE">
          <w:headerReference w:type="even" r:id="rId9"/>
          <w:headerReference w:type="default" r:id="rId10"/>
          <w:headerReference w:type="first" r:id="rId11"/>
          <w:pgSz w:w="11907" w:h="16840" w:code="9"/>
          <w:pgMar w:top="2324" w:right="1021" w:bottom="1134" w:left="3317" w:header="397" w:footer="567" w:gutter="227"/>
          <w:pgNumType w:start="1"/>
          <w:cols w:space="708"/>
          <w:titlePg/>
          <w:docGrid w:linePitch="360"/>
        </w:sectPr>
      </w:pPr>
    </w:p>
    <w:p w:rsidR="00464564" w:rsidRDefault="00A1178A" w:rsidP="00446789">
      <w:pPr>
        <w:pStyle w:val="PrefaceTitle"/>
      </w:pPr>
      <w:bookmarkStart w:id="1" w:name="_Toc353945517"/>
      <w:bookmarkStart w:id="2" w:name="_Toc356829268"/>
      <w:r>
        <w:lastRenderedPageBreak/>
        <w:t>L</w:t>
      </w:r>
      <w:r w:rsidR="00E823BA">
        <w:t>ist of abbreviations</w:t>
      </w:r>
      <w:bookmarkEnd w:id="1"/>
      <w:bookmarkEnd w:id="2"/>
    </w:p>
    <w:p w:rsidR="00464564" w:rsidRDefault="00464564" w:rsidP="00464564">
      <w:pPr>
        <w:pStyle w:val="PwCNormal"/>
      </w:pPr>
      <w:r>
        <w:t>Abbreviation</w:t>
      </w:r>
      <w:r>
        <w:tab/>
        <w:t>Description</w:t>
      </w:r>
    </w:p>
    <w:p w:rsidR="00464564" w:rsidRDefault="00464564" w:rsidP="00464564">
      <w:pPr>
        <w:pStyle w:val="PwCNormal"/>
      </w:pPr>
      <w:r>
        <w:t>AHPCS</w:t>
      </w:r>
      <w:r>
        <w:tab/>
      </w:r>
      <w:r>
        <w:tab/>
        <w:t>Australian Hospital Patient Costing Standards</w:t>
      </w:r>
    </w:p>
    <w:p w:rsidR="00464564" w:rsidRDefault="00464564" w:rsidP="00464564">
      <w:pPr>
        <w:pStyle w:val="PwCNormal"/>
      </w:pPr>
      <w:r>
        <w:t>AIHW</w:t>
      </w:r>
      <w:r>
        <w:tab/>
      </w:r>
      <w:r>
        <w:tab/>
        <w:t>Australian Institute of Health and Welfare</w:t>
      </w:r>
    </w:p>
    <w:p w:rsidR="00464564" w:rsidRDefault="00464564" w:rsidP="00464564">
      <w:pPr>
        <w:pStyle w:val="PwCNormal"/>
      </w:pPr>
      <w:r>
        <w:t>ALOS</w:t>
      </w:r>
      <w:r>
        <w:tab/>
      </w:r>
      <w:r>
        <w:tab/>
        <w:t>Average length of stay</w:t>
      </w:r>
    </w:p>
    <w:p w:rsidR="00464564" w:rsidRDefault="00464564" w:rsidP="00464564">
      <w:pPr>
        <w:pStyle w:val="PwCNormal"/>
      </w:pPr>
      <w:r>
        <w:t>AR-DRG</w:t>
      </w:r>
      <w:r>
        <w:tab/>
        <w:t>Australian refined diagnosis related group</w:t>
      </w:r>
    </w:p>
    <w:p w:rsidR="00464564" w:rsidRDefault="00464564" w:rsidP="00464564">
      <w:pPr>
        <w:pStyle w:val="PwCNormal"/>
      </w:pPr>
      <w:r>
        <w:t>CM</w:t>
      </w:r>
      <w:r>
        <w:tab/>
      </w:r>
      <w:r>
        <w:tab/>
        <w:t>Cost modelled</w:t>
      </w:r>
    </w:p>
    <w:p w:rsidR="00464564" w:rsidRDefault="00464564" w:rsidP="00464564">
      <w:pPr>
        <w:pStyle w:val="PwCNormal"/>
      </w:pPr>
      <w:proofErr w:type="spellStart"/>
      <w:r>
        <w:t>DoHA</w:t>
      </w:r>
      <w:proofErr w:type="spellEnd"/>
      <w:r>
        <w:tab/>
      </w:r>
      <w:r>
        <w:tab/>
        <w:t>Department of Health and Ageing</w:t>
      </w:r>
    </w:p>
    <w:p w:rsidR="00464564" w:rsidRDefault="00464564" w:rsidP="00464564">
      <w:pPr>
        <w:pStyle w:val="PwCNormal"/>
      </w:pPr>
      <w:r>
        <w:t>DRG</w:t>
      </w:r>
      <w:r>
        <w:tab/>
      </w:r>
      <w:r>
        <w:tab/>
        <w:t>Diagnosis related group</w:t>
      </w:r>
    </w:p>
    <w:p w:rsidR="00464564" w:rsidRDefault="00464564" w:rsidP="00464564">
      <w:pPr>
        <w:pStyle w:val="PwCNormal"/>
      </w:pPr>
      <w:r>
        <w:t>IHPA</w:t>
      </w:r>
      <w:r>
        <w:tab/>
      </w:r>
      <w:r>
        <w:tab/>
        <w:t>Independent Hospital Pricing Authority</w:t>
      </w:r>
    </w:p>
    <w:p w:rsidR="00464564" w:rsidRDefault="00464564" w:rsidP="00464564">
      <w:pPr>
        <w:pStyle w:val="PwCNormal"/>
      </w:pPr>
      <w:r>
        <w:t>LOS</w:t>
      </w:r>
      <w:r>
        <w:tab/>
      </w:r>
      <w:r>
        <w:tab/>
        <w:t>Length of stay</w:t>
      </w:r>
    </w:p>
    <w:p w:rsidR="00464564" w:rsidRDefault="00464564" w:rsidP="00464564">
      <w:pPr>
        <w:pStyle w:val="PwCNormal"/>
      </w:pPr>
      <w:r>
        <w:t>MDC</w:t>
      </w:r>
      <w:r>
        <w:tab/>
      </w:r>
      <w:r>
        <w:tab/>
        <w:t>Major diagnostic category</w:t>
      </w:r>
    </w:p>
    <w:p w:rsidR="00464564" w:rsidRDefault="00464564" w:rsidP="00464564">
      <w:pPr>
        <w:pStyle w:val="PwCNormal"/>
      </w:pPr>
      <w:r>
        <w:t>NHCDC</w:t>
      </w:r>
      <w:r>
        <w:tab/>
        <w:t>National hospital cost data collection</w:t>
      </w:r>
    </w:p>
    <w:p w:rsidR="00464564" w:rsidRDefault="00464564" w:rsidP="00464564">
      <w:pPr>
        <w:pStyle w:val="PwCNormal"/>
      </w:pPr>
      <w:r>
        <w:t>NHDD</w:t>
      </w:r>
      <w:r>
        <w:tab/>
      </w:r>
      <w:r>
        <w:tab/>
        <w:t>National Health Data Dictionary</w:t>
      </w:r>
    </w:p>
    <w:p w:rsidR="00464564" w:rsidRDefault="00464564" w:rsidP="00464564">
      <w:pPr>
        <w:pStyle w:val="PwCNormal"/>
      </w:pPr>
      <w:r>
        <w:t>PC</w:t>
      </w:r>
      <w:r>
        <w:tab/>
      </w:r>
      <w:r>
        <w:tab/>
        <w:t>Patient costed</w:t>
      </w:r>
    </w:p>
    <w:p w:rsidR="00464564" w:rsidRDefault="00464564" w:rsidP="00464564">
      <w:pPr>
        <w:pStyle w:val="PwCNormal"/>
      </w:pPr>
      <w:r>
        <w:t>PHDB</w:t>
      </w:r>
      <w:r>
        <w:tab/>
      </w:r>
      <w:r>
        <w:tab/>
        <w:t>Private Hospital Data Bureau</w:t>
      </w:r>
    </w:p>
    <w:p w:rsidR="00464564" w:rsidRDefault="00464564" w:rsidP="00464564">
      <w:pPr>
        <w:pStyle w:val="PwCNormal"/>
      </w:pPr>
      <w:r>
        <w:t>PwC</w:t>
      </w:r>
      <w:r>
        <w:tab/>
      </w:r>
      <w:r>
        <w:tab/>
        <w:t>PricewaterhouseCoopers</w:t>
      </w:r>
    </w:p>
    <w:p w:rsidR="00464564" w:rsidRDefault="00464564" w:rsidP="00464564">
      <w:pPr>
        <w:pStyle w:val="PwCNormal"/>
      </w:pPr>
      <w:r>
        <w:t>SPS</w:t>
      </w:r>
      <w:r>
        <w:tab/>
      </w:r>
      <w:r>
        <w:tab/>
        <w:t>Specialist procedure suites</w:t>
      </w:r>
    </w:p>
    <w:p w:rsidR="00464564" w:rsidRPr="00464564" w:rsidRDefault="00464564" w:rsidP="00464564">
      <w:pPr>
        <w:pStyle w:val="PwCNormal"/>
        <w:sectPr w:rsidR="00464564" w:rsidRPr="00464564" w:rsidSect="00BC75AE">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588" w:right="1843" w:bottom="1418" w:left="1843" w:header="567" w:footer="567" w:gutter="0"/>
          <w:pgNumType w:fmt="lowerRoman" w:start="1"/>
          <w:cols w:space="720"/>
          <w:titlePg/>
          <w:docGrid w:linePitch="286"/>
        </w:sectPr>
      </w:pPr>
    </w:p>
    <w:p w:rsidR="004F0878" w:rsidRPr="004F0878" w:rsidRDefault="004F0878" w:rsidP="00446789">
      <w:pPr>
        <w:pStyle w:val="TOCtitle"/>
      </w:pPr>
      <w:r w:rsidRPr="00FC2C77">
        <w:lastRenderedPageBreak/>
        <w:t>Conten</w:t>
      </w:r>
      <w:bookmarkStart w:id="3" w:name="TOC"/>
      <w:bookmarkEnd w:id="3"/>
      <w:r w:rsidRPr="00FC2C77">
        <w:t>ts</w:t>
      </w:r>
      <w:bookmarkStart w:id="4" w:name="SmallDoc"/>
      <w:bookmarkEnd w:id="4"/>
    </w:p>
    <w:p w:rsidR="00E30D9E" w:rsidRPr="00E30D9E" w:rsidRDefault="00D502C6">
      <w:pPr>
        <w:pStyle w:val="TOC2"/>
        <w:rPr>
          <w:noProof/>
        </w:rPr>
      </w:pPr>
      <w:r>
        <w:fldChar w:fldCharType="begin"/>
      </w:r>
      <w:r w:rsidR="00086603">
        <w:instrText xml:space="preserve"> TOC \h \t "Heading 1,1,Heading 2 No spacing,2,Heading 2,2,Heading 3,3,Heading 4,4,Heading 6,6,Preface Title,2" \*Charformat </w:instrText>
      </w:r>
      <w:r>
        <w:fldChar w:fldCharType="separate"/>
      </w:r>
      <w:hyperlink w:anchor="_Toc356829268" w:history="1">
        <w:r w:rsidR="002D4126" w:rsidRPr="002D4126">
          <w:rPr>
            <w:noProof/>
          </w:rPr>
          <w:t>List of abbreviations</w:t>
        </w:r>
        <w:r w:rsidR="00E30D9E">
          <w:rPr>
            <w:noProof/>
          </w:rPr>
          <w:tab/>
        </w:r>
        <w:r>
          <w:rPr>
            <w:noProof/>
          </w:rPr>
          <w:fldChar w:fldCharType="begin"/>
        </w:r>
        <w:r w:rsidR="00E30D9E">
          <w:rPr>
            <w:noProof/>
          </w:rPr>
          <w:instrText xml:space="preserve"> PAGEREF _Toc356829268 \h </w:instrText>
        </w:r>
        <w:r>
          <w:rPr>
            <w:noProof/>
          </w:rPr>
        </w:r>
        <w:r>
          <w:rPr>
            <w:noProof/>
          </w:rPr>
          <w:fldChar w:fldCharType="separate"/>
        </w:r>
        <w:r w:rsidR="005E7F88">
          <w:rPr>
            <w:noProof/>
          </w:rPr>
          <w:t>i</w:t>
        </w:r>
        <w:r>
          <w:rPr>
            <w:noProof/>
          </w:rPr>
          <w:fldChar w:fldCharType="end"/>
        </w:r>
      </w:hyperlink>
    </w:p>
    <w:p w:rsidR="00E30D9E" w:rsidRPr="00E30D9E" w:rsidRDefault="007D0D4E">
      <w:pPr>
        <w:pStyle w:val="TOC2"/>
        <w:rPr>
          <w:noProof/>
        </w:rPr>
      </w:pPr>
      <w:hyperlink w:anchor="_Toc356829269" w:history="1">
        <w:r w:rsidR="002D4126" w:rsidRPr="002D4126">
          <w:rPr>
            <w:noProof/>
          </w:rPr>
          <w:t>1</w:t>
        </w:r>
        <w:r w:rsidR="002D4126" w:rsidRPr="002D4126">
          <w:rPr>
            <w:noProof/>
          </w:rPr>
          <w:tab/>
          <w:t>Executive Summary</w:t>
        </w:r>
        <w:r w:rsidR="00E30D9E">
          <w:rPr>
            <w:noProof/>
          </w:rPr>
          <w:tab/>
        </w:r>
        <w:r w:rsidR="00D502C6">
          <w:rPr>
            <w:noProof/>
          </w:rPr>
          <w:fldChar w:fldCharType="begin"/>
        </w:r>
        <w:r w:rsidR="00E30D9E">
          <w:rPr>
            <w:noProof/>
          </w:rPr>
          <w:instrText xml:space="preserve"> PAGEREF _Toc356829269 \h </w:instrText>
        </w:r>
        <w:r w:rsidR="00D502C6">
          <w:rPr>
            <w:noProof/>
          </w:rPr>
        </w:r>
        <w:r w:rsidR="00D502C6">
          <w:rPr>
            <w:noProof/>
          </w:rPr>
          <w:fldChar w:fldCharType="separate"/>
        </w:r>
        <w:r w:rsidR="005E7F88">
          <w:rPr>
            <w:noProof/>
          </w:rPr>
          <w:t>4</w:t>
        </w:r>
        <w:r w:rsidR="00D502C6">
          <w:rPr>
            <w:noProof/>
          </w:rPr>
          <w:fldChar w:fldCharType="end"/>
        </w:r>
      </w:hyperlink>
    </w:p>
    <w:p w:rsidR="00E30D9E" w:rsidRPr="00E30D9E" w:rsidRDefault="007D0D4E">
      <w:pPr>
        <w:pStyle w:val="TOC6"/>
        <w:rPr>
          <w:noProof/>
        </w:rPr>
      </w:pPr>
      <w:hyperlink w:anchor="_Toc356829270" w:history="1">
        <w:r w:rsidR="002D4126" w:rsidRPr="002D4126">
          <w:rPr>
            <w:noProof/>
          </w:rPr>
          <w:t>1.1</w:t>
        </w:r>
        <w:r w:rsidR="002D4126" w:rsidRPr="002D4126">
          <w:rPr>
            <w:noProof/>
          </w:rPr>
          <w:tab/>
          <w:t>Purpose of this report</w:t>
        </w:r>
        <w:r w:rsidR="00E30D9E">
          <w:rPr>
            <w:noProof/>
          </w:rPr>
          <w:tab/>
        </w:r>
        <w:r w:rsidR="00D502C6">
          <w:rPr>
            <w:noProof/>
          </w:rPr>
          <w:fldChar w:fldCharType="begin"/>
        </w:r>
        <w:r w:rsidR="00E30D9E">
          <w:rPr>
            <w:noProof/>
          </w:rPr>
          <w:instrText xml:space="preserve"> PAGEREF _Toc356829270 \h </w:instrText>
        </w:r>
        <w:r w:rsidR="00D502C6">
          <w:rPr>
            <w:noProof/>
          </w:rPr>
        </w:r>
        <w:r w:rsidR="00D502C6">
          <w:rPr>
            <w:noProof/>
          </w:rPr>
          <w:fldChar w:fldCharType="separate"/>
        </w:r>
        <w:r w:rsidR="005E7F88">
          <w:rPr>
            <w:noProof/>
          </w:rPr>
          <w:t>4</w:t>
        </w:r>
        <w:r w:rsidR="00D502C6">
          <w:rPr>
            <w:noProof/>
          </w:rPr>
          <w:fldChar w:fldCharType="end"/>
        </w:r>
      </w:hyperlink>
    </w:p>
    <w:p w:rsidR="00E30D9E" w:rsidRPr="00E30D9E" w:rsidRDefault="007D0D4E">
      <w:pPr>
        <w:pStyle w:val="TOC6"/>
        <w:rPr>
          <w:noProof/>
        </w:rPr>
      </w:pPr>
      <w:hyperlink w:anchor="_Toc356829271" w:history="1">
        <w:r w:rsidR="002D4126" w:rsidRPr="002D4126">
          <w:rPr>
            <w:noProof/>
          </w:rPr>
          <w:t>1.2</w:t>
        </w:r>
        <w:r w:rsidR="002D4126" w:rsidRPr="002D4126">
          <w:rPr>
            <w:noProof/>
          </w:rPr>
          <w:tab/>
          <w:t>Background to the Private Sector NHCDC</w:t>
        </w:r>
        <w:r w:rsidR="00E30D9E">
          <w:rPr>
            <w:noProof/>
          </w:rPr>
          <w:tab/>
        </w:r>
        <w:r w:rsidR="00D502C6">
          <w:rPr>
            <w:noProof/>
          </w:rPr>
          <w:fldChar w:fldCharType="begin"/>
        </w:r>
        <w:r w:rsidR="00E30D9E">
          <w:rPr>
            <w:noProof/>
          </w:rPr>
          <w:instrText xml:space="preserve"> PAGEREF _Toc356829271 \h </w:instrText>
        </w:r>
        <w:r w:rsidR="00D502C6">
          <w:rPr>
            <w:noProof/>
          </w:rPr>
        </w:r>
        <w:r w:rsidR="00D502C6">
          <w:rPr>
            <w:noProof/>
          </w:rPr>
          <w:fldChar w:fldCharType="separate"/>
        </w:r>
        <w:r w:rsidR="005E7F88">
          <w:rPr>
            <w:noProof/>
          </w:rPr>
          <w:t>4</w:t>
        </w:r>
        <w:r w:rsidR="00D502C6">
          <w:rPr>
            <w:noProof/>
          </w:rPr>
          <w:fldChar w:fldCharType="end"/>
        </w:r>
      </w:hyperlink>
    </w:p>
    <w:p w:rsidR="00E30D9E" w:rsidRPr="00E30D9E" w:rsidRDefault="007D0D4E">
      <w:pPr>
        <w:pStyle w:val="TOC6"/>
        <w:rPr>
          <w:noProof/>
        </w:rPr>
      </w:pPr>
      <w:hyperlink w:anchor="_Toc356829272" w:history="1">
        <w:r w:rsidR="002D4126" w:rsidRPr="002D4126">
          <w:rPr>
            <w:noProof/>
          </w:rPr>
          <w:t>1.3</w:t>
        </w:r>
        <w:r w:rsidR="002D4126" w:rsidRPr="002D4126">
          <w:rPr>
            <w:noProof/>
          </w:rPr>
          <w:tab/>
          <w:t>Current year report</w:t>
        </w:r>
        <w:r w:rsidR="00E30D9E">
          <w:rPr>
            <w:noProof/>
          </w:rPr>
          <w:tab/>
        </w:r>
        <w:r w:rsidR="00D502C6">
          <w:rPr>
            <w:noProof/>
          </w:rPr>
          <w:fldChar w:fldCharType="begin"/>
        </w:r>
        <w:r w:rsidR="00E30D9E">
          <w:rPr>
            <w:noProof/>
          </w:rPr>
          <w:instrText xml:space="preserve"> PAGEREF _Toc356829272 \h </w:instrText>
        </w:r>
        <w:r w:rsidR="00D502C6">
          <w:rPr>
            <w:noProof/>
          </w:rPr>
        </w:r>
        <w:r w:rsidR="00D502C6">
          <w:rPr>
            <w:noProof/>
          </w:rPr>
          <w:fldChar w:fldCharType="separate"/>
        </w:r>
        <w:r w:rsidR="005E7F88">
          <w:rPr>
            <w:noProof/>
          </w:rPr>
          <w:t>4</w:t>
        </w:r>
        <w:r w:rsidR="00D502C6">
          <w:rPr>
            <w:noProof/>
          </w:rPr>
          <w:fldChar w:fldCharType="end"/>
        </w:r>
      </w:hyperlink>
    </w:p>
    <w:p w:rsidR="00E30D9E" w:rsidRPr="00E30D9E" w:rsidRDefault="007D0D4E">
      <w:pPr>
        <w:pStyle w:val="TOC6"/>
        <w:rPr>
          <w:noProof/>
        </w:rPr>
      </w:pPr>
      <w:hyperlink w:anchor="_Toc356829273" w:history="1">
        <w:r w:rsidR="002D4126" w:rsidRPr="002D4126">
          <w:rPr>
            <w:noProof/>
          </w:rPr>
          <w:t>1.4</w:t>
        </w:r>
        <w:r w:rsidR="002D4126" w:rsidRPr="002D4126">
          <w:rPr>
            <w:noProof/>
          </w:rPr>
          <w:tab/>
          <w:t>Key findings and features of the Round 16 Sample</w:t>
        </w:r>
        <w:r w:rsidR="00E30D9E">
          <w:rPr>
            <w:noProof/>
          </w:rPr>
          <w:tab/>
        </w:r>
        <w:r w:rsidR="00D502C6">
          <w:rPr>
            <w:noProof/>
          </w:rPr>
          <w:fldChar w:fldCharType="begin"/>
        </w:r>
        <w:r w:rsidR="00E30D9E">
          <w:rPr>
            <w:noProof/>
          </w:rPr>
          <w:instrText xml:space="preserve"> PAGEREF _Toc356829273 \h </w:instrText>
        </w:r>
        <w:r w:rsidR="00D502C6">
          <w:rPr>
            <w:noProof/>
          </w:rPr>
        </w:r>
        <w:r w:rsidR="00D502C6">
          <w:rPr>
            <w:noProof/>
          </w:rPr>
          <w:fldChar w:fldCharType="separate"/>
        </w:r>
        <w:r w:rsidR="005E7F88">
          <w:rPr>
            <w:noProof/>
          </w:rPr>
          <w:t>4</w:t>
        </w:r>
        <w:r w:rsidR="00D502C6">
          <w:rPr>
            <w:noProof/>
          </w:rPr>
          <w:fldChar w:fldCharType="end"/>
        </w:r>
      </w:hyperlink>
    </w:p>
    <w:p w:rsidR="00E30D9E" w:rsidRPr="00E30D9E" w:rsidRDefault="007D0D4E">
      <w:pPr>
        <w:pStyle w:val="TOC2"/>
        <w:rPr>
          <w:noProof/>
        </w:rPr>
      </w:pPr>
      <w:hyperlink w:anchor="_Toc356829274" w:history="1">
        <w:r w:rsidR="002D4126" w:rsidRPr="002D4126">
          <w:rPr>
            <w:noProof/>
          </w:rPr>
          <w:t>2</w:t>
        </w:r>
        <w:r w:rsidR="002D4126" w:rsidRPr="002D4126">
          <w:rPr>
            <w:noProof/>
          </w:rPr>
          <w:tab/>
          <w:t>Introduction</w:t>
        </w:r>
        <w:r w:rsidR="00E30D9E">
          <w:rPr>
            <w:noProof/>
          </w:rPr>
          <w:tab/>
        </w:r>
        <w:r w:rsidR="00D502C6">
          <w:rPr>
            <w:noProof/>
          </w:rPr>
          <w:fldChar w:fldCharType="begin"/>
        </w:r>
        <w:r w:rsidR="00E30D9E">
          <w:rPr>
            <w:noProof/>
          </w:rPr>
          <w:instrText xml:space="preserve"> PAGEREF _Toc356829274 \h </w:instrText>
        </w:r>
        <w:r w:rsidR="00D502C6">
          <w:rPr>
            <w:noProof/>
          </w:rPr>
        </w:r>
        <w:r w:rsidR="00D502C6">
          <w:rPr>
            <w:noProof/>
          </w:rPr>
          <w:fldChar w:fldCharType="separate"/>
        </w:r>
        <w:r w:rsidR="005E7F88">
          <w:rPr>
            <w:noProof/>
          </w:rPr>
          <w:t>6</w:t>
        </w:r>
        <w:r w:rsidR="00D502C6">
          <w:rPr>
            <w:noProof/>
          </w:rPr>
          <w:fldChar w:fldCharType="end"/>
        </w:r>
      </w:hyperlink>
    </w:p>
    <w:p w:rsidR="00E30D9E" w:rsidRPr="00E30D9E" w:rsidRDefault="007D0D4E">
      <w:pPr>
        <w:pStyle w:val="TOC6"/>
        <w:rPr>
          <w:noProof/>
        </w:rPr>
      </w:pPr>
      <w:hyperlink w:anchor="_Toc356829275" w:history="1">
        <w:r w:rsidR="002D4126" w:rsidRPr="002D4126">
          <w:rPr>
            <w:noProof/>
          </w:rPr>
          <w:t>2.1</w:t>
        </w:r>
        <w:r w:rsidR="002D4126" w:rsidRPr="002D4126">
          <w:rPr>
            <w:noProof/>
          </w:rPr>
          <w:tab/>
          <w:t>Purpose of this report</w:t>
        </w:r>
        <w:r w:rsidR="00E30D9E">
          <w:rPr>
            <w:noProof/>
          </w:rPr>
          <w:tab/>
        </w:r>
        <w:r w:rsidR="00D502C6">
          <w:rPr>
            <w:noProof/>
          </w:rPr>
          <w:fldChar w:fldCharType="begin"/>
        </w:r>
        <w:r w:rsidR="00E30D9E">
          <w:rPr>
            <w:noProof/>
          </w:rPr>
          <w:instrText xml:space="preserve"> PAGEREF _Toc356829275 \h </w:instrText>
        </w:r>
        <w:r w:rsidR="00D502C6">
          <w:rPr>
            <w:noProof/>
          </w:rPr>
        </w:r>
        <w:r w:rsidR="00D502C6">
          <w:rPr>
            <w:noProof/>
          </w:rPr>
          <w:fldChar w:fldCharType="separate"/>
        </w:r>
        <w:r w:rsidR="005E7F88">
          <w:rPr>
            <w:noProof/>
          </w:rPr>
          <w:t>6</w:t>
        </w:r>
        <w:r w:rsidR="00D502C6">
          <w:rPr>
            <w:noProof/>
          </w:rPr>
          <w:fldChar w:fldCharType="end"/>
        </w:r>
      </w:hyperlink>
    </w:p>
    <w:p w:rsidR="00E30D9E" w:rsidRPr="00E30D9E" w:rsidRDefault="007D0D4E">
      <w:pPr>
        <w:pStyle w:val="TOC6"/>
        <w:rPr>
          <w:noProof/>
        </w:rPr>
      </w:pPr>
      <w:hyperlink w:anchor="_Toc356829276" w:history="1">
        <w:r w:rsidR="002D4126" w:rsidRPr="002D4126">
          <w:rPr>
            <w:noProof/>
          </w:rPr>
          <w:t>2.2</w:t>
        </w:r>
        <w:r w:rsidR="002D4126" w:rsidRPr="002D4126">
          <w:rPr>
            <w:noProof/>
          </w:rPr>
          <w:tab/>
          <w:t>Format of the report</w:t>
        </w:r>
        <w:r w:rsidR="00E30D9E">
          <w:rPr>
            <w:noProof/>
          </w:rPr>
          <w:tab/>
        </w:r>
        <w:r w:rsidR="00D502C6">
          <w:rPr>
            <w:noProof/>
          </w:rPr>
          <w:fldChar w:fldCharType="begin"/>
        </w:r>
        <w:r w:rsidR="00E30D9E">
          <w:rPr>
            <w:noProof/>
          </w:rPr>
          <w:instrText xml:space="preserve"> PAGEREF _Toc356829276 \h </w:instrText>
        </w:r>
        <w:r w:rsidR="00D502C6">
          <w:rPr>
            <w:noProof/>
          </w:rPr>
        </w:r>
        <w:r w:rsidR="00D502C6">
          <w:rPr>
            <w:noProof/>
          </w:rPr>
          <w:fldChar w:fldCharType="separate"/>
        </w:r>
        <w:r w:rsidR="005E7F88">
          <w:rPr>
            <w:noProof/>
          </w:rPr>
          <w:t>6</w:t>
        </w:r>
        <w:r w:rsidR="00D502C6">
          <w:rPr>
            <w:noProof/>
          </w:rPr>
          <w:fldChar w:fldCharType="end"/>
        </w:r>
      </w:hyperlink>
    </w:p>
    <w:p w:rsidR="00E30D9E" w:rsidRPr="00E30D9E" w:rsidRDefault="007D0D4E">
      <w:pPr>
        <w:pStyle w:val="TOC6"/>
        <w:rPr>
          <w:noProof/>
        </w:rPr>
      </w:pPr>
      <w:hyperlink w:anchor="_Toc356829277" w:history="1">
        <w:r w:rsidR="002D4126" w:rsidRPr="002D4126">
          <w:rPr>
            <w:noProof/>
          </w:rPr>
          <w:t>2.3</w:t>
        </w:r>
        <w:r w:rsidR="002D4126" w:rsidRPr="002D4126">
          <w:rPr>
            <w:noProof/>
          </w:rPr>
          <w:tab/>
          <w:t>Scope of this collection</w:t>
        </w:r>
        <w:r w:rsidR="00E30D9E">
          <w:rPr>
            <w:noProof/>
          </w:rPr>
          <w:tab/>
        </w:r>
        <w:r w:rsidR="00D502C6">
          <w:rPr>
            <w:noProof/>
          </w:rPr>
          <w:fldChar w:fldCharType="begin"/>
        </w:r>
        <w:r w:rsidR="00E30D9E">
          <w:rPr>
            <w:noProof/>
          </w:rPr>
          <w:instrText xml:space="preserve"> PAGEREF _Toc356829277 \h </w:instrText>
        </w:r>
        <w:r w:rsidR="00D502C6">
          <w:rPr>
            <w:noProof/>
          </w:rPr>
        </w:r>
        <w:r w:rsidR="00D502C6">
          <w:rPr>
            <w:noProof/>
          </w:rPr>
          <w:fldChar w:fldCharType="separate"/>
        </w:r>
        <w:r w:rsidR="005E7F88">
          <w:rPr>
            <w:noProof/>
          </w:rPr>
          <w:t>6</w:t>
        </w:r>
        <w:r w:rsidR="00D502C6">
          <w:rPr>
            <w:noProof/>
          </w:rPr>
          <w:fldChar w:fldCharType="end"/>
        </w:r>
      </w:hyperlink>
    </w:p>
    <w:p w:rsidR="00E30D9E" w:rsidRPr="00E30D9E" w:rsidRDefault="007D0D4E">
      <w:pPr>
        <w:pStyle w:val="TOC6"/>
        <w:rPr>
          <w:noProof/>
        </w:rPr>
      </w:pPr>
      <w:hyperlink w:anchor="_Toc356829278" w:history="1">
        <w:r w:rsidR="002D4126" w:rsidRPr="002D4126">
          <w:rPr>
            <w:noProof/>
          </w:rPr>
          <w:t>2.4</w:t>
        </w:r>
        <w:r w:rsidR="002D4126" w:rsidRPr="002D4126">
          <w:rPr>
            <w:noProof/>
          </w:rPr>
          <w:tab/>
          <w:t>History of the Private Sector NHCDC</w:t>
        </w:r>
        <w:r w:rsidR="00E30D9E">
          <w:rPr>
            <w:noProof/>
          </w:rPr>
          <w:tab/>
        </w:r>
        <w:r w:rsidR="00D502C6">
          <w:rPr>
            <w:noProof/>
          </w:rPr>
          <w:fldChar w:fldCharType="begin"/>
        </w:r>
        <w:r w:rsidR="00E30D9E">
          <w:rPr>
            <w:noProof/>
          </w:rPr>
          <w:instrText xml:space="preserve"> PAGEREF _Toc356829278 \h </w:instrText>
        </w:r>
        <w:r w:rsidR="00D502C6">
          <w:rPr>
            <w:noProof/>
          </w:rPr>
        </w:r>
        <w:r w:rsidR="00D502C6">
          <w:rPr>
            <w:noProof/>
          </w:rPr>
          <w:fldChar w:fldCharType="separate"/>
        </w:r>
        <w:r w:rsidR="005E7F88">
          <w:rPr>
            <w:noProof/>
          </w:rPr>
          <w:t>8</w:t>
        </w:r>
        <w:r w:rsidR="00D502C6">
          <w:rPr>
            <w:noProof/>
          </w:rPr>
          <w:fldChar w:fldCharType="end"/>
        </w:r>
      </w:hyperlink>
    </w:p>
    <w:p w:rsidR="00E30D9E" w:rsidRPr="00E30D9E" w:rsidRDefault="007D0D4E">
      <w:pPr>
        <w:pStyle w:val="TOC6"/>
        <w:rPr>
          <w:noProof/>
        </w:rPr>
      </w:pPr>
      <w:hyperlink w:anchor="_Toc356829279" w:history="1">
        <w:r w:rsidR="002D4126" w:rsidRPr="002D4126">
          <w:rPr>
            <w:noProof/>
          </w:rPr>
          <w:t>2.5</w:t>
        </w:r>
        <w:r w:rsidR="002D4126" w:rsidRPr="002D4126">
          <w:rPr>
            <w:noProof/>
          </w:rPr>
          <w:tab/>
          <w:t>Public and private sector differences</w:t>
        </w:r>
        <w:r w:rsidR="00E30D9E">
          <w:rPr>
            <w:noProof/>
          </w:rPr>
          <w:tab/>
        </w:r>
        <w:r w:rsidR="00D502C6">
          <w:rPr>
            <w:noProof/>
          </w:rPr>
          <w:fldChar w:fldCharType="begin"/>
        </w:r>
        <w:r w:rsidR="00E30D9E">
          <w:rPr>
            <w:noProof/>
          </w:rPr>
          <w:instrText xml:space="preserve"> PAGEREF _Toc356829279 \h </w:instrText>
        </w:r>
        <w:r w:rsidR="00D502C6">
          <w:rPr>
            <w:noProof/>
          </w:rPr>
        </w:r>
        <w:r w:rsidR="00D502C6">
          <w:rPr>
            <w:noProof/>
          </w:rPr>
          <w:fldChar w:fldCharType="separate"/>
        </w:r>
        <w:r w:rsidR="005E7F88">
          <w:rPr>
            <w:noProof/>
          </w:rPr>
          <w:t>8</w:t>
        </w:r>
        <w:r w:rsidR="00D502C6">
          <w:rPr>
            <w:noProof/>
          </w:rPr>
          <w:fldChar w:fldCharType="end"/>
        </w:r>
      </w:hyperlink>
    </w:p>
    <w:p w:rsidR="00E30D9E" w:rsidRPr="00E30D9E" w:rsidRDefault="007D0D4E">
      <w:pPr>
        <w:pStyle w:val="TOC6"/>
        <w:rPr>
          <w:noProof/>
        </w:rPr>
      </w:pPr>
      <w:hyperlink w:anchor="_Toc356829280" w:history="1">
        <w:r w:rsidR="002D4126" w:rsidRPr="002D4126">
          <w:rPr>
            <w:noProof/>
          </w:rPr>
          <w:t>2.6</w:t>
        </w:r>
        <w:r w:rsidR="002D4126" w:rsidRPr="002D4126">
          <w:rPr>
            <w:noProof/>
          </w:rPr>
          <w:tab/>
          <w:t>Confidentiality of data</w:t>
        </w:r>
        <w:r w:rsidR="00E30D9E">
          <w:rPr>
            <w:noProof/>
          </w:rPr>
          <w:tab/>
        </w:r>
        <w:r w:rsidR="00D502C6">
          <w:rPr>
            <w:noProof/>
          </w:rPr>
          <w:fldChar w:fldCharType="begin"/>
        </w:r>
        <w:r w:rsidR="00E30D9E">
          <w:rPr>
            <w:noProof/>
          </w:rPr>
          <w:instrText xml:space="preserve"> PAGEREF _Toc356829280 \h </w:instrText>
        </w:r>
        <w:r w:rsidR="00D502C6">
          <w:rPr>
            <w:noProof/>
          </w:rPr>
        </w:r>
        <w:r w:rsidR="00D502C6">
          <w:rPr>
            <w:noProof/>
          </w:rPr>
          <w:fldChar w:fldCharType="separate"/>
        </w:r>
        <w:r w:rsidR="005E7F88">
          <w:rPr>
            <w:noProof/>
          </w:rPr>
          <w:t>8</w:t>
        </w:r>
        <w:r w:rsidR="00D502C6">
          <w:rPr>
            <w:noProof/>
          </w:rPr>
          <w:fldChar w:fldCharType="end"/>
        </w:r>
      </w:hyperlink>
    </w:p>
    <w:p w:rsidR="00E30D9E" w:rsidRPr="00E30D9E" w:rsidRDefault="007D0D4E">
      <w:pPr>
        <w:pStyle w:val="TOC6"/>
        <w:rPr>
          <w:noProof/>
        </w:rPr>
      </w:pPr>
      <w:hyperlink w:anchor="_Toc356829281" w:history="1">
        <w:r w:rsidR="002D4126" w:rsidRPr="002D4126">
          <w:rPr>
            <w:noProof/>
          </w:rPr>
          <w:t>2.7</w:t>
        </w:r>
        <w:r w:rsidR="002D4126" w:rsidRPr="002D4126">
          <w:rPr>
            <w:noProof/>
          </w:rPr>
          <w:tab/>
          <w:t>Reliances and limitations</w:t>
        </w:r>
        <w:r w:rsidR="00E30D9E">
          <w:rPr>
            <w:noProof/>
          </w:rPr>
          <w:tab/>
        </w:r>
        <w:r w:rsidR="00D502C6">
          <w:rPr>
            <w:noProof/>
          </w:rPr>
          <w:fldChar w:fldCharType="begin"/>
        </w:r>
        <w:r w:rsidR="00E30D9E">
          <w:rPr>
            <w:noProof/>
          </w:rPr>
          <w:instrText xml:space="preserve"> PAGEREF _Toc356829281 \h </w:instrText>
        </w:r>
        <w:r w:rsidR="00D502C6">
          <w:rPr>
            <w:noProof/>
          </w:rPr>
        </w:r>
        <w:r w:rsidR="00D502C6">
          <w:rPr>
            <w:noProof/>
          </w:rPr>
          <w:fldChar w:fldCharType="separate"/>
        </w:r>
        <w:r w:rsidR="005E7F88">
          <w:rPr>
            <w:noProof/>
          </w:rPr>
          <w:t>8</w:t>
        </w:r>
        <w:r w:rsidR="00D502C6">
          <w:rPr>
            <w:noProof/>
          </w:rPr>
          <w:fldChar w:fldCharType="end"/>
        </w:r>
      </w:hyperlink>
    </w:p>
    <w:p w:rsidR="00E30D9E" w:rsidRPr="00E30D9E" w:rsidRDefault="007D0D4E">
      <w:pPr>
        <w:pStyle w:val="TOC2"/>
        <w:rPr>
          <w:noProof/>
        </w:rPr>
      </w:pPr>
      <w:hyperlink w:anchor="_Toc356829282" w:history="1">
        <w:r w:rsidR="002D4126" w:rsidRPr="002D4126">
          <w:rPr>
            <w:noProof/>
          </w:rPr>
          <w:t>3</w:t>
        </w:r>
        <w:r w:rsidR="002D4126" w:rsidRPr="002D4126">
          <w:rPr>
            <w:noProof/>
          </w:rPr>
          <w:tab/>
          <w:t>Methodology</w:t>
        </w:r>
        <w:r w:rsidR="00E30D9E">
          <w:rPr>
            <w:noProof/>
          </w:rPr>
          <w:tab/>
        </w:r>
        <w:r w:rsidR="00D502C6">
          <w:rPr>
            <w:noProof/>
          </w:rPr>
          <w:fldChar w:fldCharType="begin"/>
        </w:r>
        <w:r w:rsidR="00E30D9E">
          <w:rPr>
            <w:noProof/>
          </w:rPr>
          <w:instrText xml:space="preserve"> PAGEREF _Toc356829282 \h </w:instrText>
        </w:r>
        <w:r w:rsidR="00D502C6">
          <w:rPr>
            <w:noProof/>
          </w:rPr>
        </w:r>
        <w:r w:rsidR="00D502C6">
          <w:rPr>
            <w:noProof/>
          </w:rPr>
          <w:fldChar w:fldCharType="separate"/>
        </w:r>
        <w:r w:rsidR="005E7F88">
          <w:rPr>
            <w:noProof/>
          </w:rPr>
          <w:t>10</w:t>
        </w:r>
        <w:r w:rsidR="00D502C6">
          <w:rPr>
            <w:noProof/>
          </w:rPr>
          <w:fldChar w:fldCharType="end"/>
        </w:r>
      </w:hyperlink>
    </w:p>
    <w:p w:rsidR="00E30D9E" w:rsidRPr="00E30D9E" w:rsidRDefault="007D0D4E">
      <w:pPr>
        <w:pStyle w:val="TOC6"/>
        <w:rPr>
          <w:noProof/>
        </w:rPr>
      </w:pPr>
      <w:hyperlink w:anchor="_Toc356829283" w:history="1">
        <w:r w:rsidR="002D4126" w:rsidRPr="002D4126">
          <w:rPr>
            <w:noProof/>
          </w:rPr>
          <w:t>3.1</w:t>
        </w:r>
        <w:r w:rsidR="002D4126" w:rsidRPr="002D4126">
          <w:rPr>
            <w:noProof/>
          </w:rPr>
          <w:tab/>
          <w:t>Identifying the minimum sample size</w:t>
        </w:r>
        <w:r w:rsidR="00E30D9E">
          <w:rPr>
            <w:noProof/>
          </w:rPr>
          <w:tab/>
        </w:r>
        <w:r w:rsidR="00D502C6">
          <w:rPr>
            <w:noProof/>
          </w:rPr>
          <w:fldChar w:fldCharType="begin"/>
        </w:r>
        <w:r w:rsidR="00E30D9E">
          <w:rPr>
            <w:noProof/>
          </w:rPr>
          <w:instrText xml:space="preserve"> PAGEREF _Toc356829283 \h </w:instrText>
        </w:r>
        <w:r w:rsidR="00D502C6">
          <w:rPr>
            <w:noProof/>
          </w:rPr>
        </w:r>
        <w:r w:rsidR="00D502C6">
          <w:rPr>
            <w:noProof/>
          </w:rPr>
          <w:fldChar w:fldCharType="separate"/>
        </w:r>
        <w:r w:rsidR="005E7F88">
          <w:rPr>
            <w:noProof/>
          </w:rPr>
          <w:t>10</w:t>
        </w:r>
        <w:r w:rsidR="00D502C6">
          <w:rPr>
            <w:noProof/>
          </w:rPr>
          <w:fldChar w:fldCharType="end"/>
        </w:r>
      </w:hyperlink>
    </w:p>
    <w:p w:rsidR="00E30D9E" w:rsidRPr="00E30D9E" w:rsidRDefault="007D0D4E">
      <w:pPr>
        <w:pStyle w:val="TOC6"/>
        <w:rPr>
          <w:noProof/>
        </w:rPr>
      </w:pPr>
      <w:hyperlink w:anchor="_Toc356829284" w:history="1">
        <w:r w:rsidR="002D4126" w:rsidRPr="002D4126">
          <w:rPr>
            <w:noProof/>
          </w:rPr>
          <w:t>3.2</w:t>
        </w:r>
        <w:r w:rsidR="002D4126" w:rsidRPr="002D4126">
          <w:rPr>
            <w:noProof/>
          </w:rPr>
          <w:tab/>
          <w:t>Costing methodologies</w:t>
        </w:r>
        <w:r w:rsidR="00E30D9E">
          <w:rPr>
            <w:noProof/>
          </w:rPr>
          <w:tab/>
        </w:r>
        <w:r w:rsidR="00D502C6">
          <w:rPr>
            <w:noProof/>
          </w:rPr>
          <w:fldChar w:fldCharType="begin"/>
        </w:r>
        <w:r w:rsidR="00E30D9E">
          <w:rPr>
            <w:noProof/>
          </w:rPr>
          <w:instrText xml:space="preserve"> PAGEREF _Toc356829284 \h </w:instrText>
        </w:r>
        <w:r w:rsidR="00D502C6">
          <w:rPr>
            <w:noProof/>
          </w:rPr>
        </w:r>
        <w:r w:rsidR="00D502C6">
          <w:rPr>
            <w:noProof/>
          </w:rPr>
          <w:fldChar w:fldCharType="separate"/>
        </w:r>
        <w:r w:rsidR="005E7F88">
          <w:rPr>
            <w:noProof/>
          </w:rPr>
          <w:t>11</w:t>
        </w:r>
        <w:r w:rsidR="00D502C6">
          <w:rPr>
            <w:noProof/>
          </w:rPr>
          <w:fldChar w:fldCharType="end"/>
        </w:r>
      </w:hyperlink>
    </w:p>
    <w:p w:rsidR="00E30D9E" w:rsidRPr="00E30D9E" w:rsidRDefault="007D0D4E">
      <w:pPr>
        <w:pStyle w:val="TOC6"/>
        <w:rPr>
          <w:noProof/>
        </w:rPr>
      </w:pPr>
      <w:hyperlink w:anchor="_Toc356829285" w:history="1">
        <w:r w:rsidR="002D4126" w:rsidRPr="002D4126">
          <w:rPr>
            <w:noProof/>
          </w:rPr>
          <w:t>3.3</w:t>
        </w:r>
        <w:r w:rsidR="002D4126" w:rsidRPr="002D4126">
          <w:rPr>
            <w:noProof/>
          </w:rPr>
          <w:tab/>
          <w:t>Stages and Phases of the private sector NHCDC</w:t>
        </w:r>
        <w:r w:rsidR="00E30D9E">
          <w:rPr>
            <w:noProof/>
          </w:rPr>
          <w:tab/>
        </w:r>
        <w:r w:rsidR="00D502C6">
          <w:rPr>
            <w:noProof/>
          </w:rPr>
          <w:fldChar w:fldCharType="begin"/>
        </w:r>
        <w:r w:rsidR="00E30D9E">
          <w:rPr>
            <w:noProof/>
          </w:rPr>
          <w:instrText xml:space="preserve"> PAGEREF _Toc356829285 \h </w:instrText>
        </w:r>
        <w:r w:rsidR="00D502C6">
          <w:rPr>
            <w:noProof/>
          </w:rPr>
        </w:r>
        <w:r w:rsidR="00D502C6">
          <w:rPr>
            <w:noProof/>
          </w:rPr>
          <w:fldChar w:fldCharType="separate"/>
        </w:r>
        <w:r w:rsidR="005E7F88">
          <w:rPr>
            <w:noProof/>
          </w:rPr>
          <w:t>12</w:t>
        </w:r>
        <w:r w:rsidR="00D502C6">
          <w:rPr>
            <w:noProof/>
          </w:rPr>
          <w:fldChar w:fldCharType="end"/>
        </w:r>
      </w:hyperlink>
    </w:p>
    <w:p w:rsidR="00E30D9E" w:rsidRPr="00E30D9E" w:rsidRDefault="007D0D4E">
      <w:pPr>
        <w:pStyle w:val="TOC6"/>
        <w:rPr>
          <w:noProof/>
        </w:rPr>
      </w:pPr>
      <w:hyperlink w:anchor="_Toc356829286" w:history="1">
        <w:r w:rsidR="002D4126" w:rsidRPr="002D4126">
          <w:rPr>
            <w:noProof/>
          </w:rPr>
          <w:t>3.4</w:t>
        </w:r>
        <w:r w:rsidR="002D4126" w:rsidRPr="002D4126">
          <w:rPr>
            <w:noProof/>
          </w:rPr>
          <w:tab/>
          <w:t>Steps in the data collection phase for cost modelled sites</w:t>
        </w:r>
        <w:r w:rsidR="00E30D9E">
          <w:rPr>
            <w:noProof/>
          </w:rPr>
          <w:tab/>
        </w:r>
        <w:r w:rsidR="00D502C6">
          <w:rPr>
            <w:noProof/>
          </w:rPr>
          <w:fldChar w:fldCharType="begin"/>
        </w:r>
        <w:r w:rsidR="00E30D9E">
          <w:rPr>
            <w:noProof/>
          </w:rPr>
          <w:instrText xml:space="preserve"> PAGEREF _Toc356829286 \h </w:instrText>
        </w:r>
        <w:r w:rsidR="00D502C6">
          <w:rPr>
            <w:noProof/>
          </w:rPr>
        </w:r>
        <w:r w:rsidR="00D502C6">
          <w:rPr>
            <w:noProof/>
          </w:rPr>
          <w:fldChar w:fldCharType="separate"/>
        </w:r>
        <w:r w:rsidR="005E7F88">
          <w:rPr>
            <w:noProof/>
          </w:rPr>
          <w:t>13</w:t>
        </w:r>
        <w:r w:rsidR="00D502C6">
          <w:rPr>
            <w:noProof/>
          </w:rPr>
          <w:fldChar w:fldCharType="end"/>
        </w:r>
      </w:hyperlink>
    </w:p>
    <w:p w:rsidR="00E30D9E" w:rsidRPr="00E30D9E" w:rsidRDefault="007D0D4E">
      <w:pPr>
        <w:pStyle w:val="TOC6"/>
        <w:rPr>
          <w:noProof/>
        </w:rPr>
      </w:pPr>
      <w:hyperlink w:anchor="_Toc356829287" w:history="1">
        <w:r w:rsidR="002D4126" w:rsidRPr="002D4126">
          <w:rPr>
            <w:noProof/>
          </w:rPr>
          <w:t>3.5</w:t>
        </w:r>
        <w:r w:rsidR="002D4126" w:rsidRPr="002D4126">
          <w:rPr>
            <w:noProof/>
          </w:rPr>
          <w:tab/>
          <w:t>Steps in the costing phase for cost modelled sites</w:t>
        </w:r>
        <w:r w:rsidR="00E30D9E">
          <w:rPr>
            <w:noProof/>
          </w:rPr>
          <w:tab/>
        </w:r>
        <w:r w:rsidR="00D502C6">
          <w:rPr>
            <w:noProof/>
          </w:rPr>
          <w:fldChar w:fldCharType="begin"/>
        </w:r>
        <w:r w:rsidR="00E30D9E">
          <w:rPr>
            <w:noProof/>
          </w:rPr>
          <w:instrText xml:space="preserve"> PAGEREF _Toc356829287 \h </w:instrText>
        </w:r>
        <w:r w:rsidR="00D502C6">
          <w:rPr>
            <w:noProof/>
          </w:rPr>
        </w:r>
        <w:r w:rsidR="00D502C6">
          <w:rPr>
            <w:noProof/>
          </w:rPr>
          <w:fldChar w:fldCharType="separate"/>
        </w:r>
        <w:r w:rsidR="005E7F88">
          <w:rPr>
            <w:noProof/>
          </w:rPr>
          <w:t>13</w:t>
        </w:r>
        <w:r w:rsidR="00D502C6">
          <w:rPr>
            <w:noProof/>
          </w:rPr>
          <w:fldChar w:fldCharType="end"/>
        </w:r>
      </w:hyperlink>
    </w:p>
    <w:p w:rsidR="00E30D9E" w:rsidRPr="00E30D9E" w:rsidRDefault="007D0D4E">
      <w:pPr>
        <w:pStyle w:val="TOC6"/>
        <w:rPr>
          <w:noProof/>
        </w:rPr>
      </w:pPr>
      <w:hyperlink w:anchor="_Toc356829288" w:history="1">
        <w:r w:rsidR="002D4126" w:rsidRPr="002D4126">
          <w:rPr>
            <w:noProof/>
          </w:rPr>
          <w:t>3.6</w:t>
        </w:r>
        <w:r w:rsidR="002D4126" w:rsidRPr="002D4126">
          <w:rPr>
            <w:noProof/>
          </w:rPr>
          <w:tab/>
          <w:t>Analysis and reporting</w:t>
        </w:r>
        <w:r w:rsidR="00E30D9E">
          <w:rPr>
            <w:noProof/>
          </w:rPr>
          <w:tab/>
        </w:r>
        <w:r w:rsidR="00D502C6">
          <w:rPr>
            <w:noProof/>
          </w:rPr>
          <w:fldChar w:fldCharType="begin"/>
        </w:r>
        <w:r w:rsidR="00E30D9E">
          <w:rPr>
            <w:noProof/>
          </w:rPr>
          <w:instrText xml:space="preserve"> PAGEREF _Toc356829288 \h </w:instrText>
        </w:r>
        <w:r w:rsidR="00D502C6">
          <w:rPr>
            <w:noProof/>
          </w:rPr>
        </w:r>
        <w:r w:rsidR="00D502C6">
          <w:rPr>
            <w:noProof/>
          </w:rPr>
          <w:fldChar w:fldCharType="separate"/>
        </w:r>
        <w:r w:rsidR="005E7F88">
          <w:rPr>
            <w:noProof/>
          </w:rPr>
          <w:t>16</w:t>
        </w:r>
        <w:r w:rsidR="00D502C6">
          <w:rPr>
            <w:noProof/>
          </w:rPr>
          <w:fldChar w:fldCharType="end"/>
        </w:r>
      </w:hyperlink>
    </w:p>
    <w:p w:rsidR="00E30D9E" w:rsidRPr="00E30D9E" w:rsidRDefault="007D0D4E">
      <w:pPr>
        <w:pStyle w:val="TOC2"/>
        <w:rPr>
          <w:noProof/>
        </w:rPr>
      </w:pPr>
      <w:hyperlink w:anchor="_Toc356829289" w:history="1">
        <w:r w:rsidR="002D4126" w:rsidRPr="002D4126">
          <w:rPr>
            <w:noProof/>
          </w:rPr>
          <w:t>4</w:t>
        </w:r>
        <w:r w:rsidR="002D4126" w:rsidRPr="002D4126">
          <w:rPr>
            <w:noProof/>
          </w:rPr>
          <w:tab/>
          <w:t>Summary of results</w:t>
        </w:r>
        <w:r w:rsidR="00E30D9E">
          <w:rPr>
            <w:noProof/>
          </w:rPr>
          <w:tab/>
        </w:r>
        <w:r w:rsidR="00D502C6">
          <w:rPr>
            <w:noProof/>
          </w:rPr>
          <w:fldChar w:fldCharType="begin"/>
        </w:r>
        <w:r w:rsidR="00E30D9E">
          <w:rPr>
            <w:noProof/>
          </w:rPr>
          <w:instrText xml:space="preserve"> PAGEREF _Toc356829289 \h </w:instrText>
        </w:r>
        <w:r w:rsidR="00D502C6">
          <w:rPr>
            <w:noProof/>
          </w:rPr>
        </w:r>
        <w:r w:rsidR="00D502C6">
          <w:rPr>
            <w:noProof/>
          </w:rPr>
          <w:fldChar w:fldCharType="separate"/>
        </w:r>
        <w:r w:rsidR="005E7F88">
          <w:rPr>
            <w:noProof/>
          </w:rPr>
          <w:t>18</w:t>
        </w:r>
        <w:r w:rsidR="00D502C6">
          <w:rPr>
            <w:noProof/>
          </w:rPr>
          <w:fldChar w:fldCharType="end"/>
        </w:r>
      </w:hyperlink>
    </w:p>
    <w:p w:rsidR="00E30D9E" w:rsidRPr="00E30D9E" w:rsidRDefault="007D0D4E">
      <w:pPr>
        <w:pStyle w:val="TOC6"/>
        <w:rPr>
          <w:noProof/>
        </w:rPr>
      </w:pPr>
      <w:hyperlink w:anchor="_Toc356829290" w:history="1">
        <w:r w:rsidR="002D4126" w:rsidRPr="002D4126">
          <w:rPr>
            <w:noProof/>
          </w:rPr>
          <w:t>4.1</w:t>
        </w:r>
        <w:r w:rsidR="002D4126" w:rsidRPr="002D4126">
          <w:rPr>
            <w:noProof/>
          </w:rPr>
          <w:tab/>
          <w:t>Summary of Round 16 Sample to Population</w:t>
        </w:r>
        <w:r w:rsidR="00E30D9E">
          <w:rPr>
            <w:noProof/>
          </w:rPr>
          <w:tab/>
        </w:r>
        <w:r w:rsidR="00D502C6">
          <w:rPr>
            <w:noProof/>
          </w:rPr>
          <w:fldChar w:fldCharType="begin"/>
        </w:r>
        <w:r w:rsidR="00E30D9E">
          <w:rPr>
            <w:noProof/>
          </w:rPr>
          <w:instrText xml:space="preserve"> PAGEREF _Toc356829290 \h </w:instrText>
        </w:r>
        <w:r w:rsidR="00D502C6">
          <w:rPr>
            <w:noProof/>
          </w:rPr>
        </w:r>
        <w:r w:rsidR="00D502C6">
          <w:rPr>
            <w:noProof/>
          </w:rPr>
          <w:fldChar w:fldCharType="separate"/>
        </w:r>
        <w:r w:rsidR="005E7F88">
          <w:rPr>
            <w:noProof/>
          </w:rPr>
          <w:t>18</w:t>
        </w:r>
        <w:r w:rsidR="00D502C6">
          <w:rPr>
            <w:noProof/>
          </w:rPr>
          <w:fldChar w:fldCharType="end"/>
        </w:r>
      </w:hyperlink>
    </w:p>
    <w:p w:rsidR="00E30D9E" w:rsidRPr="00E30D9E" w:rsidRDefault="007D0D4E">
      <w:pPr>
        <w:pStyle w:val="TOC6"/>
        <w:rPr>
          <w:noProof/>
        </w:rPr>
      </w:pPr>
      <w:hyperlink w:anchor="_Toc356829291" w:history="1">
        <w:r w:rsidR="002D4126" w:rsidRPr="002D4126">
          <w:rPr>
            <w:noProof/>
          </w:rPr>
          <w:t>4.2</w:t>
        </w:r>
        <w:r w:rsidR="002D4126" w:rsidRPr="002D4126">
          <w:rPr>
            <w:noProof/>
          </w:rPr>
          <w:tab/>
          <w:t>DRG Analysis – all cost buckets</w:t>
        </w:r>
        <w:r w:rsidR="00E30D9E">
          <w:rPr>
            <w:noProof/>
          </w:rPr>
          <w:tab/>
        </w:r>
        <w:r w:rsidR="00D502C6">
          <w:rPr>
            <w:noProof/>
          </w:rPr>
          <w:fldChar w:fldCharType="begin"/>
        </w:r>
        <w:r w:rsidR="00E30D9E">
          <w:rPr>
            <w:noProof/>
          </w:rPr>
          <w:instrText xml:space="preserve"> PAGEREF _Toc356829291 \h </w:instrText>
        </w:r>
        <w:r w:rsidR="00D502C6">
          <w:rPr>
            <w:noProof/>
          </w:rPr>
        </w:r>
        <w:r w:rsidR="00D502C6">
          <w:rPr>
            <w:noProof/>
          </w:rPr>
          <w:fldChar w:fldCharType="separate"/>
        </w:r>
        <w:r w:rsidR="005E7F88">
          <w:rPr>
            <w:noProof/>
          </w:rPr>
          <w:t>19</w:t>
        </w:r>
        <w:r w:rsidR="00D502C6">
          <w:rPr>
            <w:noProof/>
          </w:rPr>
          <w:fldChar w:fldCharType="end"/>
        </w:r>
      </w:hyperlink>
    </w:p>
    <w:p w:rsidR="00E30D9E" w:rsidRPr="00E30D9E" w:rsidRDefault="007D0D4E">
      <w:pPr>
        <w:pStyle w:val="TOC6"/>
        <w:rPr>
          <w:noProof/>
        </w:rPr>
      </w:pPr>
      <w:hyperlink w:anchor="_Toc356829292" w:history="1">
        <w:r w:rsidR="002D4126" w:rsidRPr="002D4126">
          <w:rPr>
            <w:noProof/>
          </w:rPr>
          <w:t>4.3</w:t>
        </w:r>
        <w:r w:rsidR="002D4126" w:rsidRPr="002D4126">
          <w:rPr>
            <w:noProof/>
          </w:rPr>
          <w:tab/>
          <w:t>DRG Analysis – other cost buckets</w:t>
        </w:r>
        <w:r w:rsidR="00E30D9E">
          <w:rPr>
            <w:noProof/>
          </w:rPr>
          <w:tab/>
        </w:r>
        <w:r w:rsidR="00D502C6">
          <w:rPr>
            <w:noProof/>
          </w:rPr>
          <w:fldChar w:fldCharType="begin"/>
        </w:r>
        <w:r w:rsidR="00E30D9E">
          <w:rPr>
            <w:noProof/>
          </w:rPr>
          <w:instrText xml:space="preserve"> PAGEREF _Toc356829292 \h </w:instrText>
        </w:r>
        <w:r w:rsidR="00D502C6">
          <w:rPr>
            <w:noProof/>
          </w:rPr>
        </w:r>
        <w:r w:rsidR="00D502C6">
          <w:rPr>
            <w:noProof/>
          </w:rPr>
          <w:fldChar w:fldCharType="separate"/>
        </w:r>
        <w:r w:rsidR="005E7F88">
          <w:rPr>
            <w:noProof/>
          </w:rPr>
          <w:t>28</w:t>
        </w:r>
        <w:r w:rsidR="00D502C6">
          <w:rPr>
            <w:noProof/>
          </w:rPr>
          <w:fldChar w:fldCharType="end"/>
        </w:r>
      </w:hyperlink>
    </w:p>
    <w:p w:rsidR="00E30D9E" w:rsidRPr="00E30D9E" w:rsidRDefault="007D0D4E">
      <w:pPr>
        <w:pStyle w:val="TOC4"/>
        <w:rPr>
          <w:noProof/>
        </w:rPr>
      </w:pPr>
      <w:hyperlink w:anchor="_Toc356829293" w:history="1">
        <w:r w:rsidR="002D4126" w:rsidRPr="002D4126">
          <w:rPr>
            <w:noProof/>
          </w:rPr>
          <w:t>Appendix A</w:t>
        </w:r>
        <w:r w:rsidR="002D4126" w:rsidRPr="002D4126">
          <w:rPr>
            <w:noProof/>
          </w:rPr>
          <w:tab/>
          <w:t>Glossary of NHCDC terms</w:t>
        </w:r>
        <w:r w:rsidR="00E30D9E">
          <w:rPr>
            <w:noProof/>
          </w:rPr>
          <w:tab/>
        </w:r>
        <w:r w:rsidR="00D502C6">
          <w:rPr>
            <w:noProof/>
          </w:rPr>
          <w:fldChar w:fldCharType="begin"/>
        </w:r>
        <w:r w:rsidR="00E30D9E">
          <w:rPr>
            <w:noProof/>
          </w:rPr>
          <w:instrText xml:space="preserve"> PAGEREF _Toc356829293 \h </w:instrText>
        </w:r>
        <w:r w:rsidR="00D502C6">
          <w:rPr>
            <w:noProof/>
          </w:rPr>
        </w:r>
        <w:r w:rsidR="00D502C6">
          <w:rPr>
            <w:noProof/>
          </w:rPr>
          <w:fldChar w:fldCharType="separate"/>
        </w:r>
        <w:r w:rsidR="005E7F88">
          <w:rPr>
            <w:noProof/>
          </w:rPr>
          <w:t>31</w:t>
        </w:r>
        <w:r w:rsidR="00D502C6">
          <w:rPr>
            <w:noProof/>
          </w:rPr>
          <w:fldChar w:fldCharType="end"/>
        </w:r>
      </w:hyperlink>
    </w:p>
    <w:p w:rsidR="00E30D9E" w:rsidRPr="00E30D9E" w:rsidRDefault="007D0D4E">
      <w:pPr>
        <w:pStyle w:val="TOC4"/>
        <w:rPr>
          <w:noProof/>
        </w:rPr>
      </w:pPr>
      <w:hyperlink w:anchor="_Toc356829294" w:history="1">
        <w:r w:rsidR="002D4126" w:rsidRPr="002D4126">
          <w:rPr>
            <w:noProof/>
          </w:rPr>
          <w:t>Appendix B</w:t>
        </w:r>
        <w:r w:rsidR="002D4126" w:rsidRPr="002D4126">
          <w:rPr>
            <w:noProof/>
          </w:rPr>
          <w:tab/>
          <w:t>Standard error range, Round 16 Private sector</w:t>
        </w:r>
        <w:r w:rsidR="00E30D9E">
          <w:rPr>
            <w:noProof/>
          </w:rPr>
          <w:tab/>
        </w:r>
        <w:r w:rsidR="00D502C6">
          <w:rPr>
            <w:noProof/>
          </w:rPr>
          <w:fldChar w:fldCharType="begin"/>
        </w:r>
        <w:r w:rsidR="00E30D9E">
          <w:rPr>
            <w:noProof/>
          </w:rPr>
          <w:instrText xml:space="preserve"> PAGEREF _Toc356829294 \h </w:instrText>
        </w:r>
        <w:r w:rsidR="00D502C6">
          <w:rPr>
            <w:noProof/>
          </w:rPr>
        </w:r>
        <w:r w:rsidR="00D502C6">
          <w:rPr>
            <w:noProof/>
          </w:rPr>
          <w:fldChar w:fldCharType="separate"/>
        </w:r>
        <w:r w:rsidR="005E7F88">
          <w:rPr>
            <w:noProof/>
          </w:rPr>
          <w:t>35</w:t>
        </w:r>
        <w:r w:rsidR="00D502C6">
          <w:rPr>
            <w:noProof/>
          </w:rPr>
          <w:fldChar w:fldCharType="end"/>
        </w:r>
      </w:hyperlink>
    </w:p>
    <w:p w:rsidR="00E30D9E" w:rsidRPr="00E30D9E" w:rsidRDefault="007D0D4E">
      <w:pPr>
        <w:pStyle w:val="TOC4"/>
        <w:rPr>
          <w:noProof/>
        </w:rPr>
      </w:pPr>
      <w:hyperlink w:anchor="_Toc356829295" w:history="1">
        <w:r w:rsidR="002D4126" w:rsidRPr="002D4126">
          <w:rPr>
            <w:noProof/>
          </w:rPr>
          <w:t>Appendix C</w:t>
        </w:r>
        <w:r w:rsidR="002D4126" w:rsidRPr="002D4126">
          <w:rPr>
            <w:noProof/>
          </w:rPr>
          <w:tab/>
          <w:t>Costs included in the cost buckets</w:t>
        </w:r>
        <w:r w:rsidR="00E30D9E">
          <w:rPr>
            <w:noProof/>
          </w:rPr>
          <w:tab/>
        </w:r>
        <w:r w:rsidR="00D502C6">
          <w:rPr>
            <w:noProof/>
          </w:rPr>
          <w:fldChar w:fldCharType="begin"/>
        </w:r>
        <w:r w:rsidR="00E30D9E">
          <w:rPr>
            <w:noProof/>
          </w:rPr>
          <w:instrText xml:space="preserve"> PAGEREF _Toc356829295 \h </w:instrText>
        </w:r>
        <w:r w:rsidR="00D502C6">
          <w:rPr>
            <w:noProof/>
          </w:rPr>
        </w:r>
        <w:r w:rsidR="00D502C6">
          <w:rPr>
            <w:noProof/>
          </w:rPr>
          <w:fldChar w:fldCharType="separate"/>
        </w:r>
        <w:r w:rsidR="005E7F88">
          <w:rPr>
            <w:noProof/>
          </w:rPr>
          <w:t>37</w:t>
        </w:r>
        <w:r w:rsidR="00D502C6">
          <w:rPr>
            <w:noProof/>
          </w:rPr>
          <w:fldChar w:fldCharType="end"/>
        </w:r>
      </w:hyperlink>
    </w:p>
    <w:p w:rsidR="00E30D9E" w:rsidRPr="00E30D9E" w:rsidRDefault="007D0D4E">
      <w:pPr>
        <w:pStyle w:val="TOC4"/>
        <w:rPr>
          <w:noProof/>
        </w:rPr>
      </w:pPr>
      <w:hyperlink w:anchor="_Toc356829296" w:history="1">
        <w:r w:rsidR="002D4126" w:rsidRPr="002D4126">
          <w:rPr>
            <w:noProof/>
          </w:rPr>
          <w:t>Appendix D</w:t>
        </w:r>
        <w:r w:rsidR="002D4126" w:rsidRPr="002D4126">
          <w:rPr>
            <w:noProof/>
          </w:rPr>
          <w:tab/>
          <w:t>Cost weight tables by DRG</w:t>
        </w:r>
        <w:r w:rsidR="00E30D9E">
          <w:rPr>
            <w:noProof/>
          </w:rPr>
          <w:tab/>
        </w:r>
        <w:r w:rsidR="00D502C6">
          <w:rPr>
            <w:noProof/>
          </w:rPr>
          <w:fldChar w:fldCharType="begin"/>
        </w:r>
        <w:r w:rsidR="00E30D9E">
          <w:rPr>
            <w:noProof/>
          </w:rPr>
          <w:instrText xml:space="preserve"> PAGEREF _Toc356829296 \h </w:instrText>
        </w:r>
        <w:r w:rsidR="00D502C6">
          <w:rPr>
            <w:noProof/>
          </w:rPr>
        </w:r>
        <w:r w:rsidR="00D502C6">
          <w:rPr>
            <w:noProof/>
          </w:rPr>
          <w:fldChar w:fldCharType="separate"/>
        </w:r>
        <w:r w:rsidR="005E7F88">
          <w:rPr>
            <w:noProof/>
          </w:rPr>
          <w:t>39</w:t>
        </w:r>
        <w:r w:rsidR="00D502C6">
          <w:rPr>
            <w:noProof/>
          </w:rPr>
          <w:fldChar w:fldCharType="end"/>
        </w:r>
      </w:hyperlink>
    </w:p>
    <w:p w:rsidR="002E62E4" w:rsidRDefault="00D502C6" w:rsidP="008338D2">
      <w:pPr>
        <w:pStyle w:val="BodyText"/>
        <w:sectPr w:rsidR="002E62E4" w:rsidSect="00BC75AE">
          <w:headerReference w:type="even" r:id="rId18"/>
          <w:headerReference w:type="default" r:id="rId19"/>
          <w:footerReference w:type="even" r:id="rId20"/>
          <w:footerReference w:type="default" r:id="rId21"/>
          <w:headerReference w:type="first" r:id="rId22"/>
          <w:footerReference w:type="first" r:id="rId23"/>
          <w:type w:val="oddPage"/>
          <w:pgSz w:w="11907" w:h="16840" w:code="9"/>
          <w:pgMar w:top="1588" w:right="1843" w:bottom="1418" w:left="1843" w:header="567" w:footer="567" w:gutter="0"/>
          <w:pgNumType w:start="1"/>
          <w:cols w:space="227"/>
          <w:titlePg/>
          <w:docGrid w:linePitch="360"/>
        </w:sectPr>
      </w:pPr>
      <w:r>
        <w:fldChar w:fldCharType="end"/>
      </w:r>
    </w:p>
    <w:p w:rsidR="008338D2" w:rsidRPr="008338D2" w:rsidRDefault="008338D2" w:rsidP="008338D2">
      <w:pPr>
        <w:pStyle w:val="BodyText"/>
      </w:pPr>
      <w:r w:rsidRPr="008338D2">
        <w:lastRenderedPageBreak/>
        <w:t>This Report has been prepared by PricewaterhouseCoopers Australia (PwC) at the request of IHPA in our capacity as advisors in accordance with the Terms of Reference and Terms and Conditions contained in the contract between IHPA and PwC.</w:t>
      </w:r>
    </w:p>
    <w:p w:rsidR="008338D2" w:rsidRPr="008338D2" w:rsidRDefault="008338D2" w:rsidP="008338D2">
      <w:pPr>
        <w:pStyle w:val="BodyText"/>
      </w:pPr>
      <w:r w:rsidRPr="008338D2">
        <w:t xml:space="preserve">This document is not intended to be used or relied upon by any persons other than IHPA, </w:t>
      </w:r>
      <w:proofErr w:type="gramStart"/>
      <w:r w:rsidRPr="008338D2">
        <w:t>nor</w:t>
      </w:r>
      <w:proofErr w:type="gramEnd"/>
      <w:r w:rsidRPr="008338D2">
        <w:t xml:space="preserve"> to be used for any purpose other than that articulated in the Terms of Reference. Accordingly, PwC accept no responsibility in any way whatsoever for the use of this report by any other persons or for any other purpose.</w:t>
      </w:r>
    </w:p>
    <w:p w:rsidR="008338D2" w:rsidRPr="008338D2" w:rsidRDefault="008338D2" w:rsidP="008338D2">
      <w:pPr>
        <w:pStyle w:val="BodyText"/>
      </w:pPr>
      <w:r w:rsidRPr="008338D2">
        <w:t xml:space="preserve">Accordingly, whilst the statements made in this report are given in good faith, PwC accept no responsibility for any errors in the information provided </w:t>
      </w:r>
      <w:proofErr w:type="gramStart"/>
      <w:r w:rsidRPr="008338D2">
        <w:t>to us</w:t>
      </w:r>
      <w:proofErr w:type="gramEnd"/>
      <w:r w:rsidRPr="008338D2">
        <w:t xml:space="preserve"> nor the effect of any such errors on our analysis, suggestions or report.</w:t>
      </w:r>
    </w:p>
    <w:p w:rsidR="00A4320E" w:rsidRDefault="00A4320E" w:rsidP="00446789">
      <w:pPr>
        <w:pStyle w:val="Heading1-Accessibility"/>
      </w:pPr>
      <w:bookmarkStart w:id="5" w:name="_Toc356304656"/>
      <w:bookmarkStart w:id="6" w:name="_Toc356829269"/>
      <w:bookmarkEnd w:id="5"/>
      <w:r w:rsidRPr="00B06836">
        <w:lastRenderedPageBreak/>
        <w:t>Executive</w:t>
      </w:r>
      <w:r>
        <w:t xml:space="preserve"> </w:t>
      </w:r>
      <w:r w:rsidRPr="00B06836">
        <w:t>Summary</w:t>
      </w:r>
      <w:bookmarkEnd w:id="6"/>
    </w:p>
    <w:p w:rsidR="0088452E" w:rsidRPr="007D0D4E" w:rsidRDefault="0088452E" w:rsidP="00446789">
      <w:pPr>
        <w:pStyle w:val="Heading2"/>
      </w:pPr>
      <w:bookmarkStart w:id="7" w:name="_Toc356829270"/>
      <w:r w:rsidRPr="007D0D4E">
        <w:t>Purpose of this report</w:t>
      </w:r>
      <w:bookmarkEnd w:id="7"/>
    </w:p>
    <w:p w:rsidR="00A1178A" w:rsidRDefault="0088452E" w:rsidP="00F34CFF">
      <w:pPr>
        <w:pStyle w:val="PwCNormal"/>
      </w:pPr>
      <w:r>
        <w:t xml:space="preserve">The private sector National Hospital Cost Data Collection (NHCDC) is a voluntary collection that produces a range of hospital cost and activity information </w:t>
      </w:r>
      <w:r w:rsidRPr="00F23230">
        <w:t>by Australian Refined Diagnosis Related Groups</w:t>
      </w:r>
      <w:r>
        <w:t>. (AR</w:t>
      </w:r>
      <w:r w:rsidR="008677B9">
        <w:t>-</w:t>
      </w:r>
      <w:r>
        <w:t>DRG</w:t>
      </w:r>
      <w:r w:rsidR="008677B9">
        <w:t xml:space="preserve"> or DRG</w:t>
      </w:r>
      <w:r>
        <w:t xml:space="preserve">) PricewaterhouseCoopers (PwC) have been engaged by the Independent Hospital Pricing Authority (IHPA) to </w:t>
      </w:r>
      <w:r w:rsidRPr="00452AF1">
        <w:t>provide</w:t>
      </w:r>
      <w:r>
        <w:t xml:space="preserve"> collection, processing and reporting services in relation to Round 16 (12 months ending 30 June 2012) of the NHCDC for acute admitted care provided by overnight private hospitals.</w:t>
      </w:r>
    </w:p>
    <w:p w:rsidR="00F34CFF" w:rsidRDefault="0088452E" w:rsidP="00F34CFF">
      <w:pPr>
        <w:pStyle w:val="PwCNormal"/>
      </w:pPr>
      <w:r>
        <w:t>This report documents the data, processes, methodology and results for acute admitted care</w:t>
      </w:r>
      <w:r>
        <w:rPr>
          <w:rStyle w:val="FootnoteReference"/>
        </w:rPr>
        <w:footnoteReference w:id="2"/>
      </w:r>
      <w:r>
        <w:t xml:space="preserve"> provided by overnight private hospitals. The scope of the collection is in relation to those hospitals with at least 200 acute admitted separations in the 2011-12 financial </w:t>
      </w:r>
      <w:proofErr w:type="gramStart"/>
      <w:r>
        <w:t>year</w:t>
      </w:r>
      <w:proofErr w:type="gramEnd"/>
      <w:r>
        <w:t>. No collection has been performed for Private Stand-Alone Day Hospital facilities for Round 16.</w:t>
      </w:r>
    </w:p>
    <w:p w:rsidR="0088452E" w:rsidRPr="00D675EE" w:rsidRDefault="0088452E" w:rsidP="00446789">
      <w:pPr>
        <w:pStyle w:val="Heading2"/>
      </w:pPr>
      <w:bookmarkStart w:id="8" w:name="_Toc356829271"/>
      <w:r w:rsidRPr="00D675EE">
        <w:t>Background to the Private Sector NHCDC</w:t>
      </w:r>
      <w:bookmarkEnd w:id="8"/>
    </w:p>
    <w:p w:rsidR="00F34CFF" w:rsidRDefault="0088452E" w:rsidP="00F34CFF">
      <w:pPr>
        <w:pStyle w:val="PwCNormal"/>
      </w:pPr>
      <w:r>
        <w:t xml:space="preserve">The first Australian national private sector cost study was conducted as part </w:t>
      </w:r>
      <w:proofErr w:type="gramStart"/>
      <w:r>
        <w:t>of the 1991-92 National Cost Study</w:t>
      </w:r>
      <w:proofErr w:type="gramEnd"/>
      <w:r>
        <w:t>. 29 private sector facilities were involved in this initial study which evolved to become the National Hospital Cost Data Collection (NHCDC). Its objective is to provide Australian governments and the health care industry with a nationally consistent method of costing all types of hospital activity and publishing meaningful results which are used for benchmarking, funding and planning hospital based services.</w:t>
      </w:r>
    </w:p>
    <w:p w:rsidR="00F34CFF" w:rsidRDefault="0097454E" w:rsidP="00F34CFF">
      <w:pPr>
        <w:pStyle w:val="PwCNormal"/>
      </w:pPr>
      <w:r>
        <w:t>Round 1 commenced in 1996-97 with voluntary participation for both the private and public sector. The private sector collection has grown steadily in representation from the initial 23 hospitals and 240,000 episodes in Round 1</w:t>
      </w:r>
      <w:r w:rsidR="00690BFA">
        <w:t>. Since the first round, there have been a number of years where n</w:t>
      </w:r>
      <w:r w:rsidR="008677B9">
        <w:t xml:space="preserve">o publication was released due to </w:t>
      </w:r>
      <w:r w:rsidR="00690BFA">
        <w:t xml:space="preserve">the Commonwealth deciding that the </w:t>
      </w:r>
      <w:r w:rsidR="008677B9">
        <w:t>low participation rates</w:t>
      </w:r>
      <w:r w:rsidR="00690BFA">
        <w:t xml:space="preserve"> in these rounds created an unacceptable risk of invalid or unreliable results</w:t>
      </w:r>
      <w:r w:rsidR="00EC4185">
        <w:t xml:space="preserve"> or bypassed as agreed with the sector</w:t>
      </w:r>
      <w:r w:rsidR="00690BFA">
        <w:t>. The last publication was for Round 13 (2008-09), with a 3 year gap until the current publication for Round 16 (2011-12).</w:t>
      </w:r>
    </w:p>
    <w:p w:rsidR="00F34CFF" w:rsidRDefault="0088452E" w:rsidP="00F34CFF">
      <w:pPr>
        <w:pStyle w:val="PwCNormal"/>
      </w:pPr>
      <w:r>
        <w:t xml:space="preserve">While there are a variety of additional data sets on private hospital sector activity, such as Hospital Casemix Protocol (HCP), </w:t>
      </w:r>
      <w:r w:rsidRPr="00446C79">
        <w:t>Priv</w:t>
      </w:r>
      <w:r>
        <w:t xml:space="preserve">ate Hospital Data Bureau (PHDB), </w:t>
      </w:r>
      <w:r w:rsidRPr="00446C79">
        <w:t>National Admitted Patient Collection (APC)</w:t>
      </w:r>
      <w:r>
        <w:t xml:space="preserve">, and </w:t>
      </w:r>
      <w:r w:rsidRPr="00446C79">
        <w:t>Private Health E</w:t>
      </w:r>
      <w:r>
        <w:t>stablishments Collection (PHE) – the Private Sector NHCDC is unique insofar as it reports on the costs of service by classified activity.</w:t>
      </w:r>
    </w:p>
    <w:p w:rsidR="008338D2" w:rsidRPr="00D675EE" w:rsidRDefault="008338D2" w:rsidP="00446789">
      <w:pPr>
        <w:pStyle w:val="Heading2"/>
      </w:pPr>
      <w:bookmarkStart w:id="9" w:name="_Toc356829272"/>
      <w:r w:rsidRPr="00D675EE">
        <w:t>Current year report</w:t>
      </w:r>
      <w:bookmarkEnd w:id="9"/>
    </w:p>
    <w:p w:rsidR="008338D2" w:rsidRPr="008338D2" w:rsidRDefault="008338D2" w:rsidP="00F34CFF">
      <w:pPr>
        <w:pStyle w:val="PwCNormal"/>
      </w:pPr>
      <w:r>
        <w:t xml:space="preserve">The format of the Round 16 publication has been changed from prior years, with there being a substantial reduction in the level of detail provided. The Round 16 publication will only including </w:t>
      </w:r>
      <w:r w:rsidRPr="003B2782">
        <w:t>DRG information</w:t>
      </w:r>
      <w:r>
        <w:t xml:space="preserve">, </w:t>
      </w:r>
      <w:r w:rsidRPr="003B2782">
        <w:t>cost weights</w:t>
      </w:r>
      <w:r>
        <w:t xml:space="preserve"> and other cost relativities and will not contain direct or overhead cost breakdowns, the 17 cost components or the total average cost of the DRG.</w:t>
      </w:r>
    </w:p>
    <w:p w:rsidR="0088452E" w:rsidRPr="00D675EE" w:rsidRDefault="0088452E" w:rsidP="00446789">
      <w:pPr>
        <w:pStyle w:val="Heading2"/>
      </w:pPr>
      <w:bookmarkStart w:id="10" w:name="_Toc356829273"/>
      <w:r w:rsidRPr="00D675EE">
        <w:t>Key findings and features of the Round 16 Sample</w:t>
      </w:r>
      <w:bookmarkEnd w:id="10"/>
    </w:p>
    <w:p w:rsidR="0088452E" w:rsidRPr="001A55E5" w:rsidRDefault="0088452E" w:rsidP="00446789">
      <w:pPr>
        <w:pStyle w:val="PwCNormal"/>
        <w:numPr>
          <w:ilvl w:val="0"/>
          <w:numId w:val="45"/>
        </w:numPr>
      </w:pPr>
      <w:r w:rsidRPr="001A55E5">
        <w:t>The sample comprised 10</w:t>
      </w:r>
      <w:r>
        <w:t>5</w:t>
      </w:r>
      <w:r w:rsidRPr="001A55E5">
        <w:t xml:space="preserve"> hospitals representing 6</w:t>
      </w:r>
      <w:r>
        <w:t>6</w:t>
      </w:r>
      <w:r w:rsidRPr="001A55E5">
        <w:t>% of the population separations.</w:t>
      </w:r>
    </w:p>
    <w:p w:rsidR="0088452E" w:rsidRPr="001A55E5" w:rsidRDefault="0088452E" w:rsidP="00446789">
      <w:pPr>
        <w:pStyle w:val="PwCNormal"/>
        <w:numPr>
          <w:ilvl w:val="0"/>
          <w:numId w:val="45"/>
        </w:numPr>
      </w:pPr>
      <w:r w:rsidRPr="001A55E5">
        <w:lastRenderedPageBreak/>
        <w:t>The total sample separations were 1,7</w:t>
      </w:r>
      <w:r>
        <w:t>7</w:t>
      </w:r>
      <w:r w:rsidR="00C830CD">
        <w:t>5,059</w:t>
      </w:r>
      <w:r w:rsidRPr="001A55E5">
        <w:t xml:space="preserve">, an increase of </w:t>
      </w:r>
      <w:r>
        <w:t>8</w:t>
      </w:r>
      <w:r w:rsidRPr="001A55E5">
        <w:t xml:space="preserve">% </w:t>
      </w:r>
      <w:r>
        <w:t xml:space="preserve">in the three years </w:t>
      </w:r>
      <w:r w:rsidRPr="001A55E5">
        <w:t>from Round 13</w:t>
      </w:r>
      <w:r>
        <w:t>. This is equivalent to a growth rate of 2.5% p.a.</w:t>
      </w:r>
    </w:p>
    <w:p w:rsidR="00F34CFF" w:rsidRDefault="0088452E" w:rsidP="00446789">
      <w:pPr>
        <w:pStyle w:val="PwCNormal"/>
        <w:numPr>
          <w:ilvl w:val="0"/>
          <w:numId w:val="45"/>
        </w:numPr>
      </w:pPr>
      <w:r w:rsidRPr="001A55E5">
        <w:t>The average length of stay decreased from 2.57 days in Round 13 to 2.5</w:t>
      </w:r>
      <w:r w:rsidR="00FB37BB">
        <w:t>2</w:t>
      </w:r>
      <w:r w:rsidRPr="001A55E5">
        <w:t xml:space="preserve"> days in Round 16, a decrease of 2.</w:t>
      </w:r>
      <w:r>
        <w:t>0</w:t>
      </w:r>
      <w:r w:rsidRPr="001A55E5">
        <w:t>% over the 3 year period. This decrease continues a long-term observed trend for private hospitals.</w:t>
      </w:r>
    </w:p>
    <w:p w:rsidR="0088452E" w:rsidRPr="005541D7" w:rsidRDefault="0088452E" w:rsidP="00446789">
      <w:pPr>
        <w:pStyle w:val="PwCNormal"/>
        <w:numPr>
          <w:ilvl w:val="0"/>
          <w:numId w:val="45"/>
        </w:numPr>
      </w:pPr>
      <w:r w:rsidRPr="003C3952">
        <w:t>The twenty DRGs</w:t>
      </w:r>
      <w:r>
        <w:t xml:space="preserve"> with the highest cost per episode include a number </w:t>
      </w:r>
      <w:r w:rsidRPr="003C3952">
        <w:t>of DRGs relating to cardiac procedures.</w:t>
      </w:r>
      <w:r>
        <w:t xml:space="preserve"> This </w:t>
      </w:r>
      <w:r w:rsidR="008677B9">
        <w:t>is consistent with</w:t>
      </w:r>
      <w:r>
        <w:t xml:space="preserve"> the</w:t>
      </w:r>
      <w:r w:rsidR="008677B9">
        <w:t xml:space="preserve"> results of the</w:t>
      </w:r>
      <w:r>
        <w:t xml:space="preserve"> Round 13 </w:t>
      </w:r>
      <w:r w:rsidR="008677B9">
        <w:t>collection</w:t>
      </w:r>
      <w:r>
        <w:t>.</w:t>
      </w:r>
    </w:p>
    <w:p w:rsidR="0088452E" w:rsidRDefault="0088452E" w:rsidP="00446789">
      <w:pPr>
        <w:pStyle w:val="PwCNormal"/>
        <w:numPr>
          <w:ilvl w:val="0"/>
          <w:numId w:val="45"/>
        </w:numPr>
      </w:pPr>
      <w:r w:rsidRPr="003C3952">
        <w:t>Rankings for the twenty highest volume DRGs have remained fairly consistent since Round 1</w:t>
      </w:r>
      <w:r>
        <w:t>3</w:t>
      </w:r>
      <w:r w:rsidR="00E10862">
        <w:t>.</w:t>
      </w:r>
    </w:p>
    <w:p w:rsidR="0088452E" w:rsidRDefault="0088452E" w:rsidP="00446789">
      <w:pPr>
        <w:pStyle w:val="PwCNormal"/>
        <w:numPr>
          <w:ilvl w:val="0"/>
          <w:numId w:val="45"/>
        </w:numPr>
      </w:pPr>
      <w:r>
        <w:t>A measure of total relative resource consumption by hospitals is the number of “cost weighted” separations, calculated as the number of separations, multiplied by the DRG cost weight. The ranking of the top 20 DRGs that are estimated to consume the most resources by private hospitals (defined as the top 20 cost-weighted separation DRGs) have remained fairly consistent since Round 13.</w:t>
      </w:r>
    </w:p>
    <w:p w:rsidR="00F34CFF" w:rsidRDefault="008338D2" w:rsidP="00F34CFF">
      <w:pPr>
        <w:pStyle w:val="PwCNormal"/>
      </w:pPr>
      <w:r>
        <w:t>The table below illustrates the top five AR-DRGs in regards to average cost, volume and level of consumption.</w:t>
      </w:r>
    </w:p>
    <w:p w:rsidR="008A2D74" w:rsidRDefault="009E68FE">
      <w:pPr>
        <w:pStyle w:val="Caption"/>
      </w:pPr>
      <w:r w:rsidRPr="001A55E5">
        <w:t xml:space="preserve">Table </w:t>
      </w:r>
      <w:r w:rsidR="00D502C6" w:rsidRPr="001A55E5">
        <w:fldChar w:fldCharType="begin"/>
      </w:r>
      <w:r w:rsidRPr="001A55E5">
        <w:instrText xml:space="preserve"> SEQ Table \* ARABIC </w:instrText>
      </w:r>
      <w:r w:rsidR="00D502C6" w:rsidRPr="001A55E5">
        <w:fldChar w:fldCharType="separate"/>
      </w:r>
      <w:r w:rsidR="00953F50">
        <w:rPr>
          <w:noProof/>
        </w:rPr>
        <w:t>1</w:t>
      </w:r>
      <w:r w:rsidR="00D502C6" w:rsidRPr="001A55E5">
        <w:fldChar w:fldCharType="end"/>
      </w:r>
      <w:r>
        <w:t xml:space="preserve"> AR-DRG Rankings </w:t>
      </w:r>
    </w:p>
    <w:tbl>
      <w:tblPr>
        <w:tblW w:w="9498" w:type="dxa"/>
        <w:tblInd w:w="108" w:type="dxa"/>
        <w:tblLayout w:type="fixed"/>
        <w:tblLook w:val="04A0" w:firstRow="1" w:lastRow="0" w:firstColumn="1" w:lastColumn="0" w:noHBand="0" w:noVBand="1"/>
      </w:tblPr>
      <w:tblGrid>
        <w:gridCol w:w="705"/>
        <w:gridCol w:w="672"/>
        <w:gridCol w:w="3868"/>
        <w:gridCol w:w="1276"/>
        <w:gridCol w:w="850"/>
        <w:gridCol w:w="1276"/>
        <w:gridCol w:w="851"/>
      </w:tblGrid>
      <w:tr w:rsidR="00924DF8" w:rsidRPr="00953F50" w:rsidTr="007B7EAC">
        <w:trPr>
          <w:trHeight w:val="514"/>
        </w:trPr>
        <w:tc>
          <w:tcPr>
            <w:tcW w:w="705" w:type="dxa"/>
            <w:tcBorders>
              <w:top w:val="single" w:sz="4" w:space="0" w:color="auto"/>
              <w:left w:val="nil"/>
              <w:bottom w:val="single" w:sz="8" w:space="0" w:color="auto"/>
              <w:right w:val="nil"/>
            </w:tcBorders>
            <w:shd w:val="clear" w:color="auto" w:fill="auto"/>
            <w:noWrap/>
            <w:vAlign w:val="bottom"/>
            <w:hideMark/>
          </w:tcPr>
          <w:p w:rsidR="00924DF8" w:rsidRPr="00953F50" w:rsidRDefault="00924DF8" w:rsidP="00924DF8">
            <w:pPr>
              <w:kinsoku/>
              <w:overflowPunct/>
              <w:autoSpaceDE/>
              <w:autoSpaceDN/>
              <w:adjustRightInd/>
              <w:snapToGrid/>
              <w:rPr>
                <w:b/>
                <w:bCs/>
                <w:snapToGrid/>
                <w:color w:val="A32020"/>
                <w:sz w:val="18"/>
                <w:szCs w:val="18"/>
                <w:lang w:eastAsia="en-AU"/>
              </w:rPr>
            </w:pPr>
            <w:r w:rsidRPr="00953F50">
              <w:rPr>
                <w:b/>
                <w:bCs/>
                <w:snapToGrid/>
                <w:color w:val="A32020"/>
                <w:sz w:val="18"/>
                <w:szCs w:val="18"/>
                <w:lang w:eastAsia="en-AU"/>
              </w:rPr>
              <w:t>Rank</w:t>
            </w:r>
          </w:p>
        </w:tc>
        <w:tc>
          <w:tcPr>
            <w:tcW w:w="672" w:type="dxa"/>
            <w:tcBorders>
              <w:top w:val="single" w:sz="4" w:space="0" w:color="auto"/>
              <w:left w:val="nil"/>
              <w:bottom w:val="single" w:sz="8" w:space="0" w:color="auto"/>
              <w:right w:val="nil"/>
            </w:tcBorders>
            <w:shd w:val="clear" w:color="auto" w:fill="auto"/>
            <w:noWrap/>
            <w:vAlign w:val="bottom"/>
            <w:hideMark/>
          </w:tcPr>
          <w:p w:rsidR="00924DF8" w:rsidRPr="00953F50" w:rsidRDefault="00924DF8" w:rsidP="00924DF8">
            <w:pPr>
              <w:kinsoku/>
              <w:overflowPunct/>
              <w:autoSpaceDE/>
              <w:autoSpaceDN/>
              <w:adjustRightInd/>
              <w:snapToGrid/>
              <w:rPr>
                <w:b/>
                <w:bCs/>
                <w:snapToGrid/>
                <w:color w:val="A32020"/>
                <w:sz w:val="18"/>
                <w:szCs w:val="18"/>
                <w:lang w:eastAsia="en-AU"/>
              </w:rPr>
            </w:pPr>
            <w:r w:rsidRPr="00953F50">
              <w:rPr>
                <w:b/>
                <w:bCs/>
                <w:snapToGrid/>
                <w:color w:val="A32020"/>
                <w:sz w:val="18"/>
                <w:szCs w:val="18"/>
                <w:lang w:eastAsia="en-AU"/>
              </w:rPr>
              <w:t>DRG</w:t>
            </w:r>
          </w:p>
        </w:tc>
        <w:tc>
          <w:tcPr>
            <w:tcW w:w="3868" w:type="dxa"/>
            <w:tcBorders>
              <w:top w:val="single" w:sz="4" w:space="0" w:color="auto"/>
              <w:left w:val="nil"/>
              <w:bottom w:val="single" w:sz="8" w:space="0" w:color="auto"/>
              <w:right w:val="nil"/>
            </w:tcBorders>
            <w:shd w:val="clear" w:color="auto" w:fill="auto"/>
            <w:noWrap/>
            <w:vAlign w:val="bottom"/>
            <w:hideMark/>
          </w:tcPr>
          <w:p w:rsidR="00924DF8" w:rsidRPr="00953F50" w:rsidRDefault="00924DF8" w:rsidP="00924DF8">
            <w:pPr>
              <w:kinsoku/>
              <w:overflowPunct/>
              <w:autoSpaceDE/>
              <w:autoSpaceDN/>
              <w:adjustRightInd/>
              <w:snapToGrid/>
              <w:rPr>
                <w:b/>
                <w:bCs/>
                <w:snapToGrid/>
                <w:color w:val="A32020"/>
                <w:sz w:val="18"/>
                <w:szCs w:val="18"/>
                <w:lang w:eastAsia="en-AU"/>
              </w:rPr>
            </w:pPr>
            <w:r w:rsidRPr="00953F50">
              <w:rPr>
                <w:b/>
                <w:bCs/>
                <w:snapToGrid/>
                <w:color w:val="A32020"/>
                <w:sz w:val="18"/>
                <w:szCs w:val="18"/>
                <w:lang w:eastAsia="en-AU"/>
              </w:rPr>
              <w:t>Description</w:t>
            </w:r>
          </w:p>
        </w:tc>
        <w:tc>
          <w:tcPr>
            <w:tcW w:w="1276" w:type="dxa"/>
            <w:tcBorders>
              <w:top w:val="single" w:sz="4" w:space="0" w:color="auto"/>
              <w:left w:val="nil"/>
              <w:bottom w:val="single" w:sz="8" w:space="0" w:color="auto"/>
              <w:right w:val="nil"/>
            </w:tcBorders>
            <w:shd w:val="clear" w:color="auto" w:fill="auto"/>
            <w:vAlign w:val="bottom"/>
            <w:hideMark/>
          </w:tcPr>
          <w:p w:rsidR="00924DF8" w:rsidRPr="00953F50" w:rsidRDefault="00924DF8" w:rsidP="00924DF8">
            <w:pPr>
              <w:kinsoku/>
              <w:overflowPunct/>
              <w:autoSpaceDE/>
              <w:autoSpaceDN/>
              <w:adjustRightInd/>
              <w:snapToGrid/>
              <w:jc w:val="center"/>
              <w:rPr>
                <w:b/>
                <w:bCs/>
                <w:snapToGrid/>
                <w:color w:val="A32020"/>
                <w:sz w:val="18"/>
                <w:szCs w:val="18"/>
                <w:lang w:eastAsia="en-AU"/>
              </w:rPr>
            </w:pPr>
            <w:r w:rsidRPr="00953F50">
              <w:rPr>
                <w:b/>
                <w:bCs/>
                <w:snapToGrid/>
                <w:color w:val="A32020"/>
                <w:sz w:val="18"/>
                <w:szCs w:val="18"/>
                <w:lang w:eastAsia="en-AU"/>
              </w:rPr>
              <w:t>Cost</w:t>
            </w:r>
            <w:r w:rsidRPr="00953F50">
              <w:rPr>
                <w:b/>
                <w:bCs/>
                <w:snapToGrid/>
                <w:color w:val="A32020"/>
                <w:sz w:val="18"/>
                <w:szCs w:val="18"/>
                <w:lang w:eastAsia="en-AU"/>
              </w:rPr>
              <w:br/>
              <w:t xml:space="preserve">Weight </w:t>
            </w:r>
            <w:r w:rsidR="00BC75AE" w:rsidRPr="00953F50">
              <w:rPr>
                <w:b/>
                <w:bCs/>
                <w:snapToGrid/>
                <w:color w:val="A32020"/>
                <w:sz w:val="18"/>
                <w:szCs w:val="18"/>
                <w:lang w:eastAsia="en-AU"/>
              </w:rPr>
              <w:t>(</w:t>
            </w:r>
            <w:r w:rsidRPr="00953F50">
              <w:rPr>
                <w:b/>
                <w:bCs/>
                <w:snapToGrid/>
                <w:color w:val="A32020"/>
                <w:sz w:val="18"/>
                <w:szCs w:val="18"/>
                <w:lang w:eastAsia="en-AU"/>
              </w:rPr>
              <w:t>a</w:t>
            </w:r>
            <w:r w:rsidR="00BC75AE" w:rsidRPr="00953F50">
              <w:rPr>
                <w:b/>
                <w:bCs/>
                <w:snapToGrid/>
                <w:color w:val="A32020"/>
                <w:sz w:val="18"/>
                <w:szCs w:val="18"/>
                <w:lang w:eastAsia="en-AU"/>
              </w:rPr>
              <w:t>)</w:t>
            </w:r>
          </w:p>
        </w:tc>
        <w:tc>
          <w:tcPr>
            <w:tcW w:w="850" w:type="dxa"/>
            <w:tcBorders>
              <w:top w:val="single" w:sz="4" w:space="0" w:color="auto"/>
              <w:left w:val="nil"/>
              <w:bottom w:val="single" w:sz="8" w:space="0" w:color="auto"/>
              <w:right w:val="nil"/>
            </w:tcBorders>
            <w:shd w:val="clear" w:color="auto" w:fill="auto"/>
            <w:vAlign w:val="bottom"/>
            <w:hideMark/>
          </w:tcPr>
          <w:p w:rsidR="00924DF8" w:rsidRPr="00953F50" w:rsidRDefault="00924DF8" w:rsidP="00924DF8">
            <w:pPr>
              <w:kinsoku/>
              <w:overflowPunct/>
              <w:autoSpaceDE/>
              <w:autoSpaceDN/>
              <w:adjustRightInd/>
              <w:snapToGrid/>
              <w:jc w:val="center"/>
              <w:rPr>
                <w:b/>
                <w:bCs/>
                <w:snapToGrid/>
                <w:color w:val="A32020"/>
                <w:sz w:val="18"/>
                <w:szCs w:val="18"/>
                <w:lang w:eastAsia="en-AU"/>
              </w:rPr>
            </w:pPr>
            <w:r w:rsidRPr="00953F50">
              <w:rPr>
                <w:b/>
                <w:bCs/>
                <w:snapToGrid/>
                <w:color w:val="A32020"/>
                <w:sz w:val="18"/>
                <w:szCs w:val="18"/>
                <w:lang w:eastAsia="en-AU"/>
              </w:rPr>
              <w:t xml:space="preserve">Number of </w:t>
            </w:r>
            <w:proofErr w:type="spellStart"/>
            <w:r w:rsidRPr="00953F50">
              <w:rPr>
                <w:b/>
                <w:bCs/>
                <w:snapToGrid/>
                <w:color w:val="A32020"/>
                <w:sz w:val="18"/>
                <w:szCs w:val="18"/>
                <w:lang w:eastAsia="en-AU"/>
              </w:rPr>
              <w:t>Seps</w:t>
            </w:r>
            <w:proofErr w:type="spellEnd"/>
            <w:r w:rsidRPr="00953F50">
              <w:rPr>
                <w:b/>
                <w:bCs/>
                <w:snapToGrid/>
                <w:color w:val="A32020"/>
                <w:sz w:val="18"/>
                <w:szCs w:val="18"/>
                <w:lang w:eastAsia="en-AU"/>
              </w:rPr>
              <w:t xml:space="preserve"> </w:t>
            </w:r>
            <w:r w:rsidR="00BC75AE" w:rsidRPr="00953F50">
              <w:rPr>
                <w:b/>
                <w:bCs/>
                <w:snapToGrid/>
                <w:color w:val="A32020"/>
                <w:sz w:val="18"/>
                <w:szCs w:val="18"/>
                <w:lang w:eastAsia="en-AU"/>
              </w:rPr>
              <w:t>(</w:t>
            </w:r>
            <w:r w:rsidRPr="00953F50">
              <w:rPr>
                <w:b/>
                <w:bCs/>
                <w:snapToGrid/>
                <w:color w:val="A32020"/>
                <w:sz w:val="18"/>
                <w:szCs w:val="18"/>
                <w:lang w:eastAsia="en-AU"/>
              </w:rPr>
              <w:t>b</w:t>
            </w:r>
            <w:r w:rsidR="00BC75AE" w:rsidRPr="00953F50">
              <w:rPr>
                <w:b/>
                <w:bCs/>
                <w:snapToGrid/>
                <w:color w:val="A32020"/>
                <w:sz w:val="18"/>
                <w:szCs w:val="18"/>
                <w:lang w:eastAsia="en-AU"/>
              </w:rPr>
              <w:t>)</w:t>
            </w:r>
          </w:p>
        </w:tc>
        <w:tc>
          <w:tcPr>
            <w:tcW w:w="1276" w:type="dxa"/>
            <w:tcBorders>
              <w:top w:val="single" w:sz="4" w:space="0" w:color="auto"/>
              <w:left w:val="nil"/>
              <w:bottom w:val="single" w:sz="8" w:space="0" w:color="auto"/>
              <w:right w:val="nil"/>
            </w:tcBorders>
            <w:shd w:val="clear" w:color="auto" w:fill="auto"/>
            <w:vAlign w:val="bottom"/>
            <w:hideMark/>
          </w:tcPr>
          <w:p w:rsidR="00924DF8" w:rsidRPr="00953F50" w:rsidRDefault="00924DF8" w:rsidP="00924DF8">
            <w:pPr>
              <w:kinsoku/>
              <w:overflowPunct/>
              <w:autoSpaceDE/>
              <w:autoSpaceDN/>
              <w:adjustRightInd/>
              <w:snapToGrid/>
              <w:jc w:val="center"/>
              <w:rPr>
                <w:b/>
                <w:bCs/>
                <w:snapToGrid/>
                <w:color w:val="A32020"/>
                <w:sz w:val="18"/>
                <w:szCs w:val="18"/>
                <w:lang w:eastAsia="en-AU"/>
              </w:rPr>
            </w:pPr>
            <w:r w:rsidRPr="00953F50">
              <w:rPr>
                <w:b/>
                <w:bCs/>
                <w:snapToGrid/>
                <w:color w:val="A32020"/>
                <w:sz w:val="18"/>
                <w:szCs w:val="18"/>
                <w:lang w:eastAsia="en-AU"/>
              </w:rPr>
              <w:t xml:space="preserve">Cost Weighted </w:t>
            </w:r>
            <w:proofErr w:type="spellStart"/>
            <w:r w:rsidRPr="00953F50">
              <w:rPr>
                <w:b/>
                <w:bCs/>
                <w:snapToGrid/>
                <w:color w:val="A32020"/>
                <w:sz w:val="18"/>
                <w:szCs w:val="18"/>
                <w:lang w:eastAsia="en-AU"/>
              </w:rPr>
              <w:t>Seps</w:t>
            </w:r>
            <w:proofErr w:type="spellEnd"/>
            <w:r w:rsidRPr="00953F50">
              <w:rPr>
                <w:b/>
                <w:bCs/>
                <w:snapToGrid/>
                <w:color w:val="A32020"/>
                <w:sz w:val="18"/>
                <w:szCs w:val="18"/>
                <w:lang w:eastAsia="en-AU"/>
              </w:rPr>
              <w:t xml:space="preserve"> </w:t>
            </w:r>
            <w:r w:rsidR="00BC75AE" w:rsidRPr="00953F50">
              <w:rPr>
                <w:b/>
                <w:bCs/>
                <w:snapToGrid/>
                <w:color w:val="A32020"/>
                <w:sz w:val="18"/>
                <w:szCs w:val="18"/>
                <w:lang w:eastAsia="en-AU"/>
              </w:rPr>
              <w:t>(</w:t>
            </w:r>
            <w:r w:rsidRPr="00953F50">
              <w:rPr>
                <w:b/>
                <w:bCs/>
                <w:snapToGrid/>
                <w:color w:val="A32020"/>
                <w:sz w:val="18"/>
                <w:szCs w:val="18"/>
                <w:lang w:eastAsia="en-AU"/>
              </w:rPr>
              <w:t>c</w:t>
            </w:r>
            <w:r w:rsidR="00BC75AE" w:rsidRPr="00953F50">
              <w:rPr>
                <w:b/>
                <w:bCs/>
                <w:snapToGrid/>
                <w:color w:val="A32020"/>
                <w:sz w:val="18"/>
                <w:szCs w:val="18"/>
                <w:lang w:eastAsia="en-AU"/>
              </w:rPr>
              <w:t>)</w:t>
            </w:r>
          </w:p>
        </w:tc>
        <w:tc>
          <w:tcPr>
            <w:tcW w:w="851" w:type="dxa"/>
            <w:tcBorders>
              <w:top w:val="single" w:sz="4" w:space="0" w:color="auto"/>
              <w:left w:val="nil"/>
              <w:bottom w:val="single" w:sz="8" w:space="0" w:color="auto"/>
              <w:right w:val="nil"/>
            </w:tcBorders>
            <w:shd w:val="clear" w:color="auto" w:fill="auto"/>
            <w:noWrap/>
            <w:vAlign w:val="bottom"/>
            <w:hideMark/>
          </w:tcPr>
          <w:p w:rsidR="00924DF8" w:rsidRPr="00953F50" w:rsidRDefault="00924DF8" w:rsidP="00924DF8">
            <w:pPr>
              <w:kinsoku/>
              <w:overflowPunct/>
              <w:autoSpaceDE/>
              <w:autoSpaceDN/>
              <w:adjustRightInd/>
              <w:snapToGrid/>
              <w:jc w:val="center"/>
              <w:rPr>
                <w:b/>
                <w:bCs/>
                <w:snapToGrid/>
                <w:color w:val="A32020"/>
                <w:sz w:val="18"/>
                <w:szCs w:val="18"/>
                <w:lang w:eastAsia="en-AU"/>
              </w:rPr>
            </w:pPr>
            <w:r w:rsidRPr="00953F50">
              <w:rPr>
                <w:b/>
                <w:bCs/>
                <w:snapToGrid/>
                <w:color w:val="A32020"/>
                <w:sz w:val="18"/>
                <w:szCs w:val="18"/>
                <w:lang w:eastAsia="en-AU"/>
              </w:rPr>
              <w:t xml:space="preserve">ALOS </w:t>
            </w:r>
            <w:r w:rsidR="00BC75AE" w:rsidRPr="00953F50">
              <w:rPr>
                <w:b/>
                <w:bCs/>
                <w:snapToGrid/>
                <w:color w:val="A32020"/>
                <w:sz w:val="18"/>
                <w:szCs w:val="18"/>
                <w:lang w:eastAsia="en-AU"/>
              </w:rPr>
              <w:t>(d)</w:t>
            </w:r>
          </w:p>
        </w:tc>
      </w:tr>
      <w:tr w:rsidR="00BC75AE" w:rsidRPr="00953F50" w:rsidTr="007B7EAC">
        <w:trPr>
          <w:trHeight w:val="240"/>
        </w:trPr>
        <w:tc>
          <w:tcPr>
            <w:tcW w:w="9498" w:type="dxa"/>
            <w:gridSpan w:val="7"/>
            <w:tcBorders>
              <w:top w:val="nil"/>
              <w:left w:val="nil"/>
              <w:right w:val="nil"/>
            </w:tcBorders>
            <w:shd w:val="clear" w:color="auto" w:fill="auto"/>
            <w:noWrap/>
            <w:vAlign w:val="bottom"/>
            <w:hideMark/>
          </w:tcPr>
          <w:p w:rsidR="00BC75AE" w:rsidRPr="00953F50" w:rsidRDefault="00BC75AE" w:rsidP="00BC75AE">
            <w:pPr>
              <w:kinsoku/>
              <w:overflowPunct/>
              <w:autoSpaceDE/>
              <w:autoSpaceDN/>
              <w:adjustRightInd/>
              <w:snapToGrid/>
              <w:rPr>
                <w:b/>
                <w:bCs/>
                <w:snapToGrid/>
                <w:color w:val="A32020"/>
                <w:sz w:val="18"/>
                <w:szCs w:val="18"/>
                <w:lang w:eastAsia="en-AU"/>
              </w:rPr>
            </w:pPr>
            <w:r w:rsidRPr="00953F50">
              <w:rPr>
                <w:b/>
                <w:bCs/>
                <w:i/>
                <w:iCs/>
                <w:snapToGrid/>
                <w:color w:val="A32020"/>
                <w:sz w:val="18"/>
                <w:szCs w:val="18"/>
                <w:lang w:eastAsia="en-AU"/>
              </w:rPr>
              <w:t>DRGs with the highest cost-weight</w:t>
            </w:r>
          </w:p>
        </w:tc>
      </w:tr>
      <w:tr w:rsidR="00924DF8" w:rsidRPr="00953F50" w:rsidTr="007B7EAC">
        <w:trPr>
          <w:trHeight w:val="438"/>
        </w:trPr>
        <w:tc>
          <w:tcPr>
            <w:tcW w:w="705" w:type="dxa"/>
            <w:tcBorders>
              <w:top w:val="nil"/>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1</w:t>
            </w:r>
          </w:p>
        </w:tc>
        <w:tc>
          <w:tcPr>
            <w:tcW w:w="672" w:type="dxa"/>
            <w:tcBorders>
              <w:top w:val="nil"/>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A06A</w:t>
            </w:r>
          </w:p>
        </w:tc>
        <w:tc>
          <w:tcPr>
            <w:tcW w:w="3868" w:type="dxa"/>
            <w:tcBorders>
              <w:top w:val="nil"/>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Tracheostomy W Ventilation &gt;95 Hours W Catastrophic Cc</w:t>
            </w:r>
          </w:p>
        </w:tc>
        <w:tc>
          <w:tcPr>
            <w:tcW w:w="1276"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54.94</w:t>
            </w:r>
          </w:p>
        </w:tc>
        <w:tc>
          <w:tcPr>
            <w:tcW w:w="850"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292</w:t>
            </w:r>
          </w:p>
        </w:tc>
        <w:tc>
          <w:tcPr>
            <w:tcW w:w="1276"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16,036</w:t>
            </w:r>
          </w:p>
        </w:tc>
        <w:tc>
          <w:tcPr>
            <w:tcW w:w="851"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47.4</w:t>
            </w:r>
          </w:p>
        </w:tc>
      </w:tr>
      <w:tr w:rsidR="00924DF8" w:rsidRPr="00953F50" w:rsidTr="007B7EAC">
        <w:trPr>
          <w:trHeight w:val="319"/>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2</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A40Z</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proofErr w:type="spellStart"/>
            <w:r w:rsidRPr="00953F50">
              <w:rPr>
                <w:snapToGrid/>
                <w:sz w:val="18"/>
                <w:szCs w:val="18"/>
                <w:lang w:eastAsia="en-AU"/>
              </w:rPr>
              <w:t>Ecmo</w:t>
            </w:r>
            <w:proofErr w:type="spellEnd"/>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36.10</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23</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841</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21.3</w:t>
            </w:r>
          </w:p>
        </w:tc>
      </w:tr>
      <w:tr w:rsidR="00924DF8" w:rsidRPr="00953F50" w:rsidTr="007B7EAC">
        <w:trPr>
          <w:trHeight w:val="240"/>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3</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A06C</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Ventilation &gt;95 Hours W/O Catastrophic Cc</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25.58</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42</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1,085</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23.1</w:t>
            </w:r>
          </w:p>
        </w:tc>
      </w:tr>
      <w:tr w:rsidR="00924DF8" w:rsidRPr="00953F50" w:rsidTr="007B7EAC">
        <w:trPr>
          <w:trHeight w:val="510"/>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4</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A06B</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proofErr w:type="spellStart"/>
            <w:r w:rsidRPr="00953F50">
              <w:rPr>
                <w:snapToGrid/>
                <w:sz w:val="18"/>
                <w:szCs w:val="18"/>
                <w:lang w:eastAsia="en-AU"/>
              </w:rPr>
              <w:t>Trach</w:t>
            </w:r>
            <w:proofErr w:type="spellEnd"/>
            <w:r w:rsidRPr="00953F50">
              <w:rPr>
                <w:snapToGrid/>
                <w:sz w:val="18"/>
                <w:szCs w:val="18"/>
                <w:lang w:eastAsia="en-AU"/>
              </w:rPr>
              <w:t xml:space="preserve"> W Vent &gt;95 Hours W/O Cat Cc Or </w:t>
            </w:r>
            <w:proofErr w:type="spellStart"/>
            <w:r w:rsidRPr="00953F50">
              <w:rPr>
                <w:snapToGrid/>
                <w:sz w:val="18"/>
                <w:szCs w:val="18"/>
                <w:lang w:eastAsia="en-AU"/>
              </w:rPr>
              <w:t>Trach</w:t>
            </w:r>
            <w:proofErr w:type="spellEnd"/>
            <w:r w:rsidRPr="00953F50">
              <w:rPr>
                <w:snapToGrid/>
                <w:sz w:val="18"/>
                <w:szCs w:val="18"/>
                <w:lang w:eastAsia="en-AU"/>
              </w:rPr>
              <w:t>/Vent &gt;95 Hours W Cat Cc</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23.34</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929</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21,684</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29.4</w:t>
            </w:r>
          </w:p>
        </w:tc>
      </w:tr>
      <w:tr w:rsidR="00924DF8" w:rsidRPr="00953F50" w:rsidTr="007B7EAC">
        <w:trPr>
          <w:trHeight w:val="540"/>
        </w:trPr>
        <w:tc>
          <w:tcPr>
            <w:tcW w:w="705" w:type="dxa"/>
            <w:tcBorders>
              <w:top w:val="single" w:sz="4" w:space="0" w:color="602320" w:themeColor="accent3"/>
              <w:left w:val="nil"/>
              <w:bottom w:val="single" w:sz="8" w:space="0" w:color="auto"/>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5</w:t>
            </w:r>
          </w:p>
        </w:tc>
        <w:tc>
          <w:tcPr>
            <w:tcW w:w="672" w:type="dxa"/>
            <w:tcBorders>
              <w:top w:val="single" w:sz="4" w:space="0" w:color="602320" w:themeColor="accent3"/>
              <w:left w:val="nil"/>
              <w:bottom w:val="single" w:sz="8" w:space="0" w:color="auto"/>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F01A</w:t>
            </w:r>
          </w:p>
        </w:tc>
        <w:tc>
          <w:tcPr>
            <w:tcW w:w="3868" w:type="dxa"/>
            <w:tcBorders>
              <w:top w:val="single" w:sz="4" w:space="0" w:color="602320" w:themeColor="accent3"/>
              <w:left w:val="nil"/>
              <w:bottom w:val="single" w:sz="8" w:space="0" w:color="auto"/>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 xml:space="preserve">Implantation Or Replacement Of </w:t>
            </w:r>
            <w:proofErr w:type="spellStart"/>
            <w:r w:rsidRPr="00953F50">
              <w:rPr>
                <w:snapToGrid/>
                <w:sz w:val="18"/>
                <w:szCs w:val="18"/>
                <w:lang w:eastAsia="en-AU"/>
              </w:rPr>
              <w:t>Aicd</w:t>
            </w:r>
            <w:proofErr w:type="spellEnd"/>
            <w:r w:rsidRPr="00953F50">
              <w:rPr>
                <w:snapToGrid/>
                <w:sz w:val="18"/>
                <w:szCs w:val="18"/>
                <w:lang w:eastAsia="en-AU"/>
              </w:rPr>
              <w:t>, Total System W Catastrophic Cc</w:t>
            </w:r>
          </w:p>
        </w:tc>
        <w:tc>
          <w:tcPr>
            <w:tcW w:w="1276"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19.78</w:t>
            </w:r>
          </w:p>
        </w:tc>
        <w:tc>
          <w:tcPr>
            <w:tcW w:w="850"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323</w:t>
            </w:r>
          </w:p>
        </w:tc>
        <w:tc>
          <w:tcPr>
            <w:tcW w:w="1276"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6,390</w:t>
            </w:r>
          </w:p>
        </w:tc>
        <w:tc>
          <w:tcPr>
            <w:tcW w:w="851"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11.6</w:t>
            </w:r>
          </w:p>
        </w:tc>
      </w:tr>
      <w:tr w:rsidR="00BC75AE" w:rsidRPr="00953F50" w:rsidTr="007B7EAC">
        <w:trPr>
          <w:trHeight w:val="436"/>
        </w:trPr>
        <w:tc>
          <w:tcPr>
            <w:tcW w:w="9498" w:type="dxa"/>
            <w:gridSpan w:val="7"/>
            <w:tcBorders>
              <w:top w:val="nil"/>
              <w:left w:val="nil"/>
              <w:right w:val="nil"/>
            </w:tcBorders>
            <w:shd w:val="clear" w:color="auto" w:fill="auto"/>
            <w:noWrap/>
            <w:vAlign w:val="bottom"/>
            <w:hideMark/>
          </w:tcPr>
          <w:p w:rsidR="00BC75AE" w:rsidRPr="00953F50" w:rsidRDefault="00BC75AE" w:rsidP="00924DF8">
            <w:pPr>
              <w:kinsoku/>
              <w:overflowPunct/>
              <w:autoSpaceDE/>
              <w:autoSpaceDN/>
              <w:adjustRightInd/>
              <w:snapToGrid/>
              <w:rPr>
                <w:b/>
                <w:bCs/>
                <w:i/>
                <w:iCs/>
                <w:snapToGrid/>
                <w:color w:val="A32020"/>
                <w:sz w:val="18"/>
                <w:szCs w:val="18"/>
                <w:lang w:eastAsia="en-AU"/>
              </w:rPr>
            </w:pPr>
            <w:r w:rsidRPr="00953F50">
              <w:rPr>
                <w:b/>
                <w:bCs/>
                <w:i/>
                <w:iCs/>
                <w:snapToGrid/>
                <w:color w:val="A32020"/>
                <w:sz w:val="18"/>
                <w:szCs w:val="18"/>
                <w:lang w:eastAsia="en-AU"/>
              </w:rPr>
              <w:t>DRGs with the highest number of separations</w:t>
            </w:r>
          </w:p>
        </w:tc>
      </w:tr>
      <w:tr w:rsidR="00924DF8" w:rsidRPr="00953F50" w:rsidTr="007B7EAC">
        <w:trPr>
          <w:trHeight w:val="293"/>
        </w:trPr>
        <w:tc>
          <w:tcPr>
            <w:tcW w:w="705" w:type="dxa"/>
            <w:tcBorders>
              <w:top w:val="nil"/>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1</w:t>
            </w:r>
          </w:p>
        </w:tc>
        <w:tc>
          <w:tcPr>
            <w:tcW w:w="672" w:type="dxa"/>
            <w:tcBorders>
              <w:top w:val="nil"/>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R63Z</w:t>
            </w:r>
          </w:p>
        </w:tc>
        <w:tc>
          <w:tcPr>
            <w:tcW w:w="3868" w:type="dxa"/>
            <w:tcBorders>
              <w:top w:val="nil"/>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Chemotherapy</w:t>
            </w:r>
          </w:p>
        </w:tc>
        <w:tc>
          <w:tcPr>
            <w:tcW w:w="1276"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0.20</w:t>
            </w:r>
          </w:p>
        </w:tc>
        <w:tc>
          <w:tcPr>
            <w:tcW w:w="850"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192,612</w:t>
            </w:r>
          </w:p>
        </w:tc>
        <w:tc>
          <w:tcPr>
            <w:tcW w:w="1276"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37,713</w:t>
            </w:r>
          </w:p>
        </w:tc>
        <w:tc>
          <w:tcPr>
            <w:tcW w:w="851"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w:t>
            </w:r>
          </w:p>
        </w:tc>
      </w:tr>
      <w:tr w:rsidR="00924DF8" w:rsidRPr="00953F50" w:rsidTr="007B7EAC">
        <w:trPr>
          <w:trHeight w:val="319"/>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2</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G48C</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 xml:space="preserve">Colonoscopy, </w:t>
            </w:r>
            <w:proofErr w:type="spellStart"/>
            <w:r w:rsidRPr="00953F50">
              <w:rPr>
                <w:snapToGrid/>
                <w:sz w:val="18"/>
                <w:szCs w:val="18"/>
                <w:lang w:eastAsia="en-AU"/>
              </w:rPr>
              <w:t>Sameday</w:t>
            </w:r>
            <w:proofErr w:type="spellEnd"/>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0.18</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112,418</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20,521</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w:t>
            </w:r>
          </w:p>
        </w:tc>
      </w:tr>
      <w:tr w:rsidR="00924DF8" w:rsidRPr="00953F50" w:rsidTr="007B7EAC">
        <w:trPr>
          <w:trHeight w:val="319"/>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3</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L61Z</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Haemodialysis</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0.18</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89,758</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16,093</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w:t>
            </w:r>
          </w:p>
        </w:tc>
      </w:tr>
      <w:tr w:rsidR="00924DF8" w:rsidRPr="00953F50" w:rsidTr="007B7EAC">
        <w:trPr>
          <w:trHeight w:val="525"/>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4</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Z40Z</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 xml:space="preserve">Endoscopy W Diagnoses Of Other Contacts W Health Services, </w:t>
            </w:r>
            <w:proofErr w:type="spellStart"/>
            <w:r w:rsidRPr="00953F50">
              <w:rPr>
                <w:snapToGrid/>
                <w:sz w:val="18"/>
                <w:szCs w:val="18"/>
                <w:lang w:eastAsia="en-AU"/>
              </w:rPr>
              <w:t>Sameday</w:t>
            </w:r>
            <w:proofErr w:type="spellEnd"/>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0.18</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76,071</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13,527</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w:t>
            </w:r>
          </w:p>
        </w:tc>
      </w:tr>
      <w:tr w:rsidR="00924DF8" w:rsidRPr="00953F50" w:rsidTr="007B7EAC">
        <w:trPr>
          <w:trHeight w:val="319"/>
        </w:trPr>
        <w:tc>
          <w:tcPr>
            <w:tcW w:w="705" w:type="dxa"/>
            <w:tcBorders>
              <w:top w:val="single" w:sz="4" w:space="0" w:color="602320" w:themeColor="accent3"/>
              <w:left w:val="nil"/>
              <w:bottom w:val="single" w:sz="8" w:space="0" w:color="auto"/>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5</w:t>
            </w:r>
          </w:p>
        </w:tc>
        <w:tc>
          <w:tcPr>
            <w:tcW w:w="672" w:type="dxa"/>
            <w:tcBorders>
              <w:top w:val="single" w:sz="4" w:space="0" w:color="602320" w:themeColor="accent3"/>
              <w:left w:val="nil"/>
              <w:bottom w:val="single" w:sz="8" w:space="0" w:color="auto"/>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G46C</w:t>
            </w:r>
          </w:p>
        </w:tc>
        <w:tc>
          <w:tcPr>
            <w:tcW w:w="3868" w:type="dxa"/>
            <w:tcBorders>
              <w:top w:val="single" w:sz="4" w:space="0" w:color="602320" w:themeColor="accent3"/>
              <w:left w:val="nil"/>
              <w:bottom w:val="single" w:sz="8" w:space="0" w:color="auto"/>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 xml:space="preserve">Complex Gastroscopy, </w:t>
            </w:r>
            <w:proofErr w:type="spellStart"/>
            <w:r w:rsidRPr="00953F50">
              <w:rPr>
                <w:snapToGrid/>
                <w:sz w:val="18"/>
                <w:szCs w:val="18"/>
                <w:lang w:eastAsia="en-AU"/>
              </w:rPr>
              <w:t>Sameday</w:t>
            </w:r>
            <w:proofErr w:type="spellEnd"/>
          </w:p>
        </w:tc>
        <w:tc>
          <w:tcPr>
            <w:tcW w:w="1276"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0.26</w:t>
            </w:r>
          </w:p>
        </w:tc>
        <w:tc>
          <w:tcPr>
            <w:tcW w:w="850"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69,784</w:t>
            </w:r>
          </w:p>
        </w:tc>
        <w:tc>
          <w:tcPr>
            <w:tcW w:w="1276"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17,848</w:t>
            </w:r>
          </w:p>
        </w:tc>
        <w:tc>
          <w:tcPr>
            <w:tcW w:w="851"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w:t>
            </w:r>
          </w:p>
        </w:tc>
      </w:tr>
      <w:tr w:rsidR="00BC75AE" w:rsidRPr="00953F50" w:rsidTr="007B7EAC">
        <w:trPr>
          <w:trHeight w:val="199"/>
        </w:trPr>
        <w:tc>
          <w:tcPr>
            <w:tcW w:w="9498" w:type="dxa"/>
            <w:gridSpan w:val="7"/>
            <w:tcBorders>
              <w:top w:val="nil"/>
              <w:left w:val="nil"/>
              <w:right w:val="nil"/>
            </w:tcBorders>
            <w:shd w:val="clear" w:color="auto" w:fill="auto"/>
            <w:noWrap/>
            <w:vAlign w:val="bottom"/>
            <w:hideMark/>
          </w:tcPr>
          <w:p w:rsidR="00BC75AE" w:rsidRPr="00953F50" w:rsidRDefault="00BC75AE" w:rsidP="00924DF8">
            <w:pPr>
              <w:kinsoku/>
              <w:overflowPunct/>
              <w:autoSpaceDE/>
              <w:autoSpaceDN/>
              <w:adjustRightInd/>
              <w:snapToGrid/>
              <w:rPr>
                <w:b/>
                <w:bCs/>
                <w:i/>
                <w:iCs/>
                <w:snapToGrid/>
                <w:color w:val="A32020"/>
                <w:sz w:val="18"/>
                <w:szCs w:val="18"/>
                <w:lang w:eastAsia="en-AU"/>
              </w:rPr>
            </w:pPr>
            <w:r w:rsidRPr="00953F50">
              <w:rPr>
                <w:b/>
                <w:bCs/>
                <w:i/>
                <w:iCs/>
                <w:snapToGrid/>
                <w:color w:val="A32020"/>
                <w:sz w:val="18"/>
                <w:szCs w:val="18"/>
                <w:lang w:eastAsia="en-AU"/>
              </w:rPr>
              <w:t>DRGs with the highest number of cost-weighted separations*</w:t>
            </w:r>
          </w:p>
        </w:tc>
      </w:tr>
      <w:tr w:rsidR="00924DF8" w:rsidRPr="00953F50" w:rsidTr="007B7EAC">
        <w:trPr>
          <w:trHeight w:val="453"/>
        </w:trPr>
        <w:tc>
          <w:tcPr>
            <w:tcW w:w="705" w:type="dxa"/>
            <w:tcBorders>
              <w:top w:val="nil"/>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1</w:t>
            </w:r>
          </w:p>
        </w:tc>
        <w:tc>
          <w:tcPr>
            <w:tcW w:w="672" w:type="dxa"/>
            <w:tcBorders>
              <w:top w:val="nil"/>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I04B</w:t>
            </w:r>
          </w:p>
        </w:tc>
        <w:tc>
          <w:tcPr>
            <w:tcW w:w="3868" w:type="dxa"/>
            <w:tcBorders>
              <w:top w:val="nil"/>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Knee Replacement W/O Catastrophic Or Severe Cc</w:t>
            </w:r>
          </w:p>
        </w:tc>
        <w:tc>
          <w:tcPr>
            <w:tcW w:w="1276"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5.70</w:t>
            </w:r>
          </w:p>
        </w:tc>
        <w:tc>
          <w:tcPr>
            <w:tcW w:w="850"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25,079</w:t>
            </w:r>
          </w:p>
        </w:tc>
        <w:tc>
          <w:tcPr>
            <w:tcW w:w="1276"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142,893</w:t>
            </w:r>
          </w:p>
        </w:tc>
        <w:tc>
          <w:tcPr>
            <w:tcW w:w="851" w:type="dxa"/>
            <w:tcBorders>
              <w:top w:val="nil"/>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6.1</w:t>
            </w:r>
          </w:p>
        </w:tc>
      </w:tr>
      <w:tr w:rsidR="00924DF8" w:rsidRPr="00953F50" w:rsidTr="007B7EAC">
        <w:trPr>
          <w:trHeight w:val="319"/>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2</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I03B</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Hip Replacement W/O Catastrophic Cc</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5.29</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19,918</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105,453</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6.5</w:t>
            </w:r>
          </w:p>
        </w:tc>
      </w:tr>
      <w:tr w:rsidR="00924DF8" w:rsidRPr="00953F50" w:rsidTr="007B7EAC">
        <w:trPr>
          <w:trHeight w:val="319"/>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3</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I09B</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Spinal Fusion W/O Catastrophic Cc</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8.85</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10,871</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96,234</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6.5</w:t>
            </w:r>
          </w:p>
        </w:tc>
      </w:tr>
      <w:tr w:rsidR="00924DF8" w:rsidRPr="00953F50" w:rsidTr="007B7EAC">
        <w:trPr>
          <w:trHeight w:val="319"/>
        </w:trPr>
        <w:tc>
          <w:tcPr>
            <w:tcW w:w="705"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4</w:t>
            </w:r>
          </w:p>
        </w:tc>
        <w:tc>
          <w:tcPr>
            <w:tcW w:w="672" w:type="dxa"/>
            <w:tcBorders>
              <w:top w:val="single" w:sz="4" w:space="0" w:color="602320" w:themeColor="accent3"/>
              <w:left w:val="nil"/>
              <w:bottom w:val="single" w:sz="4" w:space="0" w:color="602320" w:themeColor="accent3"/>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O01C</w:t>
            </w:r>
          </w:p>
        </w:tc>
        <w:tc>
          <w:tcPr>
            <w:tcW w:w="3868" w:type="dxa"/>
            <w:tcBorders>
              <w:top w:val="single" w:sz="4" w:space="0" w:color="602320" w:themeColor="accent3"/>
              <w:left w:val="nil"/>
              <w:bottom w:val="single" w:sz="4" w:space="0" w:color="602320" w:themeColor="accent3"/>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Caesarean Delivery W/O Catastrophic Or Severe Cc</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1.89</w:t>
            </w:r>
          </w:p>
        </w:tc>
        <w:tc>
          <w:tcPr>
            <w:tcW w:w="850"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33,837</w:t>
            </w:r>
          </w:p>
        </w:tc>
        <w:tc>
          <w:tcPr>
            <w:tcW w:w="1276"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63,904</w:t>
            </w:r>
          </w:p>
        </w:tc>
        <w:tc>
          <w:tcPr>
            <w:tcW w:w="851" w:type="dxa"/>
            <w:tcBorders>
              <w:top w:val="single" w:sz="4" w:space="0" w:color="602320" w:themeColor="accent3"/>
              <w:left w:val="nil"/>
              <w:bottom w:val="single" w:sz="4" w:space="0" w:color="602320" w:themeColor="accent3"/>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5.0</w:t>
            </w:r>
          </w:p>
        </w:tc>
      </w:tr>
      <w:tr w:rsidR="00924DF8" w:rsidRPr="00953F50" w:rsidTr="007B7EAC">
        <w:trPr>
          <w:trHeight w:val="319"/>
        </w:trPr>
        <w:tc>
          <w:tcPr>
            <w:tcW w:w="705" w:type="dxa"/>
            <w:tcBorders>
              <w:top w:val="single" w:sz="4" w:space="0" w:color="602320" w:themeColor="accent3"/>
              <w:left w:val="nil"/>
              <w:bottom w:val="single" w:sz="8" w:space="0" w:color="auto"/>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5</w:t>
            </w:r>
          </w:p>
        </w:tc>
        <w:tc>
          <w:tcPr>
            <w:tcW w:w="672" w:type="dxa"/>
            <w:tcBorders>
              <w:top w:val="single" w:sz="4" w:space="0" w:color="602320" w:themeColor="accent3"/>
              <w:left w:val="nil"/>
              <w:bottom w:val="single" w:sz="8" w:space="0" w:color="auto"/>
              <w:right w:val="nil"/>
            </w:tcBorders>
            <w:shd w:val="clear" w:color="auto" w:fill="auto"/>
            <w:noWrap/>
            <w:vAlign w:val="bottom"/>
            <w:hideMark/>
          </w:tcPr>
          <w:p w:rsidR="00924DF8" w:rsidRPr="00953F50" w:rsidRDefault="00924DF8" w:rsidP="00BC75AE">
            <w:pPr>
              <w:rPr>
                <w:snapToGrid/>
                <w:sz w:val="18"/>
                <w:szCs w:val="18"/>
                <w:lang w:eastAsia="en-AU"/>
              </w:rPr>
            </w:pPr>
            <w:r w:rsidRPr="00953F50">
              <w:rPr>
                <w:snapToGrid/>
                <w:sz w:val="18"/>
                <w:szCs w:val="18"/>
                <w:lang w:eastAsia="en-AU"/>
              </w:rPr>
              <w:t>I16Z</w:t>
            </w:r>
          </w:p>
        </w:tc>
        <w:tc>
          <w:tcPr>
            <w:tcW w:w="3868" w:type="dxa"/>
            <w:tcBorders>
              <w:top w:val="single" w:sz="4" w:space="0" w:color="602320" w:themeColor="accent3"/>
              <w:left w:val="nil"/>
              <w:bottom w:val="single" w:sz="8" w:space="0" w:color="auto"/>
              <w:right w:val="nil"/>
            </w:tcBorders>
            <w:shd w:val="clear" w:color="auto" w:fill="auto"/>
            <w:vAlign w:val="bottom"/>
            <w:hideMark/>
          </w:tcPr>
          <w:p w:rsidR="00924DF8" w:rsidRPr="00953F50" w:rsidRDefault="00924DF8" w:rsidP="00BC75AE">
            <w:pPr>
              <w:rPr>
                <w:snapToGrid/>
                <w:sz w:val="18"/>
                <w:szCs w:val="18"/>
                <w:lang w:eastAsia="en-AU"/>
              </w:rPr>
            </w:pPr>
            <w:r w:rsidRPr="00953F50">
              <w:rPr>
                <w:snapToGrid/>
                <w:sz w:val="18"/>
                <w:szCs w:val="18"/>
                <w:lang w:eastAsia="en-AU"/>
              </w:rPr>
              <w:t>Other Shoulder Procedures</w:t>
            </w:r>
          </w:p>
        </w:tc>
        <w:tc>
          <w:tcPr>
            <w:tcW w:w="1276"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1.37</w:t>
            </w:r>
          </w:p>
        </w:tc>
        <w:tc>
          <w:tcPr>
            <w:tcW w:w="850"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36,362</w:t>
            </w:r>
          </w:p>
        </w:tc>
        <w:tc>
          <w:tcPr>
            <w:tcW w:w="1276"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49,859</w:t>
            </w:r>
          </w:p>
        </w:tc>
        <w:tc>
          <w:tcPr>
            <w:tcW w:w="851" w:type="dxa"/>
            <w:tcBorders>
              <w:top w:val="single" w:sz="4" w:space="0" w:color="602320" w:themeColor="accent3"/>
              <w:left w:val="nil"/>
              <w:bottom w:val="single" w:sz="8" w:space="0" w:color="auto"/>
              <w:right w:val="nil"/>
            </w:tcBorders>
            <w:shd w:val="clear" w:color="auto" w:fill="auto"/>
            <w:noWrap/>
            <w:vAlign w:val="center"/>
            <w:hideMark/>
          </w:tcPr>
          <w:p w:rsidR="00924DF8" w:rsidRPr="00953F50" w:rsidRDefault="00924DF8" w:rsidP="007A4C8B">
            <w:pPr>
              <w:jc w:val="center"/>
              <w:rPr>
                <w:snapToGrid/>
                <w:sz w:val="18"/>
                <w:szCs w:val="18"/>
                <w:lang w:eastAsia="en-AU"/>
              </w:rPr>
            </w:pPr>
            <w:r w:rsidRPr="00953F50">
              <w:rPr>
                <w:snapToGrid/>
                <w:sz w:val="18"/>
                <w:szCs w:val="18"/>
                <w:lang w:eastAsia="en-AU"/>
              </w:rPr>
              <w:t>1.3</w:t>
            </w:r>
          </w:p>
        </w:tc>
      </w:tr>
    </w:tbl>
    <w:p w:rsidR="00FD0720" w:rsidRPr="00E43DC3" w:rsidRDefault="00FD0720" w:rsidP="00E43DC3">
      <w:pPr>
        <w:pStyle w:val="PwCNormal"/>
        <w:spacing w:before="120" w:after="0"/>
        <w:rPr>
          <w:b/>
          <w:sz w:val="16"/>
        </w:rPr>
      </w:pPr>
      <w:r w:rsidRPr="00E43DC3">
        <w:rPr>
          <w:b/>
          <w:sz w:val="16"/>
        </w:rPr>
        <w:t>Notes</w:t>
      </w:r>
    </w:p>
    <w:p w:rsidR="00E43DC3" w:rsidRPr="00E43DC3" w:rsidRDefault="00E43DC3" w:rsidP="00E43DC3">
      <w:pPr>
        <w:pStyle w:val="PwCNormal"/>
        <w:spacing w:after="0"/>
        <w:rPr>
          <w:b/>
          <w:sz w:val="16"/>
        </w:rPr>
      </w:pPr>
      <w:r>
        <w:rPr>
          <w:sz w:val="16"/>
        </w:rPr>
        <w:t>a)</w:t>
      </w:r>
      <w:r w:rsidR="004866BA">
        <w:rPr>
          <w:sz w:val="16"/>
        </w:rPr>
        <w:t xml:space="preserve"> </w:t>
      </w:r>
      <w:r>
        <w:rPr>
          <w:sz w:val="16"/>
        </w:rPr>
        <w:t xml:space="preserve"> See the Glossary in </w:t>
      </w:r>
      <w:r w:rsidR="00D502C6">
        <w:rPr>
          <w:sz w:val="16"/>
        </w:rPr>
        <w:fldChar w:fldCharType="begin"/>
      </w:r>
      <w:r>
        <w:rPr>
          <w:sz w:val="16"/>
        </w:rPr>
        <w:instrText xml:space="preserve"> REF _Ref356294071 \n \h </w:instrText>
      </w:r>
      <w:r w:rsidR="00D502C6">
        <w:rPr>
          <w:sz w:val="16"/>
        </w:rPr>
      </w:r>
      <w:r w:rsidR="00D502C6">
        <w:rPr>
          <w:sz w:val="16"/>
        </w:rPr>
        <w:fldChar w:fldCharType="separate"/>
      </w:r>
      <w:r w:rsidR="00953F50">
        <w:rPr>
          <w:sz w:val="16"/>
        </w:rPr>
        <w:t>Appendix A</w:t>
      </w:r>
      <w:r w:rsidR="00D502C6">
        <w:rPr>
          <w:sz w:val="16"/>
        </w:rPr>
        <w:fldChar w:fldCharType="end"/>
      </w:r>
    </w:p>
    <w:p w:rsidR="00F34CFF" w:rsidRDefault="00E43DC3" w:rsidP="00E43DC3">
      <w:pPr>
        <w:pStyle w:val="PwCNormal"/>
        <w:spacing w:after="0"/>
        <w:rPr>
          <w:sz w:val="16"/>
        </w:rPr>
      </w:pPr>
      <w:r>
        <w:rPr>
          <w:sz w:val="16"/>
        </w:rPr>
        <w:t xml:space="preserve">b) “Number of </w:t>
      </w:r>
      <w:proofErr w:type="spellStart"/>
      <w:r>
        <w:rPr>
          <w:sz w:val="16"/>
        </w:rPr>
        <w:t>seps</w:t>
      </w:r>
      <w:proofErr w:type="spellEnd"/>
      <w:r>
        <w:rPr>
          <w:sz w:val="16"/>
        </w:rPr>
        <w:t>” means the number of separations in 2011/12.</w:t>
      </w:r>
    </w:p>
    <w:p w:rsidR="004866BA" w:rsidRPr="00E43DC3" w:rsidRDefault="004866BA" w:rsidP="004866BA">
      <w:pPr>
        <w:pStyle w:val="PwCNormal"/>
        <w:spacing w:after="0"/>
        <w:rPr>
          <w:b/>
          <w:sz w:val="16"/>
        </w:rPr>
      </w:pPr>
      <w:r w:rsidRPr="004866BA">
        <w:rPr>
          <w:sz w:val="16"/>
        </w:rPr>
        <w:t>c)</w:t>
      </w:r>
      <w:r>
        <w:rPr>
          <w:sz w:val="16"/>
        </w:rPr>
        <w:t xml:space="preserve">  See the Glossary in </w:t>
      </w:r>
      <w:r w:rsidR="00D502C6">
        <w:rPr>
          <w:sz w:val="16"/>
        </w:rPr>
        <w:fldChar w:fldCharType="begin"/>
      </w:r>
      <w:r>
        <w:rPr>
          <w:sz w:val="16"/>
        </w:rPr>
        <w:instrText xml:space="preserve"> REF _Ref356294071 \n \h </w:instrText>
      </w:r>
      <w:r w:rsidR="00D502C6">
        <w:rPr>
          <w:sz w:val="16"/>
        </w:rPr>
      </w:r>
      <w:r w:rsidR="00D502C6">
        <w:rPr>
          <w:sz w:val="16"/>
        </w:rPr>
        <w:fldChar w:fldCharType="separate"/>
      </w:r>
      <w:r w:rsidR="00953F50">
        <w:rPr>
          <w:sz w:val="16"/>
        </w:rPr>
        <w:t>Appendix A</w:t>
      </w:r>
      <w:r w:rsidR="00D502C6">
        <w:rPr>
          <w:sz w:val="16"/>
        </w:rPr>
        <w:fldChar w:fldCharType="end"/>
      </w:r>
    </w:p>
    <w:p w:rsidR="00FD0720" w:rsidRPr="004866BA" w:rsidRDefault="004866BA" w:rsidP="00FD0720">
      <w:pPr>
        <w:pStyle w:val="PwCNormal"/>
        <w:spacing w:after="0"/>
        <w:rPr>
          <w:sz w:val="16"/>
        </w:rPr>
      </w:pPr>
      <w:r>
        <w:rPr>
          <w:sz w:val="16"/>
        </w:rPr>
        <w:t>d) ALOS means “Average length of stay”.</w:t>
      </w:r>
    </w:p>
    <w:p w:rsidR="00247954" w:rsidRDefault="009270B5" w:rsidP="00446789">
      <w:pPr>
        <w:pStyle w:val="Heading1-Accessibility"/>
      </w:pPr>
      <w:bookmarkStart w:id="11" w:name="_Toc356829274"/>
      <w:r>
        <w:lastRenderedPageBreak/>
        <w:t>Introduction</w:t>
      </w:r>
      <w:bookmarkEnd w:id="11"/>
    </w:p>
    <w:p w:rsidR="004F0878" w:rsidRPr="00D675EE" w:rsidRDefault="009270B5" w:rsidP="00446789">
      <w:pPr>
        <w:pStyle w:val="Heading2"/>
      </w:pPr>
      <w:bookmarkStart w:id="12" w:name="_Toc356829275"/>
      <w:r w:rsidRPr="00D675EE">
        <w:t xml:space="preserve">Purpose </w:t>
      </w:r>
      <w:r w:rsidR="00032FB2" w:rsidRPr="00D675EE">
        <w:t>of this report</w:t>
      </w:r>
      <w:bookmarkEnd w:id="12"/>
    </w:p>
    <w:p w:rsidR="00F34CFF" w:rsidRDefault="009D61D9" w:rsidP="00F34CFF">
      <w:pPr>
        <w:pStyle w:val="PwCNormal"/>
      </w:pPr>
      <w:r>
        <w:t xml:space="preserve">The </w:t>
      </w:r>
      <w:r w:rsidR="00D87AB3">
        <w:t xml:space="preserve">NHCDC </w:t>
      </w:r>
      <w:r>
        <w:t xml:space="preserve">is a voluntary collection </w:t>
      </w:r>
      <w:r w:rsidR="00F23230">
        <w:t xml:space="preserve">that produces a range </w:t>
      </w:r>
      <w:r>
        <w:t xml:space="preserve">of hospital cost and activity information </w:t>
      </w:r>
      <w:r w:rsidR="00F23230" w:rsidRPr="00F23230">
        <w:t xml:space="preserve">by </w:t>
      </w:r>
      <w:r w:rsidR="00990FEF">
        <w:t>AR</w:t>
      </w:r>
      <w:r w:rsidR="00D87AB3">
        <w:t>-</w:t>
      </w:r>
      <w:r w:rsidR="00990FEF">
        <w:t>DRG</w:t>
      </w:r>
      <w:r w:rsidR="00D87AB3">
        <w:t>. The AR-DRG code is a patient classification scheme which provides a means of relating the number and types of patients treated in a hospital to the resources required by the hospital</w:t>
      </w:r>
      <w:r w:rsidR="00D87AB3">
        <w:rPr>
          <w:rStyle w:val="FootnoteReference"/>
        </w:rPr>
        <w:footnoteReference w:id="3"/>
      </w:r>
      <w:r w:rsidR="00D87AB3">
        <w:t xml:space="preserve">. An individual AR-DRG represents a class of patients with similar clinical conditions that require similar hospital services. </w:t>
      </w:r>
      <w:r w:rsidR="000A6874">
        <w:t xml:space="preserve">The results of the collection </w:t>
      </w:r>
      <w:r w:rsidR="0048777A">
        <w:t>are expressed in this report as</w:t>
      </w:r>
      <w:r w:rsidR="000A6874">
        <w:t xml:space="preserve"> national cost weights </w:t>
      </w:r>
      <w:r w:rsidR="00815183">
        <w:t>b</w:t>
      </w:r>
      <w:r w:rsidR="000A6874">
        <w:t xml:space="preserve">y AR-DRG version </w:t>
      </w:r>
      <w:proofErr w:type="gramStart"/>
      <w:r w:rsidR="000A6874">
        <w:t>6.0x</w:t>
      </w:r>
      <w:proofErr w:type="gramEnd"/>
      <w:r w:rsidR="000A6874">
        <w:t>, and associated analytical tables.</w:t>
      </w:r>
    </w:p>
    <w:p w:rsidR="00F34CFF" w:rsidRDefault="003E74A5" w:rsidP="00446789">
      <w:pPr>
        <w:pStyle w:val="Heading2"/>
      </w:pPr>
      <w:bookmarkStart w:id="13" w:name="_Toc356829276"/>
      <w:r w:rsidRPr="00D675EE">
        <w:t xml:space="preserve">Format of the </w:t>
      </w:r>
      <w:r w:rsidR="00C04FA6" w:rsidRPr="00D675EE">
        <w:t>report</w:t>
      </w:r>
      <w:bookmarkEnd w:id="13"/>
    </w:p>
    <w:p w:rsidR="00F34CFF" w:rsidRDefault="003E74A5" w:rsidP="00F34CFF">
      <w:pPr>
        <w:pStyle w:val="PwCNormal"/>
      </w:pPr>
      <w:r>
        <w:t xml:space="preserve">In 2012 IHPA </w:t>
      </w:r>
      <w:r w:rsidR="00B42CF7">
        <w:t xml:space="preserve">engaged PwC to conduct a series of consultations to determine the views of the private sector around </w:t>
      </w:r>
      <w:r w:rsidR="00A67CA3">
        <w:t>publication</w:t>
      </w:r>
      <w:r w:rsidR="00B42CF7">
        <w:t xml:space="preserve"> options for the NHCDC. </w:t>
      </w:r>
      <w:r w:rsidR="00C04FA6">
        <w:t>These views were obtained through a series of c</w:t>
      </w:r>
      <w:r w:rsidR="00B42CF7">
        <w:t xml:space="preserve">onsultations </w:t>
      </w:r>
      <w:r w:rsidR="00C04FA6">
        <w:t xml:space="preserve">and workshops </w:t>
      </w:r>
      <w:r w:rsidR="00B42CF7">
        <w:t xml:space="preserve">undertaken with key informants from the private hospital sector </w:t>
      </w:r>
      <w:r w:rsidR="00A67CA3">
        <w:t xml:space="preserve">and </w:t>
      </w:r>
      <w:r w:rsidRPr="003E74A5">
        <w:t>peak bodies</w:t>
      </w:r>
      <w:r w:rsidR="00B42CF7">
        <w:t>.</w:t>
      </w:r>
    </w:p>
    <w:p w:rsidR="00F34CFF" w:rsidRDefault="00B42CF7" w:rsidP="00F34CFF">
      <w:pPr>
        <w:pStyle w:val="PwCNormal"/>
      </w:pPr>
      <w:r>
        <w:t xml:space="preserve">The consultations identified that </w:t>
      </w:r>
      <w:r w:rsidRPr="00B42CF7">
        <w:t>the key concern of the sector in regards to p</w:t>
      </w:r>
      <w:r>
        <w:t>articipation in the collection wa</w:t>
      </w:r>
      <w:r w:rsidRPr="00B42CF7">
        <w:t>s the commercial sensitivity of the published data</w:t>
      </w:r>
      <w:r>
        <w:t xml:space="preserve"> </w:t>
      </w:r>
      <w:r w:rsidRPr="00B42CF7">
        <w:t xml:space="preserve">and the </w:t>
      </w:r>
      <w:r w:rsidR="00A67CA3">
        <w:t xml:space="preserve">perceived </w:t>
      </w:r>
      <w:r w:rsidRPr="00B42CF7">
        <w:t>negativ</w:t>
      </w:r>
      <w:r>
        <w:t>e impact this published data had</w:t>
      </w:r>
      <w:r w:rsidRPr="00B42CF7">
        <w:t xml:space="preserve"> on negotiations with private health insurers</w:t>
      </w:r>
      <w:r>
        <w:t>. T</w:t>
      </w:r>
      <w:r w:rsidRPr="00B42CF7">
        <w:t>he</w:t>
      </w:r>
      <w:r w:rsidR="00A67CA3">
        <w:t xml:space="preserve">se </w:t>
      </w:r>
      <w:r w:rsidRPr="00B42CF7">
        <w:t>concerns ha</w:t>
      </w:r>
      <w:r w:rsidR="00A67CA3">
        <w:t>d</w:t>
      </w:r>
      <w:r w:rsidRPr="00B42CF7">
        <w:t xml:space="preserve"> created resistance to participation in </w:t>
      </w:r>
      <w:r w:rsidR="00A67CA3">
        <w:t>the past</w:t>
      </w:r>
      <w:r w:rsidRPr="00B42CF7">
        <w:t xml:space="preserve"> </w:t>
      </w:r>
      <w:r>
        <w:t xml:space="preserve">and it was </w:t>
      </w:r>
      <w:r w:rsidR="00A67CA3">
        <w:t>recommended that the publication be amended f</w:t>
      </w:r>
      <w:r w:rsidR="00C04FA6">
        <w:t>rom</w:t>
      </w:r>
      <w:r w:rsidR="00A67CA3">
        <w:t xml:space="preserve"> Round 16 (2011-12)</w:t>
      </w:r>
      <w:r w:rsidR="00C04FA6">
        <w:t xml:space="preserve"> onwards</w:t>
      </w:r>
      <w:r w:rsidR="003B2782">
        <w:t xml:space="preserve"> to address these concerns</w:t>
      </w:r>
      <w:r w:rsidR="00A67CA3">
        <w:t>.</w:t>
      </w:r>
    </w:p>
    <w:p w:rsidR="00F34CFF" w:rsidRDefault="003B2782" w:rsidP="00F34CFF">
      <w:pPr>
        <w:pStyle w:val="PwCNormal"/>
      </w:pPr>
      <w:r>
        <w:t xml:space="preserve">Following these consultations, </w:t>
      </w:r>
      <w:r w:rsidR="00C04FA6">
        <w:t xml:space="preserve">IHPA communicated to the private sector that there would be a substantial reduction in the level of detail provided in the private NHCDC results from Round 16 and onwards, with the publication only including </w:t>
      </w:r>
      <w:r w:rsidRPr="003B2782">
        <w:t>DRG information</w:t>
      </w:r>
      <w:r w:rsidR="00C04FA6">
        <w:t xml:space="preserve">, </w:t>
      </w:r>
      <w:r w:rsidRPr="003B2782">
        <w:t>cost weights</w:t>
      </w:r>
      <w:r w:rsidR="00C04FA6">
        <w:t xml:space="preserve"> and other cost relativities. The report would not contain direct or overhead cost breakdowns, the 17 cost components or the total average cost of the DRG.</w:t>
      </w:r>
    </w:p>
    <w:p w:rsidR="00F34CFF" w:rsidRDefault="00C04FA6" w:rsidP="00F34CFF">
      <w:pPr>
        <w:pStyle w:val="PwCNormal"/>
      </w:pPr>
      <w:r>
        <w:t>Consequently, this report contains the Round 16 private sector n</w:t>
      </w:r>
      <w:r w:rsidR="00815183">
        <w:t xml:space="preserve">ational cost weights </w:t>
      </w:r>
      <w:r w:rsidR="00B16120">
        <w:t>by AR-</w:t>
      </w:r>
      <w:r w:rsidR="00AB571C" w:rsidRPr="00AB571C">
        <w:t>DRG 6.0x. A “cost weight” for a selected DRG is calculated as the average cost for that DRG, expressed as a weight relative to the overall average cost across all DRGs. The national cost weight across all DRGs is equal to 1.00, with higher cost DRGs having a cost weight higher t</w:t>
      </w:r>
      <w:r w:rsidR="00C830CD">
        <w:t>han 1.00 (e.g. A40Z: ECMO with a cost weight of 36.10</w:t>
      </w:r>
      <w:r w:rsidR="00AB571C" w:rsidRPr="00AB571C">
        <w:t>), and lower cost DRGs having a cost weight lower than 1.00 (e.g. J67B Minor Skin Disorders, Sam</w:t>
      </w:r>
      <w:r w:rsidR="003B6569">
        <w:t>e day with a cost weight of 0.12</w:t>
      </w:r>
      <w:r w:rsidR="00AB571C" w:rsidRPr="00AB571C">
        <w:t>).</w:t>
      </w:r>
    </w:p>
    <w:p w:rsidR="000A6874" w:rsidRDefault="00472554" w:rsidP="00F34CFF">
      <w:pPr>
        <w:pStyle w:val="PwCNormal"/>
      </w:pPr>
      <w:r>
        <w:t xml:space="preserve">The cost components </w:t>
      </w:r>
      <w:r w:rsidR="00737251">
        <w:t xml:space="preserve">for which cost weights are produced </w:t>
      </w:r>
      <w:r>
        <w:t>are:</w:t>
      </w:r>
    </w:p>
    <w:p w:rsidR="00472554" w:rsidRDefault="00B16120" w:rsidP="00B47F95">
      <w:pPr>
        <w:pStyle w:val="ListBullet"/>
      </w:pPr>
      <w:r>
        <w:t>Total cost</w:t>
      </w:r>
      <w:r w:rsidR="00440B12">
        <w:t xml:space="preserve"> per AR</w:t>
      </w:r>
      <w:r w:rsidR="00544B7D">
        <w:t>-</w:t>
      </w:r>
      <w:r w:rsidR="00440B12">
        <w:t>DRG</w:t>
      </w:r>
      <w:r>
        <w:t>;</w:t>
      </w:r>
    </w:p>
    <w:p w:rsidR="00F34CFF" w:rsidRDefault="00B16120" w:rsidP="00B47F95">
      <w:pPr>
        <w:pStyle w:val="ListBullet"/>
      </w:pPr>
      <w:r>
        <w:t>The combined costs of Operating Room and Specialist Procedure Suites (“SPS”)</w:t>
      </w:r>
      <w:r w:rsidR="001A47EC">
        <w:t>;</w:t>
      </w:r>
    </w:p>
    <w:p w:rsidR="00B16120" w:rsidRDefault="00E045BD" w:rsidP="00B47F95">
      <w:pPr>
        <w:pStyle w:val="ListBullet"/>
      </w:pPr>
      <w:r>
        <w:t>Critical Care, which covers costs incurred in both intensive and coronary care units;</w:t>
      </w:r>
    </w:p>
    <w:p w:rsidR="00F34CFF" w:rsidRDefault="00E045BD" w:rsidP="00032FB2">
      <w:pPr>
        <w:pStyle w:val="ListBullet"/>
      </w:pPr>
      <w:r>
        <w:t xml:space="preserve">Miscellaneous, which </w:t>
      </w:r>
      <w:r w:rsidR="00F846B7">
        <w:t>combines</w:t>
      </w:r>
      <w:r>
        <w:t xml:space="preserve"> </w:t>
      </w:r>
      <w:r w:rsidR="00F846B7">
        <w:t xml:space="preserve">the </w:t>
      </w:r>
      <w:r>
        <w:t>costs of Ward Medical, Pathology, Imaging, Emergency Department and Prostheses.</w:t>
      </w:r>
    </w:p>
    <w:p w:rsidR="00B740A3" w:rsidRDefault="00B740A3" w:rsidP="00032FB2">
      <w:pPr>
        <w:pStyle w:val="ListBullet"/>
      </w:pPr>
      <w:bookmarkStart w:id="14" w:name="_Toc356829277"/>
      <w:r>
        <w:t>Scope of this collection</w:t>
      </w:r>
      <w:bookmarkEnd w:id="14"/>
    </w:p>
    <w:p w:rsidR="00440B12" w:rsidRDefault="00440B12" w:rsidP="00F34CFF">
      <w:pPr>
        <w:pStyle w:val="PwCNormal"/>
      </w:pPr>
      <w:r>
        <w:lastRenderedPageBreak/>
        <w:t xml:space="preserve">For this report, only the costs and separations associated with care type 1.0 (acute admitted care) are included with the exception that the costs associated with </w:t>
      </w:r>
      <w:r w:rsidR="003B6569">
        <w:t>the unqualified neonate separations</w:t>
      </w:r>
      <w:r w:rsidR="00782EF1">
        <w:rPr>
          <w:rStyle w:val="FootnoteReference"/>
        </w:rPr>
        <w:footnoteReference w:id="4"/>
      </w:r>
      <w:r w:rsidR="003B6569">
        <w:t xml:space="preserve"> </w:t>
      </w:r>
      <w:r>
        <w:t xml:space="preserve">have also been included in the costs of care. </w:t>
      </w:r>
      <w:r w:rsidRPr="007B5655">
        <w:t>Where this adjustment has been made</w:t>
      </w:r>
      <w:r>
        <w:t xml:space="preserve">, the costs of care have been allocated back to the delivery DRGs of the birth-giving mothers and the counts of care type 7.0 removed.  A further discussion of this is provided in Section </w:t>
      </w:r>
      <w:r w:rsidR="00D502C6">
        <w:fldChar w:fldCharType="begin"/>
      </w:r>
      <w:r>
        <w:instrText xml:space="preserve"> REF _Ref353927377 \n \h </w:instrText>
      </w:r>
      <w:r w:rsidR="00D502C6">
        <w:fldChar w:fldCharType="separate"/>
      </w:r>
      <w:r w:rsidR="00953F50">
        <w:t>3.6</w:t>
      </w:r>
      <w:r w:rsidR="00D502C6">
        <w:fldChar w:fldCharType="end"/>
      </w:r>
      <w:r>
        <w:t>.</w:t>
      </w:r>
    </w:p>
    <w:p w:rsidR="00440B12" w:rsidRDefault="00440B12" w:rsidP="00F34CFF">
      <w:pPr>
        <w:pStyle w:val="PwCNormal"/>
      </w:pPr>
      <w:r>
        <w:t>The scope of the collection to which this report relates is defined as follows:</w:t>
      </w:r>
    </w:p>
    <w:p w:rsidR="00036CDA" w:rsidRDefault="00036CDA" w:rsidP="00F34CFF">
      <w:pPr>
        <w:pStyle w:val="PwCNormal"/>
      </w:pPr>
      <w:r>
        <w:rPr>
          <w:b/>
          <w:color w:val="A32020" w:themeColor="text2"/>
        </w:rPr>
        <w:t>Separations in-scope</w:t>
      </w:r>
      <w:r>
        <w:t xml:space="preserve">: </w:t>
      </w:r>
      <w:proofErr w:type="gramStart"/>
      <w:r>
        <w:t xml:space="preserve">admitted episodes of care in hospitals are classified according to a data element called </w:t>
      </w:r>
      <w:r w:rsidR="00D522E6">
        <w:t>“</w:t>
      </w:r>
      <w:r>
        <w:t>Care Type</w:t>
      </w:r>
      <w:r w:rsidR="00D522E6">
        <w:t>”</w:t>
      </w:r>
      <w:r>
        <w:t xml:space="preserve"> and is</w:t>
      </w:r>
      <w:proofErr w:type="gramEnd"/>
      <w:r>
        <w:t xml:space="preserve"> defined in the </w:t>
      </w:r>
      <w:r w:rsidR="00A84303">
        <w:t xml:space="preserve">AIHW </w:t>
      </w:r>
      <w:r>
        <w:t>National Health Data Dictionary</w:t>
      </w:r>
      <w:r w:rsidR="00A84303">
        <w:t>.</w:t>
      </w:r>
      <w:r w:rsidR="00810082">
        <w:t xml:space="preserve"> </w:t>
      </w:r>
      <w:r>
        <w:rPr>
          <w:rStyle w:val="FootnoteReference"/>
        </w:rPr>
        <w:footnoteReference w:id="5"/>
      </w:r>
      <w:r>
        <w:t xml:space="preserve"> Care types are:</w:t>
      </w:r>
    </w:p>
    <w:p w:rsidR="005D2222" w:rsidRDefault="00365253">
      <w:pPr>
        <w:pStyle w:val="ListBullet"/>
      </w:pPr>
      <w:r>
        <w:t>1.0 - Acute care (admitted care)</w:t>
      </w:r>
    </w:p>
    <w:p w:rsidR="005D2222" w:rsidRDefault="00365253">
      <w:pPr>
        <w:pStyle w:val="ListBullet"/>
      </w:pPr>
      <w:r>
        <w:t>2.0 - Rehabilitation care (admitted care)</w:t>
      </w:r>
    </w:p>
    <w:p w:rsidR="005D2222" w:rsidRDefault="00365253">
      <w:pPr>
        <w:pStyle w:val="ListBullet"/>
      </w:pPr>
      <w:r>
        <w:t>3.0 - Palliative care</w:t>
      </w:r>
    </w:p>
    <w:p w:rsidR="005D2222" w:rsidRDefault="00365253">
      <w:pPr>
        <w:pStyle w:val="ListBullet"/>
      </w:pPr>
      <w:r>
        <w:t>4.0 - Geriatric evaluation and management</w:t>
      </w:r>
    </w:p>
    <w:p w:rsidR="005D2222" w:rsidRDefault="00365253">
      <w:pPr>
        <w:pStyle w:val="ListBullet"/>
      </w:pPr>
      <w:r>
        <w:t>5.0 - Psychogeriatric care</w:t>
      </w:r>
    </w:p>
    <w:p w:rsidR="005D2222" w:rsidRDefault="00365253">
      <w:pPr>
        <w:pStyle w:val="ListBullet"/>
      </w:pPr>
      <w:r>
        <w:t>6.0 - Maintenance care</w:t>
      </w:r>
    </w:p>
    <w:p w:rsidR="005D2222" w:rsidRDefault="00365253">
      <w:pPr>
        <w:pStyle w:val="ListBullet"/>
      </w:pPr>
      <w:r>
        <w:t>7.0 - Newborn care</w:t>
      </w:r>
    </w:p>
    <w:p w:rsidR="005D2222" w:rsidRDefault="00365253">
      <w:pPr>
        <w:pStyle w:val="ListBullet"/>
      </w:pPr>
      <w:r>
        <w:t>8.0 - Other admitted patient care</w:t>
      </w:r>
    </w:p>
    <w:p w:rsidR="005D2222" w:rsidRDefault="00365253">
      <w:pPr>
        <w:pStyle w:val="ListBullet"/>
      </w:pPr>
      <w:r>
        <w:t>9.0 - Organ procurement - posthumous (other care)</w:t>
      </w:r>
    </w:p>
    <w:p w:rsidR="005D2222" w:rsidRDefault="00365253">
      <w:pPr>
        <w:pStyle w:val="ListBullet"/>
      </w:pPr>
      <w:r>
        <w:t>10.0 - Hospital boarder (other care)</w:t>
      </w:r>
    </w:p>
    <w:p w:rsidR="00F34CFF" w:rsidRDefault="00E81035" w:rsidP="00F34CFF">
      <w:pPr>
        <w:pStyle w:val="PwCNormal"/>
      </w:pPr>
      <w:r>
        <w:t xml:space="preserve">Acute admitted </w:t>
      </w:r>
      <w:proofErr w:type="gramStart"/>
      <w:r>
        <w:t>care consume</w:t>
      </w:r>
      <w:proofErr w:type="gramEnd"/>
      <w:r>
        <w:t xml:space="preserve"> the vast majority of hospital resources. In 2010/11</w:t>
      </w:r>
      <w:r w:rsidRPr="00FE058E">
        <w:t>, 92</w:t>
      </w:r>
      <w:r w:rsidRPr="00D87AB3">
        <w:rPr>
          <w:b/>
        </w:rPr>
        <w:t>%</w:t>
      </w:r>
      <w:r w:rsidRPr="00FE058E">
        <w:t xml:space="preserve"> of separations and </w:t>
      </w:r>
      <w:r>
        <w:t>86</w:t>
      </w:r>
      <w:r w:rsidRPr="00FE058E">
        <w:t xml:space="preserve">% of patient days relate to care type 1.0 in the private sector, and 93% of separations and </w:t>
      </w:r>
      <w:r>
        <w:t>80</w:t>
      </w:r>
      <w:r w:rsidRPr="00FE058E">
        <w:t>% of patient days in the public sector</w:t>
      </w:r>
      <w:r>
        <w:t>.</w:t>
      </w:r>
      <w:r w:rsidRPr="00FE058E">
        <w:rPr>
          <w:rStyle w:val="FootnoteReference"/>
        </w:rPr>
        <w:footnoteReference w:id="6"/>
      </w:r>
      <w:r w:rsidR="00436A23">
        <w:t xml:space="preserve"> </w:t>
      </w:r>
      <w:r w:rsidR="00162072" w:rsidRPr="00162072">
        <w:rPr>
          <w:b/>
          <w:color w:val="A32020" w:themeColor="text2"/>
        </w:rPr>
        <w:t>Hospitals in-scope</w:t>
      </w:r>
      <w:r w:rsidR="00162072">
        <w:t>: private overnight hospitals with at least 200 acute admitted separations in 2011-12</w:t>
      </w:r>
      <w:r w:rsidR="00B664B2">
        <w:t xml:space="preserve"> </w:t>
      </w:r>
      <w:r w:rsidR="00D522E6">
        <w:t>define the</w:t>
      </w:r>
      <w:r w:rsidR="00B664B2">
        <w:t xml:space="preserve"> population from which the </w:t>
      </w:r>
      <w:r w:rsidR="00D522E6">
        <w:t xml:space="preserve">voluntary </w:t>
      </w:r>
      <w:r w:rsidR="00B664B2">
        <w:t>sample is drawn</w:t>
      </w:r>
      <w:r w:rsidR="00162072">
        <w:t>.</w:t>
      </w:r>
    </w:p>
    <w:p w:rsidR="00C20207" w:rsidRDefault="00C20207" w:rsidP="00F34CFF">
      <w:pPr>
        <w:pStyle w:val="PwCNormal"/>
      </w:pPr>
      <w:r>
        <w:rPr>
          <w:b/>
          <w:color w:val="A32020" w:themeColor="text2"/>
        </w:rPr>
        <w:t>Costs in-scope</w:t>
      </w:r>
      <w:r>
        <w:t xml:space="preserve">: </w:t>
      </w:r>
      <w:r w:rsidR="00D761F5">
        <w:t xml:space="preserve">the costs in-scope associated with patient care are </w:t>
      </w:r>
      <w:r w:rsidR="00945518">
        <w:t>specified</w:t>
      </w:r>
      <w:r w:rsidR="00D761F5">
        <w:t xml:space="preserve"> in the </w:t>
      </w:r>
      <w:r w:rsidR="00D761F5" w:rsidRPr="00D761F5">
        <w:t>Australian Hospital Patient Costing Standards</w:t>
      </w:r>
      <w:r w:rsidR="00D761F5">
        <w:t xml:space="preserve"> v2.0 – 1 March 2011</w:t>
      </w:r>
      <w:r w:rsidR="006351B6">
        <w:t xml:space="preserve"> (“AHPCS v2.0”)</w:t>
      </w:r>
      <w:r w:rsidR="00B24322">
        <w:t>.</w:t>
      </w:r>
      <w:r w:rsidR="00D761F5">
        <w:rPr>
          <w:rStyle w:val="FootnoteReference"/>
        </w:rPr>
        <w:footnoteReference w:id="7"/>
      </w:r>
      <w:r>
        <w:t xml:space="preserve"> </w:t>
      </w:r>
      <w:r w:rsidR="00945518">
        <w:t>The</w:t>
      </w:r>
      <w:r w:rsidR="007C61A6">
        <w:t>se costs</w:t>
      </w:r>
      <w:r w:rsidR="00945518">
        <w:t xml:space="preserve"> are defined as “</w:t>
      </w:r>
      <w:r w:rsidR="00945518" w:rsidRPr="00945518">
        <w:t>all expenditure incurred by or on behalf of the hospital related to day to day delivery of services</w:t>
      </w:r>
      <w:r w:rsidR="00945518">
        <w:t>”</w:t>
      </w:r>
      <w:r w:rsidR="00945518">
        <w:rPr>
          <w:rStyle w:val="FootnoteReference"/>
        </w:rPr>
        <w:footnoteReference w:id="8"/>
      </w:r>
      <w:r w:rsidR="007C61A6">
        <w:t>. This</w:t>
      </w:r>
      <w:r w:rsidR="00945518">
        <w:t xml:space="preserve"> includes an allocation of costs that could be incurred outside the hospital but relate to the delivery of services (e.g. shared service functions). The standards also discuss the types of costs that are excluded from patient costing, such as commercial business entities that might include</w:t>
      </w:r>
      <w:r w:rsidR="007C61A6">
        <w:t xml:space="preserve"> activities such as operating a retail</w:t>
      </w:r>
      <w:r w:rsidR="00945518">
        <w:t xml:space="preserve"> florist</w:t>
      </w:r>
      <w:r w:rsidR="007C61A6">
        <w:t xml:space="preserve"> </w:t>
      </w:r>
      <w:r w:rsidR="007C61A6">
        <w:lastRenderedPageBreak/>
        <w:t>business</w:t>
      </w:r>
      <w:r w:rsidR="00945518">
        <w:t xml:space="preserve">, commercial parking, and child care centres. </w:t>
      </w:r>
      <w:r w:rsidR="00544B43">
        <w:t xml:space="preserve">Hospitals were requested to submit costs that comply with </w:t>
      </w:r>
      <w:r w:rsidR="00B058D2">
        <w:t xml:space="preserve">the AHPCS v2.0 </w:t>
      </w:r>
      <w:r w:rsidR="00AB05D4">
        <w:t xml:space="preserve">to </w:t>
      </w:r>
      <w:r w:rsidR="00151CF3">
        <w:t xml:space="preserve">support </w:t>
      </w:r>
      <w:r w:rsidR="00AB05D4">
        <w:t xml:space="preserve">consistency </w:t>
      </w:r>
      <w:r w:rsidR="009F2FAE">
        <w:t xml:space="preserve">in the input data used to </w:t>
      </w:r>
      <w:r w:rsidR="00AB05D4">
        <w:t>calculat</w:t>
      </w:r>
      <w:r w:rsidR="007C61A6">
        <w:t>e</w:t>
      </w:r>
      <w:r w:rsidR="00AB05D4">
        <w:t xml:space="preserve"> the cost weights.</w:t>
      </w:r>
    </w:p>
    <w:p w:rsidR="00567B69" w:rsidRPr="00D675EE" w:rsidRDefault="00D87AB3" w:rsidP="00446789">
      <w:pPr>
        <w:pStyle w:val="Heading2"/>
      </w:pPr>
      <w:bookmarkStart w:id="15" w:name="_Toc356829278"/>
      <w:r w:rsidRPr="00D675EE">
        <w:t>History of the</w:t>
      </w:r>
      <w:r w:rsidR="000257C8" w:rsidRPr="00D675EE">
        <w:t xml:space="preserve"> </w:t>
      </w:r>
      <w:r w:rsidR="00A32544" w:rsidRPr="00D675EE">
        <w:t xml:space="preserve">Private Sector </w:t>
      </w:r>
      <w:r w:rsidR="000257C8" w:rsidRPr="00D675EE">
        <w:t>NHCDC</w:t>
      </w:r>
      <w:bookmarkEnd w:id="15"/>
    </w:p>
    <w:p w:rsidR="004C7739" w:rsidRPr="001A55E5" w:rsidRDefault="00D87AB3" w:rsidP="00F34CFF">
      <w:pPr>
        <w:pStyle w:val="PwCNormal"/>
      </w:pPr>
      <w:r>
        <w:t>Round 1 of the NHCDC was conducted in 1996-97 with 23 hospitals and 240,000 episodes being represented. Since then, the collection has grown steadily although n</w:t>
      </w:r>
      <w:r w:rsidR="005E5607">
        <w:t xml:space="preserve">o publication was released </w:t>
      </w:r>
      <w:r w:rsidR="00D95E08">
        <w:t xml:space="preserve">for </w:t>
      </w:r>
      <w:r w:rsidR="005E5607" w:rsidRPr="001A55E5">
        <w:t xml:space="preserve">round </w:t>
      </w:r>
      <w:r w:rsidR="00D95E08">
        <w:t>8, 9, or</w:t>
      </w:r>
      <w:r w:rsidR="005E5607">
        <w:t xml:space="preserve"> </w:t>
      </w:r>
      <w:r w:rsidR="005E5607" w:rsidRPr="001A55E5">
        <w:t>Round</w:t>
      </w:r>
      <w:r w:rsidR="005E5607">
        <w:t>s</w:t>
      </w:r>
      <w:r w:rsidR="005E5607" w:rsidRPr="001A55E5">
        <w:t xml:space="preserve"> </w:t>
      </w:r>
      <w:r w:rsidR="005E5607">
        <w:t xml:space="preserve">14 </w:t>
      </w:r>
      <w:r w:rsidR="005E5607" w:rsidRPr="001A55E5">
        <w:t xml:space="preserve">due to </w:t>
      </w:r>
      <w:r w:rsidR="005E5607">
        <w:t xml:space="preserve">low </w:t>
      </w:r>
      <w:r w:rsidR="005E5607" w:rsidRPr="001A55E5">
        <w:t>participation rates</w:t>
      </w:r>
      <w:r w:rsidR="005E5607">
        <w:t>. No collection was carried out for Round 1</w:t>
      </w:r>
      <w:r w:rsidR="00EC4185">
        <w:t>0 or Round 1</w:t>
      </w:r>
      <w:r w:rsidR="005E5607">
        <w:t>5 (2010-11) as</w:t>
      </w:r>
      <w:r w:rsidR="005E5607" w:rsidRPr="001A55E5">
        <w:t xml:space="preserve"> the sector elect</w:t>
      </w:r>
      <w:r w:rsidR="005E5607">
        <w:t>ed</w:t>
      </w:r>
      <w:r w:rsidR="005E5607" w:rsidRPr="001A55E5">
        <w:t xml:space="preserve"> to bypass </w:t>
      </w:r>
      <w:r w:rsidR="005E5607">
        <w:t xml:space="preserve">that </w:t>
      </w:r>
      <w:r w:rsidR="005E5607" w:rsidRPr="001A55E5">
        <w:t xml:space="preserve">year and move directly to </w:t>
      </w:r>
      <w:r w:rsidR="00EC4185">
        <w:t>the following round</w:t>
      </w:r>
      <w:r w:rsidR="005E5607" w:rsidRPr="001A55E5">
        <w:t xml:space="preserve">. </w:t>
      </w:r>
      <w:r w:rsidR="00A55F1A" w:rsidRPr="001A55E5">
        <w:t>The table below shows</w:t>
      </w:r>
      <w:r w:rsidR="005E5607">
        <w:t xml:space="preserve"> the participation rate </w:t>
      </w:r>
      <w:r>
        <w:t xml:space="preserve">for Round 16 </w:t>
      </w:r>
      <w:r w:rsidR="005E5607">
        <w:t>and the last four published rounds.</w:t>
      </w:r>
    </w:p>
    <w:p w:rsidR="00A55F1A" w:rsidRPr="001A55E5" w:rsidRDefault="002A3FAD" w:rsidP="002A3FAD">
      <w:pPr>
        <w:pStyle w:val="Caption"/>
      </w:pPr>
      <w:r w:rsidRPr="001A55E5">
        <w:t xml:space="preserve">Table </w:t>
      </w:r>
      <w:r w:rsidR="00D502C6" w:rsidRPr="001A55E5">
        <w:fldChar w:fldCharType="begin"/>
      </w:r>
      <w:r w:rsidR="00324258" w:rsidRPr="001A55E5">
        <w:instrText xml:space="preserve"> SEQ Table \* ARABIC </w:instrText>
      </w:r>
      <w:r w:rsidR="00D502C6" w:rsidRPr="001A55E5">
        <w:fldChar w:fldCharType="separate"/>
      </w:r>
      <w:r w:rsidR="00953F50">
        <w:rPr>
          <w:noProof/>
        </w:rPr>
        <w:t>2</w:t>
      </w:r>
      <w:r w:rsidR="00D502C6" w:rsidRPr="001A55E5">
        <w:fldChar w:fldCharType="end"/>
      </w:r>
      <w:r w:rsidRPr="001A55E5">
        <w:tab/>
        <w:t>Summary of private hospital participation</w:t>
      </w:r>
      <w:r w:rsidR="00A55F1A" w:rsidRPr="001A55E5">
        <w:t xml:space="preserve"> </w:t>
      </w:r>
    </w:p>
    <w:tbl>
      <w:tblPr>
        <w:tblStyle w:val="Tables-APBase"/>
        <w:tblW w:w="8737" w:type="dxa"/>
        <w:tblLook w:val="04A0" w:firstRow="1" w:lastRow="0" w:firstColumn="1" w:lastColumn="0" w:noHBand="0" w:noVBand="1"/>
      </w:tblPr>
      <w:tblGrid>
        <w:gridCol w:w="1526"/>
        <w:gridCol w:w="1475"/>
        <w:gridCol w:w="1405"/>
        <w:gridCol w:w="1449"/>
        <w:gridCol w:w="1470"/>
        <w:gridCol w:w="1412"/>
      </w:tblGrid>
      <w:tr w:rsidR="00B521F5" w:rsidRPr="001A55E5" w:rsidTr="00254D4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26" w:type="dxa"/>
            <w:shd w:val="clear" w:color="auto" w:fill="A32020" w:themeFill="text2"/>
          </w:tcPr>
          <w:p w:rsidR="00823FE8" w:rsidRPr="001A55E5" w:rsidRDefault="00823FE8" w:rsidP="00260D71">
            <w:pPr>
              <w:pStyle w:val="PwCNormal"/>
              <w:rPr>
                <w:b/>
                <w:color w:val="FFFFFF" w:themeColor="background1"/>
              </w:rPr>
            </w:pPr>
          </w:p>
        </w:tc>
        <w:tc>
          <w:tcPr>
            <w:tcW w:w="1475" w:type="dxa"/>
            <w:shd w:val="clear" w:color="auto" w:fill="A32020" w:themeFill="text2"/>
          </w:tcPr>
          <w:p w:rsidR="00823FE8" w:rsidRPr="003F3720"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pPr>
            <w:r w:rsidRPr="001A55E5">
              <w:rPr>
                <w:b/>
                <w:color w:val="FFFFFF" w:themeColor="background1"/>
              </w:rPr>
              <w:t>Round 7</w:t>
            </w:r>
          </w:p>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(2003-04)</w:t>
            </w:r>
          </w:p>
        </w:tc>
        <w:tc>
          <w:tcPr>
            <w:tcW w:w="1405" w:type="dxa"/>
            <w:shd w:val="clear" w:color="auto" w:fill="A32020" w:themeFill="text2"/>
          </w:tcPr>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Round 11</w:t>
            </w:r>
          </w:p>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(2006-07)</w:t>
            </w:r>
          </w:p>
        </w:tc>
        <w:tc>
          <w:tcPr>
            <w:tcW w:w="1449" w:type="dxa"/>
            <w:shd w:val="clear" w:color="auto" w:fill="A32020" w:themeFill="text2"/>
          </w:tcPr>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Round 12</w:t>
            </w:r>
          </w:p>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(2006-07)</w:t>
            </w:r>
          </w:p>
        </w:tc>
        <w:tc>
          <w:tcPr>
            <w:tcW w:w="1470" w:type="dxa"/>
            <w:shd w:val="clear" w:color="auto" w:fill="A32020" w:themeFill="text2"/>
          </w:tcPr>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Round 13</w:t>
            </w:r>
          </w:p>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(2008-09)</w:t>
            </w:r>
          </w:p>
        </w:tc>
        <w:tc>
          <w:tcPr>
            <w:tcW w:w="1412" w:type="dxa"/>
            <w:shd w:val="clear" w:color="auto" w:fill="A32020" w:themeFill="text2"/>
          </w:tcPr>
          <w:p w:rsidR="00823FE8" w:rsidRPr="001A55E5" w:rsidRDefault="00823FE8" w:rsidP="00260D71">
            <w:pPr>
              <w:pStyle w:val="PwCNormal"/>
              <w:spacing w:after="0"/>
              <w:cnfStyle w:val="100000000000" w:firstRow="1" w:lastRow="0" w:firstColumn="0" w:lastColumn="0" w:oddVBand="0" w:evenVBand="0" w:oddHBand="0" w:evenHBand="0" w:firstRowFirstColumn="0" w:firstRowLastColumn="0" w:lastRowFirstColumn="0" w:lastRowLastColumn="0"/>
              <w:rPr>
                <w:b/>
                <w:color w:val="FFFFFF" w:themeColor="background1"/>
              </w:rPr>
            </w:pPr>
            <w:r w:rsidRPr="001A55E5">
              <w:rPr>
                <w:b/>
                <w:color w:val="FFFFFF" w:themeColor="background1"/>
              </w:rPr>
              <w:t>Round 16 (2011-12)</w:t>
            </w:r>
          </w:p>
        </w:tc>
      </w:tr>
      <w:tr w:rsidR="00B521F5" w:rsidRPr="001A55E5" w:rsidTr="007B7EAC">
        <w:trPr>
          <w:trHeight w:val="623"/>
        </w:trPr>
        <w:tc>
          <w:tcPr>
            <w:tcW w:w="1526" w:type="dxa"/>
          </w:tcPr>
          <w:p w:rsidR="00823FE8" w:rsidRPr="001A55E5" w:rsidRDefault="00823FE8" w:rsidP="00260D71">
            <w:pPr>
              <w:pStyle w:val="PwCNormal"/>
            </w:pPr>
            <w:r w:rsidRPr="001A55E5">
              <w:t>Number of hospitals</w:t>
            </w:r>
          </w:p>
        </w:tc>
        <w:tc>
          <w:tcPr>
            <w:tcW w:w="1475" w:type="dxa"/>
          </w:tcPr>
          <w:p w:rsidR="00823FE8" w:rsidRPr="001A55E5" w:rsidRDefault="00823FE8" w:rsidP="00260D71">
            <w:pPr>
              <w:pStyle w:val="PwCNormal"/>
              <w:jc w:val="right"/>
            </w:pPr>
            <w:r w:rsidRPr="001A55E5">
              <w:t>113</w:t>
            </w:r>
          </w:p>
        </w:tc>
        <w:tc>
          <w:tcPr>
            <w:tcW w:w="1405" w:type="dxa"/>
          </w:tcPr>
          <w:p w:rsidR="00823FE8" w:rsidRPr="001A55E5" w:rsidRDefault="00823FE8" w:rsidP="00260D71">
            <w:pPr>
              <w:pStyle w:val="PwCNormal"/>
              <w:jc w:val="right"/>
            </w:pPr>
            <w:r w:rsidRPr="001A55E5">
              <w:t>82</w:t>
            </w:r>
          </w:p>
        </w:tc>
        <w:tc>
          <w:tcPr>
            <w:tcW w:w="1449" w:type="dxa"/>
          </w:tcPr>
          <w:p w:rsidR="00823FE8" w:rsidRPr="001A55E5" w:rsidRDefault="00823FE8" w:rsidP="00260D71">
            <w:pPr>
              <w:pStyle w:val="PwCNormal"/>
              <w:jc w:val="right"/>
            </w:pPr>
            <w:r w:rsidRPr="001A55E5">
              <w:t>109</w:t>
            </w:r>
          </w:p>
        </w:tc>
        <w:tc>
          <w:tcPr>
            <w:tcW w:w="1470" w:type="dxa"/>
          </w:tcPr>
          <w:p w:rsidR="00823FE8" w:rsidRPr="001A55E5" w:rsidRDefault="00823FE8" w:rsidP="00260D71">
            <w:pPr>
              <w:pStyle w:val="PwCNormal"/>
              <w:jc w:val="right"/>
            </w:pPr>
            <w:r w:rsidRPr="001A55E5">
              <w:t>110</w:t>
            </w:r>
          </w:p>
        </w:tc>
        <w:tc>
          <w:tcPr>
            <w:tcW w:w="1412" w:type="dxa"/>
          </w:tcPr>
          <w:p w:rsidR="009A2AC6" w:rsidRDefault="003C3952">
            <w:pPr>
              <w:pStyle w:val="PwCNormal"/>
              <w:jc w:val="right"/>
            </w:pPr>
            <w:r w:rsidRPr="001A55E5">
              <w:t>10</w:t>
            </w:r>
            <w:r w:rsidR="002A5202">
              <w:t>5</w:t>
            </w:r>
          </w:p>
        </w:tc>
      </w:tr>
      <w:tr w:rsidR="00B521F5" w:rsidRPr="001A55E5" w:rsidTr="00254D4F">
        <w:tc>
          <w:tcPr>
            <w:tcW w:w="1526" w:type="dxa"/>
          </w:tcPr>
          <w:p w:rsidR="0087407A" w:rsidRPr="001A55E5" w:rsidRDefault="00B521F5" w:rsidP="00260D71">
            <w:pPr>
              <w:pStyle w:val="PwCNormal"/>
            </w:pPr>
            <w:r w:rsidRPr="001A55E5">
              <w:t xml:space="preserve">Sample </w:t>
            </w:r>
            <w:r w:rsidR="0087407A" w:rsidRPr="001A55E5">
              <w:t>separations</w:t>
            </w:r>
          </w:p>
        </w:tc>
        <w:tc>
          <w:tcPr>
            <w:tcW w:w="1475" w:type="dxa"/>
          </w:tcPr>
          <w:p w:rsidR="0087407A" w:rsidRPr="001A55E5" w:rsidRDefault="00B521F5" w:rsidP="00260D71">
            <w:pPr>
              <w:pStyle w:val="PwCNormal"/>
              <w:jc w:val="right"/>
            </w:pPr>
            <w:r w:rsidRPr="001A55E5">
              <w:t>1,240,388</w:t>
            </w:r>
          </w:p>
        </w:tc>
        <w:tc>
          <w:tcPr>
            <w:tcW w:w="1405" w:type="dxa"/>
          </w:tcPr>
          <w:p w:rsidR="0087407A" w:rsidRPr="001A55E5" w:rsidRDefault="00B521F5" w:rsidP="00260D71">
            <w:pPr>
              <w:pStyle w:val="PwCNormal"/>
              <w:jc w:val="right"/>
            </w:pPr>
            <w:r w:rsidRPr="001A55E5">
              <w:t>1,297,147</w:t>
            </w:r>
          </w:p>
        </w:tc>
        <w:tc>
          <w:tcPr>
            <w:tcW w:w="1449" w:type="dxa"/>
          </w:tcPr>
          <w:p w:rsidR="0087407A" w:rsidRPr="001A55E5" w:rsidRDefault="00B521F5" w:rsidP="00260D71">
            <w:pPr>
              <w:pStyle w:val="PwCNormal"/>
              <w:jc w:val="right"/>
            </w:pPr>
            <w:r w:rsidRPr="001A55E5">
              <w:t>1,607,678</w:t>
            </w:r>
          </w:p>
        </w:tc>
        <w:tc>
          <w:tcPr>
            <w:tcW w:w="1470" w:type="dxa"/>
          </w:tcPr>
          <w:p w:rsidR="0087407A" w:rsidRPr="001A55E5" w:rsidRDefault="00B521F5" w:rsidP="00260D71">
            <w:pPr>
              <w:pStyle w:val="PwCNormal"/>
              <w:jc w:val="right"/>
            </w:pPr>
            <w:r w:rsidRPr="001A55E5">
              <w:t>1,648,989</w:t>
            </w:r>
          </w:p>
        </w:tc>
        <w:tc>
          <w:tcPr>
            <w:tcW w:w="1412" w:type="dxa"/>
          </w:tcPr>
          <w:p w:rsidR="008C0A20" w:rsidRDefault="003C3952">
            <w:pPr>
              <w:pStyle w:val="PwCNormal"/>
              <w:jc w:val="right"/>
            </w:pPr>
            <w:r w:rsidRPr="001A55E5">
              <w:t>1,7</w:t>
            </w:r>
            <w:r w:rsidR="002A5202">
              <w:t>7</w:t>
            </w:r>
            <w:r w:rsidR="00D20C01">
              <w:t>5</w:t>
            </w:r>
            <w:r w:rsidRPr="001A55E5">
              <w:t>,</w:t>
            </w:r>
            <w:r w:rsidR="00D20C01">
              <w:t>059</w:t>
            </w:r>
          </w:p>
        </w:tc>
      </w:tr>
      <w:tr w:rsidR="00B521F5" w:rsidRPr="001A55E5" w:rsidTr="00254D4F">
        <w:tc>
          <w:tcPr>
            <w:tcW w:w="1526" w:type="dxa"/>
          </w:tcPr>
          <w:p w:rsidR="00823FE8" w:rsidRPr="001A55E5" w:rsidRDefault="00823FE8" w:rsidP="00260D71">
            <w:pPr>
              <w:pStyle w:val="PwCNormal"/>
            </w:pPr>
            <w:r w:rsidRPr="001A55E5">
              <w:t>Percentage of separations</w:t>
            </w:r>
          </w:p>
        </w:tc>
        <w:tc>
          <w:tcPr>
            <w:tcW w:w="1475" w:type="dxa"/>
          </w:tcPr>
          <w:p w:rsidR="00823FE8" w:rsidRPr="001A55E5" w:rsidRDefault="003C3952" w:rsidP="00260D71">
            <w:pPr>
              <w:pStyle w:val="PwCNormal"/>
              <w:jc w:val="right"/>
            </w:pPr>
            <w:r w:rsidRPr="001A55E5">
              <w:t>65%</w:t>
            </w:r>
          </w:p>
        </w:tc>
        <w:tc>
          <w:tcPr>
            <w:tcW w:w="1405" w:type="dxa"/>
          </w:tcPr>
          <w:p w:rsidR="00823FE8" w:rsidRPr="001A55E5" w:rsidRDefault="003C3952" w:rsidP="00260D71">
            <w:pPr>
              <w:pStyle w:val="PwCNormal"/>
              <w:jc w:val="right"/>
            </w:pPr>
            <w:r w:rsidRPr="001A55E5">
              <w:t>59%</w:t>
            </w:r>
          </w:p>
        </w:tc>
        <w:tc>
          <w:tcPr>
            <w:tcW w:w="1449" w:type="dxa"/>
          </w:tcPr>
          <w:p w:rsidR="00823FE8" w:rsidRPr="001A55E5" w:rsidRDefault="003C3952" w:rsidP="00260D71">
            <w:pPr>
              <w:pStyle w:val="PwCNormal"/>
              <w:jc w:val="right"/>
            </w:pPr>
            <w:r w:rsidRPr="001A55E5">
              <w:t>72%</w:t>
            </w:r>
          </w:p>
        </w:tc>
        <w:tc>
          <w:tcPr>
            <w:tcW w:w="1470" w:type="dxa"/>
          </w:tcPr>
          <w:p w:rsidR="00823FE8" w:rsidRPr="001A55E5" w:rsidRDefault="003C3952" w:rsidP="00260D71">
            <w:pPr>
              <w:pStyle w:val="PwCNormal"/>
              <w:jc w:val="right"/>
            </w:pPr>
            <w:r w:rsidRPr="001A55E5">
              <w:t>71%</w:t>
            </w:r>
          </w:p>
        </w:tc>
        <w:tc>
          <w:tcPr>
            <w:tcW w:w="1412" w:type="dxa"/>
          </w:tcPr>
          <w:p w:rsidR="009A2AC6" w:rsidRDefault="003C3952">
            <w:pPr>
              <w:pStyle w:val="PwCNormal"/>
              <w:jc w:val="right"/>
            </w:pPr>
            <w:r w:rsidRPr="001A55E5">
              <w:t>6</w:t>
            </w:r>
            <w:r w:rsidR="002A5202">
              <w:t>6</w:t>
            </w:r>
            <w:r w:rsidRPr="001A55E5">
              <w:t>%</w:t>
            </w:r>
          </w:p>
        </w:tc>
      </w:tr>
      <w:tr w:rsidR="00B521F5" w:rsidRPr="001A55E5" w:rsidTr="00254D4F">
        <w:tc>
          <w:tcPr>
            <w:tcW w:w="1526" w:type="dxa"/>
          </w:tcPr>
          <w:p w:rsidR="002A2932" w:rsidRPr="001A55E5" w:rsidRDefault="002A2932" w:rsidP="00260D71">
            <w:pPr>
              <w:pStyle w:val="PwCNormal"/>
            </w:pPr>
            <w:r w:rsidRPr="001A55E5">
              <w:t>AR-DRG version</w:t>
            </w:r>
          </w:p>
        </w:tc>
        <w:tc>
          <w:tcPr>
            <w:tcW w:w="1475" w:type="dxa"/>
          </w:tcPr>
          <w:p w:rsidR="002A2932" w:rsidRPr="001A55E5" w:rsidRDefault="002A2932" w:rsidP="00260D71">
            <w:pPr>
              <w:pStyle w:val="PwCNormal"/>
              <w:jc w:val="right"/>
            </w:pPr>
            <w:r w:rsidRPr="001A55E5">
              <w:t>4.2</w:t>
            </w:r>
          </w:p>
        </w:tc>
        <w:tc>
          <w:tcPr>
            <w:tcW w:w="1405" w:type="dxa"/>
          </w:tcPr>
          <w:p w:rsidR="002A2932" w:rsidRPr="001A55E5" w:rsidRDefault="002A2932" w:rsidP="00260D71">
            <w:pPr>
              <w:pStyle w:val="PwCNormal"/>
              <w:jc w:val="right"/>
            </w:pPr>
            <w:r w:rsidRPr="001A55E5">
              <w:t>4.2</w:t>
            </w:r>
          </w:p>
        </w:tc>
        <w:tc>
          <w:tcPr>
            <w:tcW w:w="1449" w:type="dxa"/>
          </w:tcPr>
          <w:p w:rsidR="002A2932" w:rsidRPr="001A55E5" w:rsidRDefault="002A2932" w:rsidP="00260D71">
            <w:pPr>
              <w:pStyle w:val="PwCNormal"/>
              <w:jc w:val="right"/>
            </w:pPr>
            <w:r w:rsidRPr="001A55E5">
              <w:t>4.2</w:t>
            </w:r>
          </w:p>
        </w:tc>
        <w:tc>
          <w:tcPr>
            <w:tcW w:w="1470" w:type="dxa"/>
          </w:tcPr>
          <w:p w:rsidR="002A2932" w:rsidRPr="001A55E5" w:rsidRDefault="002A2932" w:rsidP="00260D71">
            <w:pPr>
              <w:pStyle w:val="PwCNormal"/>
              <w:jc w:val="right"/>
            </w:pPr>
            <w:r w:rsidRPr="001A55E5">
              <w:t>5.1</w:t>
            </w:r>
          </w:p>
        </w:tc>
        <w:tc>
          <w:tcPr>
            <w:tcW w:w="1412" w:type="dxa"/>
          </w:tcPr>
          <w:p w:rsidR="002A2932" w:rsidRPr="001A55E5" w:rsidRDefault="002A2932" w:rsidP="00260D71">
            <w:pPr>
              <w:pStyle w:val="PwCNormal"/>
              <w:jc w:val="right"/>
            </w:pPr>
            <w:r w:rsidRPr="001A55E5">
              <w:t>6.0x</w:t>
            </w:r>
          </w:p>
        </w:tc>
      </w:tr>
    </w:tbl>
    <w:p w:rsidR="00726F18" w:rsidRDefault="00726F18">
      <w:pPr>
        <w:kinsoku/>
        <w:overflowPunct/>
        <w:autoSpaceDE/>
        <w:autoSpaceDN/>
        <w:adjustRightInd/>
        <w:snapToGrid/>
      </w:pPr>
    </w:p>
    <w:p w:rsidR="003B3ED4" w:rsidRPr="00D675EE" w:rsidRDefault="00725DA6" w:rsidP="00446789">
      <w:pPr>
        <w:pStyle w:val="Heading2"/>
      </w:pPr>
      <w:bookmarkStart w:id="16" w:name="_Toc356829279"/>
      <w:r w:rsidRPr="00D675EE">
        <w:t>Public and private sector differences</w:t>
      </w:r>
      <w:bookmarkEnd w:id="16"/>
    </w:p>
    <w:p w:rsidR="00725DA6" w:rsidRPr="00725DA6" w:rsidRDefault="00F23230" w:rsidP="00F34CFF">
      <w:pPr>
        <w:pStyle w:val="PwCNormal"/>
      </w:pPr>
      <w:r>
        <w:t>This report does not seek to compare</w:t>
      </w:r>
      <w:r w:rsidR="00F028AD" w:rsidRPr="001A55E5">
        <w:t xml:space="preserve"> the average cost per separation between the public and private sectors, as the range of costs between the two sectors is different. </w:t>
      </w:r>
      <w:r w:rsidR="00365903" w:rsidRPr="001A55E5">
        <w:t xml:space="preserve">Many of the cost items present in the public sector such as Medical Salaries, Pathology, Pharmacy, Imaging or Allied Health are not equally represented in Private </w:t>
      </w:r>
      <w:r w:rsidR="005541D7" w:rsidRPr="001A55E5">
        <w:t xml:space="preserve">Hospital </w:t>
      </w:r>
      <w:r w:rsidR="00365903" w:rsidRPr="001A55E5">
        <w:t xml:space="preserve">general ledgers. </w:t>
      </w:r>
      <w:r w:rsidR="00F028AD" w:rsidRPr="001A55E5">
        <w:t>For example, imaging and pathology costs are generally not reported for the private sector</w:t>
      </w:r>
      <w:r w:rsidR="00F028AD">
        <w:t xml:space="preserve"> because the majority of hospitals are outsourcing these services</w:t>
      </w:r>
      <w:r w:rsidR="009B15D8">
        <w:t xml:space="preserve"> and patients pay for these services directly</w:t>
      </w:r>
      <w:r w:rsidR="00F028AD">
        <w:t xml:space="preserve">. Many patients make private arrangements and they are charged on a fee-for-service basis. As a result, these costs are not reported in a hospital’s general ledger. Medical costs are also generally </w:t>
      </w:r>
      <w:r w:rsidR="009B15D8">
        <w:t xml:space="preserve">charged direct to patients by providers </w:t>
      </w:r>
      <w:r w:rsidR="00F028AD">
        <w:t xml:space="preserve">on a fee-for-service basis. Training of medical officers is </w:t>
      </w:r>
      <w:r w:rsidR="00F846B7">
        <w:t xml:space="preserve">generally </w:t>
      </w:r>
      <w:r w:rsidR="00F028AD">
        <w:t>not a feature of the private sector, and accordingly salaried medical officers are not represented within the cost files unless there is an intensive care unit or emergency department,</w:t>
      </w:r>
      <w:r w:rsidR="00365903">
        <w:t xml:space="preserve"> </w:t>
      </w:r>
      <w:r w:rsidR="00F028AD">
        <w:t>where an around-the-clock medical practitioner is required.</w:t>
      </w:r>
    </w:p>
    <w:p w:rsidR="004F3859" w:rsidRPr="00D675EE" w:rsidRDefault="004F3859" w:rsidP="00446789">
      <w:pPr>
        <w:pStyle w:val="Heading2"/>
      </w:pPr>
      <w:bookmarkStart w:id="17" w:name="_Toc356829280"/>
      <w:r w:rsidRPr="00D675EE">
        <w:t>Confidentiality of data</w:t>
      </w:r>
      <w:bookmarkEnd w:id="17"/>
    </w:p>
    <w:p w:rsidR="004F3859" w:rsidRPr="004F3859" w:rsidRDefault="00225BF4" w:rsidP="00F34CFF">
      <w:pPr>
        <w:pStyle w:val="PwCNormal"/>
      </w:pPr>
      <w:r>
        <w:t>Due to the commercial nature of the sector, all participating hospitals in Round 16 are assured that hospital level data will not be released in any form without the prior, written permission of the organisation from which the data originated. Where a cost weight reported for a DRG is based on less than five separations, the figures for this cost weight have been replaced by asterisks (*****). If the number of contributing hospitals for a particular DRG is less than three, the figures for this cost weight have been replaced by dashes (-----).</w:t>
      </w:r>
    </w:p>
    <w:p w:rsidR="00D522E6" w:rsidRPr="00D675EE" w:rsidRDefault="00D522E6" w:rsidP="00446789">
      <w:pPr>
        <w:pStyle w:val="Heading2"/>
      </w:pPr>
      <w:bookmarkStart w:id="18" w:name="_Toc356829281"/>
      <w:proofErr w:type="spellStart"/>
      <w:r w:rsidRPr="00D675EE">
        <w:t>Reliances</w:t>
      </w:r>
      <w:proofErr w:type="spellEnd"/>
      <w:r w:rsidRPr="00D675EE">
        <w:t xml:space="preserve"> and limitations</w:t>
      </w:r>
      <w:bookmarkEnd w:id="18"/>
    </w:p>
    <w:p w:rsidR="00F34CFF" w:rsidRDefault="00C46CA8" w:rsidP="00F34CFF">
      <w:pPr>
        <w:pStyle w:val="PwCNormal"/>
      </w:pPr>
      <w:r>
        <w:t>PwC have performed data checks and reasonableness tests at several stages of the costing process: at data submission, during the costing process, and on the aggregated data at the end of the process. However, this information has not been audited. The collection also required signoffs from hospitals during the costing process. A description of the checks is provided throughout this report.</w:t>
      </w:r>
    </w:p>
    <w:p w:rsidR="00C46CA8" w:rsidRDefault="00C46CA8" w:rsidP="00C46CA8">
      <w:pPr>
        <w:pStyle w:val="BodyText"/>
      </w:pPr>
      <w:r>
        <w:lastRenderedPageBreak/>
        <w:t>The following areas can have a material impact on the reported costs and cost weights. PwC have relied upon information supplied by hospitals in the following areas:</w:t>
      </w:r>
    </w:p>
    <w:p w:rsidR="00C46CA8" w:rsidRDefault="00C46CA8" w:rsidP="00F34CFF">
      <w:pPr>
        <w:pStyle w:val="PwCNormal"/>
      </w:pPr>
      <w:r>
        <w:t>Hospitals were requested to report costs that comply with the AHPCS v2.0. A review of the extent to which the costs reported by hospitals comply with the AHPCS v2.0 was out of scope of this project, and we have assumed that the costs reported by hospitals comply with those standards;</w:t>
      </w:r>
    </w:p>
    <w:p w:rsidR="00C46CA8" w:rsidRDefault="00C46CA8" w:rsidP="00F34CFF">
      <w:pPr>
        <w:pStyle w:val="PwCNormal"/>
      </w:pPr>
      <w:r>
        <w:t>The mapping of cost general ledger accounts to cost areas was performed by the participant hospitals. PwC have relied upon these mappings in the production of the cost dataset but training was provided;</w:t>
      </w:r>
    </w:p>
    <w:p w:rsidR="00F34CFF" w:rsidRDefault="00C46CA8" w:rsidP="00F34CFF">
      <w:pPr>
        <w:pStyle w:val="PwCNormal"/>
      </w:pPr>
      <w:r>
        <w:t>Inpatient fractions: this fraction is assigned to each cost centre by participant hospitals and denotes the proportion of costs related to inpatient care. These fractions have a significant effect on the reported results as the fractions determine the cost base that is to be allocated to patients.</w:t>
      </w:r>
    </w:p>
    <w:p w:rsidR="00C46CA8" w:rsidRDefault="00C46CA8" w:rsidP="00F34CFF">
      <w:pPr>
        <w:pStyle w:val="PwCNormal"/>
      </w:pPr>
      <w:r>
        <w:t>This Report has been prepared by PricewaterhouseCoopers Australia (PwC) at the request of IHPA in our capacity as advisors in accordance with the Terms of Reference and Terms and Conditions contained in the contract between IHPA and PwC.</w:t>
      </w:r>
    </w:p>
    <w:p w:rsidR="00C46CA8" w:rsidRDefault="00C46CA8" w:rsidP="00F34CFF">
      <w:pPr>
        <w:pStyle w:val="PwCNormal"/>
      </w:pPr>
      <w:r>
        <w:t xml:space="preserve">This document is not intended to be used or relied upon by any persons other than IHPA, </w:t>
      </w:r>
      <w:proofErr w:type="gramStart"/>
      <w:r>
        <w:t>nor</w:t>
      </w:r>
      <w:proofErr w:type="gramEnd"/>
      <w:r>
        <w:t xml:space="preserve"> to be used for any purpose other than that articulated in the Terms of Reference. Accordingly, PwC accept no responsibility in any way whatsoever for the use of this report by any other persons or for any other purpose.</w:t>
      </w:r>
    </w:p>
    <w:p w:rsidR="00C46CA8" w:rsidRDefault="00C46CA8" w:rsidP="00F34CFF">
      <w:pPr>
        <w:pStyle w:val="PwCNormal"/>
      </w:pPr>
      <w:r>
        <w:t xml:space="preserve">Accordingly, whilst the statements made in this report are given in good faith, PwC accept no responsibility for any errors in the information provided </w:t>
      </w:r>
      <w:proofErr w:type="gramStart"/>
      <w:r>
        <w:t>to us</w:t>
      </w:r>
      <w:proofErr w:type="gramEnd"/>
      <w:r>
        <w:t xml:space="preserve"> nor the effect of any such errors on our analysis, suggestions or report.</w:t>
      </w:r>
    </w:p>
    <w:p w:rsidR="002F6082" w:rsidRDefault="00075C1A" w:rsidP="00446789">
      <w:pPr>
        <w:pStyle w:val="Heading1-Accessibility"/>
      </w:pPr>
      <w:bookmarkStart w:id="19" w:name="_Toc356304670"/>
      <w:bookmarkStart w:id="20" w:name="_Toc356304671"/>
      <w:bookmarkStart w:id="21" w:name="_Toc356304672"/>
      <w:bookmarkStart w:id="22" w:name="_Toc356304673"/>
      <w:bookmarkStart w:id="23" w:name="_Toc356304674"/>
      <w:bookmarkStart w:id="24" w:name="_Toc356304675"/>
      <w:bookmarkStart w:id="25" w:name="_Toc356304676"/>
      <w:bookmarkStart w:id="26" w:name="_Toc356304677"/>
      <w:bookmarkStart w:id="27" w:name="_Toc356829282"/>
      <w:bookmarkEnd w:id="19"/>
      <w:bookmarkEnd w:id="20"/>
      <w:bookmarkEnd w:id="21"/>
      <w:bookmarkEnd w:id="22"/>
      <w:bookmarkEnd w:id="23"/>
      <w:bookmarkEnd w:id="24"/>
      <w:bookmarkEnd w:id="25"/>
      <w:bookmarkEnd w:id="26"/>
      <w:r>
        <w:lastRenderedPageBreak/>
        <w:t>M</w:t>
      </w:r>
      <w:r w:rsidR="00B31D68">
        <w:t>ethodology</w:t>
      </w:r>
      <w:bookmarkEnd w:id="27"/>
    </w:p>
    <w:p w:rsidR="007422A0" w:rsidRPr="00D675EE" w:rsidRDefault="007422A0" w:rsidP="00446789">
      <w:pPr>
        <w:pStyle w:val="Heading2"/>
      </w:pPr>
      <w:bookmarkStart w:id="28" w:name="_Toc356829283"/>
      <w:r w:rsidRPr="00D675EE">
        <w:t>Identifying the minimum sample size</w:t>
      </w:r>
      <w:bookmarkEnd w:id="28"/>
    </w:p>
    <w:p w:rsidR="00F34CFF" w:rsidRDefault="007422A0" w:rsidP="00F34CFF">
      <w:pPr>
        <w:pStyle w:val="PwCNormal"/>
      </w:pPr>
      <w:r w:rsidRPr="007422A0">
        <w:t>PwC undertook calculations based on data received from the Independent Hospital Pricing Authority (IHPA), the Department of Health and Ageing (</w:t>
      </w:r>
      <w:proofErr w:type="spellStart"/>
      <w:r w:rsidRPr="007422A0">
        <w:t>DoHA</w:t>
      </w:r>
      <w:proofErr w:type="spellEnd"/>
      <w:r w:rsidRPr="007422A0">
        <w:t>) and Private Health Data Bureau dataset (PHDB) to determine the number of separations, number of hospitals and number of hospital groups required to participate.</w:t>
      </w:r>
    </w:p>
    <w:p w:rsidR="005A0B7B" w:rsidRPr="0087449C" w:rsidRDefault="005A0B7B" w:rsidP="0087449C">
      <w:pPr>
        <w:pStyle w:val="Heading3"/>
      </w:pPr>
      <w:r w:rsidRPr="0087449C">
        <w:t>Data analysis</w:t>
      </w:r>
    </w:p>
    <w:p w:rsidR="005A0B7B" w:rsidRDefault="005A0B7B" w:rsidP="00F34CFF">
      <w:pPr>
        <w:pStyle w:val="PwCNormal"/>
      </w:pPr>
      <w:r>
        <w:t>In determining the minimum participation level, the following datasets were received and reviewed:</w:t>
      </w:r>
    </w:p>
    <w:p w:rsidR="005A0B7B" w:rsidRDefault="005A0B7B" w:rsidP="005A0B7B">
      <w:pPr>
        <w:pStyle w:val="ListNumber"/>
        <w:numPr>
          <w:ilvl w:val="0"/>
          <w:numId w:val="35"/>
        </w:numPr>
        <w:spacing w:after="120"/>
        <w:contextualSpacing w:val="0"/>
      </w:pPr>
      <w:r>
        <w:t>The published cost weight tables for Round 13;</w:t>
      </w:r>
    </w:p>
    <w:p w:rsidR="005A0B7B" w:rsidRDefault="005A0B7B" w:rsidP="005A0B7B">
      <w:pPr>
        <w:pStyle w:val="ListNumber"/>
        <w:numPr>
          <w:ilvl w:val="0"/>
          <w:numId w:val="35"/>
        </w:numPr>
        <w:spacing w:after="120"/>
        <w:contextualSpacing w:val="0"/>
      </w:pPr>
      <w:r>
        <w:t>A summary of the NHCDC sample for Round 13 and Round 14, by hospital and DRG, for the overnight sector;</w:t>
      </w:r>
    </w:p>
    <w:p w:rsidR="005A0B7B" w:rsidRDefault="005A0B7B" w:rsidP="005A0B7B">
      <w:pPr>
        <w:pStyle w:val="ListNumber"/>
        <w:numPr>
          <w:ilvl w:val="0"/>
          <w:numId w:val="35"/>
        </w:numPr>
        <w:spacing w:after="120"/>
        <w:contextualSpacing w:val="0"/>
      </w:pPr>
      <w:r>
        <w:t>From the Private Hospital Data Bureau dataset(PHDB): a summary of the population levels of activity, showing the total number of separations by hospital in-scope for the collection (at least 200 separations), for Round 13 and Round 14, for the overnight sector;</w:t>
      </w:r>
    </w:p>
    <w:p w:rsidR="005A0B7B" w:rsidRDefault="005A0B7B" w:rsidP="005A0B7B">
      <w:pPr>
        <w:pStyle w:val="ListNumber"/>
        <w:numPr>
          <w:ilvl w:val="0"/>
          <w:numId w:val="35"/>
        </w:numPr>
        <w:spacing w:after="120"/>
        <w:contextualSpacing w:val="0"/>
      </w:pPr>
      <w:r>
        <w:t>From the PHDB dataset: a summary of the population levels of activity, average length of stay, and standard deviation of the length of stay, by hospital and DRG, for all private hospitals, i.e. for private overnight hospitals and private day hospitals.</w:t>
      </w:r>
    </w:p>
    <w:p w:rsidR="00F34CFF" w:rsidRDefault="005A0B7B" w:rsidP="00F34CFF">
      <w:pPr>
        <w:pStyle w:val="PwCNormal"/>
      </w:pPr>
      <w:r>
        <w:t>Item 1 above was obtained from the Department of Health and Ageing (</w:t>
      </w:r>
      <w:proofErr w:type="spellStart"/>
      <w:r>
        <w:t>DoHA</w:t>
      </w:r>
      <w:proofErr w:type="spellEnd"/>
      <w:r>
        <w:t>) website</w:t>
      </w:r>
      <w:r>
        <w:rPr>
          <w:rStyle w:val="FootnoteReference"/>
        </w:rPr>
        <w:footnoteReference w:id="9"/>
      </w:r>
      <w:r>
        <w:t xml:space="preserve">. Items 2 and 3 above were provided by IHPA. Item 4 above was provided by </w:t>
      </w:r>
      <w:proofErr w:type="spellStart"/>
      <w:r>
        <w:t>DoHA</w:t>
      </w:r>
      <w:proofErr w:type="spellEnd"/>
      <w:r>
        <w:t>.</w:t>
      </w:r>
    </w:p>
    <w:p w:rsidR="005A0B7B" w:rsidRDefault="005A0B7B" w:rsidP="00F34CFF">
      <w:pPr>
        <w:pStyle w:val="PwCNormal"/>
      </w:pPr>
      <w:r>
        <w:t>In order for the NHCDC sample to be representative of the patient population and the population of private hospitals, minimum participation levels have been specified in terms of:</w:t>
      </w:r>
    </w:p>
    <w:p w:rsidR="005A0B7B" w:rsidRDefault="005A0B7B" w:rsidP="005A0B7B">
      <w:pPr>
        <w:pStyle w:val="ListNumber"/>
        <w:numPr>
          <w:ilvl w:val="0"/>
          <w:numId w:val="36"/>
        </w:numPr>
        <w:spacing w:after="120"/>
        <w:contextualSpacing w:val="0"/>
      </w:pPr>
      <w:r>
        <w:t>Separation sample size expressed as a percentage of the population levels of activity, where “population” is defined as the total number of separations for hospitals in-scope for the collection. The minimum separation sample size considered to provide sufficient reliability consistent with common statistical practice and historical publication practices was based on the following parameters:</w:t>
      </w:r>
    </w:p>
    <w:p w:rsidR="005A0B7B" w:rsidRDefault="005A0B7B" w:rsidP="005A0B7B">
      <w:pPr>
        <w:pStyle w:val="ListNumber2"/>
        <w:numPr>
          <w:ilvl w:val="1"/>
          <w:numId w:val="35"/>
        </w:numPr>
        <w:spacing w:after="120"/>
        <w:contextualSpacing w:val="0"/>
      </w:pPr>
      <w:r>
        <w:t>Standard deviation of costs per DRG;</w:t>
      </w:r>
    </w:p>
    <w:p w:rsidR="005A0B7B" w:rsidRDefault="005A0B7B" w:rsidP="005A0B7B">
      <w:pPr>
        <w:pStyle w:val="ListNumber2"/>
        <w:numPr>
          <w:ilvl w:val="1"/>
          <w:numId w:val="35"/>
        </w:numPr>
        <w:spacing w:after="120"/>
        <w:contextualSpacing w:val="0"/>
      </w:pPr>
      <w:r>
        <w:t>Margin of error in the estimated average cost per DRG; and</w:t>
      </w:r>
    </w:p>
    <w:p w:rsidR="005A0B7B" w:rsidRDefault="005A0B7B" w:rsidP="005A0B7B">
      <w:pPr>
        <w:pStyle w:val="ListNumber2"/>
        <w:numPr>
          <w:ilvl w:val="1"/>
          <w:numId w:val="35"/>
        </w:numPr>
        <w:spacing w:after="120"/>
        <w:contextualSpacing w:val="0"/>
      </w:pPr>
      <w:r>
        <w:t>Statistical confidence that the estimates fall within the specified margin of error.</w:t>
      </w:r>
    </w:p>
    <w:p w:rsidR="005A0B7B" w:rsidRDefault="005A0B7B" w:rsidP="005A0B7B">
      <w:pPr>
        <w:pStyle w:val="PwCNormal"/>
        <w:ind w:left="567"/>
      </w:pPr>
      <w:r>
        <w:t>Parameters (b) and (c) above were informed by reviewing the minimum sample size considered robust enough for publication in the Round 7 to 13 collections and parameter (a) was derived from the Round 13 cost weights.</w:t>
      </w:r>
    </w:p>
    <w:p w:rsidR="00F34CFF" w:rsidRDefault="005A0B7B" w:rsidP="005A0B7B">
      <w:pPr>
        <w:pStyle w:val="ListNumber"/>
        <w:numPr>
          <w:ilvl w:val="0"/>
          <w:numId w:val="35"/>
        </w:numPr>
        <w:spacing w:after="120"/>
        <w:contextualSpacing w:val="0"/>
      </w:pPr>
      <w:r>
        <w:t>The minimum number of hospitals that are required to participate, in aggregate and by hospital characteristic, to ensure that the collection is representative of the population of private hospitals; and</w:t>
      </w:r>
    </w:p>
    <w:p w:rsidR="005A0B7B" w:rsidRDefault="005A0B7B" w:rsidP="005A0B7B">
      <w:pPr>
        <w:pStyle w:val="ListNumber"/>
        <w:numPr>
          <w:ilvl w:val="0"/>
          <w:numId w:val="35"/>
        </w:numPr>
        <w:spacing w:after="120"/>
        <w:contextualSpacing w:val="0"/>
      </w:pPr>
      <w:r>
        <w:t>The minimum number of hospital groups that are required to participate, to ensure that the results represent the population of private hospitals.</w:t>
      </w:r>
    </w:p>
    <w:p w:rsidR="005A0B7B" w:rsidRDefault="005A0B7B" w:rsidP="0087449C">
      <w:pPr>
        <w:pStyle w:val="Heading3"/>
      </w:pPr>
      <w:r>
        <w:lastRenderedPageBreak/>
        <w:t>Percentage of population separations</w:t>
      </w:r>
    </w:p>
    <w:p w:rsidR="005A0B7B" w:rsidRDefault="005A0B7B" w:rsidP="00F34CFF">
      <w:pPr>
        <w:pStyle w:val="PwCNormal"/>
      </w:pPr>
      <w:r>
        <w:t>A key objective of the collection is to produce estimated costs and cost-weights by classified activity. The percentage of population separations that is required in a sample depends upon the tolerable “margin of error”, statistical confidence</w:t>
      </w:r>
      <w:r>
        <w:rPr>
          <w:rStyle w:val="FootnoteReference"/>
        </w:rPr>
        <w:footnoteReference w:id="10"/>
      </w:r>
      <w:r>
        <w:t xml:space="preserve"> required, and the standard deviation of costs.  To obtain an estimate of the average episode cost of a given DRG, say “k”, within a margin of error </w:t>
      </w:r>
      <w:r>
        <w:rPr>
          <w:i/>
        </w:rPr>
        <w:t>m</w:t>
      </w:r>
      <w:r>
        <w:t xml:space="preserve"> and with </w:t>
      </w:r>
      <w:r>
        <w:rPr>
          <w:i/>
        </w:rPr>
        <w:t>x%</w:t>
      </w:r>
      <w:r>
        <w:t xml:space="preserve"> confidence, the required sample size for DRG(k) is:</w:t>
      </w:r>
    </w:p>
    <w:p w:rsidR="005A0B7B" w:rsidRPr="00447BED" w:rsidRDefault="005A0B7B" w:rsidP="005A0B7B">
      <w:pPr>
        <w:pStyle w:val="BodyText"/>
        <w:jc w:val="center"/>
      </w:pPr>
      <m:oMathPara>
        <m:oMathParaPr>
          <m:jc m:val="left"/>
        </m:oMathParaPr>
        <m:oMath>
          <m:r>
            <w:rPr>
              <w:rFonts w:ascii="Cambria Math" w:hAnsi="Cambria Math"/>
            </w:rPr>
            <m:t>sample size of DRG</m:t>
          </m:r>
          <m:d>
            <m:dPr>
              <m:ctrlPr>
                <w:rPr>
                  <w:rFonts w:ascii="Cambria Math" w:hAnsi="Cambria Math"/>
                  <w:i/>
                </w:rPr>
              </m:ctrlPr>
            </m:dPr>
            <m:e>
              <m:r>
                <w:rPr>
                  <w:rFonts w:ascii="Cambria Math" w:hAnsi="Cambria Math"/>
                </w:rPr>
                <m:t>k</m:t>
              </m:r>
            </m:e>
          </m:d>
        </m:oMath>
      </m:oMathPara>
    </w:p>
    <w:p w:rsidR="005A0B7B" w:rsidRDefault="005A0B7B" w:rsidP="005A0B7B">
      <w:pPr>
        <w:pStyle w:val="BodyText"/>
        <w:jc w:val="center"/>
        <w:rPr>
          <w:rFonts w:eastAsiaTheme="minorEastAsia"/>
        </w:rPr>
      </w:pPr>
      <m:oMathPara>
        <m:oMath>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Z-score of x</m:t>
                          </m:r>
                        </m:e>
                      </m:d>
                      <m:r>
                        <w:rPr>
                          <w:rFonts w:ascii="Cambria Math" w:hAnsi="Cambria Math"/>
                        </w:rPr>
                        <m:t>×(standard deviation of episode cost for DRG(k))</m:t>
                      </m:r>
                    </m:num>
                    <m:den>
                      <m:r>
                        <w:rPr>
                          <w:rFonts w:ascii="Cambria Math" w:hAnsi="Cambria Math"/>
                        </w:rPr>
                        <m:t>(margin of error m)</m:t>
                      </m:r>
                    </m:den>
                  </m:f>
                </m:e>
              </m:d>
            </m:e>
            <m:sup>
              <m:r>
                <w:rPr>
                  <w:rFonts w:ascii="Cambria Math" w:hAnsi="Cambria Math"/>
                </w:rPr>
                <m:t>2</m:t>
              </m:r>
            </m:sup>
          </m:sSup>
        </m:oMath>
      </m:oMathPara>
    </w:p>
    <w:p w:rsidR="005A0B7B" w:rsidRDefault="007B5655" w:rsidP="00F34CFF">
      <w:pPr>
        <w:pStyle w:val="PwCNormal"/>
      </w:pPr>
      <w:r>
        <w:t>A dataset with a</w:t>
      </w:r>
      <w:r w:rsidR="005A0B7B">
        <w:t xml:space="preserve"> lower margin of error, higher statistical confidence, and higher standard deviation, will require a larger sample size. The standard deviation of each DRG varies, and so the sample size required for each DRG (given the same parameters for error and confidence) will vary. However, given that the NHCDC collection is a voluntary one, it will be impossible to achieve target samples for each DRG. Hence, the sample sizes across all DRGs </w:t>
      </w:r>
      <w:proofErr w:type="gramStart"/>
      <w:r w:rsidR="005A0B7B">
        <w:t>were  aggregated</w:t>
      </w:r>
      <w:proofErr w:type="gramEnd"/>
      <w:r w:rsidR="005A0B7B">
        <w:t>. In performing this aggregation, two weighting methods were investigated:</w:t>
      </w:r>
    </w:p>
    <w:p w:rsidR="005A0B7B" w:rsidRDefault="005A0B7B" w:rsidP="00CD55C0">
      <w:pPr>
        <w:pStyle w:val="ListNumber"/>
        <w:numPr>
          <w:ilvl w:val="0"/>
          <w:numId w:val="37"/>
        </w:numPr>
        <w:spacing w:after="120"/>
        <w:contextualSpacing w:val="0"/>
      </w:pPr>
      <w:r>
        <w:t>Number of separations by DRG;</w:t>
      </w:r>
    </w:p>
    <w:p w:rsidR="005A0B7B" w:rsidRDefault="005A0B7B" w:rsidP="005A0B7B">
      <w:pPr>
        <w:pStyle w:val="ListNumber"/>
        <w:spacing w:after="120"/>
        <w:contextualSpacing w:val="0"/>
      </w:pPr>
      <w:r>
        <w:t>Total cost by DRG (number of separations per DRG multiplied by the average cost per DRG).</w:t>
      </w:r>
    </w:p>
    <w:p w:rsidR="00F34CFF" w:rsidRDefault="005A0B7B" w:rsidP="00F34CFF">
      <w:pPr>
        <w:pStyle w:val="PwCNormal"/>
      </w:pPr>
      <w:r>
        <w:t>The two approaches resulted in similar minimum samples sizes for overnight and day-only hospitals. For overnight hospitals, a weighting by number of separations resulted in a slightly higher aggregate minimum sample size than weighting the results by total cost.</w:t>
      </w:r>
    </w:p>
    <w:p w:rsidR="00C56BFE" w:rsidRDefault="00C56BFE" w:rsidP="0087449C">
      <w:pPr>
        <w:pStyle w:val="Heading3"/>
      </w:pPr>
      <w:r>
        <w:t>Results</w:t>
      </w:r>
    </w:p>
    <w:p w:rsidR="00B22CB4" w:rsidRDefault="00B22CB4" w:rsidP="00F34CFF">
      <w:pPr>
        <w:pStyle w:val="PwCNormal"/>
      </w:pPr>
      <w:r w:rsidRPr="007422A0">
        <w:t xml:space="preserve">For overnight hospitals, the summary findings of this exercise </w:t>
      </w:r>
      <w:r>
        <w:t>were that:</w:t>
      </w:r>
    </w:p>
    <w:p w:rsidR="00F34CFF" w:rsidRDefault="00B22CB4" w:rsidP="00B22CB4">
      <w:pPr>
        <w:pStyle w:val="ListBullet"/>
      </w:pPr>
      <w:r w:rsidRPr="007422A0">
        <w:t xml:space="preserve">approximately 60% of all separations </w:t>
      </w:r>
      <w:r>
        <w:t xml:space="preserve">would </w:t>
      </w:r>
      <w:r w:rsidRPr="007422A0">
        <w:t xml:space="preserve">be required in order to achieve a </w:t>
      </w:r>
      <w:r>
        <w:t>robust sample;</w:t>
      </w:r>
      <w:r>
        <w:rPr>
          <w:rStyle w:val="FootnoteReference"/>
        </w:rPr>
        <w:footnoteReference w:id="11"/>
      </w:r>
    </w:p>
    <w:p w:rsidR="00C56BFE" w:rsidRDefault="00B22CB4" w:rsidP="00B22CB4">
      <w:pPr>
        <w:pStyle w:val="ListBullet"/>
      </w:pPr>
      <w:proofErr w:type="gramStart"/>
      <w:r w:rsidRPr="007422A0">
        <w:t>the</w:t>
      </w:r>
      <w:proofErr w:type="gramEnd"/>
      <w:r w:rsidRPr="007422A0">
        <w:t xml:space="preserve"> collection should include </w:t>
      </w:r>
      <w:r>
        <w:t xml:space="preserve">at least </w:t>
      </w:r>
      <w:r w:rsidRPr="007422A0">
        <w:t>90 hospitals and 10 hospital ‘groups’ (of 2 or more hospitals) to be representative.</w:t>
      </w:r>
    </w:p>
    <w:p w:rsidR="00B22CB4" w:rsidRPr="00C56BFE" w:rsidRDefault="00B22CB4" w:rsidP="00F34CFF">
      <w:pPr>
        <w:pStyle w:val="PwCNormal"/>
      </w:pPr>
      <w:r>
        <w:t>These minimum targets were used as the condition on which the collection would go ahead.</w:t>
      </w:r>
      <w:r w:rsidR="00EE2680">
        <w:t xml:space="preserve"> Hospitals were requested whether they had an intention to participate. The indicative participation rate exceeded the 60% and 90 hospital threshold requirements, and IHPA and the hospital sector agreed for the collection to proceed.</w:t>
      </w:r>
    </w:p>
    <w:p w:rsidR="00D70A5F" w:rsidRPr="00D675EE" w:rsidRDefault="00D70A5F" w:rsidP="00446789">
      <w:pPr>
        <w:pStyle w:val="Heading2"/>
      </w:pPr>
      <w:bookmarkStart w:id="29" w:name="_Toc356829284"/>
      <w:r w:rsidRPr="00D675EE">
        <w:t>Costing methodologies</w:t>
      </w:r>
      <w:bookmarkEnd w:id="29"/>
    </w:p>
    <w:p w:rsidR="003D48C4" w:rsidRDefault="003D48C4" w:rsidP="00F34CFF">
      <w:pPr>
        <w:pStyle w:val="PwCNormal"/>
      </w:pPr>
      <w:r>
        <w:t xml:space="preserve">In the NHCDC, the cost of an episode of acute admitted care is built up by </w:t>
      </w:r>
      <w:r w:rsidR="001B5229">
        <w:t xml:space="preserve">allocating </w:t>
      </w:r>
      <w:r w:rsidR="00856DA4">
        <w:t xml:space="preserve">categories of hospital expenditure </w:t>
      </w:r>
      <w:r w:rsidR="001B5229">
        <w:t xml:space="preserve">to </w:t>
      </w:r>
      <w:r w:rsidR="00856DA4">
        <w:t xml:space="preserve">“cost buckets”, which are estimated at the patient level. The cost buckets are listed </w:t>
      </w:r>
      <w:r w:rsidR="00464564">
        <w:t>as follows</w:t>
      </w:r>
      <w:r w:rsidR="00856DA4">
        <w:t>:</w:t>
      </w:r>
    </w:p>
    <w:p w:rsidR="00464564" w:rsidRDefault="00464564" w:rsidP="00464564">
      <w:pPr>
        <w:pStyle w:val="BodyText"/>
        <w:spacing w:before="80" w:after="80"/>
      </w:pPr>
    </w:p>
    <w:p w:rsidR="00464564" w:rsidRDefault="00464564" w:rsidP="00464564">
      <w:pPr>
        <w:pStyle w:val="BodyText"/>
        <w:spacing w:before="80" w:after="80"/>
        <w:sectPr w:rsidR="00464564" w:rsidSect="00BC75AE">
          <w:headerReference w:type="even" r:id="rId24"/>
          <w:headerReference w:type="default" r:id="rId25"/>
          <w:headerReference w:type="first" r:id="rId26"/>
          <w:type w:val="oddPage"/>
          <w:pgSz w:w="11907" w:h="16840" w:code="9"/>
          <w:pgMar w:top="1474" w:right="1843" w:bottom="1361" w:left="1843" w:header="567" w:footer="567" w:gutter="0"/>
          <w:cols w:space="227"/>
          <w:titlePg/>
          <w:docGrid w:linePitch="360"/>
        </w:sectPr>
      </w:pPr>
    </w:p>
    <w:p w:rsidR="00464564" w:rsidRDefault="00464564" w:rsidP="00464564">
      <w:pPr>
        <w:pStyle w:val="BodyText"/>
        <w:spacing w:before="80" w:after="80"/>
      </w:pPr>
      <w:r>
        <w:lastRenderedPageBreak/>
        <w:t>1. Ward Medical</w:t>
      </w:r>
    </w:p>
    <w:p w:rsidR="00464564" w:rsidRDefault="00464564" w:rsidP="00464564">
      <w:pPr>
        <w:pStyle w:val="BodyText"/>
        <w:spacing w:before="80" w:after="80"/>
      </w:pPr>
      <w:r>
        <w:t>2. Ward Nursing</w:t>
      </w:r>
    </w:p>
    <w:p w:rsidR="00464564" w:rsidRDefault="00464564" w:rsidP="00464564">
      <w:pPr>
        <w:pStyle w:val="BodyText"/>
        <w:spacing w:before="80" w:after="80"/>
      </w:pPr>
      <w:r>
        <w:t>3. Non-clinical Salaries</w:t>
      </w:r>
    </w:p>
    <w:p w:rsidR="00464564" w:rsidRDefault="00464564" w:rsidP="00464564">
      <w:pPr>
        <w:pStyle w:val="BodyText"/>
        <w:spacing w:before="80" w:after="80"/>
      </w:pPr>
      <w:r>
        <w:t>4. Pathology</w:t>
      </w:r>
    </w:p>
    <w:p w:rsidR="00464564" w:rsidRDefault="00464564" w:rsidP="00464564">
      <w:pPr>
        <w:pStyle w:val="BodyText"/>
        <w:spacing w:before="80" w:after="80"/>
      </w:pPr>
      <w:r>
        <w:t>5. Imaging</w:t>
      </w:r>
    </w:p>
    <w:p w:rsidR="00464564" w:rsidRDefault="00464564" w:rsidP="00464564">
      <w:pPr>
        <w:pStyle w:val="BodyText"/>
        <w:spacing w:before="80" w:after="80"/>
      </w:pPr>
      <w:r>
        <w:t>6. Allied Health</w:t>
      </w:r>
    </w:p>
    <w:p w:rsidR="00464564" w:rsidRDefault="00464564" w:rsidP="00464564">
      <w:pPr>
        <w:pStyle w:val="BodyText"/>
        <w:spacing w:before="80" w:after="80"/>
      </w:pPr>
      <w:r>
        <w:t>7. Pharmacy</w:t>
      </w:r>
    </w:p>
    <w:p w:rsidR="00464564" w:rsidRDefault="00464564" w:rsidP="00464564">
      <w:pPr>
        <w:pStyle w:val="BodyText"/>
        <w:spacing w:before="80" w:after="80"/>
      </w:pPr>
      <w:r>
        <w:t>8. Critical Care</w:t>
      </w:r>
    </w:p>
    <w:p w:rsidR="00464564" w:rsidRDefault="00464564" w:rsidP="00464564">
      <w:pPr>
        <w:pStyle w:val="BodyText"/>
        <w:spacing w:before="80" w:after="80"/>
      </w:pPr>
      <w:r>
        <w:lastRenderedPageBreak/>
        <w:t>9. Operating Rooms</w:t>
      </w:r>
    </w:p>
    <w:p w:rsidR="00464564" w:rsidRDefault="00464564" w:rsidP="00464564">
      <w:pPr>
        <w:pStyle w:val="BodyText"/>
        <w:spacing w:before="80" w:after="80"/>
      </w:pPr>
      <w:r>
        <w:t>10. Emergency Departments</w:t>
      </w:r>
    </w:p>
    <w:p w:rsidR="00464564" w:rsidRDefault="00464564" w:rsidP="00464564">
      <w:pPr>
        <w:pStyle w:val="BodyText"/>
        <w:spacing w:before="80" w:after="80"/>
      </w:pPr>
      <w:r>
        <w:t>11. Supplies</w:t>
      </w:r>
    </w:p>
    <w:p w:rsidR="00464564" w:rsidRDefault="00464564" w:rsidP="00464564">
      <w:pPr>
        <w:pStyle w:val="BodyText"/>
        <w:spacing w:before="80" w:after="80"/>
      </w:pPr>
      <w:r>
        <w:t>12. Specialist Procedure Suites</w:t>
      </w:r>
    </w:p>
    <w:p w:rsidR="00464564" w:rsidRDefault="00464564" w:rsidP="00464564">
      <w:pPr>
        <w:pStyle w:val="BodyText"/>
        <w:spacing w:before="80" w:after="80"/>
      </w:pPr>
      <w:r>
        <w:t>13. On-costs</w:t>
      </w:r>
    </w:p>
    <w:p w:rsidR="00464564" w:rsidRDefault="00464564" w:rsidP="00464564">
      <w:pPr>
        <w:pStyle w:val="BodyText"/>
        <w:spacing w:before="80" w:after="80"/>
      </w:pPr>
      <w:r>
        <w:t>14. Prostheses</w:t>
      </w:r>
    </w:p>
    <w:p w:rsidR="00464564" w:rsidRDefault="00464564" w:rsidP="00464564">
      <w:pPr>
        <w:pStyle w:val="BodyText"/>
        <w:spacing w:before="80" w:after="80"/>
      </w:pPr>
      <w:r>
        <w:t>15. Hotel</w:t>
      </w:r>
    </w:p>
    <w:p w:rsidR="00464564" w:rsidRDefault="00464564" w:rsidP="00464564">
      <w:pPr>
        <w:pStyle w:val="BodyText"/>
        <w:spacing w:before="80" w:after="80"/>
      </w:pPr>
      <w:r>
        <w:t>16. Depreciation</w:t>
      </w:r>
    </w:p>
    <w:p w:rsidR="00464564" w:rsidRDefault="00464564" w:rsidP="000149EC">
      <w:pPr>
        <w:pStyle w:val="PwCNormal"/>
        <w:sectPr w:rsidR="00464564" w:rsidSect="00BC75AE">
          <w:type w:val="continuous"/>
          <w:pgSz w:w="11907" w:h="16840" w:code="9"/>
          <w:pgMar w:top="1588" w:right="1843" w:bottom="1418" w:left="1843" w:header="567" w:footer="567" w:gutter="0"/>
          <w:cols w:num="2" w:space="227"/>
          <w:titlePg/>
          <w:docGrid w:linePitch="360"/>
        </w:sectPr>
      </w:pPr>
    </w:p>
    <w:p w:rsidR="00BD076D" w:rsidRDefault="00F348B8" w:rsidP="00F34CFF">
      <w:pPr>
        <w:pStyle w:val="PwCNormal"/>
      </w:pPr>
      <w:r>
        <w:lastRenderedPageBreak/>
        <w:t xml:space="preserve">Once each of the cost buckets are estimated for an individual patient, </w:t>
      </w:r>
      <w:r w:rsidR="004166E1">
        <w:t>the patient’s total cost of care is derived as the sum of each of the above components.</w:t>
      </w:r>
      <w:r w:rsidR="004D394E">
        <w:t xml:space="preserve"> </w:t>
      </w:r>
      <w:r w:rsidR="00092ADD">
        <w:t>The definition of c</w:t>
      </w:r>
      <w:r w:rsidR="0017416F">
        <w:t xml:space="preserve">ost buckets are </w:t>
      </w:r>
      <w:r w:rsidR="00092ADD">
        <w:t xml:space="preserve">included </w:t>
      </w:r>
      <w:r w:rsidR="0017416F">
        <w:t xml:space="preserve">in the Australian Hospital Reference Manual </w:t>
      </w:r>
      <w:r w:rsidR="00092ADD">
        <w:t xml:space="preserve">previously </w:t>
      </w:r>
      <w:r w:rsidR="0017416F">
        <w:t>released by Department of Health and Ageing (</w:t>
      </w:r>
      <w:proofErr w:type="spellStart"/>
      <w:r w:rsidR="0017416F">
        <w:t>DoHA</w:t>
      </w:r>
      <w:proofErr w:type="spellEnd"/>
      <w:r w:rsidR="0017416F">
        <w:t xml:space="preserve">), and </w:t>
      </w:r>
      <w:r w:rsidR="00092ADD">
        <w:t>now by</w:t>
      </w:r>
      <w:r w:rsidR="0017416F">
        <w:t xml:space="preserve"> IHPA. </w:t>
      </w:r>
      <w:r w:rsidR="004D394E">
        <w:t xml:space="preserve">A description of the cost buckets is provided in </w:t>
      </w:r>
      <w:r w:rsidR="00D502C6">
        <w:fldChar w:fldCharType="begin"/>
      </w:r>
      <w:r w:rsidR="004D394E">
        <w:instrText xml:space="preserve"> REF _Ref354079652 \n \h </w:instrText>
      </w:r>
      <w:r w:rsidR="00D502C6">
        <w:fldChar w:fldCharType="separate"/>
      </w:r>
      <w:r w:rsidR="00953F50">
        <w:t>Appendix C</w:t>
      </w:r>
      <w:r w:rsidR="00D502C6">
        <w:fldChar w:fldCharType="end"/>
      </w:r>
      <w:r w:rsidR="004D394E">
        <w:t xml:space="preserve"> - </w:t>
      </w:r>
      <w:r w:rsidR="00D502C6">
        <w:fldChar w:fldCharType="begin"/>
      </w:r>
      <w:r w:rsidR="004D394E">
        <w:instrText xml:space="preserve"> REF _Ref354079695 \h </w:instrText>
      </w:r>
      <w:r w:rsidR="00D502C6">
        <w:fldChar w:fldCharType="separate"/>
      </w:r>
      <w:r w:rsidR="00953F50">
        <w:t>Costs included in the cost buckets</w:t>
      </w:r>
      <w:r w:rsidR="00D502C6">
        <w:fldChar w:fldCharType="end"/>
      </w:r>
      <w:r w:rsidR="004D394E">
        <w:t>.</w:t>
      </w:r>
    </w:p>
    <w:p w:rsidR="000149EC" w:rsidRDefault="000149EC" w:rsidP="00F34CFF">
      <w:pPr>
        <w:pStyle w:val="PwCNormal"/>
      </w:pPr>
      <w:r>
        <w:t>There are two main methodologies adopted for hospital cost allocations: cost modelled or patient costed:</w:t>
      </w:r>
    </w:p>
    <w:p w:rsidR="000149EC" w:rsidRPr="00D63AFA" w:rsidRDefault="00E875E6" w:rsidP="00292B95">
      <w:pPr>
        <w:pStyle w:val="Heading3"/>
      </w:pPr>
      <w:r w:rsidRPr="00D63AFA">
        <w:t xml:space="preserve">Patient costing </w:t>
      </w:r>
      <w:r w:rsidR="000149EC" w:rsidRPr="00D63AFA">
        <w:t>(</w:t>
      </w:r>
      <w:r w:rsidRPr="00D63AFA">
        <w:t>PC</w:t>
      </w:r>
      <w:r w:rsidR="000149EC" w:rsidRPr="00D63AFA">
        <w:t>)</w:t>
      </w:r>
    </w:p>
    <w:p w:rsidR="000149EC" w:rsidRDefault="00E875E6" w:rsidP="00F34CFF">
      <w:pPr>
        <w:pStyle w:val="PwCNormal"/>
      </w:pPr>
      <w:r>
        <w:t xml:space="preserve">Patient costed sites are hospitals that </w:t>
      </w:r>
      <w:r w:rsidR="009B15D8">
        <w:t>provide a</w:t>
      </w:r>
      <w:r>
        <w:t xml:space="preserve"> calculate</w:t>
      </w:r>
      <w:r w:rsidR="009B15D8">
        <w:t>d</w:t>
      </w:r>
      <w:r>
        <w:t xml:space="preserve"> cost of care at the patient level</w:t>
      </w:r>
      <w:r w:rsidR="009B15D8">
        <w:t xml:space="preserve"> for each episode of care</w:t>
      </w:r>
      <w:r>
        <w:t xml:space="preserve">. </w:t>
      </w:r>
      <w:r w:rsidR="009B15D8">
        <w:t>T</w:t>
      </w:r>
      <w:r>
        <w:t>his is done using actual patient level consumption data</w:t>
      </w:r>
      <w:r w:rsidR="00E618D9">
        <w:t xml:space="preserve"> if practical. For example, Direct Pathology costs may be based on the actual number of pathology tests performed for each patient. If </w:t>
      </w:r>
      <w:r w:rsidR="00A17AA6">
        <w:t xml:space="preserve">actual patient consumption is </w:t>
      </w:r>
      <w:r w:rsidR="00E618D9">
        <w:t xml:space="preserve">impractical, </w:t>
      </w:r>
      <w:r w:rsidR="009B15D8">
        <w:t xml:space="preserve">allocation methods </w:t>
      </w:r>
      <w:r w:rsidR="00E618D9">
        <w:t>are required</w:t>
      </w:r>
      <w:r>
        <w:t xml:space="preserve">. The PC method of costing is </w:t>
      </w:r>
      <w:r w:rsidR="009B15D8">
        <w:t>often referred to a</w:t>
      </w:r>
      <w:r>
        <w:t>s a ‘bottom up’ method of costing because cost aggregates are devised from individual items of patient consumption</w:t>
      </w:r>
      <w:r w:rsidR="00B01F93">
        <w:rPr>
          <w:rStyle w:val="FootnoteReference"/>
        </w:rPr>
        <w:footnoteReference w:id="12"/>
      </w:r>
      <w:r>
        <w:t xml:space="preserve">. For this collection, </w:t>
      </w:r>
      <w:r w:rsidR="007B5655">
        <w:t>eight</w:t>
      </w:r>
      <w:r>
        <w:t xml:space="preserve"> hospit</w:t>
      </w:r>
      <w:r w:rsidR="00D63AFA">
        <w:t xml:space="preserve">als performed their own costing, </w:t>
      </w:r>
      <w:r w:rsidR="00D63AFA" w:rsidRPr="00093A10">
        <w:t xml:space="preserve">representing </w:t>
      </w:r>
      <w:r w:rsidR="00093A10">
        <w:t>9</w:t>
      </w:r>
      <w:r w:rsidR="00D63AFA" w:rsidRPr="00093A10">
        <w:t>% of</w:t>
      </w:r>
      <w:r w:rsidR="00D63AFA">
        <w:t xml:space="preserve"> the sample separations.</w:t>
      </w:r>
    </w:p>
    <w:p w:rsidR="00E875E6" w:rsidRPr="00D63AFA" w:rsidRDefault="00B01F93" w:rsidP="00292B95">
      <w:pPr>
        <w:pStyle w:val="Heading3"/>
      </w:pPr>
      <w:r w:rsidRPr="00D63AFA">
        <w:t>Cost modelling (CM)</w:t>
      </w:r>
    </w:p>
    <w:p w:rsidR="00F34CFF" w:rsidRDefault="005776DE" w:rsidP="00F34CFF">
      <w:pPr>
        <w:pStyle w:val="PwCNormal"/>
      </w:pPr>
      <w:r>
        <w:t xml:space="preserve">Cost modelling makes minimal use of measures of resource consumption by individual patients, and aims to estimate mean costs for classes of patients (e.g. by DRG). </w:t>
      </w:r>
      <w:r w:rsidR="00B01F93">
        <w:t>Cost modelled sites are hospitals that ‘model’ their cost centres using pre-determined statistics and service consumption weights in order to apportion their costs to patient groups defined by their DRG (in the case of acute admitted care). This is also known as ‘top down’ costing because the hospital starts with an aggregate cost and apportions it across cost centres based on assumptions about relative resource utilisation which are set at the DRG level.</w:t>
      </w:r>
    </w:p>
    <w:p w:rsidR="00360FA3" w:rsidRDefault="00E074DF" w:rsidP="00F34CFF">
      <w:pPr>
        <w:pStyle w:val="PwCNormal"/>
      </w:pPr>
      <w:r>
        <w:t>Most private hospitals do not undertake consumption costing at the patient level. For this collection</w:t>
      </w:r>
      <w:r w:rsidRPr="00DB78C1">
        <w:t xml:space="preserve">, </w:t>
      </w:r>
      <w:r w:rsidR="00093A10" w:rsidRPr="00DB78C1">
        <w:t>9</w:t>
      </w:r>
      <w:r w:rsidR="0065762C">
        <w:t>7</w:t>
      </w:r>
      <w:r w:rsidR="00093A10" w:rsidRPr="00DB78C1">
        <w:t xml:space="preserve"> </w:t>
      </w:r>
      <w:r w:rsidRPr="00DB78C1">
        <w:t xml:space="preserve">hospitals, representing </w:t>
      </w:r>
      <w:r w:rsidR="00093A10" w:rsidRPr="00DB78C1">
        <w:t>91%</w:t>
      </w:r>
      <w:r w:rsidRPr="00DB78C1">
        <w:t xml:space="preserve"> of the sample separations, have been cost modelled by the PwC costing team using Power Health Solutions’</w:t>
      </w:r>
      <w:r>
        <w:t xml:space="preserve"> modelling software “PPM2”</w:t>
      </w:r>
      <w:r w:rsidR="00A76993">
        <w:t xml:space="preserve">, </w:t>
      </w:r>
      <w:r w:rsidR="00A76993" w:rsidRPr="00A76993">
        <w:t>which is specialist hospital costing software</w:t>
      </w:r>
      <w:r>
        <w:t>.</w:t>
      </w:r>
      <w:r w:rsidR="00BC57B4">
        <w:t xml:space="preserve"> </w:t>
      </w:r>
      <w:r w:rsidR="000B195F">
        <w:t>IHPA advised PwC to use the AR-DRGv6.0x service weights</w:t>
      </w:r>
      <w:r w:rsidR="00360FA3">
        <w:t>, which are derived from patient-costed sites in public sector hospitals</w:t>
      </w:r>
      <w:r w:rsidR="00494BDC">
        <w:t>.</w:t>
      </w:r>
      <w:r w:rsidR="00821A57">
        <w:t xml:space="preserve"> </w:t>
      </w:r>
      <w:r w:rsidR="0035498F">
        <w:t>The proportion of cost modelled separations in the previous Round 13 was similar, at 90%.</w:t>
      </w:r>
    </w:p>
    <w:p w:rsidR="00F34CFF" w:rsidRDefault="00E11DFD" w:rsidP="00F34CFF">
      <w:pPr>
        <w:pStyle w:val="PwCNormal"/>
      </w:pPr>
      <w:r>
        <w:t>The PwC costing team have performed costing in compliance with AHPCS</w:t>
      </w:r>
      <w:r w:rsidR="00C562BE">
        <w:t xml:space="preserve"> </w:t>
      </w:r>
      <w:proofErr w:type="spellStart"/>
      <w:r>
        <w:t>v2.0</w:t>
      </w:r>
      <w:proofErr w:type="spellEnd"/>
      <w:r>
        <w:t>.</w:t>
      </w:r>
    </w:p>
    <w:p w:rsidR="00C7212A" w:rsidRPr="00D675EE" w:rsidRDefault="00C562BE" w:rsidP="00446789">
      <w:pPr>
        <w:pStyle w:val="Heading2"/>
      </w:pPr>
      <w:bookmarkStart w:id="30" w:name="_Toc356829285"/>
      <w:r w:rsidRPr="00D675EE">
        <w:t xml:space="preserve">Stages and </w:t>
      </w:r>
      <w:r w:rsidR="00E65FEB" w:rsidRPr="00D675EE">
        <w:t>P</w:t>
      </w:r>
      <w:r w:rsidR="00C7212A" w:rsidRPr="00D675EE">
        <w:t>hases of the private sector NHCDC</w:t>
      </w:r>
      <w:bookmarkEnd w:id="30"/>
    </w:p>
    <w:p w:rsidR="009A0E38" w:rsidRDefault="007E3A42" w:rsidP="00F34CFF">
      <w:pPr>
        <w:pStyle w:val="PwCNormal"/>
      </w:pPr>
      <w:r>
        <w:t>This section describes the methodology adopted to produce the private sector NHCDC dataset and the cost weights published in this report.</w:t>
      </w:r>
      <w:r w:rsidR="00AC3987">
        <w:t xml:space="preserve"> </w:t>
      </w:r>
      <w:r w:rsidR="00F76B9C">
        <w:t xml:space="preserve">The </w:t>
      </w:r>
      <w:r w:rsidR="00C562BE">
        <w:t xml:space="preserve">three stages of </w:t>
      </w:r>
      <w:r w:rsidR="00F76B9C">
        <w:t>the collection</w:t>
      </w:r>
      <w:r w:rsidR="00AD1322">
        <w:t xml:space="preserve"> were</w:t>
      </w:r>
      <w:r w:rsidR="00F76B9C">
        <w:t>:</w:t>
      </w:r>
    </w:p>
    <w:p w:rsidR="00F34CFF" w:rsidRDefault="00C562BE" w:rsidP="00F34CFF">
      <w:pPr>
        <w:pStyle w:val="PwCNormal"/>
      </w:pPr>
      <w:r>
        <w:rPr>
          <w:b/>
        </w:rPr>
        <w:lastRenderedPageBreak/>
        <w:t xml:space="preserve">Stage 1 - </w:t>
      </w:r>
      <w:r w:rsidR="00F76B9C">
        <w:rPr>
          <w:b/>
        </w:rPr>
        <w:t>Data collection</w:t>
      </w:r>
      <w:r>
        <w:rPr>
          <w:b/>
        </w:rPr>
        <w:t>:</w:t>
      </w:r>
      <w:r w:rsidR="00F76B9C">
        <w:t xml:space="preserve"> comprising a data specification phase, and data submission phase by hospital participants. Participants electing to be cost modelled were required to submit patient activity data, and general ledger data. Participants electing to perform their own costing provided data at the separation level with the allocated costs.</w:t>
      </w:r>
    </w:p>
    <w:p w:rsidR="00F34CFF" w:rsidRDefault="00C562BE" w:rsidP="00F34CFF">
      <w:pPr>
        <w:pStyle w:val="PwCNormal"/>
      </w:pPr>
      <w:r>
        <w:rPr>
          <w:b/>
        </w:rPr>
        <w:t xml:space="preserve">Stage 2 - </w:t>
      </w:r>
      <w:r w:rsidR="00F76B9C">
        <w:rPr>
          <w:b/>
        </w:rPr>
        <w:t>Costing</w:t>
      </w:r>
      <w:r>
        <w:rPr>
          <w:b/>
        </w:rPr>
        <w:t>:</w:t>
      </w:r>
      <w:r w:rsidR="00F76B9C">
        <w:t xml:space="preserve"> </w:t>
      </w:r>
      <w:r w:rsidR="00794B4C">
        <w:t xml:space="preserve">As noted above, the majority of hospitals were cost-modelled by PwC’s costing team. </w:t>
      </w:r>
      <w:r w:rsidR="00F76B9C">
        <w:t xml:space="preserve">This phase comprised </w:t>
      </w:r>
      <w:r w:rsidR="00794B4C">
        <w:t xml:space="preserve">detailed </w:t>
      </w:r>
      <w:r w:rsidR="00F76B9C">
        <w:t>hospital-level quality review checks</w:t>
      </w:r>
      <w:r w:rsidR="00794B4C">
        <w:t xml:space="preserve">. The approach to resolve issues identified during the checks were agreed </w:t>
      </w:r>
      <w:r w:rsidR="00AD1322">
        <w:t xml:space="preserve">with both </w:t>
      </w:r>
      <w:r w:rsidR="00794B4C">
        <w:t>hospitals and IHPA.</w:t>
      </w:r>
    </w:p>
    <w:p w:rsidR="00F34CFF" w:rsidRDefault="00C562BE" w:rsidP="00F34CFF">
      <w:pPr>
        <w:pStyle w:val="PwCNormal"/>
      </w:pPr>
      <w:r>
        <w:rPr>
          <w:b/>
        </w:rPr>
        <w:t>Stage 3 -</w:t>
      </w:r>
      <w:r w:rsidR="00AD1322">
        <w:rPr>
          <w:b/>
        </w:rPr>
        <w:t xml:space="preserve"> </w:t>
      </w:r>
      <w:r w:rsidR="00DD1DE5">
        <w:rPr>
          <w:b/>
        </w:rPr>
        <w:t>Analysis and reporting</w:t>
      </w:r>
      <w:r>
        <w:rPr>
          <w:b/>
        </w:rPr>
        <w:t>:</w:t>
      </w:r>
      <w:r w:rsidR="00DD1DE5">
        <w:t xml:space="preserve"> </w:t>
      </w:r>
      <w:r w:rsidR="00A51788">
        <w:t xml:space="preserve">The analysis dataset is compiled from all participating hospitals, with further checks and comparisons performed against the Round 13 NHCDC. The dataset </w:t>
      </w:r>
      <w:r w:rsidR="00AD1322">
        <w:t>wa</w:t>
      </w:r>
      <w:r w:rsidR="00A51788">
        <w:t>s then adjusted via a strata weighting process to produce cost weight estimates for the population of in-scope hospitals and separations.</w:t>
      </w:r>
    </w:p>
    <w:p w:rsidR="00FC031E" w:rsidRPr="00D675EE" w:rsidRDefault="00AD1322" w:rsidP="00446789">
      <w:pPr>
        <w:pStyle w:val="Heading2"/>
      </w:pPr>
      <w:bookmarkStart w:id="31" w:name="_Toc353908539"/>
      <w:bookmarkStart w:id="32" w:name="_Toc353911024"/>
      <w:bookmarkStart w:id="33" w:name="_Toc353908540"/>
      <w:bookmarkStart w:id="34" w:name="_Toc353911025"/>
      <w:bookmarkStart w:id="35" w:name="_Toc353908592"/>
      <w:bookmarkStart w:id="36" w:name="_Toc353911077"/>
      <w:bookmarkStart w:id="37" w:name="_Toc353908691"/>
      <w:bookmarkStart w:id="38" w:name="_Toc353911176"/>
      <w:bookmarkStart w:id="39" w:name="_Toc353908692"/>
      <w:bookmarkStart w:id="40" w:name="_Toc353911177"/>
      <w:bookmarkStart w:id="41" w:name="_Toc353908693"/>
      <w:bookmarkStart w:id="42" w:name="_Toc353911178"/>
      <w:bookmarkStart w:id="43" w:name="_Toc353908694"/>
      <w:bookmarkStart w:id="44" w:name="_Toc353911179"/>
      <w:bookmarkStart w:id="45" w:name="_Toc356829286"/>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D675EE">
        <w:t>Steps in</w:t>
      </w:r>
      <w:r w:rsidR="008217C7" w:rsidRPr="00D675EE">
        <w:t xml:space="preserve"> the data collection phase</w:t>
      </w:r>
      <w:r w:rsidR="00571580" w:rsidRPr="00D675EE">
        <w:t xml:space="preserve"> for cost modelled sites</w:t>
      </w:r>
      <w:bookmarkEnd w:id="45"/>
    </w:p>
    <w:p w:rsidR="008217C7" w:rsidRDefault="00AD1322" w:rsidP="00F34CFF">
      <w:pPr>
        <w:pStyle w:val="PwCNormal"/>
      </w:pPr>
      <w:r>
        <w:t xml:space="preserve">Steps </w:t>
      </w:r>
      <w:r w:rsidR="00A76993">
        <w:t>of the data collection phase for the Round16 private sector collection include:</w:t>
      </w:r>
    </w:p>
    <w:p w:rsidR="00F34CFF" w:rsidRDefault="00E06025" w:rsidP="00F34CFF">
      <w:pPr>
        <w:pStyle w:val="PwCNormal"/>
      </w:pPr>
      <w:r w:rsidRPr="003362AA">
        <w:rPr>
          <w:color w:val="A32020" w:themeColor="accent1"/>
        </w:rPr>
        <w:t>Hospital mapping of cost centres to cost buckets</w:t>
      </w:r>
      <w:r w:rsidR="003362AA" w:rsidRPr="003362AA">
        <w:t>:</w:t>
      </w:r>
      <w:r w:rsidR="003362AA">
        <w:t xml:space="preserve"> </w:t>
      </w:r>
      <w:r w:rsidR="00DC6108">
        <w:t>H</w:t>
      </w:r>
      <w:r w:rsidR="000032CC">
        <w:t>ospitals performed their own mapping of cost centres to cost buckets.</w:t>
      </w:r>
    </w:p>
    <w:p w:rsidR="00FC031E" w:rsidRDefault="006B2662" w:rsidP="00F34CFF">
      <w:pPr>
        <w:pStyle w:val="PwCNormal"/>
      </w:pPr>
      <w:r>
        <w:t xml:space="preserve">We understand that in previous collections, the mapping of cost centres to cost buckets </w:t>
      </w:r>
      <w:r w:rsidR="00F76B9C">
        <w:t xml:space="preserve">was </w:t>
      </w:r>
      <w:r>
        <w:t>performed by the previous contractor</w:t>
      </w:r>
      <w:r w:rsidR="00F76B9C">
        <w:t xml:space="preserve"> </w:t>
      </w:r>
      <w:r>
        <w:t>rather than by hospitals. This represents a change in approach relative to previous years.</w:t>
      </w:r>
      <w:r w:rsidR="00A51788">
        <w:t xml:space="preserve"> Guidelines for performing the mapping were provided by PwC to participants as part of the data specifications document, with further support provided through a helpdesk.</w:t>
      </w:r>
    </w:p>
    <w:p w:rsidR="00D34F1B" w:rsidRDefault="00226D9B" w:rsidP="00F34CFF">
      <w:pPr>
        <w:pStyle w:val="PwCNormal"/>
      </w:pPr>
      <w:r w:rsidRPr="003362AA">
        <w:rPr>
          <w:color w:val="A32020" w:themeColor="accent1"/>
        </w:rPr>
        <w:t>Website portal for data submissions</w:t>
      </w:r>
      <w:r w:rsidR="003362AA">
        <w:rPr>
          <w:color w:val="A32020" w:themeColor="accent1"/>
        </w:rPr>
        <w:t>:</w:t>
      </w:r>
      <w:r w:rsidR="003362AA" w:rsidRPr="003362AA">
        <w:rPr>
          <w:color w:val="000000" w:themeColor="text1"/>
        </w:rPr>
        <w:t xml:space="preserve"> h</w:t>
      </w:r>
      <w:r w:rsidR="00D34F1B" w:rsidRPr="003362AA">
        <w:rPr>
          <w:color w:val="000000" w:themeColor="text1"/>
        </w:rPr>
        <w:t>ospitals</w:t>
      </w:r>
      <w:r w:rsidR="00D34F1B" w:rsidRPr="00D34F1B">
        <w:t xml:space="preserve"> were provided access to a secure website to submit data which enabled them to upload each of the data </w:t>
      </w:r>
      <w:r w:rsidR="00D34F1B">
        <w:t>inputs</w:t>
      </w:r>
      <w:r w:rsidR="00D34F1B" w:rsidRPr="00D34F1B">
        <w:t>.</w:t>
      </w:r>
    </w:p>
    <w:p w:rsidR="00875AFD" w:rsidRDefault="00D34F1B" w:rsidP="00F34CFF">
      <w:pPr>
        <w:pStyle w:val="PwCNormal"/>
      </w:pPr>
      <w:r w:rsidRPr="003362AA">
        <w:rPr>
          <w:color w:val="A32020" w:themeColor="accent1"/>
        </w:rPr>
        <w:t>Real-time quality checking during the submission process</w:t>
      </w:r>
      <w:r w:rsidR="003362AA">
        <w:rPr>
          <w:color w:val="A32020" w:themeColor="accent1"/>
        </w:rPr>
        <w:t xml:space="preserve">: </w:t>
      </w:r>
      <w:r w:rsidR="003362AA" w:rsidRPr="003362AA">
        <w:t>a</w:t>
      </w:r>
      <w:r w:rsidR="00A51788" w:rsidRPr="003362AA">
        <w:t xml:space="preserve"> </w:t>
      </w:r>
      <w:r w:rsidR="00A51788">
        <w:t xml:space="preserve">real-time summary of hospitals’ data </w:t>
      </w:r>
      <w:r w:rsidR="00FA55BE">
        <w:t xml:space="preserve">during the data submission process </w:t>
      </w:r>
      <w:r w:rsidR="00A51788">
        <w:t xml:space="preserve">meant </w:t>
      </w:r>
      <w:r w:rsidR="00FA55BE">
        <w:t xml:space="preserve">that hospitals </w:t>
      </w:r>
      <w:r w:rsidR="00574647">
        <w:t>could</w:t>
      </w:r>
      <w:r w:rsidR="00FA55BE">
        <w:t xml:space="preserve"> correct data anomalies at the time of submission. The checks performed during the submission </w:t>
      </w:r>
      <w:r w:rsidR="00A51788">
        <w:t>included data integrity and validation checks, as well as reasonableness tests for</w:t>
      </w:r>
      <w:r w:rsidR="00364D0E">
        <w:t xml:space="preserve"> a</w:t>
      </w:r>
      <w:r w:rsidR="00572F4F">
        <w:t>verage cost per separation</w:t>
      </w:r>
      <w:r w:rsidR="00364D0E">
        <w:t>, a</w:t>
      </w:r>
      <w:r w:rsidR="00572F4F">
        <w:t>verage cost per day</w:t>
      </w:r>
      <w:r w:rsidR="00364D0E">
        <w:t>, a</w:t>
      </w:r>
      <w:r w:rsidR="00572F4F">
        <w:t>verage length of</w:t>
      </w:r>
      <w:r w:rsidR="00364D0E">
        <w:t xml:space="preserve"> </w:t>
      </w:r>
      <w:r w:rsidR="00572F4F">
        <w:t>stay</w:t>
      </w:r>
      <w:r w:rsidR="00364D0E">
        <w:t xml:space="preserve">, </w:t>
      </w:r>
      <w:r w:rsidR="00572F4F">
        <w:t>Error DRG proportion</w:t>
      </w:r>
      <w:r w:rsidR="00364D0E">
        <w:t xml:space="preserve">, and </w:t>
      </w:r>
      <w:r w:rsidR="00572F4F">
        <w:t>Overhead allocation proportion</w:t>
      </w:r>
      <w:r w:rsidR="00364D0E">
        <w:t xml:space="preserve">. </w:t>
      </w:r>
      <w:r w:rsidR="00B728D4">
        <w:t>R</w:t>
      </w:r>
      <w:r w:rsidR="00572F4F">
        <w:t xml:space="preserve">anges were developed from analysis of the Round 13 cost data at the hospital level. </w:t>
      </w:r>
      <w:r w:rsidR="00FA55BE" w:rsidRPr="00FA55BE">
        <w:t xml:space="preserve">A confirmation/override </w:t>
      </w:r>
      <w:r w:rsidR="00A51788">
        <w:t xml:space="preserve">was </w:t>
      </w:r>
      <w:r w:rsidR="00FA55BE" w:rsidRPr="00FA55BE">
        <w:t xml:space="preserve">required by the user if the results </w:t>
      </w:r>
      <w:r w:rsidR="00572F4F">
        <w:t xml:space="preserve">fell </w:t>
      </w:r>
      <w:r w:rsidR="00FA55BE" w:rsidRPr="00FA55BE">
        <w:t>outside of the range.</w:t>
      </w:r>
    </w:p>
    <w:p w:rsidR="00E06025" w:rsidRDefault="0087445D" w:rsidP="003362AA">
      <w:pPr>
        <w:pStyle w:val="BodyText"/>
      </w:pPr>
      <w:r w:rsidRPr="003362AA">
        <w:rPr>
          <w:color w:val="A32020" w:themeColor="text2"/>
        </w:rPr>
        <w:t xml:space="preserve">Election to use the Private Hospital Data Bureau </w:t>
      </w:r>
      <w:r w:rsidR="00AD1322">
        <w:rPr>
          <w:color w:val="A32020" w:themeColor="text2"/>
        </w:rPr>
        <w:t xml:space="preserve">(PHDB) </w:t>
      </w:r>
      <w:r w:rsidRPr="003362AA">
        <w:rPr>
          <w:color w:val="A32020" w:themeColor="text2"/>
        </w:rPr>
        <w:t>activity data</w:t>
      </w:r>
      <w:r w:rsidR="003362AA">
        <w:rPr>
          <w:color w:val="A32020" w:themeColor="text2"/>
        </w:rPr>
        <w:t xml:space="preserve">: </w:t>
      </w:r>
      <w:r w:rsidR="00AE4A53">
        <w:t xml:space="preserve">PwC was granted access to the data submitted by private hospitals to the Private Hospital Data Bureau. Hospitals were given the option to use their PHDB submissions for the purpose of the Round 16 NHCDC submission. A number of hospitals elected to submit their own activity data, rather than to use the </w:t>
      </w:r>
      <w:r w:rsidR="00AD1322">
        <w:t xml:space="preserve">submitted </w:t>
      </w:r>
      <w:r w:rsidR="00AE4A53">
        <w:t>PHDB data, to ensure that the most recent and up to date patient records were used in the costing.</w:t>
      </w:r>
    </w:p>
    <w:p w:rsidR="00AE4A53" w:rsidRPr="00D675EE" w:rsidRDefault="00AD1322" w:rsidP="00446789">
      <w:pPr>
        <w:pStyle w:val="Heading2"/>
      </w:pPr>
      <w:bookmarkStart w:id="46" w:name="_Toc353908696"/>
      <w:bookmarkStart w:id="47" w:name="_Toc353911181"/>
      <w:bookmarkStart w:id="48" w:name="_Toc353908697"/>
      <w:bookmarkStart w:id="49" w:name="_Toc353911182"/>
      <w:bookmarkStart w:id="50" w:name="_Ref353910786"/>
      <w:bookmarkStart w:id="51" w:name="_Toc356829287"/>
      <w:bookmarkEnd w:id="46"/>
      <w:bookmarkEnd w:id="47"/>
      <w:bookmarkEnd w:id="48"/>
      <w:bookmarkEnd w:id="49"/>
      <w:r w:rsidRPr="00D675EE">
        <w:t xml:space="preserve">Steps in </w:t>
      </w:r>
      <w:r w:rsidR="00E65FEB" w:rsidRPr="00D675EE">
        <w:t>the costing phase for cost modelled sites</w:t>
      </w:r>
      <w:bookmarkEnd w:id="50"/>
      <w:bookmarkEnd w:id="51"/>
    </w:p>
    <w:p w:rsidR="009027EA" w:rsidRPr="00C2447E" w:rsidRDefault="009027EA" w:rsidP="00292B95">
      <w:pPr>
        <w:pStyle w:val="Heading3"/>
      </w:pPr>
      <w:r w:rsidRPr="00C2447E">
        <w:t>Changes in methodology compared to the Round 13 (2008/09) collection</w:t>
      </w:r>
    </w:p>
    <w:p w:rsidR="00F34CFF" w:rsidRDefault="00900BB7" w:rsidP="00F34CFF">
      <w:pPr>
        <w:pStyle w:val="PwCNormal"/>
      </w:pPr>
      <w:r>
        <w:t xml:space="preserve">The cost modelling approach in Round 16 allocated costs in wards to separations on the basis of </w:t>
      </w:r>
      <w:r w:rsidR="003C3952" w:rsidRPr="003C3952">
        <w:t>fractional bed days, while all other cost centres were allocated to encounters based on service weights.</w:t>
      </w:r>
    </w:p>
    <w:p w:rsidR="00875AFD" w:rsidRDefault="00900BB7" w:rsidP="00F34CFF">
      <w:pPr>
        <w:pStyle w:val="PwCNormal"/>
      </w:pPr>
      <w:r w:rsidRPr="00900BB7">
        <w:t xml:space="preserve">While the majority of hospitals in Round 16 and Round 13 used cost modelling to allocate costs, some inputs and assumptions have changed between the rounds. </w:t>
      </w:r>
      <w:r>
        <w:t xml:space="preserve"> </w:t>
      </w:r>
      <w:r w:rsidR="0016383D" w:rsidRPr="00900BB7">
        <w:t xml:space="preserve">Some identified differences in </w:t>
      </w:r>
      <w:r w:rsidR="003C3952" w:rsidRPr="003C3952">
        <w:t xml:space="preserve">processes and </w:t>
      </w:r>
      <w:r w:rsidR="0016383D" w:rsidRPr="00900BB7">
        <w:t xml:space="preserve">assumptions </w:t>
      </w:r>
      <w:r w:rsidR="003C3952" w:rsidRPr="003C3952">
        <w:t>are detailed below:</w:t>
      </w:r>
    </w:p>
    <w:p w:rsidR="00875AFD" w:rsidRDefault="0016383D" w:rsidP="00446789">
      <w:pPr>
        <w:pStyle w:val="PwCNormal"/>
        <w:numPr>
          <w:ilvl w:val="0"/>
          <w:numId w:val="46"/>
        </w:numPr>
      </w:pPr>
      <w:r w:rsidRPr="0016383D">
        <w:lastRenderedPageBreak/>
        <w:t xml:space="preserve">Round 16 was reported in </w:t>
      </w:r>
      <w:r w:rsidR="003C3952" w:rsidRPr="003C3952">
        <w:t xml:space="preserve">DRG version </w:t>
      </w:r>
      <w:proofErr w:type="gramStart"/>
      <w:r w:rsidR="003C3952" w:rsidRPr="003C3952">
        <w:t>6.0x</w:t>
      </w:r>
      <w:proofErr w:type="gramEnd"/>
      <w:r w:rsidR="003C3952" w:rsidRPr="003C3952">
        <w:t xml:space="preserve"> and used </w:t>
      </w:r>
      <w:r w:rsidR="00900BB7">
        <w:t xml:space="preserve">6.0x </w:t>
      </w:r>
      <w:r w:rsidRPr="0016383D">
        <w:t>service weights</w:t>
      </w:r>
      <w:r w:rsidR="003C3952" w:rsidRPr="003C3952">
        <w:t xml:space="preserve">. Round 13 was reported in version 5.2 </w:t>
      </w:r>
      <w:r w:rsidR="00900BB7">
        <w:t xml:space="preserve">and </w:t>
      </w:r>
      <w:r w:rsidRPr="0016383D">
        <w:t>used service weights from</w:t>
      </w:r>
      <w:r w:rsidR="003C3952" w:rsidRPr="003C3952">
        <w:t xml:space="preserve"> version 5.0</w:t>
      </w:r>
      <w:r w:rsidR="00900BB7">
        <w:t>. Changes in the service weights will lead to different allocations between the versions;</w:t>
      </w:r>
    </w:p>
    <w:p w:rsidR="00265C34" w:rsidRDefault="00265C34" w:rsidP="00446789">
      <w:pPr>
        <w:pStyle w:val="PwCNormal"/>
        <w:numPr>
          <w:ilvl w:val="0"/>
          <w:numId w:val="46"/>
        </w:numPr>
      </w:pPr>
      <w:r w:rsidRPr="00265C34">
        <w:t xml:space="preserve">After the release of the draft Round 16 Cost report, </w:t>
      </w:r>
      <w:r w:rsidR="00792849">
        <w:t>it was</w:t>
      </w:r>
      <w:r w:rsidRPr="00265C34">
        <w:t xml:space="preserve"> raised by the hospital representatives that the service weig</w:t>
      </w:r>
      <w:r w:rsidR="00D61352">
        <w:t>hts used for cost allocation had</w:t>
      </w:r>
      <w:r w:rsidRPr="00265C34">
        <w:t xml:space="preserve"> caused a flipping issue in the resultant cost weight table, compromising the AR-DRG classification hierarchy. Following on from the Private Sector Review Group meeting in June 2013, IHPA released a new set of </w:t>
      </w:r>
      <w:r>
        <w:t xml:space="preserve">DRG version 6.0x </w:t>
      </w:r>
      <w:r w:rsidRPr="00265C34">
        <w:t xml:space="preserve">service weights to the PwC costing team to reprocess </w:t>
      </w:r>
      <w:r w:rsidR="00D61352">
        <w:t xml:space="preserve">the </w:t>
      </w:r>
      <w:r w:rsidRPr="00265C34">
        <w:t xml:space="preserve">Round 16 submissions. The new service weights </w:t>
      </w:r>
      <w:r w:rsidR="00D61352">
        <w:t>were</w:t>
      </w:r>
      <w:r w:rsidRPr="00265C34">
        <w:t xml:space="preserve"> derived using the 2013 National Efficient Price dataset for public sector patient costed sites (excluding outlier data</w:t>
      </w:r>
      <w:r w:rsidR="00D61352">
        <w:t xml:space="preserve"> and weighted for the sample to the </w:t>
      </w:r>
      <w:r w:rsidRPr="00265C34">
        <w:t>population)</w:t>
      </w:r>
      <w:r>
        <w:t>;</w:t>
      </w:r>
    </w:p>
    <w:p w:rsidR="00265C34" w:rsidRDefault="00265C34" w:rsidP="00446789">
      <w:pPr>
        <w:pStyle w:val="PwCNormal"/>
        <w:numPr>
          <w:ilvl w:val="0"/>
          <w:numId w:val="46"/>
        </w:numPr>
      </w:pPr>
      <w:r w:rsidRPr="00265C34">
        <w:t xml:space="preserve">At the Private Sector Review Group meeting, it was discussed and recommended that prosthesis revenue should be considered as an alternative source to develop prosthesis service weights to allocate costs at an episode level. </w:t>
      </w:r>
      <w:r w:rsidR="00D61352">
        <w:t xml:space="preserve">This </w:t>
      </w:r>
      <w:r w:rsidRPr="00265C34">
        <w:t xml:space="preserve">allocation methodology was reviewed </w:t>
      </w:r>
      <w:r w:rsidR="00D61352">
        <w:t xml:space="preserve">by IHPA </w:t>
      </w:r>
      <w:r w:rsidRPr="00265C34">
        <w:t xml:space="preserve">but not considered to be feasible </w:t>
      </w:r>
      <w:r w:rsidR="00EC4185">
        <w:t xml:space="preserve">for Round 16 </w:t>
      </w:r>
      <w:r w:rsidRPr="00265C34">
        <w:t>due to timing and data availability in the current round. This recommendation will be adopted in future rounds</w:t>
      </w:r>
      <w:r>
        <w:t>;</w:t>
      </w:r>
    </w:p>
    <w:p w:rsidR="00875AFD" w:rsidRDefault="008B4773" w:rsidP="00446789">
      <w:pPr>
        <w:pStyle w:val="PwCNormal"/>
        <w:numPr>
          <w:ilvl w:val="0"/>
          <w:numId w:val="46"/>
        </w:numPr>
      </w:pPr>
      <w:r>
        <w:t xml:space="preserve">Hospitals in Round 16 submitted data that was already mapped to NHCDC cost outputs and areas. In Round 13, this was </w:t>
      </w:r>
      <w:r w:rsidR="00900BB7">
        <w:t xml:space="preserve">performed </w:t>
      </w:r>
      <w:r>
        <w:t xml:space="preserve">centrally by the </w:t>
      </w:r>
      <w:r w:rsidR="00556B09">
        <w:t>previous coordinator</w:t>
      </w:r>
      <w:r>
        <w:t>;</w:t>
      </w:r>
    </w:p>
    <w:p w:rsidR="00875AFD" w:rsidRDefault="0016383D" w:rsidP="00446789">
      <w:pPr>
        <w:pStyle w:val="PwCNormal"/>
        <w:numPr>
          <w:ilvl w:val="0"/>
          <w:numId w:val="46"/>
        </w:numPr>
      </w:pPr>
      <w:r w:rsidRPr="0016383D">
        <w:t>Payroll</w:t>
      </w:r>
      <w:r w:rsidR="003C3952" w:rsidRPr="003C3952">
        <w:t xml:space="preserve"> tax has been included </w:t>
      </w:r>
      <w:r w:rsidR="007B5655">
        <w:t xml:space="preserve">(where applicable) </w:t>
      </w:r>
      <w:r w:rsidR="003C3952" w:rsidRPr="003C3952">
        <w:t>and mapped to ‘on-costs’ for Round 16</w:t>
      </w:r>
      <w:r w:rsidR="00556B09" w:rsidRPr="00556B09">
        <w:t xml:space="preserve"> as per A</w:t>
      </w:r>
      <w:r w:rsidR="00F52E74">
        <w:t xml:space="preserve">HPCS </w:t>
      </w:r>
      <w:proofErr w:type="gramStart"/>
      <w:r w:rsidR="00F52E74">
        <w:t>v2.0</w:t>
      </w:r>
      <w:r w:rsidR="00556B09" w:rsidRPr="00556B09">
        <w:t xml:space="preserve"> </w:t>
      </w:r>
      <w:r w:rsidRPr="0016383D">
        <w:t>.</w:t>
      </w:r>
      <w:proofErr w:type="gramEnd"/>
      <w:r w:rsidRPr="0016383D">
        <w:t xml:space="preserve"> These costs were reported separately in Round 13</w:t>
      </w:r>
      <w:r w:rsidR="00556B09" w:rsidRPr="00556B09">
        <w:t>;</w:t>
      </w:r>
    </w:p>
    <w:p w:rsidR="000900F1" w:rsidRDefault="00556B09" w:rsidP="00446789">
      <w:pPr>
        <w:pStyle w:val="PwCNormal"/>
        <w:numPr>
          <w:ilvl w:val="0"/>
          <w:numId w:val="46"/>
        </w:numPr>
      </w:pPr>
      <w:r w:rsidRPr="00556B09">
        <w:t xml:space="preserve">Overhead costs were allocated to each </w:t>
      </w:r>
      <w:r>
        <w:t xml:space="preserve">patient care </w:t>
      </w:r>
      <w:r w:rsidRPr="00556B09">
        <w:t xml:space="preserve">area based on that </w:t>
      </w:r>
      <w:r w:rsidR="00955265">
        <w:t>area’s share of the total expenses</w:t>
      </w:r>
      <w:r w:rsidR="000900F1">
        <w:t>;</w:t>
      </w:r>
    </w:p>
    <w:p w:rsidR="00875AFD" w:rsidRPr="005C71A8" w:rsidRDefault="000900F1" w:rsidP="00446789">
      <w:pPr>
        <w:pStyle w:val="PwCNormal"/>
        <w:numPr>
          <w:ilvl w:val="0"/>
          <w:numId w:val="46"/>
        </w:numPr>
      </w:pPr>
      <w:r>
        <w:t xml:space="preserve">DRG Version: </w:t>
      </w:r>
      <w:r w:rsidR="005C71A8">
        <w:t xml:space="preserve">a </w:t>
      </w:r>
      <w:r w:rsidR="005C71A8" w:rsidRPr="005C71A8">
        <w:t xml:space="preserve">number of hospitals were </w:t>
      </w:r>
      <w:r w:rsidR="005C71A8">
        <w:t>only able to prov</w:t>
      </w:r>
      <w:r w:rsidR="005C71A8" w:rsidRPr="005C71A8">
        <w:t>ide activity data using DRG version</w:t>
      </w:r>
      <w:r w:rsidR="005C71A8">
        <w:t xml:space="preserve">s earlier than </w:t>
      </w:r>
      <w:proofErr w:type="gramStart"/>
      <w:r w:rsidR="005C71A8" w:rsidRPr="005C71A8">
        <w:t>6.0x</w:t>
      </w:r>
      <w:proofErr w:type="gramEnd"/>
      <w:r w:rsidR="005C71A8">
        <w:t xml:space="preserve">. Where this occurred, </w:t>
      </w:r>
      <w:r w:rsidR="005C71A8" w:rsidRPr="005C71A8">
        <w:t xml:space="preserve">PwC </w:t>
      </w:r>
      <w:r w:rsidRPr="005C71A8">
        <w:t>re-grouped the DRGs for these hospitals to produce a version 6.0x DRG.</w:t>
      </w:r>
    </w:p>
    <w:p w:rsidR="009027EA" w:rsidRPr="00C2447E" w:rsidRDefault="009027EA" w:rsidP="00292B95">
      <w:pPr>
        <w:pStyle w:val="Heading3"/>
      </w:pPr>
      <w:r w:rsidRPr="00C2447E">
        <w:t xml:space="preserve">Hospital-level quality </w:t>
      </w:r>
      <w:r w:rsidRPr="00577057">
        <w:t>review</w:t>
      </w:r>
      <w:r w:rsidRPr="00C2447E">
        <w:t xml:space="preserve"> checks</w:t>
      </w:r>
    </w:p>
    <w:p w:rsidR="009027EA" w:rsidRDefault="00A9438B" w:rsidP="009027EA">
      <w:pPr>
        <w:pStyle w:val="BodyText"/>
      </w:pPr>
      <w:r>
        <w:t>During the costing process, checks were performed at the hospital level, for the following:</w:t>
      </w:r>
    </w:p>
    <w:p w:rsidR="00875AFD" w:rsidRDefault="001C345C" w:rsidP="00292B95">
      <w:pPr>
        <w:pStyle w:val="PwCNormal"/>
        <w:numPr>
          <w:ilvl w:val="0"/>
          <w:numId w:val="41"/>
        </w:numPr>
      </w:pPr>
      <w:r>
        <w:t>Consistency between encounter data and ward transfer data;</w:t>
      </w:r>
    </w:p>
    <w:p w:rsidR="001C345C" w:rsidRDefault="001C345C" w:rsidP="00F34CFF">
      <w:pPr>
        <w:pStyle w:val="PwCNormal"/>
        <w:numPr>
          <w:ilvl w:val="0"/>
          <w:numId w:val="48"/>
        </w:numPr>
      </w:pPr>
      <w:r>
        <w:t>All DRGs are valid DRGs based on DRGv6.0x;</w:t>
      </w:r>
    </w:p>
    <w:p w:rsidR="001C345C" w:rsidRDefault="001C345C" w:rsidP="00F34CFF">
      <w:pPr>
        <w:pStyle w:val="PwCNormal"/>
        <w:numPr>
          <w:ilvl w:val="0"/>
          <w:numId w:val="48"/>
        </w:numPr>
      </w:pPr>
      <w:r>
        <w:t>Identification and removal of duplicate encounter and transfer records;</w:t>
      </w:r>
    </w:p>
    <w:p w:rsidR="001C345C" w:rsidRDefault="001C345C" w:rsidP="00F34CFF">
      <w:pPr>
        <w:pStyle w:val="PwCNormal"/>
        <w:numPr>
          <w:ilvl w:val="0"/>
          <w:numId w:val="48"/>
        </w:numPr>
      </w:pPr>
      <w:r>
        <w:t>Reconciliation of allocated costs to the general ledger;</w:t>
      </w:r>
    </w:p>
    <w:p w:rsidR="001C345C" w:rsidRDefault="001C345C" w:rsidP="00F34CFF">
      <w:pPr>
        <w:pStyle w:val="PwCNormal"/>
        <w:numPr>
          <w:ilvl w:val="0"/>
          <w:numId w:val="48"/>
        </w:numPr>
      </w:pPr>
      <w:r>
        <w:t>Overhead allocation by cost centre and cost bucket;</w:t>
      </w:r>
    </w:p>
    <w:p w:rsidR="001C345C" w:rsidRDefault="00731F2E" w:rsidP="00F34CFF">
      <w:pPr>
        <w:pStyle w:val="PwCNormal"/>
        <w:numPr>
          <w:ilvl w:val="0"/>
          <w:numId w:val="48"/>
        </w:numPr>
      </w:pPr>
      <w:r>
        <w:t>Identification of separations with negative costs;</w:t>
      </w:r>
    </w:p>
    <w:p w:rsidR="00731F2E" w:rsidRDefault="00731F2E" w:rsidP="00F34CFF">
      <w:pPr>
        <w:pStyle w:val="PwCNormal"/>
        <w:numPr>
          <w:ilvl w:val="0"/>
          <w:numId w:val="48"/>
        </w:numPr>
      </w:pPr>
      <w:r>
        <w:t>Identification of separations costs lower than $20;</w:t>
      </w:r>
    </w:p>
    <w:p w:rsidR="00731F2E" w:rsidRDefault="00731F2E" w:rsidP="00F34CFF">
      <w:pPr>
        <w:pStyle w:val="PwCNormal"/>
        <w:numPr>
          <w:ilvl w:val="0"/>
          <w:numId w:val="48"/>
        </w:numPr>
      </w:pPr>
      <w:r>
        <w:t>Reporting and investigation of the top and bottom 50 separations for episode cost, average cost per day, and length of stay;</w:t>
      </w:r>
    </w:p>
    <w:p w:rsidR="00731F2E" w:rsidRDefault="00731F2E" w:rsidP="00F34CFF">
      <w:pPr>
        <w:pStyle w:val="PwCNormal"/>
        <w:numPr>
          <w:ilvl w:val="0"/>
          <w:numId w:val="48"/>
        </w:numPr>
      </w:pPr>
      <w:r>
        <w:t>DRG consistency, identification of surgical</w:t>
      </w:r>
      <w:r w:rsidRPr="00731F2E">
        <w:t xml:space="preserve"> DRGs with very low costs or zero costs in </w:t>
      </w:r>
      <w:r>
        <w:t xml:space="preserve">operating room and/or specialist procedure suite </w:t>
      </w:r>
      <w:r w:rsidRPr="00731F2E">
        <w:t>costs</w:t>
      </w:r>
      <w:r>
        <w:t>;</w:t>
      </w:r>
    </w:p>
    <w:p w:rsidR="00731F2E" w:rsidRDefault="00731F2E" w:rsidP="00F34CFF">
      <w:pPr>
        <w:pStyle w:val="PwCNormal"/>
        <w:numPr>
          <w:ilvl w:val="0"/>
          <w:numId w:val="48"/>
        </w:numPr>
      </w:pPr>
      <w:r>
        <w:t>Inconsistent cost weight relativity at the DRG-level for each hospital, e.g. the average costs per DRG do not follow the classification’s hierarchical order;</w:t>
      </w:r>
    </w:p>
    <w:p w:rsidR="00731F2E" w:rsidRDefault="00731F2E" w:rsidP="00F34CFF">
      <w:pPr>
        <w:pStyle w:val="PwCNormal"/>
        <w:numPr>
          <w:ilvl w:val="0"/>
          <w:numId w:val="48"/>
        </w:numPr>
      </w:pPr>
      <w:r>
        <w:lastRenderedPageBreak/>
        <w:t>Statistical outliers by DRG, based on analysis of percentile bands from the Round 13 collection;</w:t>
      </w:r>
    </w:p>
    <w:p w:rsidR="00731F2E" w:rsidRDefault="00731F2E" w:rsidP="00F34CFF">
      <w:pPr>
        <w:pStyle w:val="PwCNormal"/>
        <w:numPr>
          <w:ilvl w:val="0"/>
          <w:numId w:val="48"/>
        </w:numPr>
      </w:pPr>
      <w:r>
        <w:t>If a hospital participated in Round 13, a comparison of costs to the previous collection by cost bucket for DRGs that are consistent between v5.1 and v6.0x;</w:t>
      </w:r>
    </w:p>
    <w:p w:rsidR="00D43C28" w:rsidRDefault="00731F2E" w:rsidP="00F34CFF">
      <w:pPr>
        <w:pStyle w:val="PwCNormal"/>
        <w:numPr>
          <w:ilvl w:val="0"/>
          <w:numId w:val="48"/>
        </w:numPr>
      </w:pPr>
      <w:r>
        <w:t>A comparison of the hospital’s costs by cost bucket, compared what would be expected from the Round 13 collection, for DRGs that are consistent between v5.1 and v6.0x.</w:t>
      </w:r>
    </w:p>
    <w:p w:rsidR="00841C45" w:rsidRPr="00C2447E" w:rsidRDefault="00841C45" w:rsidP="00292B95">
      <w:pPr>
        <w:pStyle w:val="Heading3"/>
      </w:pPr>
      <w:r w:rsidRPr="00C2447E">
        <w:t>Issues encountered during the data collection and costing phases</w:t>
      </w:r>
    </w:p>
    <w:p w:rsidR="00F34CFF" w:rsidRDefault="00841C45" w:rsidP="00841C45">
      <w:pPr>
        <w:pStyle w:val="BodyText"/>
      </w:pPr>
      <w:r>
        <w:t>Below is a list of issues associated with the Round 16 collection</w:t>
      </w:r>
      <w:r w:rsidR="00843DA8">
        <w:t>:</w:t>
      </w:r>
    </w:p>
    <w:p w:rsidR="00841C45" w:rsidRPr="002544AF" w:rsidRDefault="00841C45" w:rsidP="00292B95">
      <w:pPr>
        <w:pStyle w:val="Heading4"/>
      </w:pPr>
      <w:r>
        <w:t>Activity information</w:t>
      </w:r>
    </w:p>
    <w:p w:rsidR="005D2222" w:rsidRDefault="00841C45">
      <w:pPr>
        <w:pStyle w:val="ListBullet"/>
      </w:pPr>
      <w:r>
        <w:t xml:space="preserve">Not all of the patient records </w:t>
      </w:r>
      <w:r w:rsidR="00843DA8">
        <w:t xml:space="preserve">were submitted to the </w:t>
      </w:r>
      <w:r>
        <w:t xml:space="preserve">Private Hospital Data Bureau (PHDB) </w:t>
      </w:r>
      <w:r w:rsidR="00843DA8">
        <w:t>collection</w:t>
      </w:r>
      <w:r>
        <w:t>;</w:t>
      </w:r>
    </w:p>
    <w:p w:rsidR="005D2222" w:rsidRDefault="00841C45">
      <w:pPr>
        <w:pStyle w:val="ListBullet"/>
      </w:pPr>
      <w:r>
        <w:t>Inability to link all ward transfer records to encounter records</w:t>
      </w:r>
      <w:r w:rsidR="00843DA8">
        <w:t>;</w:t>
      </w:r>
    </w:p>
    <w:p w:rsidR="00841C45" w:rsidRDefault="00841C45" w:rsidP="00B47F95">
      <w:pPr>
        <w:pStyle w:val="ListBullet"/>
      </w:pPr>
      <w:r>
        <w:t>Inaccurate or non-existent ward transfer data (i.e. either transfer time is set to midnight or transfer data was created from the encounter data)</w:t>
      </w:r>
    </w:p>
    <w:p w:rsidR="00841C45" w:rsidRPr="002544AF" w:rsidRDefault="00841C45" w:rsidP="00292B95">
      <w:pPr>
        <w:pStyle w:val="Heading4"/>
      </w:pPr>
      <w:r>
        <w:t>General ledger data</w:t>
      </w:r>
    </w:p>
    <w:p w:rsidR="005D2222" w:rsidRDefault="00843DA8">
      <w:pPr>
        <w:pStyle w:val="ListBullet"/>
      </w:pPr>
      <w:r>
        <w:t>N</w:t>
      </w:r>
      <w:r w:rsidR="00841C45">
        <w:t>on-expenditure accounts and negative expense accounts</w:t>
      </w:r>
      <w:r>
        <w:t xml:space="preserve"> were initially submitted by hospitals. Any edits to the data submitted were agreed and discussed with the hospital;</w:t>
      </w:r>
    </w:p>
    <w:p w:rsidR="00841C45" w:rsidRDefault="00841C45" w:rsidP="00B47F95">
      <w:pPr>
        <w:pStyle w:val="ListBullet"/>
      </w:pPr>
      <w:r>
        <w:t>Inconsistent General Ledger structures and the impact on account and cost centre mapping, e.g. some hospitals allocated costs into patient care cost centres directly, whereas some have distinct overhead cost centres</w:t>
      </w:r>
      <w:r w:rsidR="00662FE5">
        <w:t xml:space="preserve">. Similarly, there is variation in the level of detail in General Ledger data, e.g. </w:t>
      </w:r>
      <w:r>
        <w:t>some hospitals only have one cost centre for both a ward and operating theatre, or one cost centre for operating rooms and specialist procedure suites</w:t>
      </w:r>
      <w:r w:rsidR="00662FE5">
        <w:t xml:space="preserve">. This is a feature of the variation in hospital structures </w:t>
      </w:r>
      <w:r w:rsidR="003719B5">
        <w:t>and must be borne in mind when interpreting the cost weight results;</w:t>
      </w:r>
    </w:p>
    <w:p w:rsidR="00841C45" w:rsidRDefault="00841C45" w:rsidP="00292B95">
      <w:pPr>
        <w:pStyle w:val="Heading4"/>
      </w:pPr>
      <w:r>
        <w:t>Costing assumptions and process</w:t>
      </w:r>
    </w:p>
    <w:p w:rsidR="00F34CFF" w:rsidRDefault="00841C45" w:rsidP="007E5472">
      <w:pPr>
        <w:pStyle w:val="ListBullet"/>
        <w:keepNext/>
      </w:pPr>
      <w:r>
        <w:t>V</w:t>
      </w:r>
      <w:r w:rsidR="00792849">
        <w:t xml:space="preserve">ersion </w:t>
      </w:r>
      <w:r>
        <w:t>6.0x service weights for the public sector</w:t>
      </w:r>
      <w:r w:rsidR="00265C34">
        <w:t xml:space="preserve"> (derived from the </w:t>
      </w:r>
      <w:r w:rsidR="00792849">
        <w:t xml:space="preserve">2013 </w:t>
      </w:r>
      <w:r w:rsidR="00265C34">
        <w:t>N</w:t>
      </w:r>
      <w:r w:rsidR="00792849">
        <w:t xml:space="preserve">ational </w:t>
      </w:r>
      <w:r w:rsidR="00265C34">
        <w:t>E</w:t>
      </w:r>
      <w:r w:rsidR="00792849">
        <w:t xml:space="preserve">fficient </w:t>
      </w:r>
      <w:r w:rsidR="00265C34">
        <w:t>P</w:t>
      </w:r>
      <w:r w:rsidR="00792849">
        <w:t>ricing</w:t>
      </w:r>
      <w:r w:rsidR="00265C34" w:rsidRPr="00D4440B">
        <w:t xml:space="preserve"> dataset for patient costed sites</w:t>
      </w:r>
      <w:r w:rsidR="00265C34">
        <w:t xml:space="preserve">) </w:t>
      </w:r>
      <w:r>
        <w:t>were used. These weights did not have a weight for Special</w:t>
      </w:r>
      <w:r w:rsidR="003719B5">
        <w:t>ist</w:t>
      </w:r>
      <w:r>
        <w:t xml:space="preserve"> Procedure Suit</w:t>
      </w:r>
      <w:r w:rsidR="003719B5">
        <w:t>e</w:t>
      </w:r>
      <w:r>
        <w:t xml:space="preserve">s and Emergency Departments. </w:t>
      </w:r>
      <w:r w:rsidR="00694AEF">
        <w:t>As agreed with IHPA, t</w:t>
      </w:r>
      <w:r>
        <w:t xml:space="preserve">he service weights for Operating Rooms </w:t>
      </w:r>
      <w:r w:rsidR="00694AEF">
        <w:t>were used for Specialist Procedure Suit</w:t>
      </w:r>
      <w:r w:rsidR="00792849">
        <w:t>e</w:t>
      </w:r>
      <w:r w:rsidR="00694AEF">
        <w:t xml:space="preserve">s </w:t>
      </w:r>
      <w:r>
        <w:t xml:space="preserve">and </w:t>
      </w:r>
      <w:r w:rsidR="00694AEF">
        <w:t>Emergency Department costs were allocated across all DRGs at a patient episode level.</w:t>
      </w:r>
    </w:p>
    <w:p w:rsidR="00342685" w:rsidRPr="00342685" w:rsidRDefault="00342685" w:rsidP="00F34CFF">
      <w:pPr>
        <w:pStyle w:val="PwCNormal"/>
      </w:pPr>
      <w:r>
        <w:t>The</w:t>
      </w:r>
      <w:r w:rsidR="00324258" w:rsidRPr="00324258">
        <w:t xml:space="preserve"> majority of these issues have been raised in previous rounds and our approach to resolve these issues was agreed with each hospital and with IHPA.</w:t>
      </w:r>
    </w:p>
    <w:p w:rsidR="00E76A23" w:rsidRPr="00C2447E" w:rsidRDefault="00E76A23" w:rsidP="00292B95">
      <w:pPr>
        <w:pStyle w:val="Heading3"/>
      </w:pPr>
      <w:r w:rsidRPr="00C2447E">
        <w:t>Feedback provided to hospitals</w:t>
      </w:r>
    </w:p>
    <w:p w:rsidR="00E76A23" w:rsidRDefault="00AD1322" w:rsidP="00F34CFF">
      <w:pPr>
        <w:pStyle w:val="PwCNormal"/>
      </w:pPr>
      <w:r>
        <w:t>After going through the quality review checks, r</w:t>
      </w:r>
      <w:r w:rsidR="00E76A23">
        <w:t xml:space="preserve">esults from the costing process were sent back to hospitals for review and comment. </w:t>
      </w:r>
      <w:r w:rsidR="00342685">
        <w:t>This reporting included</w:t>
      </w:r>
      <w:r w:rsidR="00E76A23">
        <w:t>:</w:t>
      </w:r>
    </w:p>
    <w:p w:rsidR="00E76A23" w:rsidRDefault="00E76A23" w:rsidP="00E76A23">
      <w:pPr>
        <w:pStyle w:val="ListBullet"/>
      </w:pPr>
      <w:r>
        <w:t xml:space="preserve">The cost </w:t>
      </w:r>
      <w:r w:rsidR="007B5655">
        <w:t xml:space="preserve">of </w:t>
      </w:r>
      <w:r>
        <w:t xml:space="preserve">each encounter, </w:t>
      </w:r>
      <w:r w:rsidR="007B5655">
        <w:t xml:space="preserve">split </w:t>
      </w:r>
      <w:r>
        <w:t>by cost bucket;</w:t>
      </w:r>
    </w:p>
    <w:p w:rsidR="00E76A23" w:rsidRDefault="00E76A23" w:rsidP="00E76A23">
      <w:pPr>
        <w:pStyle w:val="ListBullet"/>
      </w:pPr>
      <w:r>
        <w:t>A profile of the hospital’s activity and cost data, including:</w:t>
      </w:r>
    </w:p>
    <w:p w:rsidR="00875AFD" w:rsidRDefault="007B5655">
      <w:pPr>
        <w:pStyle w:val="ListBullet2"/>
      </w:pPr>
      <w:r>
        <w:t>Captured o</w:t>
      </w:r>
      <w:r w:rsidR="00E76A23">
        <w:t>ccupancy levels per day and month for overnight patients;</w:t>
      </w:r>
    </w:p>
    <w:p w:rsidR="00875AFD" w:rsidRDefault="00E76A23">
      <w:pPr>
        <w:pStyle w:val="ListBullet2"/>
      </w:pPr>
      <w:r>
        <w:t>The number of same-day patients per day and month;</w:t>
      </w:r>
    </w:p>
    <w:p w:rsidR="00875AFD" w:rsidRDefault="00E76A23">
      <w:pPr>
        <w:pStyle w:val="ListBullet2"/>
      </w:pPr>
      <w:r>
        <w:lastRenderedPageBreak/>
        <w:t>The top 10 DRGs by frequency, and their average costs;</w:t>
      </w:r>
    </w:p>
    <w:p w:rsidR="00875AFD" w:rsidRDefault="00E76A23">
      <w:pPr>
        <w:pStyle w:val="ListBullet2"/>
      </w:pPr>
      <w:r>
        <w:t>The top 10 DRGs by average cost</w:t>
      </w:r>
      <w:r w:rsidR="00B47F95">
        <w:t>; and</w:t>
      </w:r>
    </w:p>
    <w:p w:rsidR="00875AFD" w:rsidRDefault="00E76A23">
      <w:pPr>
        <w:pStyle w:val="ListBullet2"/>
      </w:pPr>
      <w:r>
        <w:t>The direct and overhead split by cost bucket.</w:t>
      </w:r>
    </w:p>
    <w:p w:rsidR="00E76A23" w:rsidRPr="0095160D" w:rsidRDefault="00E76A23" w:rsidP="00F34CFF">
      <w:pPr>
        <w:pStyle w:val="PwCNormal"/>
      </w:pPr>
      <w:r>
        <w:t xml:space="preserve">These reports </w:t>
      </w:r>
      <w:r w:rsidR="007B5655">
        <w:t>provided</w:t>
      </w:r>
      <w:r>
        <w:t xml:space="preserve"> hospitals </w:t>
      </w:r>
      <w:r w:rsidR="007B5655">
        <w:t xml:space="preserve">with overall data </w:t>
      </w:r>
      <w:r>
        <w:t>to</w:t>
      </w:r>
      <w:r w:rsidR="007B5655">
        <w:t xml:space="preserve"> enable a</w:t>
      </w:r>
      <w:r>
        <w:t xml:space="preserve"> review </w:t>
      </w:r>
      <w:r w:rsidR="007B5655">
        <w:t xml:space="preserve">of </w:t>
      </w:r>
      <w:r>
        <w:t>the reasonableness of the draft results and to provide comments</w:t>
      </w:r>
      <w:r w:rsidR="007B5655">
        <w:t xml:space="preserve"> or queries before the results we</w:t>
      </w:r>
      <w:r>
        <w:t>re finalised.</w:t>
      </w:r>
    </w:p>
    <w:p w:rsidR="00841C45" w:rsidRPr="00D675EE" w:rsidRDefault="00910773" w:rsidP="00446789">
      <w:pPr>
        <w:pStyle w:val="Heading2"/>
      </w:pPr>
      <w:bookmarkStart w:id="52" w:name="_Ref353927377"/>
      <w:bookmarkStart w:id="53" w:name="_Ref353990582"/>
      <w:bookmarkStart w:id="54" w:name="_Toc356829288"/>
      <w:r w:rsidRPr="00D675EE">
        <w:t>Analysis and reporting</w:t>
      </w:r>
      <w:bookmarkEnd w:id="52"/>
      <w:bookmarkEnd w:id="53"/>
      <w:bookmarkEnd w:id="54"/>
    </w:p>
    <w:p w:rsidR="00875AFD" w:rsidRDefault="00C91370" w:rsidP="00F34CFF">
      <w:pPr>
        <w:pStyle w:val="PwCNormal"/>
      </w:pPr>
      <w:r>
        <w:t>The costing dataset was constructed from the combined hospital costed outputs.</w:t>
      </w:r>
      <w:r w:rsidR="00AD1322">
        <w:t xml:space="preserve"> The following</w:t>
      </w:r>
      <w:r w:rsidR="00573EEF">
        <w:t xml:space="preserve"> adjustments were applied to the dataset:</w:t>
      </w:r>
    </w:p>
    <w:p w:rsidR="00875AFD" w:rsidRPr="00C2447E" w:rsidRDefault="00573EEF" w:rsidP="00292B95">
      <w:pPr>
        <w:pStyle w:val="Heading3"/>
      </w:pPr>
      <w:r w:rsidRPr="00C2447E">
        <w:t>Neonate adjustment</w:t>
      </w:r>
    </w:p>
    <w:p w:rsidR="00875AFD" w:rsidRDefault="00AD1322" w:rsidP="00F34CFF">
      <w:pPr>
        <w:pStyle w:val="PwCNormal"/>
      </w:pPr>
      <w:r>
        <w:t xml:space="preserve">The </w:t>
      </w:r>
      <w:r w:rsidR="00B92597">
        <w:t xml:space="preserve">costs for newborn </w:t>
      </w:r>
      <w:r w:rsidR="00092ADD" w:rsidRPr="00092ADD">
        <w:t>infants with zero qualified days</w:t>
      </w:r>
      <w:r w:rsidR="00B92597">
        <w:t>, in respect of care type 7 (newborn care)</w:t>
      </w:r>
      <w:r w:rsidR="00573EEF">
        <w:t>, and neonate DRGs</w:t>
      </w:r>
      <w:r>
        <w:t xml:space="preserve"> were allocated</w:t>
      </w:r>
      <w:r w:rsidR="00B92597">
        <w:t xml:space="preserve"> to the delivery DRGs of mothers at the same hospital. The definition of unqualified days is provided in the National Health Data Dictionary</w:t>
      </w:r>
      <w:r w:rsidR="00B92597">
        <w:rPr>
          <w:rStyle w:val="FootnoteReference"/>
        </w:rPr>
        <w:footnoteReference w:id="13"/>
      </w:r>
      <w:r w:rsidR="00092ADD">
        <w:t>:</w:t>
      </w:r>
      <w:r w:rsidR="00573EEF">
        <w:t xml:space="preserve"> </w:t>
      </w:r>
      <w:r w:rsidR="00092ADD">
        <w:t xml:space="preserve">“unqualified days” </w:t>
      </w:r>
      <w:r w:rsidR="00573EEF">
        <w:t>relates to the first 9 days of a newborn’s life, unless the newborn is a second or subsequent live born infant or it requires intensive care. This adjustment has been performed consistent with the methodology adopted by IHPA and applied to the public sector collection for Rounds 14 and 15 as inputs to the National Efficient Price weights.</w:t>
      </w:r>
      <w:r w:rsidR="00573EEF">
        <w:rPr>
          <w:rStyle w:val="FootnoteReference"/>
        </w:rPr>
        <w:footnoteReference w:id="14"/>
      </w:r>
    </w:p>
    <w:p w:rsidR="00875AFD" w:rsidRPr="00C2447E" w:rsidRDefault="00BD6D07" w:rsidP="00292B95">
      <w:pPr>
        <w:pStyle w:val="Heading3"/>
      </w:pPr>
      <w:r w:rsidRPr="00C2447E">
        <w:t>Population adjustment process</w:t>
      </w:r>
    </w:p>
    <w:p w:rsidR="00F34CFF" w:rsidRDefault="00757EBF" w:rsidP="00F34CFF">
      <w:pPr>
        <w:pStyle w:val="PwCNormal"/>
      </w:pPr>
      <w:r>
        <w:t xml:space="preserve">Analysis performed by PwC prior to the commencement of the collection identified that there </w:t>
      </w:r>
      <w:proofErr w:type="gramStart"/>
      <w:r>
        <w:t>are</w:t>
      </w:r>
      <w:proofErr w:type="gramEnd"/>
      <w:r>
        <w:t xml:space="preserve"> statistically significant differences in costs between various hospital groups. </w:t>
      </w:r>
      <w:r w:rsidR="007164E9" w:rsidRPr="007164E9">
        <w:t>To ensure the results reflect the full range of Australia’s private hospitals, an estimation process</w:t>
      </w:r>
      <w:r w:rsidR="007164E9">
        <w:t xml:space="preserve"> </w:t>
      </w:r>
      <w:r w:rsidR="00DF6DCD">
        <w:t>wa</w:t>
      </w:r>
      <w:r w:rsidR="007164E9" w:rsidRPr="007164E9">
        <w:t>s adopted to create representative national costing and activity figures from sample data. The</w:t>
      </w:r>
      <w:r w:rsidR="007164E9">
        <w:t xml:space="preserve"> </w:t>
      </w:r>
      <w:r w:rsidR="007164E9" w:rsidRPr="007164E9">
        <w:t xml:space="preserve">estimation process produces ‘population’ data by </w:t>
      </w:r>
      <w:r w:rsidR="00EE5FD7">
        <w:t xml:space="preserve">estimating weights, on the basis of acute admitted separations, that are applied to </w:t>
      </w:r>
      <w:r w:rsidR="007164E9" w:rsidRPr="007164E9">
        <w:t xml:space="preserve">the sample data </w:t>
      </w:r>
      <w:r w:rsidR="00EE5FD7">
        <w:t xml:space="preserve">so that the acute admitted separations equal the </w:t>
      </w:r>
      <w:r w:rsidR="007164E9" w:rsidRPr="007164E9">
        <w:t>total population figures.</w:t>
      </w:r>
    </w:p>
    <w:p w:rsidR="00CD2AFE" w:rsidRDefault="00CD2AFE" w:rsidP="00F34CFF">
      <w:pPr>
        <w:pStyle w:val="PwCNormal"/>
      </w:pPr>
      <w:r>
        <w:t>A change in methodology has been adopted for this Round. In previous Rounds, the variables used to re-weight the profile of the sample to that of the population were:</w:t>
      </w:r>
    </w:p>
    <w:p w:rsidR="005D2222" w:rsidRDefault="007164E9">
      <w:pPr>
        <w:pStyle w:val="ListBullet"/>
        <w:spacing w:before="240"/>
      </w:pPr>
      <w:r w:rsidRPr="007164E9">
        <w:t>Hospital type (for-profit or not-for-profit); and</w:t>
      </w:r>
    </w:p>
    <w:p w:rsidR="005D2222" w:rsidRDefault="00757EBF">
      <w:pPr>
        <w:pStyle w:val="ListBullet"/>
        <w:spacing w:before="240"/>
      </w:pPr>
      <w:r>
        <w:t xml:space="preserve">Size </w:t>
      </w:r>
      <w:r w:rsidR="00EE5FD7">
        <w:t xml:space="preserve">classification of the </w:t>
      </w:r>
      <w:r>
        <w:t>hospital</w:t>
      </w:r>
      <w:r w:rsidR="00EE5FD7">
        <w:t>, based on the number of acute admitted separations.</w:t>
      </w:r>
    </w:p>
    <w:p w:rsidR="00F34CFF" w:rsidRDefault="009B5938" w:rsidP="00F34CFF">
      <w:pPr>
        <w:pStyle w:val="PwCNormal"/>
      </w:pPr>
      <w:r>
        <w:t xml:space="preserve">A concern </w:t>
      </w:r>
      <w:r w:rsidR="00CD2AFE">
        <w:t xml:space="preserve">raised by the sector </w:t>
      </w:r>
      <w:r>
        <w:t xml:space="preserve">is </w:t>
      </w:r>
      <w:r w:rsidR="00CD2AFE">
        <w:t>that such an approach could inadvertently over-represent the costs and separations of the larger hospitals</w:t>
      </w:r>
      <w:r>
        <w:t xml:space="preserve"> in the weighted sample relative to their actual market shares. </w:t>
      </w:r>
      <w:r w:rsidR="00AD2655">
        <w:t>Therefore, a market-based approach was adopted to weight the sample so that the weighted separations and costs of the larger participants did not exceed their actual markets shares.</w:t>
      </w:r>
      <w:r w:rsidR="0065686F">
        <w:t xml:space="preserve"> Upon further investigation, we found that this method of weighting better accounted for differences in hospital characteristics than using broader groupings such as Hospital Type and Size.</w:t>
      </w:r>
    </w:p>
    <w:p w:rsidR="007D1132" w:rsidRDefault="007164E9" w:rsidP="00F34CFF">
      <w:pPr>
        <w:pStyle w:val="PwCNormal"/>
      </w:pPr>
      <w:r w:rsidRPr="007164E9">
        <w:t>In order to compile a study and strata file that is required for the population estimation process,</w:t>
      </w:r>
      <w:r w:rsidR="00EE5FD7">
        <w:t xml:space="preserve"> </w:t>
      </w:r>
      <w:r w:rsidRPr="007164E9">
        <w:t xml:space="preserve">the number of acute hospital separations for </w:t>
      </w:r>
      <w:r w:rsidR="006C6448">
        <w:t>2011-12</w:t>
      </w:r>
      <w:r w:rsidRPr="007164E9">
        <w:t xml:space="preserve"> for each hospital </w:t>
      </w:r>
      <w:r w:rsidR="00342685" w:rsidRPr="007164E9">
        <w:t>w</w:t>
      </w:r>
      <w:r w:rsidR="00342685">
        <w:t>as</w:t>
      </w:r>
      <w:r w:rsidR="00342685" w:rsidRPr="007164E9">
        <w:t xml:space="preserve"> </w:t>
      </w:r>
      <w:r w:rsidRPr="007164E9">
        <w:t>obtained from the</w:t>
      </w:r>
      <w:r w:rsidR="00EE5FD7">
        <w:t xml:space="preserve"> </w:t>
      </w:r>
      <w:r w:rsidRPr="007164E9">
        <w:t>PHDB.</w:t>
      </w:r>
      <w:r w:rsidR="00492B7F" w:rsidRPr="00492B7F">
        <w:t xml:space="preserve"> </w:t>
      </w:r>
      <w:r w:rsidR="00492B7F" w:rsidRPr="007164E9">
        <w:t>All private acute hospitals in Australia (excluding private day hospital facilities) with more than</w:t>
      </w:r>
      <w:r w:rsidR="00492B7F">
        <w:t xml:space="preserve"> </w:t>
      </w:r>
      <w:r w:rsidR="00492B7F" w:rsidRPr="007164E9">
        <w:t xml:space="preserve">200 </w:t>
      </w:r>
      <w:r w:rsidR="00492B7F">
        <w:t xml:space="preserve">acute admitted </w:t>
      </w:r>
      <w:r w:rsidR="00492B7F" w:rsidRPr="007164E9">
        <w:t xml:space="preserve">separations during the financial year are </w:t>
      </w:r>
      <w:r w:rsidR="00492B7F" w:rsidRPr="007164E9">
        <w:lastRenderedPageBreak/>
        <w:t>included in the population file.</w:t>
      </w:r>
      <w:r w:rsidR="00492B7F">
        <w:t xml:space="preserve"> An issue with the PHDB file </w:t>
      </w:r>
      <w:r w:rsidR="009C46CF">
        <w:t>was</w:t>
      </w:r>
      <w:r w:rsidR="00492B7F">
        <w:t xml:space="preserve"> that a number of hospitals missed </w:t>
      </w:r>
      <w:r w:rsidR="00672F5C">
        <w:t xml:space="preserve">a monthly </w:t>
      </w:r>
      <w:r w:rsidR="00492B7F">
        <w:t>PHDB</w:t>
      </w:r>
      <w:r w:rsidR="00672F5C">
        <w:t xml:space="preserve"> submission</w:t>
      </w:r>
      <w:r w:rsidR="00492B7F">
        <w:t xml:space="preserve">. This </w:t>
      </w:r>
      <w:r w:rsidR="009C46CF">
        <w:t>means</w:t>
      </w:r>
      <w:r w:rsidR="00672F5C">
        <w:t xml:space="preserve"> that the PHDB </w:t>
      </w:r>
      <w:r w:rsidR="009C46CF">
        <w:t>was</w:t>
      </w:r>
      <w:r w:rsidR="00672F5C">
        <w:t xml:space="preserve"> not complete and unsuitable for estimating the population without some form of adjustment for the missing data. Our approach to adjust for missing data was as follows:</w:t>
      </w:r>
    </w:p>
    <w:p w:rsidR="007D1132" w:rsidRDefault="00672F5C" w:rsidP="00F34CFF">
      <w:pPr>
        <w:pStyle w:val="PwCNormal"/>
        <w:numPr>
          <w:ilvl w:val="0"/>
          <w:numId w:val="49"/>
        </w:numPr>
      </w:pPr>
      <w:r>
        <w:t>If a hospital submitted data to the NHCDC but it missed a monthly PHDB submission, then the revised separation count was adopted from the hospital’s NHCDC data;</w:t>
      </w:r>
    </w:p>
    <w:p w:rsidR="007D1132" w:rsidRDefault="00672F5C" w:rsidP="00F34CFF">
      <w:pPr>
        <w:pStyle w:val="PwCNormal"/>
        <w:numPr>
          <w:ilvl w:val="0"/>
          <w:numId w:val="49"/>
        </w:numPr>
      </w:pPr>
      <w:r>
        <w:t>If a hospital missed a monthly PHDB submission but did not participate in the NHCDC, then an annualised estimate at hospital level was taken based on analysis of the average number of separations from the other monthly submissions;</w:t>
      </w:r>
    </w:p>
    <w:p w:rsidR="007D1132" w:rsidRDefault="00672F5C" w:rsidP="00F34CFF">
      <w:pPr>
        <w:pStyle w:val="PwCNormal"/>
        <w:numPr>
          <w:ilvl w:val="0"/>
          <w:numId w:val="49"/>
        </w:numPr>
      </w:pPr>
      <w:r>
        <w:t>For all other hospitals, i.e. with no missing submission, the PHDB count of separations was adopted.</w:t>
      </w:r>
    </w:p>
    <w:p w:rsidR="00875AFD" w:rsidRDefault="007164E9" w:rsidP="00F34CFF">
      <w:pPr>
        <w:pStyle w:val="PwCNormal"/>
      </w:pPr>
      <w:r w:rsidRPr="007164E9">
        <w:t>The number of</w:t>
      </w:r>
      <w:r w:rsidR="00EE5FD7">
        <w:t xml:space="preserve"> </w:t>
      </w:r>
      <w:r w:rsidRPr="007164E9">
        <w:t xml:space="preserve">hospitals in the population file for Round </w:t>
      </w:r>
      <w:r w:rsidR="00EE5FD7">
        <w:t>16</w:t>
      </w:r>
      <w:r w:rsidRPr="007164E9">
        <w:t xml:space="preserve"> </w:t>
      </w:r>
      <w:r w:rsidRPr="00093A10">
        <w:t xml:space="preserve">is </w:t>
      </w:r>
      <w:r w:rsidR="00324258" w:rsidRPr="00093A10">
        <w:t>248</w:t>
      </w:r>
      <w:r w:rsidRPr="00093A10">
        <w:t xml:space="preserve"> which is a</w:t>
      </w:r>
      <w:r w:rsidR="00EE5FD7" w:rsidRPr="00093A10">
        <w:t>n</w:t>
      </w:r>
      <w:r w:rsidRPr="00093A10">
        <w:t xml:space="preserve"> </w:t>
      </w:r>
      <w:r w:rsidR="003C3952" w:rsidRPr="00093A10">
        <w:t xml:space="preserve">increase of </w:t>
      </w:r>
      <w:r w:rsidR="00324258" w:rsidRPr="00093A10">
        <w:t>22</w:t>
      </w:r>
      <w:r w:rsidRPr="00093A10">
        <w:t xml:space="preserve"> sites from Round </w:t>
      </w:r>
      <w:r w:rsidR="00EE5FD7" w:rsidRPr="00093A10">
        <w:t>13</w:t>
      </w:r>
      <w:r w:rsidRPr="00093A10">
        <w:t>.</w:t>
      </w:r>
    </w:p>
    <w:p w:rsidR="00875AFD" w:rsidRDefault="007164E9" w:rsidP="00F34CFF">
      <w:pPr>
        <w:pStyle w:val="PwCNormal"/>
      </w:pPr>
      <w:r w:rsidRPr="002E50A0">
        <w:t xml:space="preserve">The population separations have increased by </w:t>
      </w:r>
      <w:r w:rsidR="00A1451C" w:rsidRPr="002E50A0">
        <w:t>7.0</w:t>
      </w:r>
      <w:r w:rsidR="003C3952" w:rsidRPr="002E50A0">
        <w:t>%</w:t>
      </w:r>
      <w:r w:rsidRPr="002E50A0">
        <w:t xml:space="preserve"> from Round </w:t>
      </w:r>
      <w:r w:rsidR="003C3952" w:rsidRPr="002E50A0">
        <w:t>13</w:t>
      </w:r>
      <w:r w:rsidR="00A1451C" w:rsidRPr="002E50A0">
        <w:t xml:space="preserve"> to Round 1</w:t>
      </w:r>
      <w:r w:rsidR="00093A10" w:rsidRPr="002E50A0">
        <w:t>6</w:t>
      </w:r>
      <w:r w:rsidR="00DF6DCD" w:rsidRPr="002E50A0">
        <w:t xml:space="preserve"> (</w:t>
      </w:r>
      <w:r w:rsidR="00093A10" w:rsidRPr="002E50A0">
        <w:t>s</w:t>
      </w:r>
      <w:r w:rsidRPr="002E50A0">
        <w:t xml:space="preserve">ee </w:t>
      </w:r>
      <w:r w:rsidR="00AB1EF2">
        <w:fldChar w:fldCharType="begin"/>
      </w:r>
      <w:r w:rsidR="00AB1EF2">
        <w:instrText xml:space="preserve"> REF _Ref353931865 \h  \* MERGEFORMAT </w:instrText>
      </w:r>
      <w:r w:rsidR="00AB1EF2">
        <w:fldChar w:fldCharType="separate"/>
      </w:r>
      <w:r w:rsidR="00953F50" w:rsidRPr="00953F50">
        <w:t>Table 3</w:t>
      </w:r>
      <w:r w:rsidR="00AB1EF2">
        <w:fldChar w:fldCharType="end"/>
      </w:r>
      <w:r w:rsidR="00C7336B" w:rsidRPr="007B5655">
        <w:t xml:space="preserve"> </w:t>
      </w:r>
      <w:r w:rsidRPr="002E50A0">
        <w:t>for more detail.</w:t>
      </w:r>
      <w:r w:rsidR="00DF6DCD" w:rsidRPr="002E50A0">
        <w:t>)</w:t>
      </w:r>
    </w:p>
    <w:p w:rsidR="00145F3B" w:rsidRDefault="00145F3B" w:rsidP="00B31D68">
      <w:pPr>
        <w:pStyle w:val="PwCNormal"/>
        <w:numPr>
          <w:ilvl w:val="0"/>
          <w:numId w:val="0"/>
        </w:numPr>
      </w:pPr>
    </w:p>
    <w:p w:rsidR="00A65270" w:rsidRPr="00A65270" w:rsidRDefault="00A65270" w:rsidP="00B31D68">
      <w:pPr>
        <w:pStyle w:val="PwCNormal"/>
        <w:numPr>
          <w:ilvl w:val="0"/>
          <w:numId w:val="0"/>
        </w:numPr>
        <w:sectPr w:rsidR="00A65270" w:rsidRPr="00A65270" w:rsidSect="00BC75AE">
          <w:type w:val="continuous"/>
          <w:pgSz w:w="11907" w:h="16840" w:code="9"/>
          <w:pgMar w:top="1588" w:right="1843" w:bottom="1418" w:left="1843" w:header="567" w:footer="567" w:gutter="0"/>
          <w:cols w:space="227"/>
          <w:titlePg/>
          <w:docGrid w:linePitch="360"/>
        </w:sectPr>
      </w:pPr>
    </w:p>
    <w:p w:rsidR="004F3859" w:rsidRPr="002E50A0" w:rsidRDefault="005A1129" w:rsidP="00446789">
      <w:pPr>
        <w:pStyle w:val="Heading1-Accessibility"/>
      </w:pPr>
      <w:bookmarkStart w:id="55" w:name="_Toc356829289"/>
      <w:r w:rsidRPr="002E50A0">
        <w:lastRenderedPageBreak/>
        <w:t>Summary of results</w:t>
      </w:r>
      <w:bookmarkEnd w:id="55"/>
    </w:p>
    <w:p w:rsidR="00875AFD" w:rsidRPr="00D675EE" w:rsidRDefault="004E7491" w:rsidP="00446789">
      <w:pPr>
        <w:pStyle w:val="Heading2"/>
      </w:pPr>
      <w:bookmarkStart w:id="56" w:name="_Toc356829290"/>
      <w:r w:rsidRPr="00D675EE">
        <w:t>Summary of Round 16 Sample to Population</w:t>
      </w:r>
      <w:bookmarkEnd w:id="56"/>
    </w:p>
    <w:p w:rsidR="00F34CFF" w:rsidRDefault="004E7491" w:rsidP="00F34CFF">
      <w:pPr>
        <w:pStyle w:val="PwCNormal"/>
      </w:pPr>
      <w:r w:rsidRPr="002E50A0">
        <w:t>The number of hospitals participating in Round 16 was 10</w:t>
      </w:r>
      <w:r w:rsidR="004E57F5">
        <w:t>5</w:t>
      </w:r>
      <w:r w:rsidRPr="002E50A0">
        <w:t>. The sample separations represent 6</w:t>
      </w:r>
      <w:r w:rsidR="004E57F5">
        <w:t>6</w:t>
      </w:r>
      <w:r w:rsidRPr="002E50A0">
        <w:t>% of the acute private hospital separations in scope which represents a significant proportion of private hospital activity.</w:t>
      </w:r>
    </w:p>
    <w:p w:rsidR="00875AFD" w:rsidRPr="002E50A0" w:rsidRDefault="00670666">
      <w:pPr>
        <w:pStyle w:val="Caption"/>
      </w:pPr>
      <w:bookmarkStart w:id="57" w:name="_Ref353931865"/>
      <w:r w:rsidRPr="002E50A0">
        <w:t xml:space="preserve">Table </w:t>
      </w:r>
      <w:r w:rsidR="00D502C6" w:rsidRPr="002E50A0">
        <w:fldChar w:fldCharType="begin"/>
      </w:r>
      <w:r w:rsidRPr="002E50A0">
        <w:instrText xml:space="preserve"> SEQ Table \* ARABIC </w:instrText>
      </w:r>
      <w:r w:rsidR="00D502C6" w:rsidRPr="002E50A0">
        <w:fldChar w:fldCharType="separate"/>
      </w:r>
      <w:r w:rsidR="00953F50">
        <w:rPr>
          <w:noProof/>
        </w:rPr>
        <w:t>3</w:t>
      </w:r>
      <w:r w:rsidR="00D502C6" w:rsidRPr="002E50A0">
        <w:fldChar w:fldCharType="end"/>
      </w:r>
      <w:bookmarkEnd w:id="57"/>
      <w:r w:rsidR="004E7491" w:rsidRPr="002E50A0">
        <w:tab/>
        <w:t>Comparison of separations and hospitals, Round 7 (2002/03) to Round 16</w:t>
      </w:r>
      <w:r w:rsidR="00342685" w:rsidRPr="002E50A0">
        <w:t xml:space="preserve"> </w:t>
      </w:r>
      <w:r w:rsidR="004E7491" w:rsidRPr="002E50A0">
        <w:t>(2011/12)</w:t>
      </w:r>
    </w:p>
    <w:tbl>
      <w:tblPr>
        <w:tblW w:w="7740" w:type="dxa"/>
        <w:tblInd w:w="91" w:type="dxa"/>
        <w:tblLook w:val="04A0" w:firstRow="1" w:lastRow="0" w:firstColumn="1" w:lastColumn="0" w:noHBand="0" w:noVBand="1"/>
      </w:tblPr>
      <w:tblGrid>
        <w:gridCol w:w="960"/>
        <w:gridCol w:w="1180"/>
        <w:gridCol w:w="1120"/>
        <w:gridCol w:w="1120"/>
        <w:gridCol w:w="1120"/>
        <w:gridCol w:w="1120"/>
        <w:gridCol w:w="1120"/>
      </w:tblGrid>
      <w:tr w:rsidR="00626989" w:rsidRPr="002E50A0" w:rsidTr="00626989">
        <w:trPr>
          <w:trHeight w:val="240"/>
        </w:trPr>
        <w:tc>
          <w:tcPr>
            <w:tcW w:w="96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rPr>
                <w:rFonts w:ascii="Arial" w:hAnsi="Arial"/>
                <w:b/>
                <w:bCs/>
                <w:snapToGrid/>
                <w:color w:val="A32020"/>
                <w:sz w:val="18"/>
                <w:szCs w:val="18"/>
                <w:lang w:eastAsia="en-AU"/>
              </w:rPr>
            </w:pPr>
            <w:r w:rsidRPr="002E50A0">
              <w:rPr>
                <w:rFonts w:ascii="Arial" w:hAnsi="Arial"/>
                <w:b/>
                <w:bCs/>
                <w:snapToGrid/>
                <w:color w:val="A32020"/>
                <w:sz w:val="18"/>
                <w:szCs w:val="18"/>
                <w:lang w:eastAsia="en-AU"/>
              </w:rPr>
              <w:t> </w:t>
            </w:r>
          </w:p>
        </w:tc>
        <w:tc>
          <w:tcPr>
            <w:tcW w:w="118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rPr>
                <w:rFonts w:ascii="Arial" w:hAnsi="Arial"/>
                <w:b/>
                <w:bCs/>
                <w:snapToGrid/>
                <w:color w:val="A32020"/>
                <w:sz w:val="18"/>
                <w:szCs w:val="18"/>
                <w:lang w:eastAsia="en-AU"/>
              </w:rPr>
            </w:pPr>
            <w:r w:rsidRPr="002E50A0">
              <w:rPr>
                <w:rFonts w:ascii="Arial" w:hAnsi="Arial"/>
                <w:b/>
                <w:bCs/>
                <w:snapToGrid/>
                <w:color w:val="A32020"/>
                <w:sz w:val="18"/>
                <w:szCs w:val="18"/>
                <w:lang w:eastAsia="en-AU"/>
              </w:rPr>
              <w:t> </w:t>
            </w:r>
          </w:p>
        </w:tc>
        <w:tc>
          <w:tcPr>
            <w:tcW w:w="112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7</w:t>
            </w:r>
            <w:r w:rsidR="004C72EC">
              <w:rPr>
                <w:rFonts w:ascii="Arial" w:hAnsi="Arial"/>
                <w:b/>
                <w:bCs/>
                <w:snapToGrid/>
                <w:color w:val="A32020"/>
                <w:sz w:val="18"/>
                <w:szCs w:val="18"/>
                <w:lang w:eastAsia="en-AU"/>
              </w:rPr>
              <w:t xml:space="preserve"> </w:t>
            </w:r>
            <w:r w:rsidR="004C72EC" w:rsidRPr="002E50A0">
              <w:rPr>
                <w:rFonts w:ascii="Arial" w:hAnsi="Arial"/>
                <w:b/>
                <w:bCs/>
                <w:snapToGrid/>
                <w:color w:val="A32020"/>
                <w:sz w:val="18"/>
                <w:szCs w:val="18"/>
                <w:lang w:eastAsia="en-AU"/>
              </w:rPr>
              <w:t>2002/03</w:t>
            </w:r>
          </w:p>
        </w:tc>
        <w:tc>
          <w:tcPr>
            <w:tcW w:w="112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11</w:t>
            </w:r>
            <w:r w:rsidR="004C72EC">
              <w:rPr>
                <w:rFonts w:ascii="Arial" w:hAnsi="Arial"/>
                <w:b/>
                <w:bCs/>
                <w:snapToGrid/>
                <w:color w:val="A32020"/>
                <w:sz w:val="18"/>
                <w:szCs w:val="18"/>
                <w:lang w:eastAsia="en-AU"/>
              </w:rPr>
              <w:t xml:space="preserve"> </w:t>
            </w:r>
            <w:r w:rsidR="004C72EC" w:rsidRPr="002E50A0">
              <w:rPr>
                <w:rFonts w:ascii="Arial" w:hAnsi="Arial"/>
                <w:b/>
                <w:bCs/>
                <w:snapToGrid/>
                <w:color w:val="A32020"/>
                <w:sz w:val="18"/>
                <w:szCs w:val="18"/>
                <w:lang w:eastAsia="en-AU"/>
              </w:rPr>
              <w:t>2006/07</w:t>
            </w:r>
          </w:p>
        </w:tc>
        <w:tc>
          <w:tcPr>
            <w:tcW w:w="112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12</w:t>
            </w:r>
            <w:r w:rsidR="004C72EC">
              <w:rPr>
                <w:rFonts w:ascii="Arial" w:hAnsi="Arial"/>
                <w:b/>
                <w:bCs/>
                <w:snapToGrid/>
                <w:color w:val="A32020"/>
                <w:sz w:val="18"/>
                <w:szCs w:val="18"/>
                <w:lang w:eastAsia="en-AU"/>
              </w:rPr>
              <w:t xml:space="preserve"> </w:t>
            </w:r>
            <w:r w:rsidR="004C72EC" w:rsidRPr="002E50A0">
              <w:rPr>
                <w:rFonts w:ascii="Arial" w:hAnsi="Arial"/>
                <w:b/>
                <w:bCs/>
                <w:snapToGrid/>
                <w:color w:val="A32020"/>
                <w:sz w:val="18"/>
                <w:szCs w:val="18"/>
                <w:lang w:eastAsia="en-AU"/>
              </w:rPr>
              <w:t>2007/08</w:t>
            </w:r>
          </w:p>
        </w:tc>
        <w:tc>
          <w:tcPr>
            <w:tcW w:w="112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13</w:t>
            </w:r>
            <w:r w:rsidR="004C72EC">
              <w:rPr>
                <w:rFonts w:ascii="Arial" w:hAnsi="Arial"/>
                <w:b/>
                <w:bCs/>
                <w:snapToGrid/>
                <w:color w:val="A32020"/>
                <w:sz w:val="18"/>
                <w:szCs w:val="18"/>
                <w:lang w:eastAsia="en-AU"/>
              </w:rPr>
              <w:t xml:space="preserve"> </w:t>
            </w:r>
            <w:r w:rsidR="004C72EC" w:rsidRPr="002E50A0">
              <w:rPr>
                <w:rFonts w:ascii="Arial" w:hAnsi="Arial"/>
                <w:b/>
                <w:bCs/>
                <w:snapToGrid/>
                <w:color w:val="A32020"/>
                <w:sz w:val="18"/>
                <w:szCs w:val="18"/>
                <w:lang w:eastAsia="en-AU"/>
              </w:rPr>
              <w:t>2008/09</w:t>
            </w:r>
          </w:p>
        </w:tc>
        <w:tc>
          <w:tcPr>
            <w:tcW w:w="1120" w:type="dxa"/>
            <w:tcBorders>
              <w:top w:val="single" w:sz="4" w:space="0" w:color="auto"/>
              <w:left w:val="nil"/>
              <w:bottom w:val="nil"/>
              <w:right w:val="nil"/>
            </w:tcBorders>
            <w:shd w:val="clear" w:color="auto" w:fill="auto"/>
            <w:noWrap/>
            <w:vAlign w:val="center"/>
            <w:hideMark/>
          </w:tcPr>
          <w:p w:rsidR="00626989" w:rsidRPr="002E50A0" w:rsidRDefault="00626989" w:rsidP="00626989">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16</w:t>
            </w:r>
            <w:r w:rsidR="004C72EC">
              <w:rPr>
                <w:rFonts w:ascii="Arial" w:hAnsi="Arial"/>
                <w:b/>
                <w:bCs/>
                <w:snapToGrid/>
                <w:color w:val="A32020"/>
                <w:sz w:val="18"/>
                <w:szCs w:val="18"/>
                <w:lang w:eastAsia="en-AU"/>
              </w:rPr>
              <w:t xml:space="preserve"> </w:t>
            </w:r>
            <w:r w:rsidR="004C72EC" w:rsidRPr="002E50A0">
              <w:rPr>
                <w:rFonts w:ascii="Arial" w:hAnsi="Arial"/>
                <w:b/>
                <w:bCs/>
                <w:snapToGrid/>
                <w:color w:val="A32020"/>
                <w:sz w:val="18"/>
                <w:szCs w:val="18"/>
                <w:lang w:eastAsia="en-AU"/>
              </w:rPr>
              <w:t>2011/12</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Sample separations</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1,240,388</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1,297,147</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1,607,678</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1,648,989</w:t>
            </w:r>
          </w:p>
        </w:tc>
        <w:tc>
          <w:tcPr>
            <w:tcW w:w="1120" w:type="dxa"/>
            <w:tcBorders>
              <w:top w:val="nil"/>
              <w:left w:val="nil"/>
              <w:bottom w:val="nil"/>
              <w:right w:val="nil"/>
            </w:tcBorders>
            <w:shd w:val="clear" w:color="auto" w:fill="auto"/>
            <w:noWrap/>
            <w:vAlign w:val="center"/>
            <w:hideMark/>
          </w:tcPr>
          <w:p w:rsidR="00914778" w:rsidRDefault="00670666">
            <w:pPr>
              <w:kinsoku/>
              <w:overflowPunct/>
              <w:autoSpaceDE/>
              <w:autoSpaceDN/>
              <w:adjustRightInd/>
              <w:snapToGrid/>
              <w:jc w:val="right"/>
              <w:rPr>
                <w:rFonts w:ascii="Arial" w:hAnsi="Arial"/>
                <w:b/>
                <w:bCs/>
                <w:i/>
                <w:snapToGrid/>
                <w:color w:val="000000"/>
                <w:sz w:val="18"/>
                <w:szCs w:val="18"/>
                <w:lang w:val="en-GB" w:eastAsia="en-AU"/>
              </w:rPr>
            </w:pPr>
            <w:r w:rsidRPr="002E50A0">
              <w:rPr>
                <w:rFonts w:ascii="Arial" w:hAnsi="Arial"/>
                <w:snapToGrid/>
                <w:color w:val="000000"/>
                <w:sz w:val="18"/>
                <w:szCs w:val="18"/>
                <w:lang w:eastAsia="en-AU"/>
              </w:rPr>
              <w:t>1,7</w:t>
            </w:r>
            <w:r w:rsidR="004E57F5">
              <w:rPr>
                <w:rFonts w:ascii="Arial" w:hAnsi="Arial"/>
                <w:snapToGrid/>
                <w:color w:val="000000"/>
                <w:sz w:val="18"/>
                <w:szCs w:val="18"/>
                <w:lang w:eastAsia="en-AU"/>
              </w:rPr>
              <w:t>7</w:t>
            </w:r>
            <w:r w:rsidR="00D20C01">
              <w:rPr>
                <w:rFonts w:ascii="Arial" w:hAnsi="Arial"/>
                <w:snapToGrid/>
                <w:color w:val="000000"/>
                <w:sz w:val="18"/>
                <w:szCs w:val="18"/>
                <w:lang w:eastAsia="en-AU"/>
              </w:rPr>
              <w:t>5,059</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 increase</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28%</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5%</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24%</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3%</w:t>
            </w:r>
          </w:p>
        </w:tc>
        <w:tc>
          <w:tcPr>
            <w:tcW w:w="1120" w:type="dxa"/>
            <w:tcBorders>
              <w:top w:val="nil"/>
              <w:left w:val="nil"/>
              <w:bottom w:val="nil"/>
              <w:right w:val="nil"/>
            </w:tcBorders>
            <w:shd w:val="clear" w:color="auto" w:fill="auto"/>
            <w:noWrap/>
            <w:vAlign w:val="center"/>
            <w:hideMark/>
          </w:tcPr>
          <w:p w:rsidR="00670666" w:rsidRPr="002E50A0" w:rsidRDefault="004E57F5" w:rsidP="00670666">
            <w:pPr>
              <w:kinsoku/>
              <w:overflowPunct/>
              <w:autoSpaceDE/>
              <w:autoSpaceDN/>
              <w:adjustRightInd/>
              <w:snapToGrid/>
              <w:jc w:val="right"/>
              <w:rPr>
                <w:rFonts w:ascii="Arial" w:hAnsi="Arial"/>
                <w:snapToGrid/>
                <w:color w:val="000000"/>
                <w:sz w:val="18"/>
                <w:szCs w:val="18"/>
                <w:lang w:eastAsia="en-AU"/>
              </w:rPr>
            </w:pPr>
            <w:r>
              <w:rPr>
                <w:rFonts w:ascii="Arial" w:hAnsi="Arial"/>
                <w:snapToGrid/>
                <w:color w:val="000000"/>
                <w:sz w:val="18"/>
                <w:szCs w:val="18"/>
                <w:lang w:eastAsia="en-AU"/>
              </w:rPr>
              <w:t>8</w:t>
            </w:r>
            <w:r w:rsidR="00670666" w:rsidRPr="002E50A0">
              <w:rPr>
                <w:rFonts w:ascii="Arial" w:hAnsi="Arial"/>
                <w:snapToGrid/>
                <w:color w:val="000000"/>
                <w:sz w:val="18"/>
                <w:szCs w:val="18"/>
                <w:lang w:eastAsia="en-AU"/>
              </w:rPr>
              <w:t>%</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464564">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Population se</w:t>
            </w:r>
            <w:r w:rsidR="00464564">
              <w:rPr>
                <w:rFonts w:ascii="Arial" w:hAnsi="Arial"/>
                <w:snapToGrid/>
                <w:color w:val="000000"/>
                <w:sz w:val="18"/>
                <w:szCs w:val="18"/>
                <w:lang w:eastAsia="en-AU"/>
              </w:rPr>
              <w:t>p</w:t>
            </w:r>
            <w:r w:rsidRPr="002E50A0">
              <w:rPr>
                <w:rFonts w:ascii="Arial" w:hAnsi="Arial"/>
                <w:snapToGrid/>
                <w:color w:val="000000"/>
                <w:sz w:val="18"/>
                <w:szCs w:val="18"/>
                <w:lang w:eastAsia="en-AU"/>
              </w:rPr>
              <w:t>arations</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1,903,975</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2,192,314</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2,248,324</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2,328,814</w:t>
            </w:r>
          </w:p>
        </w:tc>
        <w:tc>
          <w:tcPr>
            <w:tcW w:w="1120" w:type="dxa"/>
            <w:tcBorders>
              <w:top w:val="nil"/>
              <w:left w:val="nil"/>
              <w:bottom w:val="nil"/>
              <w:right w:val="nil"/>
            </w:tcBorders>
            <w:shd w:val="clear" w:color="auto" w:fill="auto"/>
            <w:noWrap/>
            <w:vAlign w:val="center"/>
            <w:hideMark/>
          </w:tcPr>
          <w:p w:rsidR="007D1132" w:rsidRDefault="00670666" w:rsidP="007D1132">
            <w:pPr>
              <w:kinsoku/>
              <w:overflowPunct/>
              <w:autoSpaceDE/>
              <w:autoSpaceDN/>
              <w:adjustRightInd/>
              <w:snapToGrid/>
              <w:jc w:val="right"/>
              <w:rPr>
                <w:rFonts w:ascii="Arial" w:hAnsi="Arial"/>
                <w:i/>
                <w:snapToGrid/>
                <w:color w:val="000000"/>
                <w:sz w:val="18"/>
                <w:szCs w:val="18"/>
                <w:lang w:val="en-GB" w:eastAsia="en-AU"/>
              </w:rPr>
            </w:pPr>
            <w:r w:rsidRPr="002E50A0">
              <w:rPr>
                <w:rFonts w:ascii="Arial" w:hAnsi="Arial"/>
                <w:snapToGrid/>
                <w:color w:val="000000"/>
                <w:sz w:val="18"/>
                <w:szCs w:val="18"/>
                <w:lang w:eastAsia="en-AU"/>
              </w:rPr>
              <w:t>2,703,</w:t>
            </w:r>
            <w:r w:rsidR="00782EF1">
              <w:rPr>
                <w:rFonts w:ascii="Arial" w:hAnsi="Arial"/>
                <w:snapToGrid/>
                <w:color w:val="000000"/>
                <w:sz w:val="18"/>
                <w:szCs w:val="18"/>
                <w:lang w:eastAsia="en-AU"/>
              </w:rPr>
              <w:t>792</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 sample to population</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65%</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59%</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72%</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71%</w:t>
            </w:r>
          </w:p>
        </w:tc>
        <w:tc>
          <w:tcPr>
            <w:tcW w:w="1120" w:type="dxa"/>
            <w:tcBorders>
              <w:top w:val="nil"/>
              <w:left w:val="nil"/>
              <w:bottom w:val="nil"/>
              <w:right w:val="nil"/>
            </w:tcBorders>
            <w:shd w:val="clear" w:color="auto" w:fill="auto"/>
            <w:noWrap/>
            <w:vAlign w:val="center"/>
            <w:hideMark/>
          </w:tcPr>
          <w:p w:rsidR="007D1132" w:rsidRDefault="00670666" w:rsidP="007D1132">
            <w:pPr>
              <w:kinsoku/>
              <w:overflowPunct/>
              <w:autoSpaceDE/>
              <w:autoSpaceDN/>
              <w:adjustRightInd/>
              <w:snapToGrid/>
              <w:jc w:val="right"/>
              <w:rPr>
                <w:rFonts w:ascii="Arial" w:hAnsi="Arial"/>
                <w:i/>
                <w:snapToGrid/>
                <w:color w:val="000000"/>
                <w:sz w:val="18"/>
                <w:szCs w:val="18"/>
                <w:lang w:val="en-GB" w:eastAsia="en-AU"/>
              </w:rPr>
            </w:pPr>
            <w:r w:rsidRPr="002E50A0">
              <w:rPr>
                <w:rFonts w:ascii="Arial" w:hAnsi="Arial"/>
                <w:snapToGrid/>
                <w:color w:val="000000"/>
                <w:sz w:val="18"/>
                <w:szCs w:val="18"/>
                <w:lang w:eastAsia="en-AU"/>
              </w:rPr>
              <w:t>6</w:t>
            </w:r>
            <w:r w:rsidR="004E57F5">
              <w:rPr>
                <w:rFonts w:ascii="Arial" w:hAnsi="Arial"/>
                <w:snapToGrid/>
                <w:color w:val="000000"/>
                <w:sz w:val="18"/>
                <w:szCs w:val="18"/>
                <w:lang w:eastAsia="en-AU"/>
              </w:rPr>
              <w:t>6</w:t>
            </w:r>
            <w:r w:rsidRPr="002E50A0">
              <w:rPr>
                <w:rFonts w:ascii="Arial" w:hAnsi="Arial"/>
                <w:snapToGrid/>
                <w:color w:val="000000"/>
                <w:sz w:val="18"/>
                <w:szCs w:val="18"/>
                <w:lang w:eastAsia="en-AU"/>
              </w:rPr>
              <w:t>%</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Sample hospitals</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113</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82</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109</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110</w:t>
            </w:r>
          </w:p>
        </w:tc>
        <w:tc>
          <w:tcPr>
            <w:tcW w:w="1120" w:type="dxa"/>
            <w:tcBorders>
              <w:top w:val="nil"/>
              <w:left w:val="nil"/>
              <w:bottom w:val="nil"/>
              <w:right w:val="nil"/>
            </w:tcBorders>
            <w:shd w:val="clear" w:color="auto" w:fill="auto"/>
            <w:noWrap/>
            <w:vAlign w:val="center"/>
            <w:hideMark/>
          </w:tcPr>
          <w:p w:rsidR="007D1132" w:rsidRDefault="00670666" w:rsidP="007D1132">
            <w:pPr>
              <w:kinsoku/>
              <w:overflowPunct/>
              <w:autoSpaceDE/>
              <w:autoSpaceDN/>
              <w:adjustRightInd/>
              <w:snapToGrid/>
              <w:jc w:val="right"/>
              <w:rPr>
                <w:rFonts w:ascii="Arial" w:hAnsi="Arial"/>
                <w:i/>
                <w:snapToGrid/>
                <w:color w:val="000000"/>
                <w:sz w:val="18"/>
                <w:szCs w:val="18"/>
                <w:lang w:val="en-GB" w:eastAsia="en-AU"/>
              </w:rPr>
            </w:pPr>
            <w:r w:rsidRPr="002E50A0">
              <w:rPr>
                <w:rFonts w:ascii="Arial" w:hAnsi="Arial"/>
                <w:snapToGrid/>
                <w:color w:val="000000"/>
                <w:sz w:val="18"/>
                <w:szCs w:val="18"/>
                <w:lang w:eastAsia="en-AU"/>
              </w:rPr>
              <w:t>10</w:t>
            </w:r>
            <w:r w:rsidR="004E57F5">
              <w:rPr>
                <w:rFonts w:ascii="Arial" w:hAnsi="Arial"/>
                <w:snapToGrid/>
                <w:color w:val="000000"/>
                <w:sz w:val="18"/>
                <w:szCs w:val="18"/>
                <w:lang w:eastAsia="en-AU"/>
              </w:rPr>
              <w:t>5</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 increase</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36%</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-27%</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33%</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1%</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-5%</w:t>
            </w:r>
          </w:p>
        </w:tc>
      </w:tr>
      <w:tr w:rsidR="00670666" w:rsidRPr="002E50A0" w:rsidTr="00670666">
        <w:trPr>
          <w:trHeight w:val="319"/>
        </w:trPr>
        <w:tc>
          <w:tcPr>
            <w:tcW w:w="2140" w:type="dxa"/>
            <w:gridSpan w:val="2"/>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Population hospitals</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221</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229</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229</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226</w:t>
            </w:r>
          </w:p>
        </w:tc>
        <w:tc>
          <w:tcPr>
            <w:tcW w:w="1120" w:type="dxa"/>
            <w:tcBorders>
              <w:top w:val="nil"/>
              <w:left w:val="nil"/>
              <w:bottom w:val="nil"/>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248</w:t>
            </w:r>
          </w:p>
        </w:tc>
      </w:tr>
      <w:tr w:rsidR="00670666" w:rsidRPr="002E50A0" w:rsidTr="00670666">
        <w:trPr>
          <w:trHeight w:val="319"/>
        </w:trPr>
        <w:tc>
          <w:tcPr>
            <w:tcW w:w="2140" w:type="dxa"/>
            <w:gridSpan w:val="2"/>
            <w:tcBorders>
              <w:top w:val="nil"/>
              <w:left w:val="nil"/>
              <w:bottom w:val="single" w:sz="4" w:space="0" w:color="auto"/>
              <w:right w:val="nil"/>
            </w:tcBorders>
            <w:shd w:val="clear" w:color="auto" w:fill="auto"/>
            <w:noWrap/>
            <w:vAlign w:val="center"/>
            <w:hideMark/>
          </w:tcPr>
          <w:p w:rsidR="00670666" w:rsidRPr="002E50A0" w:rsidRDefault="00670666" w:rsidP="00670666">
            <w:pPr>
              <w:kinsoku/>
              <w:overflowPunct/>
              <w:autoSpaceDE/>
              <w:autoSpaceDN/>
              <w:adjustRightInd/>
              <w:snapToGrid/>
              <w:rPr>
                <w:rFonts w:ascii="Arial" w:hAnsi="Arial"/>
                <w:snapToGrid/>
                <w:color w:val="000000"/>
                <w:sz w:val="18"/>
                <w:szCs w:val="18"/>
                <w:lang w:eastAsia="en-AU"/>
              </w:rPr>
            </w:pPr>
            <w:r w:rsidRPr="002E50A0">
              <w:rPr>
                <w:rFonts w:ascii="Arial" w:hAnsi="Arial"/>
                <w:snapToGrid/>
                <w:color w:val="000000"/>
                <w:sz w:val="18"/>
                <w:szCs w:val="18"/>
                <w:lang w:eastAsia="en-AU"/>
              </w:rPr>
              <w:t>% sample to population</w:t>
            </w:r>
          </w:p>
        </w:tc>
        <w:tc>
          <w:tcPr>
            <w:tcW w:w="1120" w:type="dxa"/>
            <w:tcBorders>
              <w:top w:val="nil"/>
              <w:left w:val="nil"/>
              <w:bottom w:val="single" w:sz="4" w:space="0" w:color="auto"/>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51%</w:t>
            </w:r>
          </w:p>
        </w:tc>
        <w:tc>
          <w:tcPr>
            <w:tcW w:w="1120" w:type="dxa"/>
            <w:tcBorders>
              <w:top w:val="nil"/>
              <w:left w:val="nil"/>
              <w:bottom w:val="single" w:sz="4" w:space="0" w:color="auto"/>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36%</w:t>
            </w:r>
          </w:p>
        </w:tc>
        <w:tc>
          <w:tcPr>
            <w:tcW w:w="1120" w:type="dxa"/>
            <w:tcBorders>
              <w:top w:val="nil"/>
              <w:left w:val="nil"/>
              <w:bottom w:val="single" w:sz="4" w:space="0" w:color="auto"/>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48%</w:t>
            </w:r>
          </w:p>
        </w:tc>
        <w:tc>
          <w:tcPr>
            <w:tcW w:w="1120" w:type="dxa"/>
            <w:tcBorders>
              <w:top w:val="nil"/>
              <w:left w:val="nil"/>
              <w:bottom w:val="single" w:sz="4" w:space="0" w:color="auto"/>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49%</w:t>
            </w:r>
          </w:p>
        </w:tc>
        <w:tc>
          <w:tcPr>
            <w:tcW w:w="1120" w:type="dxa"/>
            <w:tcBorders>
              <w:top w:val="nil"/>
              <w:left w:val="nil"/>
              <w:bottom w:val="single" w:sz="4" w:space="0" w:color="auto"/>
              <w:right w:val="nil"/>
            </w:tcBorders>
            <w:shd w:val="clear" w:color="auto" w:fill="auto"/>
            <w:noWrap/>
            <w:vAlign w:val="center"/>
            <w:hideMark/>
          </w:tcPr>
          <w:p w:rsidR="00670666" w:rsidRPr="002E50A0" w:rsidRDefault="00670666" w:rsidP="00670666">
            <w:pPr>
              <w:kinsoku/>
              <w:overflowPunct/>
              <w:autoSpaceDE/>
              <w:autoSpaceDN/>
              <w:adjustRightInd/>
              <w:snapToGrid/>
              <w:jc w:val="right"/>
              <w:rPr>
                <w:rFonts w:ascii="Arial" w:hAnsi="Arial"/>
                <w:snapToGrid/>
                <w:color w:val="000000"/>
                <w:sz w:val="18"/>
                <w:szCs w:val="18"/>
                <w:lang w:eastAsia="en-AU"/>
              </w:rPr>
            </w:pPr>
            <w:r w:rsidRPr="002E50A0">
              <w:rPr>
                <w:rFonts w:ascii="Arial" w:hAnsi="Arial"/>
                <w:snapToGrid/>
                <w:color w:val="000000"/>
                <w:sz w:val="18"/>
                <w:szCs w:val="18"/>
                <w:lang w:eastAsia="en-AU"/>
              </w:rPr>
              <w:t>42%</w:t>
            </w:r>
          </w:p>
        </w:tc>
      </w:tr>
    </w:tbl>
    <w:p w:rsidR="00875AFD" w:rsidRDefault="00063FB8" w:rsidP="00F34CFF">
      <w:pPr>
        <w:pStyle w:val="PwCNormal"/>
      </w:pPr>
      <w:bookmarkStart w:id="58" w:name="OLE_LINK1"/>
      <w:r w:rsidRPr="002E50A0">
        <w:t>The table below displays the average length of stay of sample separations in Round 16 compared to previous rounds. The average length of stay in Round 16 was 2.5</w:t>
      </w:r>
      <w:r w:rsidR="009C4557">
        <w:t>1</w:t>
      </w:r>
      <w:r w:rsidRPr="002E50A0">
        <w:t xml:space="preserve"> days, which is 2% lower than Round</w:t>
      </w:r>
      <w:r w:rsidR="002618BC">
        <w:t xml:space="preserve"> 13 (2008-09) when the average length of stay was 2.57</w:t>
      </w:r>
      <w:r w:rsidRPr="002E50A0">
        <w:t xml:space="preserve">. There has been a steady </w:t>
      </w:r>
      <w:r w:rsidR="007B5655">
        <w:t>reduction</w:t>
      </w:r>
      <w:r w:rsidRPr="002E50A0">
        <w:t xml:space="preserve"> in the average length of stay</w:t>
      </w:r>
      <w:r w:rsidR="007B5655">
        <w:t xml:space="preserve"> over the analysis period</w:t>
      </w:r>
      <w:r w:rsidRPr="002E50A0">
        <w:t>.</w:t>
      </w:r>
    </w:p>
    <w:p w:rsidR="00875AFD" w:rsidRDefault="00063FB8">
      <w:pPr>
        <w:pStyle w:val="Caption"/>
      </w:pPr>
      <w:r>
        <w:t xml:space="preserve">Table </w:t>
      </w:r>
      <w:r w:rsidR="00D502C6">
        <w:fldChar w:fldCharType="begin"/>
      </w:r>
      <w:r>
        <w:instrText xml:space="preserve"> SEQ Table \* ARABIC </w:instrText>
      </w:r>
      <w:r w:rsidR="00D502C6">
        <w:fldChar w:fldCharType="separate"/>
      </w:r>
      <w:r w:rsidR="00953F50">
        <w:rPr>
          <w:noProof/>
        </w:rPr>
        <w:t>4</w:t>
      </w:r>
      <w:r w:rsidR="00D502C6">
        <w:fldChar w:fldCharType="end"/>
      </w:r>
      <w:r>
        <w:tab/>
        <w:t>Average length of stay (ALOS), Round 7 (2002/03) to Round 16 (2011/12)</w:t>
      </w:r>
    </w:p>
    <w:tbl>
      <w:tblPr>
        <w:tblW w:w="7740" w:type="dxa"/>
        <w:tblInd w:w="91" w:type="dxa"/>
        <w:tblLook w:val="04A0" w:firstRow="1" w:lastRow="0" w:firstColumn="1" w:lastColumn="0" w:noHBand="0" w:noVBand="1"/>
      </w:tblPr>
      <w:tblGrid>
        <w:gridCol w:w="960"/>
        <w:gridCol w:w="1180"/>
        <w:gridCol w:w="1120"/>
        <w:gridCol w:w="1120"/>
        <w:gridCol w:w="1120"/>
        <w:gridCol w:w="1120"/>
        <w:gridCol w:w="1120"/>
      </w:tblGrid>
      <w:tr w:rsidR="004C72EC" w:rsidRPr="002E50A0" w:rsidTr="00B06836">
        <w:trPr>
          <w:trHeight w:val="240"/>
        </w:trPr>
        <w:tc>
          <w:tcPr>
            <w:tcW w:w="96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rPr>
                <w:rFonts w:ascii="Arial" w:hAnsi="Arial"/>
                <w:b/>
                <w:bCs/>
                <w:snapToGrid/>
                <w:color w:val="A32020"/>
                <w:sz w:val="18"/>
                <w:szCs w:val="18"/>
                <w:lang w:eastAsia="en-AU"/>
              </w:rPr>
            </w:pPr>
            <w:r w:rsidRPr="002E50A0">
              <w:rPr>
                <w:rFonts w:ascii="Arial" w:hAnsi="Arial"/>
                <w:b/>
                <w:bCs/>
                <w:snapToGrid/>
                <w:color w:val="A32020"/>
                <w:sz w:val="18"/>
                <w:szCs w:val="18"/>
                <w:lang w:eastAsia="en-AU"/>
              </w:rPr>
              <w:t> </w:t>
            </w:r>
          </w:p>
        </w:tc>
        <w:tc>
          <w:tcPr>
            <w:tcW w:w="118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rPr>
                <w:rFonts w:ascii="Arial" w:hAnsi="Arial"/>
                <w:b/>
                <w:bCs/>
                <w:snapToGrid/>
                <w:color w:val="A32020"/>
                <w:sz w:val="18"/>
                <w:szCs w:val="18"/>
                <w:lang w:eastAsia="en-AU"/>
              </w:rPr>
            </w:pPr>
            <w:r w:rsidRPr="002E50A0">
              <w:rPr>
                <w:rFonts w:ascii="Arial" w:hAnsi="Arial"/>
                <w:b/>
                <w:bCs/>
                <w:snapToGrid/>
                <w:color w:val="A32020"/>
                <w:sz w:val="18"/>
                <w:szCs w:val="18"/>
                <w:lang w:eastAsia="en-AU"/>
              </w:rPr>
              <w:t> </w:t>
            </w:r>
          </w:p>
        </w:tc>
        <w:tc>
          <w:tcPr>
            <w:tcW w:w="112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7</w:t>
            </w:r>
            <w:r>
              <w:rPr>
                <w:rFonts w:ascii="Arial" w:hAnsi="Arial"/>
                <w:b/>
                <w:bCs/>
                <w:snapToGrid/>
                <w:color w:val="A32020"/>
                <w:sz w:val="18"/>
                <w:szCs w:val="18"/>
                <w:lang w:eastAsia="en-AU"/>
              </w:rPr>
              <w:t xml:space="preserve"> </w:t>
            </w:r>
            <w:r w:rsidRPr="002E50A0">
              <w:rPr>
                <w:rFonts w:ascii="Arial" w:hAnsi="Arial"/>
                <w:b/>
                <w:bCs/>
                <w:snapToGrid/>
                <w:color w:val="A32020"/>
                <w:sz w:val="18"/>
                <w:szCs w:val="18"/>
                <w:lang w:eastAsia="en-AU"/>
              </w:rPr>
              <w:t>2002/03</w:t>
            </w:r>
          </w:p>
        </w:tc>
        <w:tc>
          <w:tcPr>
            <w:tcW w:w="112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11</w:t>
            </w:r>
            <w:r>
              <w:rPr>
                <w:rFonts w:ascii="Arial" w:hAnsi="Arial"/>
                <w:b/>
                <w:bCs/>
                <w:snapToGrid/>
                <w:color w:val="A32020"/>
                <w:sz w:val="18"/>
                <w:szCs w:val="18"/>
                <w:lang w:eastAsia="en-AU"/>
              </w:rPr>
              <w:t xml:space="preserve"> </w:t>
            </w:r>
            <w:r w:rsidRPr="002E50A0">
              <w:rPr>
                <w:rFonts w:ascii="Arial" w:hAnsi="Arial"/>
                <w:b/>
                <w:bCs/>
                <w:snapToGrid/>
                <w:color w:val="A32020"/>
                <w:sz w:val="18"/>
                <w:szCs w:val="18"/>
                <w:lang w:eastAsia="en-AU"/>
              </w:rPr>
              <w:t>2006/07</w:t>
            </w:r>
          </w:p>
        </w:tc>
        <w:tc>
          <w:tcPr>
            <w:tcW w:w="112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12</w:t>
            </w:r>
            <w:r>
              <w:rPr>
                <w:rFonts w:ascii="Arial" w:hAnsi="Arial"/>
                <w:b/>
                <w:bCs/>
                <w:snapToGrid/>
                <w:color w:val="A32020"/>
                <w:sz w:val="18"/>
                <w:szCs w:val="18"/>
                <w:lang w:eastAsia="en-AU"/>
              </w:rPr>
              <w:t xml:space="preserve"> </w:t>
            </w:r>
            <w:r w:rsidRPr="002E50A0">
              <w:rPr>
                <w:rFonts w:ascii="Arial" w:hAnsi="Arial"/>
                <w:b/>
                <w:bCs/>
                <w:snapToGrid/>
                <w:color w:val="A32020"/>
                <w:sz w:val="18"/>
                <w:szCs w:val="18"/>
                <w:lang w:eastAsia="en-AU"/>
              </w:rPr>
              <w:t>2007/08</w:t>
            </w:r>
          </w:p>
        </w:tc>
        <w:tc>
          <w:tcPr>
            <w:tcW w:w="112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13</w:t>
            </w:r>
            <w:r>
              <w:rPr>
                <w:rFonts w:ascii="Arial" w:hAnsi="Arial"/>
                <w:b/>
                <w:bCs/>
                <w:snapToGrid/>
                <w:color w:val="A32020"/>
                <w:sz w:val="18"/>
                <w:szCs w:val="18"/>
                <w:lang w:eastAsia="en-AU"/>
              </w:rPr>
              <w:t xml:space="preserve"> </w:t>
            </w:r>
            <w:r w:rsidRPr="002E50A0">
              <w:rPr>
                <w:rFonts w:ascii="Arial" w:hAnsi="Arial"/>
                <w:b/>
                <w:bCs/>
                <w:snapToGrid/>
                <w:color w:val="A32020"/>
                <w:sz w:val="18"/>
                <w:szCs w:val="18"/>
                <w:lang w:eastAsia="en-AU"/>
              </w:rPr>
              <w:t>2008/09</w:t>
            </w:r>
          </w:p>
        </w:tc>
        <w:tc>
          <w:tcPr>
            <w:tcW w:w="1120" w:type="dxa"/>
            <w:tcBorders>
              <w:top w:val="single" w:sz="4" w:space="0" w:color="auto"/>
              <w:left w:val="nil"/>
              <w:bottom w:val="nil"/>
              <w:right w:val="nil"/>
            </w:tcBorders>
            <w:shd w:val="clear" w:color="auto" w:fill="auto"/>
            <w:noWrap/>
            <w:vAlign w:val="center"/>
            <w:hideMark/>
          </w:tcPr>
          <w:p w:rsidR="004C72EC" w:rsidRPr="002E50A0" w:rsidRDefault="004C72EC" w:rsidP="00B06836">
            <w:pPr>
              <w:kinsoku/>
              <w:overflowPunct/>
              <w:autoSpaceDE/>
              <w:autoSpaceDN/>
              <w:adjustRightInd/>
              <w:snapToGrid/>
              <w:jc w:val="right"/>
              <w:rPr>
                <w:rFonts w:ascii="Arial" w:hAnsi="Arial"/>
                <w:b/>
                <w:bCs/>
                <w:snapToGrid/>
                <w:color w:val="A32020"/>
                <w:sz w:val="18"/>
                <w:szCs w:val="18"/>
                <w:lang w:eastAsia="en-AU"/>
              </w:rPr>
            </w:pPr>
            <w:r w:rsidRPr="002E50A0">
              <w:rPr>
                <w:rFonts w:ascii="Arial" w:hAnsi="Arial"/>
                <w:b/>
                <w:bCs/>
                <w:snapToGrid/>
                <w:color w:val="A32020"/>
                <w:sz w:val="18"/>
                <w:szCs w:val="18"/>
                <w:lang w:eastAsia="en-AU"/>
              </w:rPr>
              <w:t>Round 16</w:t>
            </w:r>
            <w:r>
              <w:rPr>
                <w:rFonts w:ascii="Arial" w:hAnsi="Arial"/>
                <w:b/>
                <w:bCs/>
                <w:snapToGrid/>
                <w:color w:val="A32020"/>
                <w:sz w:val="18"/>
                <w:szCs w:val="18"/>
                <w:lang w:eastAsia="en-AU"/>
              </w:rPr>
              <w:t xml:space="preserve"> </w:t>
            </w:r>
            <w:r w:rsidRPr="002E50A0">
              <w:rPr>
                <w:rFonts w:ascii="Arial" w:hAnsi="Arial"/>
                <w:b/>
                <w:bCs/>
                <w:snapToGrid/>
                <w:color w:val="A32020"/>
                <w:sz w:val="18"/>
                <w:szCs w:val="18"/>
                <w:lang w:eastAsia="en-AU"/>
              </w:rPr>
              <w:t>2011/12</w:t>
            </w:r>
          </w:p>
        </w:tc>
      </w:tr>
      <w:bookmarkEnd w:id="58"/>
      <w:tr w:rsidR="00063FB8" w:rsidRPr="00063FB8" w:rsidTr="00063FB8">
        <w:trPr>
          <w:trHeight w:val="319"/>
        </w:trPr>
        <w:tc>
          <w:tcPr>
            <w:tcW w:w="2140" w:type="dxa"/>
            <w:gridSpan w:val="2"/>
            <w:tcBorders>
              <w:top w:val="nil"/>
              <w:left w:val="nil"/>
              <w:bottom w:val="nil"/>
              <w:right w:val="nil"/>
            </w:tcBorders>
            <w:shd w:val="clear" w:color="auto" w:fill="auto"/>
            <w:noWrap/>
            <w:vAlign w:val="center"/>
            <w:hideMark/>
          </w:tcPr>
          <w:p w:rsidR="00063FB8" w:rsidRPr="00063FB8" w:rsidRDefault="00063FB8" w:rsidP="00063FB8">
            <w:pPr>
              <w:kinsoku/>
              <w:overflowPunct/>
              <w:autoSpaceDE/>
              <w:autoSpaceDN/>
              <w:adjustRightInd/>
              <w:snapToGrid/>
              <w:rPr>
                <w:rFonts w:ascii="Arial" w:hAnsi="Arial"/>
                <w:snapToGrid/>
                <w:color w:val="000000"/>
                <w:sz w:val="18"/>
                <w:szCs w:val="18"/>
                <w:lang w:eastAsia="en-AU"/>
              </w:rPr>
            </w:pPr>
            <w:r w:rsidRPr="00063FB8">
              <w:rPr>
                <w:rFonts w:ascii="Arial" w:hAnsi="Arial"/>
                <w:snapToGrid/>
                <w:color w:val="000000"/>
                <w:sz w:val="18"/>
                <w:szCs w:val="18"/>
                <w:lang w:eastAsia="en-AU"/>
              </w:rPr>
              <w:t>Average length of stay</w:t>
            </w:r>
          </w:p>
        </w:tc>
        <w:tc>
          <w:tcPr>
            <w:tcW w:w="1120" w:type="dxa"/>
            <w:tcBorders>
              <w:top w:val="nil"/>
              <w:left w:val="nil"/>
              <w:bottom w:val="nil"/>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2.97</w:t>
            </w:r>
          </w:p>
        </w:tc>
        <w:tc>
          <w:tcPr>
            <w:tcW w:w="1120" w:type="dxa"/>
            <w:tcBorders>
              <w:top w:val="nil"/>
              <w:left w:val="nil"/>
              <w:bottom w:val="nil"/>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2.88</w:t>
            </w:r>
          </w:p>
        </w:tc>
        <w:tc>
          <w:tcPr>
            <w:tcW w:w="1120" w:type="dxa"/>
            <w:tcBorders>
              <w:top w:val="nil"/>
              <w:left w:val="nil"/>
              <w:bottom w:val="nil"/>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2.62</w:t>
            </w:r>
          </w:p>
        </w:tc>
        <w:tc>
          <w:tcPr>
            <w:tcW w:w="1120" w:type="dxa"/>
            <w:tcBorders>
              <w:top w:val="nil"/>
              <w:left w:val="nil"/>
              <w:bottom w:val="nil"/>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2.57</w:t>
            </w:r>
          </w:p>
        </w:tc>
        <w:tc>
          <w:tcPr>
            <w:tcW w:w="1120" w:type="dxa"/>
            <w:tcBorders>
              <w:top w:val="nil"/>
              <w:left w:val="nil"/>
              <w:bottom w:val="nil"/>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2.5</w:t>
            </w:r>
            <w:r w:rsidR="00782EF1">
              <w:rPr>
                <w:rFonts w:ascii="Arial" w:hAnsi="Arial"/>
                <w:snapToGrid/>
                <w:color w:val="000000"/>
                <w:sz w:val="18"/>
                <w:szCs w:val="18"/>
                <w:lang w:eastAsia="en-AU"/>
              </w:rPr>
              <w:t>2</w:t>
            </w:r>
          </w:p>
        </w:tc>
      </w:tr>
      <w:tr w:rsidR="00063FB8" w:rsidRPr="00063FB8" w:rsidTr="00063FB8">
        <w:trPr>
          <w:trHeight w:val="319"/>
        </w:trPr>
        <w:tc>
          <w:tcPr>
            <w:tcW w:w="2140" w:type="dxa"/>
            <w:gridSpan w:val="2"/>
            <w:tcBorders>
              <w:top w:val="nil"/>
              <w:left w:val="nil"/>
              <w:bottom w:val="single" w:sz="4" w:space="0" w:color="auto"/>
              <w:right w:val="nil"/>
            </w:tcBorders>
            <w:shd w:val="clear" w:color="auto" w:fill="auto"/>
            <w:noWrap/>
            <w:vAlign w:val="center"/>
            <w:hideMark/>
          </w:tcPr>
          <w:p w:rsidR="008A2D74" w:rsidRDefault="00063FB8">
            <w:pPr>
              <w:kinsoku/>
              <w:overflowPunct/>
              <w:autoSpaceDE/>
              <w:autoSpaceDN/>
              <w:adjustRightInd/>
              <w:snapToGrid/>
              <w:rPr>
                <w:rFonts w:ascii="Arial" w:hAnsi="Arial"/>
                <w:b/>
                <w:bCs/>
                <w:i/>
                <w:snapToGrid/>
                <w:color w:val="000000"/>
                <w:sz w:val="18"/>
                <w:szCs w:val="18"/>
                <w:lang w:eastAsia="en-AU"/>
              </w:rPr>
            </w:pPr>
            <w:r w:rsidRPr="00063FB8">
              <w:rPr>
                <w:rFonts w:ascii="Arial" w:hAnsi="Arial"/>
                <w:snapToGrid/>
                <w:color w:val="000000"/>
                <w:sz w:val="18"/>
                <w:szCs w:val="18"/>
                <w:lang w:eastAsia="en-AU"/>
              </w:rPr>
              <w:t xml:space="preserve">% </w:t>
            </w:r>
            <w:r w:rsidR="00E85AB3">
              <w:rPr>
                <w:rFonts w:ascii="Arial" w:hAnsi="Arial"/>
                <w:snapToGrid/>
                <w:color w:val="000000"/>
                <w:sz w:val="18"/>
                <w:szCs w:val="18"/>
                <w:lang w:eastAsia="en-AU"/>
              </w:rPr>
              <w:t>decrease</w:t>
            </w:r>
          </w:p>
        </w:tc>
        <w:tc>
          <w:tcPr>
            <w:tcW w:w="1120" w:type="dxa"/>
            <w:tcBorders>
              <w:top w:val="nil"/>
              <w:left w:val="nil"/>
              <w:bottom w:val="single" w:sz="4" w:space="0" w:color="auto"/>
              <w:right w:val="nil"/>
            </w:tcBorders>
            <w:shd w:val="clear" w:color="auto" w:fill="auto"/>
            <w:noWrap/>
            <w:vAlign w:val="center"/>
            <w:hideMark/>
          </w:tcPr>
          <w:p w:rsidR="00063FB8" w:rsidRPr="00063FB8" w:rsidRDefault="00063FB8" w:rsidP="00063FB8">
            <w:pPr>
              <w:kinsoku/>
              <w:overflowPunct/>
              <w:autoSpaceDE/>
              <w:autoSpaceDN/>
              <w:adjustRightInd/>
              <w:snapToGrid/>
              <w:rPr>
                <w:rFonts w:ascii="Arial" w:hAnsi="Arial"/>
                <w:snapToGrid/>
                <w:color w:val="000000"/>
                <w:sz w:val="18"/>
                <w:szCs w:val="18"/>
                <w:lang w:eastAsia="en-AU"/>
              </w:rPr>
            </w:pPr>
            <w:r w:rsidRPr="00063FB8">
              <w:rPr>
                <w:rFonts w:ascii="Arial" w:hAnsi="Arial"/>
                <w:snapToGrid/>
                <w:color w:val="000000"/>
                <w:sz w:val="18"/>
                <w:szCs w:val="18"/>
                <w:lang w:eastAsia="en-AU"/>
              </w:rPr>
              <w:t> </w:t>
            </w:r>
          </w:p>
        </w:tc>
        <w:tc>
          <w:tcPr>
            <w:tcW w:w="1120" w:type="dxa"/>
            <w:tcBorders>
              <w:top w:val="nil"/>
              <w:left w:val="nil"/>
              <w:bottom w:val="single" w:sz="4" w:space="0" w:color="auto"/>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3%</w:t>
            </w:r>
          </w:p>
        </w:tc>
        <w:tc>
          <w:tcPr>
            <w:tcW w:w="1120" w:type="dxa"/>
            <w:tcBorders>
              <w:top w:val="nil"/>
              <w:left w:val="nil"/>
              <w:bottom w:val="single" w:sz="4" w:space="0" w:color="auto"/>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9%</w:t>
            </w:r>
          </w:p>
        </w:tc>
        <w:tc>
          <w:tcPr>
            <w:tcW w:w="1120" w:type="dxa"/>
            <w:tcBorders>
              <w:top w:val="nil"/>
              <w:left w:val="nil"/>
              <w:bottom w:val="single" w:sz="4" w:space="0" w:color="auto"/>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w:t>
            </w:r>
          </w:p>
        </w:tc>
        <w:tc>
          <w:tcPr>
            <w:tcW w:w="1120" w:type="dxa"/>
            <w:tcBorders>
              <w:top w:val="nil"/>
              <w:left w:val="nil"/>
              <w:bottom w:val="single" w:sz="4" w:space="0" w:color="auto"/>
              <w:right w:val="nil"/>
            </w:tcBorders>
            <w:shd w:val="clear" w:color="auto" w:fill="auto"/>
            <w:noWrap/>
            <w:vAlign w:val="center"/>
            <w:hideMark/>
          </w:tcPr>
          <w:p w:rsidR="00063FB8" w:rsidRPr="00063FB8" w:rsidRDefault="00063FB8" w:rsidP="00063FB8">
            <w:pPr>
              <w:kinsoku/>
              <w:overflowPunct/>
              <w:autoSpaceDE/>
              <w:autoSpaceDN/>
              <w:adjustRightInd/>
              <w:snapToGrid/>
              <w:jc w:val="right"/>
              <w:rPr>
                <w:rFonts w:ascii="Arial" w:hAnsi="Arial"/>
                <w:snapToGrid/>
                <w:color w:val="000000"/>
                <w:sz w:val="18"/>
                <w:szCs w:val="18"/>
                <w:lang w:eastAsia="en-AU"/>
              </w:rPr>
            </w:pPr>
            <w:r w:rsidRPr="00063FB8">
              <w:rPr>
                <w:rFonts w:ascii="Arial" w:hAnsi="Arial"/>
                <w:snapToGrid/>
                <w:color w:val="000000"/>
                <w:sz w:val="18"/>
                <w:szCs w:val="18"/>
                <w:lang w:eastAsia="en-AU"/>
              </w:rPr>
              <w:t>2%</w:t>
            </w:r>
          </w:p>
        </w:tc>
      </w:tr>
    </w:tbl>
    <w:p w:rsidR="00060A42" w:rsidRDefault="00060A42" w:rsidP="000D2FC9">
      <w:pPr>
        <w:pStyle w:val="PwCNormal"/>
        <w:numPr>
          <w:ilvl w:val="0"/>
          <w:numId w:val="0"/>
        </w:numPr>
      </w:pPr>
    </w:p>
    <w:p w:rsidR="00CF45C0" w:rsidRDefault="00CF45C0" w:rsidP="00AB4337">
      <w:pPr>
        <w:sectPr w:rsidR="00CF45C0" w:rsidSect="00BC75AE">
          <w:pgSz w:w="11907" w:h="16840" w:code="9"/>
          <w:pgMar w:top="1588" w:right="1843" w:bottom="1418" w:left="1843" w:header="567" w:footer="567" w:gutter="0"/>
          <w:cols w:space="227"/>
          <w:titlePg/>
          <w:docGrid w:linePitch="360"/>
        </w:sectPr>
      </w:pPr>
      <w:bookmarkStart w:id="59" w:name="_Toc355118820"/>
      <w:bookmarkStart w:id="60" w:name="_Toc355166877"/>
      <w:bookmarkStart w:id="61" w:name="_Toc355166982"/>
      <w:bookmarkStart w:id="62" w:name="_Toc355167030"/>
      <w:bookmarkStart w:id="63" w:name="_Toc355167060"/>
      <w:bookmarkStart w:id="64" w:name="_Toc355172499"/>
      <w:bookmarkStart w:id="65" w:name="_Toc355172564"/>
      <w:bookmarkStart w:id="66" w:name="_Toc355172596"/>
      <w:bookmarkStart w:id="67" w:name="_Toc355172628"/>
      <w:bookmarkStart w:id="68" w:name="_Toc355172661"/>
      <w:bookmarkEnd w:id="59"/>
      <w:bookmarkEnd w:id="60"/>
      <w:bookmarkEnd w:id="61"/>
      <w:bookmarkEnd w:id="62"/>
      <w:bookmarkEnd w:id="63"/>
      <w:bookmarkEnd w:id="64"/>
      <w:bookmarkEnd w:id="65"/>
      <w:bookmarkEnd w:id="66"/>
      <w:bookmarkEnd w:id="67"/>
      <w:bookmarkEnd w:id="68"/>
    </w:p>
    <w:p w:rsidR="00B46E1A" w:rsidRPr="00D675EE" w:rsidRDefault="00B46E1A" w:rsidP="00446789">
      <w:pPr>
        <w:pStyle w:val="Heading2"/>
      </w:pPr>
      <w:bookmarkStart w:id="69" w:name="_Ref355166766"/>
      <w:bookmarkStart w:id="70" w:name="_Toc356829291"/>
      <w:r w:rsidRPr="00D675EE">
        <w:lastRenderedPageBreak/>
        <w:t>DRG Analysis – all cost buckets</w:t>
      </w:r>
      <w:bookmarkEnd w:id="70"/>
    </w:p>
    <w:p w:rsidR="00B46E1A" w:rsidRPr="006603C1" w:rsidRDefault="00B46E1A" w:rsidP="0087449C">
      <w:pPr>
        <w:pStyle w:val="Heading3"/>
      </w:pPr>
      <w:r w:rsidRPr="006603C1">
        <w:t>The twenty DRGs with the highest cost weights</w:t>
      </w:r>
    </w:p>
    <w:p w:rsidR="007D1132" w:rsidRDefault="00B46E1A" w:rsidP="00F34CFF">
      <w:pPr>
        <w:pStyle w:val="PwCNormal"/>
      </w:pPr>
      <w:r>
        <w:t xml:space="preserve">The twenty </w:t>
      </w:r>
      <w:r w:rsidRPr="00B6646C">
        <w:t xml:space="preserve">DRGs </w:t>
      </w:r>
      <w:r>
        <w:t xml:space="preserve">with the highest costs weights are those that are </w:t>
      </w:r>
      <w:r w:rsidRPr="00B6646C">
        <w:t xml:space="preserve">likely to consume the highest resource for an individual episode of care, as measured by the cost weight. DRGs with fewer than 5 separations or 3 participating hospitals are excluded from the </w:t>
      </w:r>
      <w:r>
        <w:t xml:space="preserve">analysis in this sub-section. “Cost weighted separations” is </w:t>
      </w:r>
      <w:r w:rsidRPr="00B81E7F">
        <w:t>calculated as the DRG cost weight, multiplied by the number of separations for a given DRG</w:t>
      </w:r>
      <w:r w:rsidR="00974A21">
        <w:t>. The list of DRGs is provided in the following table:</w:t>
      </w:r>
    </w:p>
    <w:p w:rsidR="007D1132" w:rsidRDefault="00B46E1A" w:rsidP="007D1132">
      <w:pPr>
        <w:pStyle w:val="Caption"/>
      </w:pPr>
      <w:r>
        <w:t xml:space="preserve">Table </w:t>
      </w:r>
      <w:r w:rsidR="00D502C6">
        <w:fldChar w:fldCharType="begin"/>
      </w:r>
      <w:r>
        <w:instrText xml:space="preserve"> SEQ Table \* ARABIC </w:instrText>
      </w:r>
      <w:r w:rsidR="00D502C6">
        <w:fldChar w:fldCharType="separate"/>
      </w:r>
      <w:r w:rsidR="00953F50">
        <w:rPr>
          <w:noProof/>
        </w:rPr>
        <w:t>5</w:t>
      </w:r>
      <w:r w:rsidR="00D502C6">
        <w:fldChar w:fldCharType="end"/>
      </w:r>
      <w:r>
        <w:tab/>
        <w:t>DRGs with twenty highest cost weights, AR-DRG 6.0x, Round 16 (2011/12)</w:t>
      </w:r>
    </w:p>
    <w:tbl>
      <w:tblPr>
        <w:tblW w:w="14473" w:type="dxa"/>
        <w:tblCellMar>
          <w:left w:w="0" w:type="dxa"/>
          <w:right w:w="0" w:type="dxa"/>
        </w:tblCellMar>
        <w:tblLook w:val="04A0" w:firstRow="1" w:lastRow="0" w:firstColumn="1" w:lastColumn="0" w:noHBand="0" w:noVBand="1"/>
      </w:tblPr>
      <w:tblGrid>
        <w:gridCol w:w="520"/>
        <w:gridCol w:w="912"/>
        <w:gridCol w:w="5953"/>
        <w:gridCol w:w="1276"/>
        <w:gridCol w:w="1134"/>
        <w:gridCol w:w="1559"/>
        <w:gridCol w:w="1276"/>
        <w:gridCol w:w="1134"/>
        <w:gridCol w:w="709"/>
      </w:tblGrid>
      <w:tr w:rsidR="00ED2883" w:rsidRPr="0076167C" w:rsidTr="0076167C">
        <w:trPr>
          <w:trHeight w:val="240"/>
        </w:trPr>
        <w:tc>
          <w:tcPr>
            <w:tcW w:w="0" w:type="auto"/>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DRG</w:t>
            </w:r>
          </w:p>
        </w:tc>
        <w:tc>
          <w:tcPr>
            <w:tcW w:w="912"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b/>
                <w:bCs/>
                <w:color w:val="A32020"/>
                <w:sz w:val="16"/>
                <w:szCs w:val="16"/>
              </w:rPr>
            </w:pPr>
          </w:p>
        </w:tc>
        <w:tc>
          <w:tcPr>
            <w:tcW w:w="5953"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Description</w:t>
            </w:r>
          </w:p>
        </w:tc>
        <w:tc>
          <w:tcPr>
            <w:tcW w:w="1276"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Cost Weight </w:t>
            </w:r>
            <w:r w:rsidRPr="0076167C">
              <w:rPr>
                <w:rFonts w:asciiTheme="minorHAnsi" w:hAnsiTheme="minorHAnsi" w:cstheme="minorHAnsi"/>
                <w:bCs/>
                <w:color w:val="A32020"/>
                <w:sz w:val="16"/>
                <w:szCs w:val="16"/>
              </w:rPr>
              <w:t>(a)</w:t>
            </w:r>
          </w:p>
        </w:tc>
        <w:tc>
          <w:tcPr>
            <w:tcW w:w="1134"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Separations </w:t>
            </w:r>
            <w:r w:rsidRPr="0076167C">
              <w:rPr>
                <w:rFonts w:asciiTheme="minorHAnsi" w:hAnsiTheme="minorHAnsi" w:cstheme="minorHAnsi"/>
                <w:color w:val="A32020"/>
                <w:sz w:val="16"/>
                <w:szCs w:val="16"/>
              </w:rPr>
              <w:t>(b)</w:t>
            </w:r>
          </w:p>
        </w:tc>
        <w:tc>
          <w:tcPr>
            <w:tcW w:w="1559"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Cost Weighted Separations </w:t>
            </w:r>
            <w:r w:rsidRPr="0076167C">
              <w:rPr>
                <w:rFonts w:asciiTheme="minorHAnsi" w:hAnsiTheme="minorHAnsi" w:cstheme="minorHAnsi"/>
                <w:color w:val="A32020"/>
                <w:sz w:val="16"/>
                <w:szCs w:val="16"/>
              </w:rPr>
              <w:t>(c)=(a)x(b)</w:t>
            </w:r>
          </w:p>
        </w:tc>
        <w:tc>
          <w:tcPr>
            <w:tcW w:w="1276" w:type="dxa"/>
            <w:tcBorders>
              <w:left w:val="nil"/>
              <w:bottom w:val="single" w:sz="8" w:space="0" w:color="A32020" w:themeColor="accent1"/>
              <w:right w:val="nil"/>
            </w:tcBorders>
            <w:shd w:val="clear" w:color="auto" w:fill="auto"/>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Number of Days </w:t>
            </w:r>
            <w:r w:rsidRPr="0076167C">
              <w:rPr>
                <w:rFonts w:asciiTheme="minorHAnsi" w:hAnsiTheme="minorHAnsi" w:cstheme="minorHAnsi"/>
                <w:color w:val="A32020"/>
                <w:sz w:val="16"/>
                <w:szCs w:val="16"/>
              </w:rPr>
              <w:t>(d)</w:t>
            </w:r>
          </w:p>
        </w:tc>
        <w:tc>
          <w:tcPr>
            <w:tcW w:w="1134"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ALOS (days) </w:t>
            </w:r>
            <w:r w:rsidRPr="0076167C">
              <w:rPr>
                <w:rFonts w:asciiTheme="minorHAnsi" w:hAnsiTheme="minorHAnsi" w:cstheme="minorHAnsi"/>
                <w:color w:val="A32020"/>
                <w:sz w:val="16"/>
                <w:szCs w:val="16"/>
              </w:rPr>
              <w:t>(e)=(d)/(b)</w:t>
            </w:r>
          </w:p>
        </w:tc>
        <w:tc>
          <w:tcPr>
            <w:tcW w:w="709" w:type="dxa"/>
            <w:tcBorders>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Std Error</w:t>
            </w:r>
          </w:p>
        </w:tc>
      </w:tr>
      <w:tr w:rsidR="00ED2883" w:rsidRPr="0076167C" w:rsidTr="0076167C">
        <w:trPr>
          <w:trHeight w:val="73"/>
        </w:trPr>
        <w:tc>
          <w:tcPr>
            <w:tcW w:w="0" w:type="auto"/>
            <w:tcBorders>
              <w:top w:val="single" w:sz="8" w:space="0" w:color="A32020" w:themeColor="accent1"/>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w:t>
            </w:r>
          </w:p>
        </w:tc>
        <w:tc>
          <w:tcPr>
            <w:tcW w:w="912"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A06A</w:t>
            </w:r>
          </w:p>
        </w:tc>
        <w:tc>
          <w:tcPr>
            <w:tcW w:w="5953"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Tracheostomy W Ventilation &gt;95 Hours W Catastrophic Cc</w:t>
            </w:r>
          </w:p>
        </w:tc>
        <w:tc>
          <w:tcPr>
            <w:tcW w:w="1276"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54.94</w:t>
            </w:r>
          </w:p>
        </w:tc>
        <w:tc>
          <w:tcPr>
            <w:tcW w:w="1134"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292</w:t>
            </w:r>
          </w:p>
        </w:tc>
        <w:tc>
          <w:tcPr>
            <w:tcW w:w="1559"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16,036</w:t>
            </w:r>
          </w:p>
        </w:tc>
        <w:tc>
          <w:tcPr>
            <w:tcW w:w="1276"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13,842</w:t>
            </w:r>
          </w:p>
        </w:tc>
        <w:tc>
          <w:tcPr>
            <w:tcW w:w="1134"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47.4</w:t>
            </w:r>
          </w:p>
        </w:tc>
        <w:tc>
          <w:tcPr>
            <w:tcW w:w="709" w:type="dxa"/>
            <w:tcBorders>
              <w:top w:val="single" w:sz="8"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1.56</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A40Z</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proofErr w:type="spellStart"/>
            <w:r w:rsidRPr="0076167C">
              <w:rPr>
                <w:rFonts w:asciiTheme="minorHAnsi" w:hAnsiTheme="minorHAnsi" w:cstheme="minorHAnsi"/>
                <w:color w:val="000000"/>
                <w:sz w:val="16"/>
                <w:szCs w:val="16"/>
              </w:rPr>
              <w:t>Ecmo</w:t>
            </w:r>
            <w:proofErr w:type="spellEnd"/>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36.10</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841</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497</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21.3</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5.52</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A06C</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Ventilation &gt;95 Hours W/O Catastrophic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25.58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42</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1,085</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978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23.1</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1.57</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A06B</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proofErr w:type="spellStart"/>
            <w:r w:rsidRPr="0076167C">
              <w:rPr>
                <w:rFonts w:asciiTheme="minorHAnsi" w:hAnsiTheme="minorHAnsi" w:cstheme="minorHAnsi"/>
                <w:color w:val="000000"/>
                <w:sz w:val="16"/>
                <w:szCs w:val="16"/>
              </w:rPr>
              <w:t>Trach</w:t>
            </w:r>
            <w:proofErr w:type="spellEnd"/>
            <w:r w:rsidRPr="0076167C">
              <w:rPr>
                <w:rFonts w:asciiTheme="minorHAnsi" w:hAnsiTheme="minorHAnsi" w:cstheme="minorHAnsi"/>
                <w:color w:val="000000"/>
                <w:sz w:val="16"/>
                <w:szCs w:val="16"/>
              </w:rPr>
              <w:t xml:space="preserve"> W Vent &gt;95 Hours W/O Cat Cc Or </w:t>
            </w:r>
            <w:proofErr w:type="spellStart"/>
            <w:r w:rsidRPr="0076167C">
              <w:rPr>
                <w:rFonts w:asciiTheme="minorHAnsi" w:hAnsiTheme="minorHAnsi" w:cstheme="minorHAnsi"/>
                <w:color w:val="000000"/>
                <w:sz w:val="16"/>
                <w:szCs w:val="16"/>
              </w:rPr>
              <w:t>Trach</w:t>
            </w:r>
            <w:proofErr w:type="spellEnd"/>
            <w:r w:rsidRPr="0076167C">
              <w:rPr>
                <w:rFonts w:asciiTheme="minorHAnsi" w:hAnsiTheme="minorHAnsi" w:cstheme="minorHAnsi"/>
                <w:color w:val="000000"/>
                <w:sz w:val="16"/>
                <w:szCs w:val="16"/>
              </w:rPr>
              <w:t>/Vent &gt;95 Hours W Cat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23.34</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929</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21,684</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27,277</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29.4</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0.41</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F01A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Implantation Or Replacement Of </w:t>
            </w:r>
            <w:proofErr w:type="spellStart"/>
            <w:r w:rsidRPr="0076167C">
              <w:rPr>
                <w:rFonts w:asciiTheme="minorHAnsi" w:hAnsiTheme="minorHAnsi" w:cstheme="minorHAnsi"/>
                <w:color w:val="000000"/>
                <w:sz w:val="16"/>
                <w:szCs w:val="16"/>
              </w:rPr>
              <w:t>Aicd</w:t>
            </w:r>
            <w:proofErr w:type="spellEnd"/>
            <w:r w:rsidRPr="0076167C">
              <w:rPr>
                <w:rFonts w:asciiTheme="minorHAnsi" w:hAnsiTheme="minorHAnsi" w:cstheme="minorHAnsi"/>
                <w:color w:val="000000"/>
                <w:sz w:val="16"/>
                <w:szCs w:val="16"/>
              </w:rPr>
              <w:t>, Total System W Catastrophic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19.78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323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6,390</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3,733</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11.6</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0.42</w:t>
            </w:r>
          </w:p>
        </w:tc>
      </w:tr>
      <w:tr w:rsidR="00ED2883" w:rsidRPr="0076167C" w:rsidTr="0076167C">
        <w:trPr>
          <w:trHeight w:val="240"/>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I06Z</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Spinal Fusion W Deformity</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17.77</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843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14,975</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8,606</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10.2</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0.33</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A11A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Insertion Of Implantable Spinal Infusion Device W Catastrophic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15.30</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198</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226</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17.4</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2.02</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F03A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Cardiac Valve </w:t>
            </w:r>
            <w:proofErr w:type="spellStart"/>
            <w:r w:rsidRPr="0076167C">
              <w:rPr>
                <w:rFonts w:asciiTheme="minorHAnsi" w:hAnsiTheme="minorHAnsi" w:cstheme="minorHAnsi"/>
                <w:color w:val="000000"/>
                <w:sz w:val="16"/>
                <w:szCs w:val="16"/>
              </w:rPr>
              <w:t>Proc</w:t>
            </w:r>
            <w:proofErr w:type="spellEnd"/>
            <w:r w:rsidRPr="0076167C">
              <w:rPr>
                <w:rFonts w:asciiTheme="minorHAnsi" w:hAnsiTheme="minorHAnsi" w:cstheme="minorHAnsi"/>
                <w:color w:val="000000"/>
                <w:sz w:val="16"/>
                <w:szCs w:val="16"/>
              </w:rPr>
              <w:t xml:space="preserve"> W </w:t>
            </w:r>
            <w:proofErr w:type="spellStart"/>
            <w:r w:rsidRPr="0076167C">
              <w:rPr>
                <w:rFonts w:asciiTheme="minorHAnsi" w:hAnsiTheme="minorHAnsi" w:cstheme="minorHAnsi"/>
                <w:color w:val="000000"/>
                <w:sz w:val="16"/>
                <w:szCs w:val="16"/>
              </w:rPr>
              <w:t>Cpb</w:t>
            </w:r>
            <w:proofErr w:type="spellEnd"/>
            <w:r w:rsidRPr="0076167C">
              <w:rPr>
                <w:rFonts w:asciiTheme="minorHAnsi" w:hAnsiTheme="minorHAnsi" w:cstheme="minorHAnsi"/>
                <w:color w:val="000000"/>
                <w:sz w:val="16"/>
                <w:szCs w:val="16"/>
              </w:rPr>
              <w:t xml:space="preserve"> Pump W Invasive Cardiac Investigation W Cat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14.90</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596</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8,878</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10,740</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18.0</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0.14</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I09A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Spinal Fusion W Catastrophic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14.15</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689</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9,754</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11,598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16.8</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0.21</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P06B</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Neonate, </w:t>
            </w:r>
            <w:proofErr w:type="spellStart"/>
            <w:r w:rsidRPr="0076167C">
              <w:rPr>
                <w:rFonts w:asciiTheme="minorHAnsi" w:hAnsiTheme="minorHAnsi" w:cstheme="minorHAnsi"/>
                <w:color w:val="000000"/>
                <w:sz w:val="16"/>
                <w:szCs w:val="16"/>
              </w:rPr>
              <w:t>Admwt</w:t>
            </w:r>
            <w:proofErr w:type="spellEnd"/>
            <w:r w:rsidRPr="0076167C">
              <w:rPr>
                <w:rFonts w:asciiTheme="minorHAnsi" w:hAnsiTheme="minorHAnsi" w:cstheme="minorHAnsi"/>
                <w:color w:val="000000"/>
                <w:sz w:val="16"/>
                <w:szCs w:val="16"/>
              </w:rPr>
              <w:t xml:space="preserve"> &gt;2499 G W Significant Or Procedure W/O Multi Major Problems</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13.45</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148</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1,989</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3,745</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25.3</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1.56</w:t>
            </w:r>
          </w:p>
        </w:tc>
      </w:tr>
      <w:tr w:rsidR="00ED2883" w:rsidRPr="0076167C" w:rsidTr="0076167C">
        <w:trPr>
          <w:trHeight w:val="240"/>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F01B</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Implantation Or Replacement Of </w:t>
            </w:r>
            <w:proofErr w:type="spellStart"/>
            <w:r w:rsidRPr="0076167C">
              <w:rPr>
                <w:rFonts w:asciiTheme="minorHAnsi" w:hAnsiTheme="minorHAnsi" w:cstheme="minorHAnsi"/>
                <w:color w:val="000000"/>
                <w:sz w:val="16"/>
                <w:szCs w:val="16"/>
              </w:rPr>
              <w:t>Aicd</w:t>
            </w:r>
            <w:proofErr w:type="spellEnd"/>
            <w:r w:rsidRPr="0076167C">
              <w:rPr>
                <w:rFonts w:asciiTheme="minorHAnsi" w:hAnsiTheme="minorHAnsi" w:cstheme="minorHAnsi"/>
                <w:color w:val="000000"/>
                <w:sz w:val="16"/>
                <w:szCs w:val="16"/>
              </w:rPr>
              <w:t>, Total System W/O Catastrophic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12.76</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2,437</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31,106</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6,308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2.6</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0.10</w:t>
            </w:r>
          </w:p>
        </w:tc>
      </w:tr>
      <w:tr w:rsidR="00ED2883" w:rsidRPr="0076167C" w:rsidTr="0076167C">
        <w:trPr>
          <w:trHeight w:val="240"/>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I01A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Bilateral/Multiple Major Joint Proc Of Lower Extremity W Revision Or W Cat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12.56</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333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4,184</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5,077</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15.2</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0.31</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F04A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Cardiac Valve </w:t>
            </w:r>
            <w:proofErr w:type="spellStart"/>
            <w:r w:rsidRPr="0076167C">
              <w:rPr>
                <w:rFonts w:asciiTheme="minorHAnsi" w:hAnsiTheme="minorHAnsi" w:cstheme="minorHAnsi"/>
                <w:color w:val="000000"/>
                <w:sz w:val="16"/>
                <w:szCs w:val="16"/>
              </w:rPr>
              <w:t>Proc</w:t>
            </w:r>
            <w:proofErr w:type="spellEnd"/>
            <w:r w:rsidRPr="0076167C">
              <w:rPr>
                <w:rFonts w:asciiTheme="minorHAnsi" w:hAnsiTheme="minorHAnsi" w:cstheme="minorHAnsi"/>
                <w:color w:val="000000"/>
                <w:sz w:val="16"/>
                <w:szCs w:val="16"/>
              </w:rPr>
              <w:t xml:space="preserve"> W </w:t>
            </w:r>
            <w:proofErr w:type="spellStart"/>
            <w:r w:rsidRPr="0076167C">
              <w:rPr>
                <w:rFonts w:asciiTheme="minorHAnsi" w:hAnsiTheme="minorHAnsi" w:cstheme="minorHAnsi"/>
                <w:color w:val="000000"/>
                <w:sz w:val="16"/>
                <w:szCs w:val="16"/>
              </w:rPr>
              <w:t>Cpb</w:t>
            </w:r>
            <w:proofErr w:type="spellEnd"/>
            <w:r w:rsidRPr="0076167C">
              <w:rPr>
                <w:rFonts w:asciiTheme="minorHAnsi" w:hAnsiTheme="minorHAnsi" w:cstheme="minorHAnsi"/>
                <w:color w:val="000000"/>
                <w:sz w:val="16"/>
                <w:szCs w:val="16"/>
              </w:rPr>
              <w:t xml:space="preserve"> Pump W/O Invasive Cardiac </w:t>
            </w:r>
            <w:proofErr w:type="spellStart"/>
            <w:r w:rsidRPr="0076167C">
              <w:rPr>
                <w:rFonts w:asciiTheme="minorHAnsi" w:hAnsiTheme="minorHAnsi" w:cstheme="minorHAnsi"/>
                <w:color w:val="000000"/>
                <w:sz w:val="16"/>
                <w:szCs w:val="16"/>
              </w:rPr>
              <w:t>Inves</w:t>
            </w:r>
            <w:proofErr w:type="spellEnd"/>
            <w:r w:rsidRPr="0076167C">
              <w:rPr>
                <w:rFonts w:asciiTheme="minorHAnsi" w:hAnsiTheme="minorHAnsi" w:cstheme="minorHAnsi"/>
                <w:color w:val="000000"/>
                <w:sz w:val="16"/>
                <w:szCs w:val="16"/>
              </w:rPr>
              <w:t xml:space="preserve"> W Cat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11.50</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2,253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25,907</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30,859</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13.7</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0.06</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W04A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Other Or </w:t>
            </w:r>
            <w:proofErr w:type="spellStart"/>
            <w:r w:rsidRPr="0076167C">
              <w:rPr>
                <w:rFonts w:asciiTheme="minorHAnsi" w:hAnsiTheme="minorHAnsi" w:cstheme="minorHAnsi"/>
                <w:color w:val="000000"/>
                <w:sz w:val="16"/>
                <w:szCs w:val="16"/>
              </w:rPr>
              <w:t>Procs</w:t>
            </w:r>
            <w:proofErr w:type="spellEnd"/>
            <w:r w:rsidRPr="0076167C">
              <w:rPr>
                <w:rFonts w:asciiTheme="minorHAnsi" w:hAnsiTheme="minorHAnsi" w:cstheme="minorHAnsi"/>
                <w:color w:val="000000"/>
                <w:sz w:val="16"/>
                <w:szCs w:val="16"/>
              </w:rPr>
              <w:t xml:space="preserve"> For Multiple Significant Trauma W Catastrophic Or Severe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11.35</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147</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487</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37.7</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1.62</w:t>
            </w:r>
          </w:p>
        </w:tc>
      </w:tr>
      <w:tr w:rsidR="00ED2883" w:rsidRPr="0076167C" w:rsidTr="0076167C">
        <w:trPr>
          <w:trHeight w:val="240"/>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A07Z</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Allogeneic Bone Marrow Transplant</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10.97</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160</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261</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17.9</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2.20</w:t>
            </w:r>
          </w:p>
        </w:tc>
      </w:tr>
      <w:tr w:rsidR="00ED2883" w:rsidRPr="0076167C" w:rsidTr="009A0E90">
        <w:trPr>
          <w:trHeight w:val="287"/>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F07A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Other Cardiothoracic/Vascular Procedures W </w:t>
            </w:r>
            <w:proofErr w:type="spellStart"/>
            <w:r w:rsidRPr="0076167C">
              <w:rPr>
                <w:rFonts w:asciiTheme="minorHAnsi" w:hAnsiTheme="minorHAnsi" w:cstheme="minorHAnsi"/>
                <w:color w:val="000000"/>
                <w:sz w:val="16"/>
                <w:szCs w:val="16"/>
              </w:rPr>
              <w:t>Cpb</w:t>
            </w:r>
            <w:proofErr w:type="spellEnd"/>
            <w:r w:rsidRPr="0076167C">
              <w:rPr>
                <w:rFonts w:asciiTheme="minorHAnsi" w:hAnsiTheme="minorHAnsi" w:cstheme="minorHAnsi"/>
                <w:color w:val="000000"/>
                <w:sz w:val="16"/>
                <w:szCs w:val="16"/>
              </w:rPr>
              <w:t xml:space="preserve"> Pump W Catastrophic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10.96</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235</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2,578</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3,210</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13.7</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0.36</w:t>
            </w:r>
          </w:p>
        </w:tc>
      </w:tr>
      <w:tr w:rsidR="00ED2883" w:rsidRPr="0076167C" w:rsidTr="0076167C">
        <w:trPr>
          <w:trHeight w:val="255"/>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W02A</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Hip, Femur &amp; Limb </w:t>
            </w:r>
            <w:proofErr w:type="spellStart"/>
            <w:r w:rsidRPr="0076167C">
              <w:rPr>
                <w:rFonts w:asciiTheme="minorHAnsi" w:hAnsiTheme="minorHAnsi" w:cstheme="minorHAnsi"/>
                <w:color w:val="000000"/>
                <w:sz w:val="16"/>
                <w:szCs w:val="16"/>
              </w:rPr>
              <w:t>Pr</w:t>
            </w:r>
            <w:proofErr w:type="spellEnd"/>
            <w:r w:rsidRPr="0076167C">
              <w:rPr>
                <w:rFonts w:asciiTheme="minorHAnsi" w:hAnsiTheme="minorHAnsi" w:cstheme="minorHAnsi"/>
                <w:color w:val="000000"/>
                <w:sz w:val="16"/>
                <w:szCs w:val="16"/>
              </w:rPr>
              <w:t xml:space="preserve"> For </w:t>
            </w:r>
            <w:proofErr w:type="spellStart"/>
            <w:r w:rsidRPr="0076167C">
              <w:rPr>
                <w:rFonts w:asciiTheme="minorHAnsi" w:hAnsiTheme="minorHAnsi" w:cstheme="minorHAnsi"/>
                <w:color w:val="000000"/>
                <w:sz w:val="16"/>
                <w:szCs w:val="16"/>
              </w:rPr>
              <w:t>Mult</w:t>
            </w:r>
            <w:proofErr w:type="spellEnd"/>
            <w:r w:rsidRPr="0076167C">
              <w:rPr>
                <w:rFonts w:asciiTheme="minorHAnsi" w:hAnsiTheme="minorHAnsi" w:cstheme="minorHAnsi"/>
                <w:color w:val="000000"/>
                <w:sz w:val="16"/>
                <w:szCs w:val="16"/>
              </w:rPr>
              <w:t xml:space="preserve"> </w:t>
            </w:r>
            <w:proofErr w:type="spellStart"/>
            <w:r w:rsidRPr="0076167C">
              <w:rPr>
                <w:rFonts w:asciiTheme="minorHAnsi" w:hAnsiTheme="minorHAnsi" w:cstheme="minorHAnsi"/>
                <w:color w:val="000000"/>
                <w:sz w:val="16"/>
                <w:szCs w:val="16"/>
              </w:rPr>
              <w:t>Signif</w:t>
            </w:r>
            <w:proofErr w:type="spellEnd"/>
            <w:r w:rsidRPr="0076167C">
              <w:rPr>
                <w:rFonts w:asciiTheme="minorHAnsi" w:hAnsiTheme="minorHAnsi" w:cstheme="minorHAnsi"/>
                <w:color w:val="000000"/>
                <w:sz w:val="16"/>
                <w:szCs w:val="16"/>
              </w:rPr>
              <w:t xml:space="preserve"> Trauma, </w:t>
            </w:r>
            <w:proofErr w:type="spellStart"/>
            <w:r w:rsidRPr="0076167C">
              <w:rPr>
                <w:rFonts w:asciiTheme="minorHAnsi" w:hAnsiTheme="minorHAnsi" w:cstheme="minorHAnsi"/>
                <w:color w:val="000000"/>
                <w:sz w:val="16"/>
                <w:szCs w:val="16"/>
              </w:rPr>
              <w:t>Incl</w:t>
            </w:r>
            <w:proofErr w:type="spellEnd"/>
            <w:r w:rsidRPr="0076167C">
              <w:rPr>
                <w:rFonts w:asciiTheme="minorHAnsi" w:hAnsiTheme="minorHAnsi" w:cstheme="minorHAnsi"/>
                <w:color w:val="000000"/>
                <w:sz w:val="16"/>
                <w:szCs w:val="16"/>
              </w:rPr>
              <w:t xml:space="preserve"> Implantation W Cat/</w:t>
            </w:r>
            <w:proofErr w:type="spellStart"/>
            <w:r w:rsidRPr="0076167C">
              <w:rPr>
                <w:rFonts w:asciiTheme="minorHAnsi" w:hAnsiTheme="minorHAnsi" w:cstheme="minorHAnsi"/>
                <w:color w:val="000000"/>
                <w:sz w:val="16"/>
                <w:szCs w:val="16"/>
              </w:rPr>
              <w:t>Sev</w:t>
            </w:r>
            <w:proofErr w:type="spellEnd"/>
            <w:r w:rsidRPr="0076167C">
              <w:rPr>
                <w:rFonts w:asciiTheme="minorHAnsi" w:hAnsiTheme="minorHAnsi" w:cstheme="minorHAnsi"/>
                <w:color w:val="000000"/>
                <w:sz w:val="16"/>
                <w:szCs w:val="16"/>
              </w:rPr>
              <w:t xml:space="preserve"> Cc</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10.96</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50</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543</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1,348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27.2</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1.26</w:t>
            </w:r>
          </w:p>
        </w:tc>
      </w:tr>
      <w:tr w:rsidR="00ED2883" w:rsidRPr="0076167C" w:rsidTr="0076167C">
        <w:trPr>
          <w:trHeight w:val="240"/>
        </w:trPr>
        <w:tc>
          <w:tcPr>
            <w:tcW w:w="0" w:type="auto"/>
            <w:tcBorders>
              <w:top w:val="nil"/>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18</w:t>
            </w:r>
          </w:p>
        </w:tc>
        <w:tc>
          <w:tcPr>
            <w:tcW w:w="912"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D01Z</w:t>
            </w:r>
          </w:p>
        </w:tc>
        <w:tc>
          <w:tcPr>
            <w:tcW w:w="5953"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Cochlear Implant</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10.89</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733</w:t>
            </w:r>
          </w:p>
        </w:tc>
        <w:tc>
          <w:tcPr>
            <w:tcW w:w="155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7,982</w:t>
            </w:r>
          </w:p>
        </w:tc>
        <w:tc>
          <w:tcPr>
            <w:tcW w:w="1276"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1,068</w:t>
            </w:r>
          </w:p>
        </w:tc>
        <w:tc>
          <w:tcPr>
            <w:tcW w:w="1134"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w:t>
            </w:r>
          </w:p>
        </w:tc>
        <w:tc>
          <w:tcPr>
            <w:tcW w:w="709" w:type="dxa"/>
            <w:tcBorders>
              <w:top w:val="nil"/>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0.35</w:t>
            </w:r>
          </w:p>
        </w:tc>
      </w:tr>
      <w:tr w:rsidR="00ED2883" w:rsidRPr="0076167C" w:rsidTr="0076167C">
        <w:trPr>
          <w:trHeight w:val="255"/>
        </w:trPr>
        <w:tc>
          <w:tcPr>
            <w:tcW w:w="0" w:type="auto"/>
            <w:tcBorders>
              <w:top w:val="nil"/>
              <w:left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w:t>
            </w:r>
          </w:p>
        </w:tc>
        <w:tc>
          <w:tcPr>
            <w:tcW w:w="912"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I31A</w:t>
            </w:r>
          </w:p>
        </w:tc>
        <w:tc>
          <w:tcPr>
            <w:tcW w:w="5953"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Hip Revision W Catastrophic Cc</w:t>
            </w:r>
          </w:p>
        </w:tc>
        <w:tc>
          <w:tcPr>
            <w:tcW w:w="1276"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10.68</w:t>
            </w:r>
          </w:p>
        </w:tc>
        <w:tc>
          <w:tcPr>
            <w:tcW w:w="1134"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340</w:t>
            </w:r>
          </w:p>
        </w:tc>
        <w:tc>
          <w:tcPr>
            <w:tcW w:w="1559"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3,630</w:t>
            </w:r>
          </w:p>
        </w:tc>
        <w:tc>
          <w:tcPr>
            <w:tcW w:w="1276"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6,920</w:t>
            </w:r>
          </w:p>
        </w:tc>
        <w:tc>
          <w:tcPr>
            <w:tcW w:w="1134"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20.4</w:t>
            </w:r>
          </w:p>
        </w:tc>
        <w:tc>
          <w:tcPr>
            <w:tcW w:w="709" w:type="dxa"/>
            <w:tcBorders>
              <w:top w:val="nil"/>
              <w:left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0.33</w:t>
            </w:r>
          </w:p>
        </w:tc>
      </w:tr>
      <w:tr w:rsidR="00ED2883" w:rsidRPr="0076167C" w:rsidTr="0076167C">
        <w:trPr>
          <w:trHeight w:val="255"/>
        </w:trPr>
        <w:tc>
          <w:tcPr>
            <w:tcW w:w="0" w:type="auto"/>
            <w:tcBorders>
              <w:top w:val="nil"/>
              <w:left w:val="nil"/>
              <w:bottom w:val="single" w:sz="4" w:space="0" w:color="A32020" w:themeColor="accent1"/>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20</w:t>
            </w:r>
          </w:p>
        </w:tc>
        <w:tc>
          <w:tcPr>
            <w:tcW w:w="912"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I32A</w:t>
            </w:r>
          </w:p>
        </w:tc>
        <w:tc>
          <w:tcPr>
            <w:tcW w:w="5953"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Knee Revision W Catastrophic Cc</w:t>
            </w:r>
          </w:p>
        </w:tc>
        <w:tc>
          <w:tcPr>
            <w:tcW w:w="1276"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10.19</w:t>
            </w:r>
          </w:p>
        </w:tc>
        <w:tc>
          <w:tcPr>
            <w:tcW w:w="1134"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178</w:t>
            </w:r>
          </w:p>
        </w:tc>
        <w:tc>
          <w:tcPr>
            <w:tcW w:w="1559"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1,812</w:t>
            </w:r>
          </w:p>
        </w:tc>
        <w:tc>
          <w:tcPr>
            <w:tcW w:w="1276"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3,439</w:t>
            </w:r>
          </w:p>
        </w:tc>
        <w:tc>
          <w:tcPr>
            <w:tcW w:w="1134"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19.3</w:t>
            </w:r>
          </w:p>
        </w:tc>
        <w:tc>
          <w:tcPr>
            <w:tcW w:w="709"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0.38</w:t>
            </w:r>
          </w:p>
        </w:tc>
      </w:tr>
      <w:tr w:rsidR="00ED2883" w:rsidRPr="0076167C" w:rsidTr="0076167C">
        <w:trPr>
          <w:trHeight w:val="240"/>
        </w:trPr>
        <w:tc>
          <w:tcPr>
            <w:tcW w:w="0" w:type="auto"/>
            <w:tcBorders>
              <w:top w:val="single" w:sz="4" w:space="0" w:color="A32020" w:themeColor="accent1"/>
              <w:left w:val="nil"/>
              <w:bottom w:val="nil"/>
              <w:right w:val="nil"/>
            </w:tcBorders>
            <w:shd w:val="clear" w:color="auto" w:fill="auto"/>
            <w:noWrap/>
            <w:tcMar>
              <w:top w:w="14" w:type="dxa"/>
              <w:left w:w="14" w:type="dxa"/>
              <w:bottom w:w="0" w:type="dxa"/>
              <w:right w:w="122" w:type="dxa"/>
            </w:tcMar>
            <w:vAlign w:val="bottom"/>
            <w:hideMark/>
          </w:tcPr>
          <w:p w:rsidR="00ED2883" w:rsidRPr="0076167C" w:rsidRDefault="00ED2883" w:rsidP="00ED2883">
            <w:pPr>
              <w:ind w:firstLineChars="100" w:firstLine="160"/>
              <w:jc w:val="right"/>
              <w:rPr>
                <w:rFonts w:asciiTheme="minorHAnsi" w:hAnsiTheme="minorHAnsi" w:cstheme="minorHAnsi"/>
                <w:color w:val="000000"/>
                <w:sz w:val="16"/>
                <w:szCs w:val="16"/>
              </w:rPr>
            </w:pPr>
          </w:p>
        </w:tc>
        <w:tc>
          <w:tcPr>
            <w:tcW w:w="6865" w:type="dxa"/>
            <w:gridSpan w:val="2"/>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Sub-total, top 20 highest cost weight</w:t>
            </w:r>
          </w:p>
        </w:tc>
        <w:tc>
          <w:tcPr>
            <w:tcW w:w="1276" w:type="dxa"/>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15.25</w:t>
            </w:r>
          </w:p>
        </w:tc>
        <w:tc>
          <w:tcPr>
            <w:tcW w:w="1134" w:type="dxa"/>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10,484</w:t>
            </w:r>
          </w:p>
        </w:tc>
        <w:tc>
          <w:tcPr>
            <w:tcW w:w="1559" w:type="dxa"/>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159,878</w:t>
            </w:r>
          </w:p>
        </w:tc>
        <w:tc>
          <w:tcPr>
            <w:tcW w:w="1276" w:type="dxa"/>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140,219</w:t>
            </w:r>
          </w:p>
        </w:tc>
        <w:tc>
          <w:tcPr>
            <w:tcW w:w="1134" w:type="dxa"/>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13.4</w:t>
            </w:r>
          </w:p>
        </w:tc>
        <w:tc>
          <w:tcPr>
            <w:tcW w:w="709" w:type="dxa"/>
            <w:tcBorders>
              <w:top w:val="single" w:sz="4" w:space="0" w:color="A32020" w:themeColor="accent1"/>
              <w:left w:val="nil"/>
              <w:bottom w:val="nil"/>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p>
        </w:tc>
      </w:tr>
      <w:tr w:rsidR="00ED2883" w:rsidRPr="0076167C" w:rsidTr="0076167C">
        <w:trPr>
          <w:trHeight w:val="191"/>
        </w:trPr>
        <w:tc>
          <w:tcPr>
            <w:tcW w:w="0" w:type="auto"/>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rPr>
                <w:rFonts w:asciiTheme="minorHAnsi" w:hAnsiTheme="minorHAnsi" w:cstheme="minorHAnsi"/>
                <w:color w:val="000000"/>
                <w:sz w:val="16"/>
                <w:szCs w:val="16"/>
              </w:rPr>
            </w:pPr>
          </w:p>
        </w:tc>
        <w:tc>
          <w:tcPr>
            <w:tcW w:w="912"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All DRGs</w:t>
            </w:r>
          </w:p>
        </w:tc>
        <w:tc>
          <w:tcPr>
            <w:tcW w:w="5953"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 xml:space="preserve"> </w:t>
            </w:r>
          </w:p>
        </w:tc>
        <w:tc>
          <w:tcPr>
            <w:tcW w:w="1276"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1.00</w:t>
            </w:r>
          </w:p>
        </w:tc>
        <w:tc>
          <w:tcPr>
            <w:tcW w:w="1134"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2,703,792</w:t>
            </w:r>
          </w:p>
        </w:tc>
        <w:tc>
          <w:tcPr>
            <w:tcW w:w="1559"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2,703,792</w:t>
            </w:r>
          </w:p>
        </w:tc>
        <w:tc>
          <w:tcPr>
            <w:tcW w:w="1276"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6,820,000</w:t>
            </w:r>
          </w:p>
        </w:tc>
        <w:tc>
          <w:tcPr>
            <w:tcW w:w="1134"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2.5</w:t>
            </w:r>
          </w:p>
        </w:tc>
        <w:tc>
          <w:tcPr>
            <w:tcW w:w="709" w:type="dxa"/>
            <w:tcBorders>
              <w:top w:val="nil"/>
              <w:left w:val="nil"/>
              <w:right w:val="nil"/>
            </w:tcBorders>
            <w:shd w:val="clear" w:color="auto" w:fill="auto"/>
            <w:noWrap/>
            <w:tcMar>
              <w:top w:w="14" w:type="dxa"/>
              <w:left w:w="14" w:type="dxa"/>
              <w:bottom w:w="0" w:type="dxa"/>
              <w:right w:w="14" w:type="dxa"/>
            </w:tcMar>
            <w:vAlign w:val="center"/>
            <w:hideMark/>
          </w:tcPr>
          <w:p w:rsidR="00ED2883" w:rsidRPr="0076167C" w:rsidRDefault="00ED2883">
            <w:pPr>
              <w:rPr>
                <w:rFonts w:asciiTheme="minorHAnsi" w:hAnsiTheme="minorHAnsi" w:cstheme="minorHAnsi"/>
                <w:color w:val="000000"/>
                <w:sz w:val="16"/>
                <w:szCs w:val="16"/>
              </w:rPr>
            </w:pPr>
          </w:p>
        </w:tc>
      </w:tr>
      <w:tr w:rsidR="00ED2883" w:rsidRPr="0076167C" w:rsidTr="0076167C">
        <w:trPr>
          <w:trHeight w:val="60"/>
        </w:trPr>
        <w:tc>
          <w:tcPr>
            <w:tcW w:w="0" w:type="auto"/>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w:t>
            </w:r>
          </w:p>
        </w:tc>
        <w:tc>
          <w:tcPr>
            <w:tcW w:w="6865" w:type="dxa"/>
            <w:gridSpan w:val="2"/>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Top 20, % of all DRGs</w:t>
            </w:r>
          </w:p>
        </w:tc>
        <w:tc>
          <w:tcPr>
            <w:tcW w:w="1276"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w:t>
            </w:r>
          </w:p>
        </w:tc>
        <w:tc>
          <w:tcPr>
            <w:tcW w:w="1134"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0.4%</w:t>
            </w:r>
          </w:p>
        </w:tc>
        <w:tc>
          <w:tcPr>
            <w:tcW w:w="1559"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5.9%</w:t>
            </w:r>
          </w:p>
        </w:tc>
        <w:tc>
          <w:tcPr>
            <w:tcW w:w="1276"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2.1%</w:t>
            </w:r>
          </w:p>
        </w:tc>
        <w:tc>
          <w:tcPr>
            <w:tcW w:w="1134"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w:t>
            </w:r>
          </w:p>
        </w:tc>
        <w:tc>
          <w:tcPr>
            <w:tcW w:w="709" w:type="dxa"/>
            <w:tcBorders>
              <w:top w:val="nil"/>
              <w:left w:val="nil"/>
              <w:bottom w:val="single" w:sz="4" w:space="0" w:color="A32020" w:themeColor="accent1"/>
              <w:right w:val="nil"/>
            </w:tcBorders>
            <w:shd w:val="clear" w:color="auto" w:fill="auto"/>
            <w:noWrap/>
            <w:tcMar>
              <w:top w:w="14" w:type="dxa"/>
              <w:left w:w="14" w:type="dxa"/>
              <w:bottom w:w="0" w:type="dxa"/>
              <w:right w:w="14" w:type="dxa"/>
            </w:tcMar>
            <w:vAlign w:val="bottom"/>
            <w:hideMark/>
          </w:tcPr>
          <w:p w:rsidR="00ED2883" w:rsidRPr="0076167C" w:rsidRDefault="00ED2883">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w:t>
            </w:r>
          </w:p>
        </w:tc>
      </w:tr>
    </w:tbl>
    <w:p w:rsidR="0081233E" w:rsidRDefault="00ED2883" w:rsidP="00ED2883">
      <w:pPr>
        <w:pStyle w:val="PwCNormal"/>
        <w:spacing w:before="120" w:after="0"/>
        <w:rPr>
          <w:b/>
          <w:sz w:val="16"/>
        </w:rPr>
      </w:pPr>
      <w:r>
        <w:t xml:space="preserve"> </w:t>
      </w:r>
      <w:r w:rsidRPr="00E43DC3">
        <w:rPr>
          <w:b/>
          <w:sz w:val="16"/>
        </w:rPr>
        <w:t>Notes</w:t>
      </w:r>
      <w:r w:rsidR="0081233E">
        <w:rPr>
          <w:b/>
          <w:sz w:val="16"/>
        </w:rPr>
        <w:t xml:space="preserve"> :</w:t>
      </w:r>
    </w:p>
    <w:p w:rsidR="0081233E" w:rsidRPr="0081233E" w:rsidRDefault="0081233E" w:rsidP="0081233E">
      <w:pPr>
        <w:pStyle w:val="PwCNormal"/>
        <w:spacing w:after="0"/>
        <w:rPr>
          <w:sz w:val="16"/>
        </w:rPr>
      </w:pPr>
      <w:r w:rsidRPr="0081233E">
        <w:rPr>
          <w:sz w:val="16"/>
        </w:rPr>
        <w:t>(b) Separations shown are strata weighted</w:t>
      </w:r>
    </w:p>
    <w:p w:rsidR="00292B95" w:rsidRDefault="0081233E" w:rsidP="0081233E">
      <w:pPr>
        <w:pStyle w:val="PwCNormal"/>
        <w:spacing w:after="0"/>
        <w:rPr>
          <w:sz w:val="16"/>
        </w:rPr>
      </w:pPr>
      <w:r w:rsidRPr="0081233E">
        <w:rPr>
          <w:sz w:val="16"/>
        </w:rPr>
        <w:t>(e</w:t>
      </w:r>
      <w:r w:rsidR="00ED2883" w:rsidRPr="0081233E">
        <w:rPr>
          <w:sz w:val="16"/>
        </w:rPr>
        <w:t xml:space="preserve">) </w:t>
      </w:r>
      <w:r w:rsidRPr="0081233E">
        <w:rPr>
          <w:sz w:val="16"/>
        </w:rPr>
        <w:t>ALOS means average length of stay</w:t>
      </w:r>
    </w:p>
    <w:p w:rsidR="00B46E1A" w:rsidRDefault="00D502C6" w:rsidP="00F34CFF">
      <w:pPr>
        <w:pStyle w:val="PwCNormal"/>
        <w:rPr>
          <w:noProof/>
          <w:snapToGrid/>
          <w:lang w:eastAsia="en-AU"/>
        </w:rPr>
      </w:pPr>
      <w:r>
        <w:lastRenderedPageBreak/>
        <w:fldChar w:fldCharType="begin"/>
      </w:r>
      <w:r w:rsidR="00974A21">
        <w:instrText xml:space="preserve"> REF _Ref355173715 \h </w:instrText>
      </w:r>
      <w:r>
        <w:fldChar w:fldCharType="separate"/>
      </w:r>
      <w:r w:rsidR="00953F50">
        <w:t xml:space="preserve">Figure </w:t>
      </w:r>
      <w:r w:rsidR="00953F50">
        <w:rPr>
          <w:noProof/>
        </w:rPr>
        <w:t>1</w:t>
      </w:r>
      <w:r>
        <w:fldChar w:fldCharType="end"/>
      </w:r>
      <w:r w:rsidR="00B46E1A">
        <w:t xml:space="preserve"> below shows that the top 20 cost-weight DRGs are very low in volume, representing only 0.</w:t>
      </w:r>
      <w:r w:rsidR="00D20C01">
        <w:t>4</w:t>
      </w:r>
      <w:r w:rsidR="00B46E1A">
        <w:t>% of separations in 2011/</w:t>
      </w:r>
      <w:proofErr w:type="gramStart"/>
      <w:r w:rsidR="00B46E1A">
        <w:t>12,</w:t>
      </w:r>
      <w:proofErr w:type="gramEnd"/>
      <w:r w:rsidR="00B46E1A">
        <w:t xml:space="preserve"> however they represent </w:t>
      </w:r>
      <w:r w:rsidR="001A1F9E">
        <w:t>5.9%</w:t>
      </w:r>
      <w:r w:rsidR="00B46E1A">
        <w:t xml:space="preserve"> of hospital resources, as measured by the statistic “cost-weighted separations”.</w:t>
      </w:r>
    </w:p>
    <w:p w:rsidR="00B46E1A" w:rsidRPr="006A52AA" w:rsidRDefault="002B547E" w:rsidP="00B46E1A">
      <w:pPr>
        <w:pStyle w:val="Caption"/>
      </w:pPr>
      <w:bookmarkStart w:id="71" w:name="_Ref355173715"/>
      <w:r>
        <w:t xml:space="preserve">Figure </w:t>
      </w:r>
      <w:r w:rsidR="00D502C6" w:rsidRPr="006A52AA">
        <w:fldChar w:fldCharType="begin"/>
      </w:r>
      <w:r>
        <w:instrText xml:space="preserve"> SEQ Figure \* ARABIC </w:instrText>
      </w:r>
      <w:r w:rsidR="00D502C6" w:rsidRPr="006A52AA">
        <w:fldChar w:fldCharType="separate"/>
      </w:r>
      <w:r w:rsidR="00953F50">
        <w:rPr>
          <w:noProof/>
        </w:rPr>
        <w:t>1</w:t>
      </w:r>
      <w:r w:rsidR="00D502C6" w:rsidRPr="006A52AA">
        <w:fldChar w:fldCharType="end"/>
      </w:r>
      <w:bookmarkEnd w:id="71"/>
      <w:r>
        <w:tab/>
        <w:t>Twenty highest cost-weight AR-DRGs</w:t>
      </w:r>
    </w:p>
    <w:p w:rsidR="00B46E1A" w:rsidRPr="006A52AA" w:rsidRDefault="00E7642F" w:rsidP="00B46E1A">
      <w:pPr>
        <w:pStyle w:val="PwCNormal"/>
      </w:pPr>
      <w:r w:rsidRPr="006A52AA">
        <w:rPr>
          <w:noProof/>
          <w:lang w:eastAsia="en-AU"/>
        </w:rPr>
        <w:drawing>
          <wp:inline distT="0" distB="0" distL="0" distR="0" wp14:anchorId="55D8F5E6" wp14:editId="7F5E4E1F">
            <wp:extent cx="4278630" cy="2233930"/>
            <wp:effectExtent l="19050" t="0" r="7620" b="0"/>
            <wp:docPr id="25" name="Picture 1" descr="Figure 1 highlights that the top 20 cost-weight DRGs are very low in volume, representing only 0.4% of separations in 2011/12, however they represent 5.9% of hospital resources, as measured by the statistic cost-weighted sepa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278630" cy="2233930"/>
                    </a:xfrm>
                    <a:prstGeom prst="rect">
                      <a:avLst/>
                    </a:prstGeom>
                    <a:noFill/>
                    <a:ln w="9525">
                      <a:noFill/>
                      <a:miter lim="800000"/>
                      <a:headEnd/>
                      <a:tailEnd/>
                    </a:ln>
                  </pic:spPr>
                </pic:pic>
              </a:graphicData>
            </a:graphic>
          </wp:inline>
        </w:drawing>
      </w:r>
    </w:p>
    <w:p w:rsidR="004E202D" w:rsidRPr="006A52AA" w:rsidRDefault="004E202D" w:rsidP="00B46E1A">
      <w:pPr>
        <w:pStyle w:val="PwCNormal"/>
        <w:rPr>
          <w:noProof/>
          <w:snapToGrid/>
          <w:lang w:eastAsia="en-AU"/>
        </w:rPr>
      </w:pPr>
    </w:p>
    <w:p w:rsidR="00F34CFF" w:rsidRDefault="00AB1EF2" w:rsidP="00F34CFF">
      <w:pPr>
        <w:pStyle w:val="PwCNormal"/>
      </w:pPr>
      <w:r>
        <w:fldChar w:fldCharType="begin"/>
      </w:r>
      <w:r>
        <w:instrText xml:space="preserve"> REF _Ref355173106 \h  \* MERGEFORMAT </w:instrText>
      </w:r>
      <w:r>
        <w:fldChar w:fldCharType="separate"/>
      </w:r>
      <w:r w:rsidR="00953F50" w:rsidRPr="004B3D08">
        <w:t xml:space="preserve">Figure </w:t>
      </w:r>
      <w:r w:rsidR="00953F50">
        <w:t>2</w:t>
      </w:r>
      <w:r>
        <w:fldChar w:fldCharType="end"/>
      </w:r>
      <w:r w:rsidR="002B547E">
        <w:t xml:space="preserve"> on the following page highlights the cost-weights of these twenty DRGs and plots them relative to the cost weight of all other DRGs, illustrating the significant difference in cost-weight for these DRGs:</w:t>
      </w:r>
    </w:p>
    <w:p w:rsidR="00B46E1A" w:rsidRPr="00D20C01" w:rsidRDefault="00700626" w:rsidP="00F34CFF">
      <w:pPr>
        <w:pStyle w:val="PwCNormal"/>
        <w:rPr>
          <w:highlight w:val="lightGray"/>
        </w:rPr>
      </w:pPr>
      <w:r w:rsidRPr="00700626">
        <w:rPr>
          <w:highlight w:val="lightGray"/>
        </w:rPr>
        <w:br w:type="page"/>
      </w:r>
    </w:p>
    <w:p w:rsidR="00EE4429" w:rsidRPr="004B3D08" w:rsidRDefault="007039A8" w:rsidP="00EE4429">
      <w:pPr>
        <w:pStyle w:val="Caption"/>
      </w:pPr>
      <w:bookmarkStart w:id="72" w:name="_Ref355173106"/>
      <w:r w:rsidRPr="004B3D08">
        <w:lastRenderedPageBreak/>
        <w:t xml:space="preserve">Figure </w:t>
      </w:r>
      <w:r w:rsidR="00D502C6" w:rsidRPr="004B3D08">
        <w:fldChar w:fldCharType="begin"/>
      </w:r>
      <w:r w:rsidR="00A4645C">
        <w:instrText xml:space="preserve"> SEQ Figure \* ARABIC </w:instrText>
      </w:r>
      <w:r w:rsidR="00D502C6" w:rsidRPr="004B3D08">
        <w:fldChar w:fldCharType="separate"/>
      </w:r>
      <w:r w:rsidR="00953F50">
        <w:rPr>
          <w:noProof/>
        </w:rPr>
        <w:t>2</w:t>
      </w:r>
      <w:r w:rsidR="00D502C6" w:rsidRPr="004B3D08">
        <w:fldChar w:fldCharType="end"/>
      </w:r>
      <w:bookmarkEnd w:id="69"/>
      <w:bookmarkEnd w:id="72"/>
      <w:r w:rsidR="00A4645C">
        <w:tab/>
        <w:t>Twenty highest cost-weight AR-DRGs – plot of cost weight versus number of separations</w:t>
      </w:r>
    </w:p>
    <w:p w:rsidR="00EE4429" w:rsidRDefault="005C47FB" w:rsidP="00EE4429">
      <w:r w:rsidRPr="005C47FB">
        <w:rPr>
          <w:noProof/>
          <w:lang w:eastAsia="en-AU"/>
        </w:rPr>
        <w:drawing>
          <wp:inline distT="0" distB="0" distL="0" distR="0" wp14:anchorId="5FE7E5BC" wp14:editId="5E653B7B">
            <wp:extent cx="7738110" cy="4882515"/>
            <wp:effectExtent l="0" t="0" r="0" b="0"/>
            <wp:docPr id="73" name="Picture 8" descr="Figure 2 highlights the cost-weights of the top twenty DRGs and plots them relative to the cost weight of all other DRGs, illustrating the significant difference in cost-weight for these DRGs:  The cost-weights of these DRGs ranges from 10.19 to 54.94, relative to a baseline of 1.0. &#10;&#10;The DRG with the highest cost-weight is Tracheostomy with Ventilation &gt;95 Hours with Catastrophic Cc. Other top twenty DRGs which are highlighted are, in cost order, Ecmo, Ventilation &gt;95 Hours without Catastrophic Cc, Implantation Or Replacement of Aicd, Total System without Catastrophic Cc, and Cardiac Valve Proc W Cpb Pump without Invasive Cardiac Inves with Catastrophic Cc.&#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7738110" cy="4882515"/>
                    </a:xfrm>
                    <a:prstGeom prst="rect">
                      <a:avLst/>
                    </a:prstGeom>
                    <a:noFill/>
                    <a:ln w="9525">
                      <a:noFill/>
                      <a:miter lim="800000"/>
                      <a:headEnd/>
                      <a:tailEnd/>
                    </a:ln>
                  </pic:spPr>
                </pic:pic>
              </a:graphicData>
            </a:graphic>
          </wp:inline>
        </w:drawing>
      </w:r>
    </w:p>
    <w:p w:rsidR="00EE4429" w:rsidRDefault="00EE4429" w:rsidP="00F34CFF">
      <w:pPr>
        <w:pStyle w:val="PwCNormal"/>
      </w:pPr>
      <w:r>
        <w:br w:type="page"/>
      </w:r>
    </w:p>
    <w:p w:rsidR="00B46E1A" w:rsidRDefault="00B46E1A" w:rsidP="00292B95">
      <w:pPr>
        <w:pStyle w:val="Heading3"/>
        <w:rPr>
          <w:noProof/>
          <w:snapToGrid/>
          <w:lang w:eastAsia="en-AU"/>
        </w:rPr>
      </w:pPr>
      <w:r>
        <w:rPr>
          <w:noProof/>
          <w:snapToGrid/>
          <w:lang w:eastAsia="en-AU"/>
        </w:rPr>
        <w:lastRenderedPageBreak/>
        <w:t>The twenty DRGs with the highest number of separations in 2011/12</w:t>
      </w:r>
    </w:p>
    <w:p w:rsidR="00C32A7C" w:rsidRDefault="004E202D" w:rsidP="00F34CFF">
      <w:pPr>
        <w:pStyle w:val="PwCNormal"/>
        <w:rPr>
          <w:noProof/>
          <w:snapToGrid/>
          <w:lang w:eastAsia="en-AU"/>
        </w:rPr>
      </w:pPr>
      <w:r>
        <w:rPr>
          <w:lang w:eastAsia="en-AU"/>
        </w:rPr>
        <w:t xml:space="preserve">This table shows the 20 DRGs that had the highest number of separations in 2011/12. </w:t>
      </w:r>
      <w:r w:rsidR="00B46E1A" w:rsidRPr="00293D3F">
        <w:rPr>
          <w:lang w:eastAsia="en-AU"/>
        </w:rPr>
        <w:t xml:space="preserve">The top 20 frequency DRGs represent </w:t>
      </w:r>
      <w:r w:rsidR="00B46E1A">
        <w:rPr>
          <w:lang w:eastAsia="en-AU"/>
        </w:rPr>
        <w:t xml:space="preserve">44% </w:t>
      </w:r>
      <w:r>
        <w:rPr>
          <w:lang w:eastAsia="en-AU"/>
        </w:rPr>
        <w:t xml:space="preserve">of </w:t>
      </w:r>
      <w:r w:rsidR="00B46E1A" w:rsidRPr="00293D3F">
        <w:rPr>
          <w:lang w:eastAsia="en-AU"/>
        </w:rPr>
        <w:t>separations in 2011/12</w:t>
      </w:r>
      <w:r w:rsidR="00B46E1A">
        <w:rPr>
          <w:lang w:eastAsia="en-AU"/>
        </w:rPr>
        <w:t xml:space="preserve">. </w:t>
      </w:r>
      <w:r w:rsidR="00C32A7C">
        <w:rPr>
          <w:noProof/>
          <w:snapToGrid/>
          <w:lang w:eastAsia="en-AU"/>
        </w:rPr>
        <w:t>The list of DRG</w:t>
      </w:r>
      <w:r>
        <w:rPr>
          <w:noProof/>
          <w:snapToGrid/>
          <w:lang w:eastAsia="en-AU"/>
        </w:rPr>
        <w:t>s</w:t>
      </w:r>
      <w:r w:rsidR="00C32A7C">
        <w:rPr>
          <w:noProof/>
          <w:snapToGrid/>
          <w:lang w:eastAsia="en-AU"/>
        </w:rPr>
        <w:t xml:space="preserve"> is provided on the following table:</w:t>
      </w:r>
    </w:p>
    <w:p w:rsidR="00C32A7C" w:rsidRPr="00F34CFF" w:rsidRDefault="00C32A7C" w:rsidP="00F34CFF">
      <w:pPr>
        <w:pStyle w:val="Caption"/>
      </w:pPr>
      <w:r w:rsidRPr="00F34CFF">
        <w:t xml:space="preserve">Table </w:t>
      </w:r>
      <w:r w:rsidR="00D502C6" w:rsidRPr="00F34CFF">
        <w:fldChar w:fldCharType="begin"/>
      </w:r>
      <w:r w:rsidRPr="00F34CFF">
        <w:instrText xml:space="preserve"> SEQ Table \* ARABIC </w:instrText>
      </w:r>
      <w:r w:rsidR="00D502C6" w:rsidRPr="00F34CFF">
        <w:fldChar w:fldCharType="separate"/>
      </w:r>
      <w:r w:rsidR="00953F50" w:rsidRPr="00F34CFF">
        <w:t>6</w:t>
      </w:r>
      <w:r w:rsidR="00D502C6" w:rsidRPr="00F34CFF">
        <w:fldChar w:fldCharType="end"/>
      </w:r>
      <w:r w:rsidRPr="00F34CFF">
        <w:tab/>
        <w:t xml:space="preserve">Twenty highest volume (number of separations) DRGs, AR-DRG </w:t>
      </w:r>
      <w:proofErr w:type="spellStart"/>
      <w:r w:rsidRPr="00F34CFF">
        <w:t>6.0x</w:t>
      </w:r>
      <w:proofErr w:type="spellEnd"/>
      <w:r w:rsidRPr="00F34CFF">
        <w:t>, Round 16 (2011/12)</w:t>
      </w:r>
    </w:p>
    <w:tbl>
      <w:tblPr>
        <w:tblW w:w="14647" w:type="dxa"/>
        <w:tblCellMar>
          <w:left w:w="0" w:type="dxa"/>
          <w:right w:w="0" w:type="dxa"/>
        </w:tblCellMar>
        <w:tblLook w:val="04A0" w:firstRow="1" w:lastRow="0" w:firstColumn="1" w:lastColumn="0" w:noHBand="0" w:noVBand="1"/>
      </w:tblPr>
      <w:tblGrid>
        <w:gridCol w:w="581"/>
        <w:gridCol w:w="709"/>
        <w:gridCol w:w="4820"/>
        <w:gridCol w:w="567"/>
        <w:gridCol w:w="1053"/>
        <w:gridCol w:w="1143"/>
        <w:gridCol w:w="1082"/>
        <w:gridCol w:w="1028"/>
        <w:gridCol w:w="993"/>
        <w:gridCol w:w="2671"/>
      </w:tblGrid>
      <w:tr w:rsidR="005748D8" w:rsidRPr="0076167C" w:rsidTr="0076167C">
        <w:trPr>
          <w:trHeight w:val="238"/>
        </w:trPr>
        <w:tc>
          <w:tcPr>
            <w:tcW w:w="581"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DRG</w:t>
            </w:r>
          </w:p>
        </w:tc>
        <w:tc>
          <w:tcPr>
            <w:tcW w:w="709"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rPr>
                <w:rFonts w:asciiTheme="minorHAnsi" w:hAnsiTheme="minorHAnsi" w:cstheme="minorHAnsi"/>
                <w:b/>
                <w:bCs/>
                <w:color w:val="A32020"/>
                <w:sz w:val="16"/>
                <w:szCs w:val="16"/>
              </w:rPr>
            </w:pPr>
          </w:p>
        </w:tc>
        <w:tc>
          <w:tcPr>
            <w:tcW w:w="4820"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Description</w:t>
            </w:r>
          </w:p>
        </w:tc>
        <w:tc>
          <w:tcPr>
            <w:tcW w:w="567"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Cost Weight </w:t>
            </w:r>
            <w:r w:rsidRPr="0076167C">
              <w:rPr>
                <w:rFonts w:asciiTheme="minorHAnsi" w:hAnsiTheme="minorHAnsi" w:cstheme="minorHAnsi"/>
                <w:bCs/>
                <w:color w:val="A32020"/>
                <w:sz w:val="16"/>
                <w:szCs w:val="16"/>
              </w:rPr>
              <w:t>(a)</w:t>
            </w:r>
          </w:p>
        </w:tc>
        <w:tc>
          <w:tcPr>
            <w:tcW w:w="1053"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Separations </w:t>
            </w:r>
            <w:r w:rsidRPr="0076167C">
              <w:rPr>
                <w:rFonts w:asciiTheme="minorHAnsi" w:hAnsiTheme="minorHAnsi" w:cstheme="minorHAnsi"/>
                <w:color w:val="A32020"/>
                <w:sz w:val="16"/>
                <w:szCs w:val="16"/>
              </w:rPr>
              <w:t>(b)</w:t>
            </w:r>
          </w:p>
        </w:tc>
        <w:tc>
          <w:tcPr>
            <w:tcW w:w="1143"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Cost Weighted Separations </w:t>
            </w:r>
            <w:r w:rsidRPr="0076167C">
              <w:rPr>
                <w:rFonts w:asciiTheme="minorHAnsi" w:hAnsiTheme="minorHAnsi" w:cstheme="minorHAnsi"/>
                <w:color w:val="A32020"/>
                <w:sz w:val="16"/>
                <w:szCs w:val="16"/>
              </w:rPr>
              <w:t>(c)=(a)x(b)</w:t>
            </w:r>
          </w:p>
        </w:tc>
        <w:tc>
          <w:tcPr>
            <w:tcW w:w="1082" w:type="dxa"/>
            <w:tcBorders>
              <w:top w:val="single" w:sz="8" w:space="0" w:color="A32020" w:themeColor="accent1"/>
              <w:left w:val="nil"/>
              <w:bottom w:val="single" w:sz="8" w:space="0" w:color="A32020" w:themeColor="accent1"/>
              <w:right w:val="nil"/>
            </w:tcBorders>
            <w:shd w:val="clear" w:color="auto" w:fill="auto"/>
            <w:tcMar>
              <w:top w:w="14" w:type="dxa"/>
              <w:left w:w="14" w:type="dxa"/>
              <w:bottom w:w="0" w:type="dxa"/>
              <w:right w:w="14" w:type="dxa"/>
            </w:tcMar>
            <w:vAlign w:val="bottom"/>
            <w:hideMark/>
          </w:tcPr>
          <w:p w:rsidR="005748D8" w:rsidRPr="0076167C" w:rsidRDefault="005748D8" w:rsidP="00382AC6">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Number of Days </w:t>
            </w:r>
            <w:r w:rsidRPr="0076167C">
              <w:rPr>
                <w:rFonts w:asciiTheme="minorHAnsi" w:hAnsiTheme="minorHAnsi" w:cstheme="minorHAnsi"/>
                <w:color w:val="A32020"/>
                <w:sz w:val="16"/>
                <w:szCs w:val="16"/>
              </w:rPr>
              <w:t>(d)</w:t>
            </w:r>
          </w:p>
        </w:tc>
        <w:tc>
          <w:tcPr>
            <w:tcW w:w="1028"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382AC6">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ALOS (days) </w:t>
            </w:r>
            <w:r w:rsidRPr="0076167C">
              <w:rPr>
                <w:rFonts w:asciiTheme="minorHAnsi" w:hAnsiTheme="minorHAnsi" w:cstheme="minorHAnsi"/>
                <w:color w:val="A32020"/>
                <w:sz w:val="16"/>
                <w:szCs w:val="16"/>
              </w:rPr>
              <w:t>(e)=(d)/(b)</w:t>
            </w:r>
          </w:p>
        </w:tc>
        <w:tc>
          <w:tcPr>
            <w:tcW w:w="993" w:type="dxa"/>
            <w:tcBorders>
              <w:top w:val="single" w:sz="8" w:space="0" w:color="A32020" w:themeColor="accent1"/>
              <w:left w:val="nil"/>
              <w:bottom w:val="single" w:sz="8" w:space="0" w:color="A32020" w:themeColor="accent1"/>
              <w:right w:val="nil"/>
            </w:tcBorders>
            <w:vAlign w:val="bottom"/>
          </w:tcPr>
          <w:p w:rsidR="005748D8" w:rsidRPr="0076167C" w:rsidRDefault="005748D8" w:rsidP="007069D4">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Std Error</w:t>
            </w:r>
          </w:p>
        </w:tc>
        <w:tc>
          <w:tcPr>
            <w:tcW w:w="2671"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5748D8" w:rsidRPr="0076167C" w:rsidRDefault="005748D8" w:rsidP="005748D8">
            <w:pPr>
              <w:jc w:val="cente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Comments</w:t>
            </w: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7069D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R63Z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Chemotherapy</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0.20</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192,612</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37,713</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192,650</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val="restart"/>
            <w:tcBorders>
              <w:top w:val="nil"/>
              <w:left w:val="nil"/>
              <w:right w:val="nil"/>
            </w:tcBorders>
            <w:shd w:val="clear" w:color="auto" w:fill="auto"/>
            <w:noWrap/>
            <w:vAlign w:val="bottom"/>
            <w:hideMark/>
          </w:tcPr>
          <w:p w:rsidR="005748D8" w:rsidRPr="0076167C" w:rsidRDefault="005748D8" w:rsidP="007069D4">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i</w:t>
            </w:r>
            <w:proofErr w:type="spellEnd"/>
            <w:r w:rsidRPr="0076167C">
              <w:rPr>
                <w:rFonts w:asciiTheme="minorHAnsi" w:hAnsiTheme="minorHAnsi" w:cstheme="minorHAnsi"/>
                <w:snapToGrid/>
                <w:color w:val="000000"/>
                <w:sz w:val="16"/>
                <w:szCs w:val="16"/>
                <w:lang w:eastAsia="en-AU"/>
              </w:rPr>
              <w:t>) These DRGs have a lower cost weight, which means that for an individual episode of care, they consume lower resources than the average across all DRGs. The average cost weight for this group is 0.40.</w:t>
            </w: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G48C</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Colonoscopy, </w:t>
            </w:r>
            <w:proofErr w:type="spellStart"/>
            <w:r w:rsidRPr="0076167C">
              <w:rPr>
                <w:rFonts w:asciiTheme="minorHAnsi" w:hAnsiTheme="minorHAnsi" w:cstheme="minorHAnsi"/>
                <w:snapToGrid/>
                <w:color w:val="000000"/>
                <w:sz w:val="16"/>
                <w:szCs w:val="16"/>
                <w:lang w:eastAsia="en-AU"/>
              </w:rPr>
              <w:t>Sameday</w:t>
            </w:r>
            <w:proofErr w:type="spellEnd"/>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0.18</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112,418</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20,521</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112,356</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tcBorders>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L61Z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Haemodialysis</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0.18</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89,758</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16,093</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89,766</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tcBorders>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Z40Z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Endoscopy W Diagnoses Of Other Contacts W Health Services, </w:t>
            </w:r>
            <w:proofErr w:type="spellStart"/>
            <w:r w:rsidRPr="0076167C">
              <w:rPr>
                <w:rFonts w:asciiTheme="minorHAnsi" w:hAnsiTheme="minorHAnsi" w:cstheme="minorHAnsi"/>
                <w:snapToGrid/>
                <w:color w:val="000000"/>
                <w:sz w:val="16"/>
                <w:szCs w:val="16"/>
                <w:lang w:eastAsia="en-AU"/>
              </w:rPr>
              <w:t>Sameday</w:t>
            </w:r>
            <w:proofErr w:type="spellEnd"/>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0.18</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76,071</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13,527</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76,039</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tcBorders>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G46C</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Complex Gastroscopy, </w:t>
            </w:r>
            <w:proofErr w:type="spellStart"/>
            <w:r w:rsidRPr="0076167C">
              <w:rPr>
                <w:rFonts w:asciiTheme="minorHAnsi" w:hAnsiTheme="minorHAnsi" w:cstheme="minorHAnsi"/>
                <w:snapToGrid/>
                <w:color w:val="000000"/>
                <w:sz w:val="16"/>
                <w:szCs w:val="16"/>
                <w:lang w:eastAsia="en-AU"/>
              </w:rPr>
              <w:t>Sameday</w:t>
            </w:r>
            <w:proofErr w:type="spellEnd"/>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0.26</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69,784</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17,848</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69,736</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tcBorders>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G47C</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Gastroscopy, </w:t>
            </w:r>
            <w:proofErr w:type="spellStart"/>
            <w:r w:rsidRPr="0076167C">
              <w:rPr>
                <w:rFonts w:asciiTheme="minorHAnsi" w:hAnsiTheme="minorHAnsi" w:cstheme="minorHAnsi"/>
                <w:snapToGrid/>
                <w:color w:val="000000"/>
                <w:sz w:val="16"/>
                <w:szCs w:val="16"/>
                <w:lang w:eastAsia="en-AU"/>
              </w:rPr>
              <w:t>Sameday</w:t>
            </w:r>
            <w:proofErr w:type="spellEnd"/>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0.19</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66,092</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12,426</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66,059</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Z64B</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Factors Influencing Health Status, </w:t>
            </w:r>
            <w:proofErr w:type="spellStart"/>
            <w:r w:rsidRPr="0076167C">
              <w:rPr>
                <w:rFonts w:asciiTheme="minorHAnsi" w:hAnsiTheme="minorHAnsi" w:cstheme="minorHAnsi"/>
                <w:snapToGrid/>
                <w:color w:val="000000"/>
                <w:sz w:val="16"/>
                <w:szCs w:val="16"/>
                <w:lang w:eastAsia="en-AU"/>
              </w:rPr>
              <w:t>Sameday</w:t>
            </w:r>
            <w:proofErr w:type="spellEnd"/>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0.15</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65,766</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9,817</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65,761</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I18Z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Other Knee Procedures</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0.58</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62,946</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36,427</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70,002</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val="restart"/>
            <w:tcBorders>
              <w:top w:val="nil"/>
              <w:left w:val="nil"/>
              <w:right w:val="nil"/>
            </w:tcBorders>
            <w:shd w:val="clear" w:color="auto" w:fill="auto"/>
            <w:noWrap/>
            <w:vAlign w:val="bottom"/>
            <w:hideMark/>
          </w:tcPr>
          <w:p w:rsidR="005748D8" w:rsidRPr="0076167C" w:rsidRDefault="005748D8" w:rsidP="007069D4">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ii)These DRGs have a lower average length of stay than the overall average across all DRGs.</w:t>
            </w: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D40Z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Dental Extractions And Restorations</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0.38</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60,903</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23,332</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61,197</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tcBorders>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C16Z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Lens Procedures</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0.45</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49,440</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22,274</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49,789</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J11Z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Other Skin, Subcutaneous Tissue And Breast Procedures</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0.35</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42,357</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14,658</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46,436</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G10B</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Hernia Procedures W/O Cc</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0.83</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38,188</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31,535</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49,845</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val="restart"/>
            <w:tcBorders>
              <w:top w:val="nil"/>
              <w:left w:val="nil"/>
              <w:right w:val="nil"/>
            </w:tcBorders>
            <w:shd w:val="clear" w:color="auto" w:fill="auto"/>
            <w:noWrap/>
            <w:vAlign w:val="bottom"/>
            <w:hideMark/>
          </w:tcPr>
          <w:p w:rsidR="005748D8" w:rsidRPr="0076167C" w:rsidRDefault="005748D8" w:rsidP="005748D8">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iii</w:t>
            </w:r>
            <w:proofErr w:type="gramStart"/>
            <w:r w:rsidRPr="0076167C">
              <w:rPr>
                <w:rFonts w:asciiTheme="minorHAnsi" w:hAnsiTheme="minorHAnsi" w:cstheme="minorHAnsi"/>
                <w:snapToGrid/>
                <w:color w:val="000000"/>
                <w:sz w:val="16"/>
                <w:szCs w:val="16"/>
                <w:lang w:eastAsia="en-AU"/>
              </w:rPr>
              <w:t>)The</w:t>
            </w:r>
            <w:proofErr w:type="gramEnd"/>
            <w:r w:rsidRPr="0076167C">
              <w:rPr>
                <w:rFonts w:asciiTheme="minorHAnsi" w:hAnsiTheme="minorHAnsi" w:cstheme="minorHAnsi"/>
                <w:snapToGrid/>
                <w:color w:val="000000"/>
                <w:sz w:val="16"/>
                <w:szCs w:val="16"/>
                <w:lang w:eastAsia="en-AU"/>
              </w:rPr>
              <w:t xml:space="preserve"> ranking of the highest volume DRGs has remained relatively stable between Round 13 and Round 16.</w:t>
            </w: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E63Z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Sleep Apnoea</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0.27</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36,790</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9,871</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37,051</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vMerge/>
            <w:tcBorders>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O60B</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Vaginal Delivery W/O Catastrophic Or Severe Cc</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1.34</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36,425</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48,819</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150,076</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4.1</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0.01</w:t>
            </w:r>
          </w:p>
        </w:tc>
        <w:tc>
          <w:tcPr>
            <w:tcW w:w="2671" w:type="dxa"/>
            <w:vMerge/>
            <w:tcBorders>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I16Z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Other Shoulder Procedures</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1.37</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36,362</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49,859</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47,047</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U60Z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Mental Health Treatment, </w:t>
            </w:r>
            <w:proofErr w:type="spellStart"/>
            <w:r w:rsidRPr="0076167C">
              <w:rPr>
                <w:rFonts w:asciiTheme="minorHAnsi" w:hAnsiTheme="minorHAnsi" w:cstheme="minorHAnsi"/>
                <w:snapToGrid/>
                <w:color w:val="000000"/>
                <w:sz w:val="16"/>
                <w:szCs w:val="16"/>
                <w:lang w:eastAsia="en-AU"/>
              </w:rPr>
              <w:t>Sameday</w:t>
            </w:r>
            <w:proofErr w:type="spellEnd"/>
            <w:r w:rsidRPr="0076167C">
              <w:rPr>
                <w:rFonts w:asciiTheme="minorHAnsi" w:hAnsiTheme="minorHAnsi" w:cstheme="minorHAnsi"/>
                <w:snapToGrid/>
                <w:color w:val="000000"/>
                <w:sz w:val="16"/>
                <w:szCs w:val="16"/>
                <w:lang w:eastAsia="en-AU"/>
              </w:rPr>
              <w:t xml:space="preserve">, W/O </w:t>
            </w:r>
            <w:proofErr w:type="spellStart"/>
            <w:r w:rsidRPr="0076167C">
              <w:rPr>
                <w:rFonts w:asciiTheme="minorHAnsi" w:hAnsiTheme="minorHAnsi" w:cstheme="minorHAnsi"/>
                <w:snapToGrid/>
                <w:color w:val="000000"/>
                <w:sz w:val="16"/>
                <w:szCs w:val="16"/>
                <w:lang w:eastAsia="en-AU"/>
              </w:rPr>
              <w:t>Ect</w:t>
            </w:r>
            <w:proofErr w:type="spellEnd"/>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0.22</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34,504</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7,616</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34,555</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38"/>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O01C</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Caesarean Delivery W/O Catastrophic Or Severe Cc</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1.89</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33,837</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63,904</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168,411</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w:t>
            </w:r>
          </w:p>
        </w:tc>
        <w:tc>
          <w:tcPr>
            <w:tcW w:w="709"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N07Z</w:t>
            </w:r>
          </w:p>
        </w:tc>
        <w:tc>
          <w:tcPr>
            <w:tcW w:w="4820"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Other Uterine And Adnexa Procedures For Non-Malignancy</w:t>
            </w:r>
          </w:p>
        </w:tc>
        <w:tc>
          <w:tcPr>
            <w:tcW w:w="567"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0.57</w:t>
            </w:r>
          </w:p>
        </w:tc>
        <w:tc>
          <w:tcPr>
            <w:tcW w:w="105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32,386</w:t>
            </w:r>
          </w:p>
        </w:tc>
        <w:tc>
          <w:tcPr>
            <w:tcW w:w="1143"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18,493</w:t>
            </w:r>
          </w:p>
        </w:tc>
        <w:tc>
          <w:tcPr>
            <w:tcW w:w="1082"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36,797</w:t>
            </w:r>
          </w:p>
        </w:tc>
        <w:tc>
          <w:tcPr>
            <w:tcW w:w="1028"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993" w:type="dxa"/>
            <w:tcBorders>
              <w:top w:val="nil"/>
              <w:left w:val="nil"/>
              <w:bottom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w:t>
            </w:r>
          </w:p>
        </w:tc>
        <w:tc>
          <w:tcPr>
            <w:tcW w:w="709"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L41Z</w:t>
            </w:r>
          </w:p>
        </w:tc>
        <w:tc>
          <w:tcPr>
            <w:tcW w:w="4820"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Cystourethroscopy</w:t>
            </w:r>
            <w:proofErr w:type="spellEnd"/>
            <w:r w:rsidRPr="0076167C">
              <w:rPr>
                <w:rFonts w:asciiTheme="minorHAnsi" w:hAnsiTheme="minorHAnsi" w:cstheme="minorHAnsi"/>
                <w:snapToGrid/>
                <w:color w:val="000000"/>
                <w:sz w:val="16"/>
                <w:szCs w:val="16"/>
                <w:lang w:eastAsia="en-AU"/>
              </w:rPr>
              <w:t xml:space="preserve">, </w:t>
            </w:r>
            <w:proofErr w:type="spellStart"/>
            <w:r w:rsidRPr="0076167C">
              <w:rPr>
                <w:rFonts w:asciiTheme="minorHAnsi" w:hAnsiTheme="minorHAnsi" w:cstheme="minorHAnsi"/>
                <w:snapToGrid/>
                <w:color w:val="000000"/>
                <w:sz w:val="16"/>
                <w:szCs w:val="16"/>
                <w:lang w:eastAsia="en-AU"/>
              </w:rPr>
              <w:t>Sameday</w:t>
            </w:r>
            <w:proofErr w:type="spellEnd"/>
          </w:p>
        </w:tc>
        <w:tc>
          <w:tcPr>
            <w:tcW w:w="567"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0.20</w:t>
            </w:r>
          </w:p>
        </w:tc>
        <w:tc>
          <w:tcPr>
            <w:tcW w:w="1053"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32,125</w:t>
            </w:r>
          </w:p>
        </w:tc>
        <w:tc>
          <w:tcPr>
            <w:tcW w:w="1143"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6,278</w:t>
            </w:r>
          </w:p>
        </w:tc>
        <w:tc>
          <w:tcPr>
            <w:tcW w:w="1082"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32,124</w:t>
            </w:r>
          </w:p>
        </w:tc>
        <w:tc>
          <w:tcPr>
            <w:tcW w:w="1028" w:type="dxa"/>
            <w:tcBorders>
              <w:top w:val="nil"/>
              <w:left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993" w:type="dxa"/>
            <w:tcBorders>
              <w:top w:val="nil"/>
              <w:left w:val="nil"/>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76167C">
        <w:tblPrEx>
          <w:tblCellMar>
            <w:left w:w="108" w:type="dxa"/>
            <w:right w:w="108" w:type="dxa"/>
          </w:tblCellMar>
        </w:tblPrEx>
        <w:trPr>
          <w:trHeight w:val="253"/>
        </w:trPr>
        <w:tc>
          <w:tcPr>
            <w:tcW w:w="581"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1E5CE4">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w:t>
            </w:r>
          </w:p>
        </w:tc>
        <w:tc>
          <w:tcPr>
            <w:tcW w:w="709"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G11Z</w:t>
            </w:r>
          </w:p>
        </w:tc>
        <w:tc>
          <w:tcPr>
            <w:tcW w:w="4820"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Anal And </w:t>
            </w:r>
            <w:proofErr w:type="spellStart"/>
            <w:r w:rsidRPr="0076167C">
              <w:rPr>
                <w:rFonts w:asciiTheme="minorHAnsi" w:hAnsiTheme="minorHAnsi" w:cstheme="minorHAnsi"/>
                <w:snapToGrid/>
                <w:color w:val="000000"/>
                <w:sz w:val="16"/>
                <w:szCs w:val="16"/>
                <w:lang w:eastAsia="en-AU"/>
              </w:rPr>
              <w:t>Stomal</w:t>
            </w:r>
            <w:proofErr w:type="spellEnd"/>
            <w:r w:rsidRPr="0076167C">
              <w:rPr>
                <w:rFonts w:asciiTheme="minorHAnsi" w:hAnsiTheme="minorHAnsi" w:cstheme="minorHAnsi"/>
                <w:snapToGrid/>
                <w:color w:val="000000"/>
                <w:sz w:val="16"/>
                <w:szCs w:val="16"/>
                <w:lang w:eastAsia="en-AU"/>
              </w:rPr>
              <w:t xml:space="preserve"> Procedures</w:t>
            </w:r>
          </w:p>
        </w:tc>
        <w:tc>
          <w:tcPr>
            <w:tcW w:w="567"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0.49</w:t>
            </w:r>
          </w:p>
        </w:tc>
        <w:tc>
          <w:tcPr>
            <w:tcW w:w="1053"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31,328</w:t>
            </w:r>
          </w:p>
        </w:tc>
        <w:tc>
          <w:tcPr>
            <w:tcW w:w="1143"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15,506</w:t>
            </w:r>
          </w:p>
        </w:tc>
        <w:tc>
          <w:tcPr>
            <w:tcW w:w="1082"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40,863</w:t>
            </w:r>
          </w:p>
        </w:tc>
        <w:tc>
          <w:tcPr>
            <w:tcW w:w="1028" w:type="dxa"/>
            <w:tcBorders>
              <w:top w:val="nil"/>
              <w:left w:val="nil"/>
              <w:bottom w:val="single" w:sz="8"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993" w:type="dxa"/>
            <w:tcBorders>
              <w:top w:val="nil"/>
              <w:left w:val="nil"/>
              <w:bottom w:val="single" w:sz="8" w:space="0" w:color="A32020" w:themeColor="accent1"/>
              <w:right w:val="nil"/>
            </w:tcBorders>
            <w:vAlign w:val="bottom"/>
          </w:tcPr>
          <w:p w:rsidR="005748D8" w:rsidRPr="0076167C" w:rsidRDefault="005748D8" w:rsidP="007069D4">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0.00</w:t>
            </w:r>
          </w:p>
        </w:tc>
        <w:tc>
          <w:tcPr>
            <w:tcW w:w="2671" w:type="dxa"/>
            <w:tcBorders>
              <w:top w:val="nil"/>
              <w:left w:val="nil"/>
              <w:bottom w:val="nil"/>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5748D8" w:rsidRPr="0076167C" w:rsidTr="005748D8">
        <w:tblPrEx>
          <w:tblCellMar>
            <w:left w:w="108" w:type="dxa"/>
            <w:right w:w="108" w:type="dxa"/>
          </w:tblCellMar>
        </w:tblPrEx>
        <w:trPr>
          <w:trHeight w:val="331"/>
        </w:trPr>
        <w:tc>
          <w:tcPr>
            <w:tcW w:w="581"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p>
        </w:tc>
        <w:tc>
          <w:tcPr>
            <w:tcW w:w="5529" w:type="dxa"/>
            <w:gridSpan w:val="2"/>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Sub-total, 20 highest separation count</w:t>
            </w:r>
          </w:p>
        </w:tc>
        <w:tc>
          <w:tcPr>
            <w:tcW w:w="567"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0.40</w:t>
            </w:r>
          </w:p>
        </w:tc>
        <w:tc>
          <w:tcPr>
            <w:tcW w:w="1053"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1,200,090</w:t>
            </w:r>
          </w:p>
        </w:tc>
        <w:tc>
          <w:tcPr>
            <w:tcW w:w="1143"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476,516</w:t>
            </w:r>
          </w:p>
        </w:tc>
        <w:tc>
          <w:tcPr>
            <w:tcW w:w="1082"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1,496,560</w:t>
            </w:r>
          </w:p>
        </w:tc>
        <w:tc>
          <w:tcPr>
            <w:tcW w:w="1028"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1.2</w:t>
            </w:r>
          </w:p>
        </w:tc>
        <w:tc>
          <w:tcPr>
            <w:tcW w:w="993" w:type="dxa"/>
            <w:tcBorders>
              <w:top w:val="single" w:sz="8" w:space="0" w:color="A32020" w:themeColor="accent1"/>
              <w:left w:val="nil"/>
              <w:bottom w:val="nil"/>
              <w:right w:val="nil"/>
            </w:tcBorders>
            <w:shd w:val="clear" w:color="auto" w:fill="auto"/>
            <w:noWrap/>
            <w:vAlign w:val="center"/>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p>
        </w:tc>
        <w:tc>
          <w:tcPr>
            <w:tcW w:w="2671" w:type="dxa"/>
            <w:tcBorders>
              <w:top w:val="nil"/>
              <w:left w:val="nil"/>
              <w:bottom w:val="nil"/>
              <w:right w:val="nil"/>
            </w:tcBorders>
            <w:vAlign w:val="center"/>
          </w:tcPr>
          <w:p w:rsidR="005748D8" w:rsidRPr="0076167C" w:rsidRDefault="005748D8" w:rsidP="007069D4">
            <w:pPr>
              <w:kinsoku/>
              <w:overflowPunct/>
              <w:autoSpaceDE/>
              <w:autoSpaceDN/>
              <w:adjustRightInd/>
              <w:snapToGrid/>
              <w:rPr>
                <w:rFonts w:asciiTheme="minorHAnsi" w:hAnsiTheme="minorHAnsi" w:cstheme="minorHAnsi"/>
                <w:snapToGrid/>
                <w:color w:val="000000"/>
                <w:sz w:val="16"/>
                <w:szCs w:val="16"/>
                <w:lang w:eastAsia="en-AU"/>
              </w:rPr>
            </w:pPr>
          </w:p>
        </w:tc>
      </w:tr>
      <w:tr w:rsidR="0076167C" w:rsidRPr="0076167C" w:rsidTr="0076167C">
        <w:tblPrEx>
          <w:tblCellMar>
            <w:left w:w="108" w:type="dxa"/>
            <w:right w:w="108" w:type="dxa"/>
          </w:tblCellMar>
        </w:tblPrEx>
        <w:trPr>
          <w:trHeight w:val="85"/>
        </w:trPr>
        <w:tc>
          <w:tcPr>
            <w:tcW w:w="581" w:type="dxa"/>
            <w:tcBorders>
              <w:top w:val="nil"/>
              <w:left w:val="nil"/>
              <w:right w:val="nil"/>
            </w:tcBorders>
            <w:shd w:val="clear" w:color="auto" w:fill="auto"/>
            <w:noWrap/>
            <w:vAlign w:val="bottom"/>
            <w:hideMark/>
          </w:tcPr>
          <w:p w:rsidR="0076167C" w:rsidRPr="0076167C" w:rsidRDefault="0076167C" w:rsidP="001E5CE4">
            <w:pPr>
              <w:kinsoku/>
              <w:overflowPunct/>
              <w:autoSpaceDE/>
              <w:autoSpaceDN/>
              <w:adjustRightInd/>
              <w:snapToGrid/>
              <w:ind w:firstLineChars="100" w:firstLine="161"/>
              <w:jc w:val="right"/>
              <w:rPr>
                <w:rFonts w:asciiTheme="minorHAnsi" w:hAnsiTheme="minorHAnsi" w:cstheme="minorHAnsi"/>
                <w:b/>
                <w:bCs/>
                <w:snapToGrid/>
                <w:color w:val="000000"/>
                <w:sz w:val="16"/>
                <w:szCs w:val="16"/>
                <w:lang w:eastAsia="en-AU"/>
              </w:rPr>
            </w:pPr>
          </w:p>
        </w:tc>
        <w:tc>
          <w:tcPr>
            <w:tcW w:w="5529" w:type="dxa"/>
            <w:gridSpan w:val="2"/>
            <w:tcBorders>
              <w:top w:val="nil"/>
              <w:left w:val="nil"/>
              <w:right w:val="nil"/>
            </w:tcBorders>
            <w:shd w:val="clear" w:color="auto" w:fill="auto"/>
            <w:noWrap/>
            <w:vAlign w:val="center"/>
            <w:hideMark/>
          </w:tcPr>
          <w:p w:rsidR="0076167C" w:rsidRPr="0076167C" w:rsidRDefault="0076167C" w:rsidP="00382AC6">
            <w:pPr>
              <w:kinsoku/>
              <w:overflowPunct/>
              <w:autoSpaceDE/>
              <w:autoSpaceDN/>
              <w:adjustRightInd/>
              <w:snapToGrid/>
              <w:rPr>
                <w:rFonts w:asciiTheme="minorHAnsi" w:hAnsiTheme="minorHAnsi" w:cstheme="minorHAnsi"/>
                <w:b/>
                <w:bCs/>
                <w:snapToGrid/>
                <w:color w:val="000000"/>
                <w:sz w:val="16"/>
                <w:szCs w:val="16"/>
                <w:lang w:eastAsia="en-AU"/>
              </w:rPr>
            </w:pPr>
            <w:r w:rsidRPr="00872ECF">
              <w:rPr>
                <w:b/>
                <w:bCs/>
                <w:snapToGrid/>
                <w:color w:val="000000"/>
                <w:sz w:val="16"/>
                <w:szCs w:val="16"/>
                <w:lang w:eastAsia="en-AU"/>
              </w:rPr>
              <w:t>All DRGs</w:t>
            </w:r>
          </w:p>
        </w:tc>
        <w:tc>
          <w:tcPr>
            <w:tcW w:w="567" w:type="dxa"/>
            <w:tcBorders>
              <w:top w:val="nil"/>
              <w:left w:val="nil"/>
              <w:right w:val="nil"/>
            </w:tcBorders>
            <w:shd w:val="clear" w:color="auto" w:fill="auto"/>
            <w:noWrap/>
            <w:vAlign w:val="center"/>
            <w:hideMark/>
          </w:tcPr>
          <w:p w:rsidR="0076167C" w:rsidRPr="0076167C" w:rsidRDefault="0076167C"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1.00</w:t>
            </w:r>
          </w:p>
        </w:tc>
        <w:tc>
          <w:tcPr>
            <w:tcW w:w="1053" w:type="dxa"/>
            <w:tcBorders>
              <w:top w:val="nil"/>
              <w:left w:val="nil"/>
              <w:right w:val="nil"/>
            </w:tcBorders>
            <w:shd w:val="clear" w:color="auto" w:fill="auto"/>
            <w:noWrap/>
            <w:vAlign w:val="center"/>
            <w:hideMark/>
          </w:tcPr>
          <w:p w:rsidR="0076167C" w:rsidRPr="0076167C" w:rsidRDefault="0076167C"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2,703,792</w:t>
            </w:r>
          </w:p>
        </w:tc>
        <w:tc>
          <w:tcPr>
            <w:tcW w:w="1143" w:type="dxa"/>
            <w:tcBorders>
              <w:top w:val="nil"/>
              <w:left w:val="nil"/>
              <w:right w:val="nil"/>
            </w:tcBorders>
            <w:shd w:val="clear" w:color="auto" w:fill="auto"/>
            <w:noWrap/>
            <w:vAlign w:val="center"/>
            <w:hideMark/>
          </w:tcPr>
          <w:p w:rsidR="0076167C" w:rsidRPr="0076167C" w:rsidRDefault="0076167C"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2,703,792</w:t>
            </w:r>
          </w:p>
        </w:tc>
        <w:tc>
          <w:tcPr>
            <w:tcW w:w="1082" w:type="dxa"/>
            <w:tcBorders>
              <w:top w:val="nil"/>
              <w:left w:val="nil"/>
              <w:right w:val="nil"/>
            </w:tcBorders>
            <w:shd w:val="clear" w:color="auto" w:fill="auto"/>
            <w:noWrap/>
            <w:vAlign w:val="center"/>
            <w:hideMark/>
          </w:tcPr>
          <w:p w:rsidR="0076167C" w:rsidRPr="0076167C" w:rsidRDefault="0076167C"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6,820,000</w:t>
            </w:r>
          </w:p>
        </w:tc>
        <w:tc>
          <w:tcPr>
            <w:tcW w:w="1028" w:type="dxa"/>
            <w:tcBorders>
              <w:top w:val="nil"/>
              <w:left w:val="nil"/>
              <w:right w:val="nil"/>
            </w:tcBorders>
            <w:shd w:val="clear" w:color="auto" w:fill="auto"/>
            <w:noWrap/>
            <w:vAlign w:val="center"/>
            <w:hideMark/>
          </w:tcPr>
          <w:p w:rsidR="0076167C" w:rsidRPr="0076167C" w:rsidRDefault="0076167C" w:rsidP="00382AC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2.5</w:t>
            </w:r>
          </w:p>
        </w:tc>
        <w:tc>
          <w:tcPr>
            <w:tcW w:w="993" w:type="dxa"/>
            <w:tcBorders>
              <w:top w:val="nil"/>
              <w:left w:val="nil"/>
              <w:right w:val="nil"/>
            </w:tcBorders>
            <w:vAlign w:val="center"/>
          </w:tcPr>
          <w:p w:rsidR="0076167C" w:rsidRPr="0076167C" w:rsidRDefault="0076167C" w:rsidP="007069D4">
            <w:pPr>
              <w:kinsoku/>
              <w:overflowPunct/>
              <w:autoSpaceDE/>
              <w:autoSpaceDN/>
              <w:adjustRightInd/>
              <w:snapToGrid/>
              <w:rPr>
                <w:rFonts w:asciiTheme="minorHAnsi" w:hAnsiTheme="minorHAnsi" w:cstheme="minorHAnsi"/>
                <w:snapToGrid/>
                <w:color w:val="000000"/>
                <w:sz w:val="16"/>
                <w:szCs w:val="16"/>
                <w:lang w:eastAsia="en-AU"/>
              </w:rPr>
            </w:pPr>
          </w:p>
        </w:tc>
        <w:tc>
          <w:tcPr>
            <w:tcW w:w="2671" w:type="dxa"/>
            <w:tcBorders>
              <w:top w:val="nil"/>
              <w:left w:val="nil"/>
              <w:bottom w:val="nil"/>
              <w:right w:val="nil"/>
            </w:tcBorders>
            <w:shd w:val="clear" w:color="auto" w:fill="auto"/>
            <w:noWrap/>
            <w:vAlign w:val="center"/>
            <w:hideMark/>
          </w:tcPr>
          <w:p w:rsidR="0076167C" w:rsidRPr="0076167C" w:rsidRDefault="0076167C" w:rsidP="00382AC6">
            <w:pPr>
              <w:kinsoku/>
              <w:overflowPunct/>
              <w:autoSpaceDE/>
              <w:autoSpaceDN/>
              <w:adjustRightInd/>
              <w:snapToGrid/>
              <w:rPr>
                <w:rFonts w:asciiTheme="minorHAnsi" w:hAnsiTheme="minorHAnsi" w:cstheme="minorHAnsi"/>
                <w:snapToGrid/>
                <w:color w:val="000000"/>
                <w:sz w:val="16"/>
                <w:szCs w:val="16"/>
                <w:lang w:eastAsia="en-AU"/>
              </w:rPr>
            </w:pPr>
          </w:p>
        </w:tc>
      </w:tr>
      <w:tr w:rsidR="005748D8" w:rsidRPr="0076167C" w:rsidTr="005748D8">
        <w:tblPrEx>
          <w:tblCellMar>
            <w:left w:w="108" w:type="dxa"/>
            <w:right w:w="108" w:type="dxa"/>
          </w:tblCellMar>
        </w:tblPrEx>
        <w:trPr>
          <w:trHeight w:val="80"/>
        </w:trPr>
        <w:tc>
          <w:tcPr>
            <w:tcW w:w="581"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5529" w:type="dxa"/>
            <w:gridSpan w:val="2"/>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Top 20 separation count, % of all DRGs</w:t>
            </w:r>
          </w:p>
        </w:tc>
        <w:tc>
          <w:tcPr>
            <w:tcW w:w="567"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053"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44%</w:t>
            </w:r>
          </w:p>
        </w:tc>
        <w:tc>
          <w:tcPr>
            <w:tcW w:w="1143"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w:t>
            </w:r>
          </w:p>
        </w:tc>
        <w:tc>
          <w:tcPr>
            <w:tcW w:w="1082"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22%</w:t>
            </w:r>
          </w:p>
        </w:tc>
        <w:tc>
          <w:tcPr>
            <w:tcW w:w="1028"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w:t>
            </w:r>
          </w:p>
        </w:tc>
        <w:tc>
          <w:tcPr>
            <w:tcW w:w="993" w:type="dxa"/>
            <w:tcBorders>
              <w:top w:val="nil"/>
              <w:left w:val="nil"/>
              <w:bottom w:val="single" w:sz="4" w:space="0" w:color="A32020" w:themeColor="accent1"/>
              <w:right w:val="nil"/>
            </w:tcBorders>
            <w:shd w:val="clear" w:color="auto" w:fill="auto"/>
            <w:noWrap/>
            <w:vAlign w:val="bottom"/>
            <w:hideMark/>
          </w:tcPr>
          <w:p w:rsidR="005748D8" w:rsidRPr="0076167C" w:rsidRDefault="005748D8" w:rsidP="00382AC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2671" w:type="dxa"/>
            <w:tcBorders>
              <w:top w:val="nil"/>
              <w:left w:val="nil"/>
              <w:bottom w:val="nil"/>
              <w:right w:val="nil"/>
            </w:tcBorders>
            <w:vAlign w:val="bottom"/>
          </w:tcPr>
          <w:p w:rsidR="005748D8" w:rsidRPr="0076167C" w:rsidRDefault="005748D8" w:rsidP="007069D4">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r>
    </w:tbl>
    <w:p w:rsidR="00382AC6" w:rsidRDefault="00382AC6" w:rsidP="00382AC6">
      <w:pPr>
        <w:pStyle w:val="PwCNormal"/>
        <w:spacing w:before="120" w:after="0"/>
        <w:rPr>
          <w:b/>
          <w:sz w:val="16"/>
        </w:rPr>
      </w:pPr>
      <w:r w:rsidRPr="00E43DC3">
        <w:rPr>
          <w:b/>
          <w:sz w:val="16"/>
        </w:rPr>
        <w:t>Notes</w:t>
      </w:r>
      <w:r>
        <w:rPr>
          <w:b/>
          <w:sz w:val="16"/>
        </w:rPr>
        <w:t xml:space="preserve"> :</w:t>
      </w:r>
    </w:p>
    <w:p w:rsidR="00382AC6" w:rsidRPr="0081233E" w:rsidRDefault="00382AC6" w:rsidP="00382AC6">
      <w:pPr>
        <w:pStyle w:val="PwCNormal"/>
        <w:spacing w:after="0"/>
        <w:rPr>
          <w:sz w:val="16"/>
        </w:rPr>
      </w:pPr>
      <w:r w:rsidRPr="0081233E">
        <w:rPr>
          <w:sz w:val="16"/>
        </w:rPr>
        <w:t>(b) Separations shown are strata weighted</w:t>
      </w:r>
    </w:p>
    <w:p w:rsidR="00382AC6" w:rsidRDefault="00382AC6" w:rsidP="00382AC6">
      <w:pPr>
        <w:pStyle w:val="PwCNormal"/>
        <w:widowControl w:val="0"/>
        <w:numPr>
          <w:ilvl w:val="0"/>
          <w:numId w:val="0"/>
        </w:numPr>
        <w:rPr>
          <w:noProof/>
          <w:snapToGrid/>
          <w:lang w:eastAsia="en-AU"/>
        </w:rPr>
        <w:sectPr w:rsidR="00382AC6" w:rsidSect="0081233E">
          <w:pgSz w:w="16840" w:h="11907" w:orient="landscape" w:code="9"/>
          <w:pgMar w:top="1418" w:right="1021" w:bottom="1134" w:left="1021" w:header="567" w:footer="567" w:gutter="0"/>
          <w:cols w:space="227"/>
          <w:docGrid w:linePitch="360"/>
        </w:sectPr>
      </w:pPr>
      <w:r w:rsidRPr="0081233E">
        <w:rPr>
          <w:sz w:val="16"/>
        </w:rPr>
        <w:t>(e) ALOS means average length of stay</w:t>
      </w:r>
    </w:p>
    <w:p w:rsidR="00B46E1A" w:rsidRDefault="00D502C6" w:rsidP="00F34CFF">
      <w:pPr>
        <w:pStyle w:val="PwCNormal"/>
        <w:rPr>
          <w:lang w:eastAsia="en-AU"/>
        </w:rPr>
      </w:pPr>
      <w:r>
        <w:rPr>
          <w:lang w:eastAsia="en-AU"/>
        </w:rPr>
        <w:lastRenderedPageBreak/>
        <w:fldChar w:fldCharType="begin"/>
      </w:r>
      <w:r w:rsidR="00C32A7C">
        <w:rPr>
          <w:lang w:eastAsia="en-AU"/>
        </w:rPr>
        <w:instrText xml:space="preserve"> REF _Ref355172419 \h </w:instrText>
      </w:r>
      <w:r>
        <w:rPr>
          <w:lang w:eastAsia="en-AU"/>
        </w:rPr>
      </w:r>
      <w:r>
        <w:rPr>
          <w:lang w:eastAsia="en-AU"/>
        </w:rPr>
        <w:fldChar w:fldCharType="separate"/>
      </w:r>
      <w:r w:rsidR="00953F50" w:rsidRPr="004B3D08">
        <w:t xml:space="preserve">Figure </w:t>
      </w:r>
      <w:r w:rsidR="00953F50">
        <w:rPr>
          <w:noProof/>
        </w:rPr>
        <w:t>3</w:t>
      </w:r>
      <w:r>
        <w:rPr>
          <w:lang w:eastAsia="en-AU"/>
        </w:rPr>
        <w:fldChar w:fldCharType="end"/>
      </w:r>
      <w:r w:rsidR="00C32A7C">
        <w:rPr>
          <w:lang w:eastAsia="en-AU"/>
        </w:rPr>
        <w:t xml:space="preserve"> shows</w:t>
      </w:r>
      <w:r w:rsidR="00B46E1A">
        <w:rPr>
          <w:lang w:eastAsia="en-AU"/>
        </w:rPr>
        <w:t xml:space="preserve"> </w:t>
      </w:r>
      <w:r w:rsidR="004E202D">
        <w:rPr>
          <w:lang w:eastAsia="en-AU"/>
        </w:rPr>
        <w:t xml:space="preserve">that the </w:t>
      </w:r>
      <w:r w:rsidR="00B46E1A">
        <w:rPr>
          <w:lang w:eastAsia="en-AU"/>
        </w:rPr>
        <w:t xml:space="preserve">highest </w:t>
      </w:r>
      <w:proofErr w:type="gramStart"/>
      <w:r w:rsidR="00B46E1A">
        <w:rPr>
          <w:lang w:eastAsia="en-AU"/>
        </w:rPr>
        <w:t>volume DRGs usually have</w:t>
      </w:r>
      <w:proofErr w:type="gramEnd"/>
      <w:r w:rsidR="00B46E1A">
        <w:rPr>
          <w:lang w:eastAsia="en-AU"/>
        </w:rPr>
        <w:t xml:space="preserve"> a lower cost weight. Consequently, despite representing </w:t>
      </w:r>
      <w:r w:rsidR="001A1F9E">
        <w:rPr>
          <w:lang w:eastAsia="en-AU"/>
        </w:rPr>
        <w:t>44%</w:t>
      </w:r>
      <w:r w:rsidR="00B46E1A">
        <w:rPr>
          <w:lang w:eastAsia="en-AU"/>
        </w:rPr>
        <w:t xml:space="preserve"> of all separations, it is estimated that they consume 1</w:t>
      </w:r>
      <w:r w:rsidR="00D20C01">
        <w:rPr>
          <w:lang w:eastAsia="en-AU"/>
        </w:rPr>
        <w:t>8</w:t>
      </w:r>
      <w:r w:rsidR="00B46E1A">
        <w:rPr>
          <w:lang w:eastAsia="en-AU"/>
        </w:rPr>
        <w:t>% of private hospital resources (measured using the number of cost-weighted separations) in 2011/12:</w:t>
      </w:r>
    </w:p>
    <w:p w:rsidR="00F34CFF" w:rsidRDefault="007039A8" w:rsidP="00B46E1A">
      <w:pPr>
        <w:pStyle w:val="Caption"/>
      </w:pPr>
      <w:bookmarkStart w:id="73" w:name="_Ref355172419"/>
      <w:r w:rsidRPr="004B3D08">
        <w:t xml:space="preserve">Figure </w:t>
      </w:r>
      <w:r w:rsidR="00D502C6" w:rsidRPr="004B3D08">
        <w:fldChar w:fldCharType="begin"/>
      </w:r>
      <w:r w:rsidR="00A4645C">
        <w:instrText xml:space="preserve"> SEQ Figure \* ARABIC </w:instrText>
      </w:r>
      <w:r w:rsidR="00D502C6" w:rsidRPr="004B3D08">
        <w:fldChar w:fldCharType="separate"/>
      </w:r>
      <w:r w:rsidR="00953F50">
        <w:rPr>
          <w:noProof/>
        </w:rPr>
        <w:t>3</w:t>
      </w:r>
      <w:r w:rsidR="00D502C6" w:rsidRPr="004B3D08">
        <w:fldChar w:fldCharType="end"/>
      </w:r>
      <w:bookmarkEnd w:id="73"/>
      <w:r w:rsidR="00A4645C">
        <w:tab/>
        <w:t>Twenty DRGs with the highest number of separations in 2011/12:</w:t>
      </w:r>
    </w:p>
    <w:p w:rsidR="00B46E1A" w:rsidRPr="004B3D08" w:rsidRDefault="00E7642F" w:rsidP="00B46E1A">
      <w:r w:rsidRPr="004B3D08">
        <w:rPr>
          <w:noProof/>
          <w:lang w:eastAsia="en-AU"/>
        </w:rPr>
        <w:drawing>
          <wp:inline distT="0" distB="0" distL="0" distR="0" wp14:anchorId="7B0E2A5B" wp14:editId="697BDF57">
            <wp:extent cx="4278630" cy="2061845"/>
            <wp:effectExtent l="19050" t="0" r="7620" b="0"/>
            <wp:docPr id="29" name="Picture 2" descr="Figure 3 shows that the highest volume DRGs usually have a lower cost weight. Consequently, despite representing 44% of all separations, it is estimated that they consume 18% of private hospital resources (measured using the number of cost-weighted separations) in 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4278630" cy="2061845"/>
                    </a:xfrm>
                    <a:prstGeom prst="rect">
                      <a:avLst/>
                    </a:prstGeom>
                    <a:noFill/>
                    <a:ln w="9525">
                      <a:noFill/>
                      <a:miter lim="800000"/>
                      <a:headEnd/>
                      <a:tailEnd/>
                    </a:ln>
                  </pic:spPr>
                </pic:pic>
              </a:graphicData>
            </a:graphic>
          </wp:inline>
        </w:drawing>
      </w:r>
    </w:p>
    <w:p w:rsidR="00F34CFF" w:rsidRDefault="00F34CFF" w:rsidP="00B46E1A">
      <w:pPr>
        <w:pStyle w:val="PwCNormal"/>
        <w:numPr>
          <w:ilvl w:val="0"/>
          <w:numId w:val="0"/>
        </w:numPr>
      </w:pPr>
      <w:bookmarkStart w:id="74" w:name="_GoBack"/>
      <w:bookmarkEnd w:id="74"/>
    </w:p>
    <w:p w:rsidR="00B46E1A" w:rsidRPr="004B3D08" w:rsidRDefault="00AB1EF2" w:rsidP="00F34CFF">
      <w:pPr>
        <w:pStyle w:val="PwCNormal"/>
      </w:pPr>
      <w:r>
        <w:fldChar w:fldCharType="begin"/>
      </w:r>
      <w:r>
        <w:instrText xml:space="preserve"> REF _Ref355172641 \h  \* MERGEFORMAT </w:instrText>
      </w:r>
      <w:r>
        <w:fldChar w:fldCharType="separate"/>
      </w:r>
      <w:r w:rsidR="00953F50" w:rsidRPr="004B3D08">
        <w:t xml:space="preserve">Figure </w:t>
      </w:r>
      <w:r w:rsidR="00953F50">
        <w:t>4</w:t>
      </w:r>
      <w:r>
        <w:fldChar w:fldCharType="end"/>
      </w:r>
      <w:r w:rsidR="00A4645C">
        <w:t xml:space="preserve"> below highlights the groups of the twenty highest volume DRGs which illustrates that most of them have relatively low cost-weights:</w:t>
      </w:r>
    </w:p>
    <w:p w:rsidR="00C32A7C" w:rsidRPr="00D20C01" w:rsidRDefault="00700626" w:rsidP="003F3720">
      <w:pPr>
        <w:pStyle w:val="PwCNormal"/>
        <w:rPr>
          <w:noProof/>
          <w:snapToGrid/>
          <w:highlight w:val="lightGray"/>
          <w:lang w:eastAsia="en-AU"/>
        </w:rPr>
      </w:pPr>
      <w:r w:rsidRPr="00700626">
        <w:rPr>
          <w:noProof/>
          <w:snapToGrid/>
          <w:highlight w:val="lightGray"/>
          <w:lang w:eastAsia="en-AU"/>
        </w:rPr>
        <w:br w:type="page"/>
      </w:r>
    </w:p>
    <w:p w:rsidR="00C32A7C" w:rsidRDefault="007039A8" w:rsidP="00161BA2">
      <w:pPr>
        <w:pStyle w:val="Caption"/>
      </w:pPr>
      <w:bookmarkStart w:id="75" w:name="_Ref355172641"/>
      <w:r w:rsidRPr="004B3D08">
        <w:lastRenderedPageBreak/>
        <w:t xml:space="preserve">Figure </w:t>
      </w:r>
      <w:r w:rsidR="00D502C6" w:rsidRPr="004B3D08">
        <w:fldChar w:fldCharType="begin"/>
      </w:r>
      <w:r w:rsidR="00A4645C">
        <w:instrText xml:space="preserve"> SEQ Figure \* ARABIC </w:instrText>
      </w:r>
      <w:r w:rsidR="00D502C6" w:rsidRPr="004B3D08">
        <w:fldChar w:fldCharType="separate"/>
      </w:r>
      <w:r w:rsidR="00953F50">
        <w:rPr>
          <w:noProof/>
        </w:rPr>
        <w:t>4</w:t>
      </w:r>
      <w:r w:rsidR="00D502C6" w:rsidRPr="004B3D08">
        <w:fldChar w:fldCharType="end"/>
      </w:r>
      <w:bookmarkEnd w:id="75"/>
      <w:r w:rsidR="00A4645C">
        <w:tab/>
        <w:t>Twenty highest volume DRGs – plot of cost weight versus number of separations</w:t>
      </w:r>
    </w:p>
    <w:p w:rsidR="00161BA2" w:rsidRPr="00161BA2" w:rsidRDefault="00161BA2" w:rsidP="00161BA2">
      <w:r w:rsidRPr="00161BA2">
        <w:rPr>
          <w:noProof/>
          <w:lang w:eastAsia="en-AU"/>
        </w:rPr>
        <w:drawing>
          <wp:inline distT="0" distB="0" distL="0" distR="0" wp14:anchorId="5B82F2A6" wp14:editId="49A3C0EA">
            <wp:extent cx="7738110" cy="4735830"/>
            <wp:effectExtent l="0" t="0" r="0" b="0"/>
            <wp:docPr id="74" name="Picture 9" descr="Figure 4 highlights the groups of the twenty highest volume DRGs, which illustrates that most of them have relatively low cost-weights.&#10;&#10;The DRG with the highest volume is Caesarean Delivery without Catastrophic or Severe Cc. Other top twenty DRGs which are highlighted are, in volume order, Vaginal Delivery without Catastrophic or Severe Cc, Other Knee Procedures, Complex Gastoscopy Sameday, and Chemotherap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srcRect/>
                    <a:stretch>
                      <a:fillRect/>
                    </a:stretch>
                  </pic:blipFill>
                  <pic:spPr bwMode="auto">
                    <a:xfrm>
                      <a:off x="0" y="0"/>
                      <a:ext cx="7738110" cy="4735830"/>
                    </a:xfrm>
                    <a:prstGeom prst="rect">
                      <a:avLst/>
                    </a:prstGeom>
                    <a:noFill/>
                    <a:ln w="9525">
                      <a:noFill/>
                      <a:miter lim="800000"/>
                      <a:headEnd/>
                      <a:tailEnd/>
                    </a:ln>
                  </pic:spPr>
                </pic:pic>
              </a:graphicData>
            </a:graphic>
          </wp:inline>
        </w:drawing>
      </w:r>
    </w:p>
    <w:p w:rsidR="007D1132" w:rsidRPr="00D20C01" w:rsidRDefault="00700626" w:rsidP="007D1132">
      <w:pPr>
        <w:pStyle w:val="PwCNormal"/>
        <w:rPr>
          <w:highlight w:val="lightGray"/>
        </w:rPr>
      </w:pPr>
      <w:r w:rsidRPr="00700626">
        <w:rPr>
          <w:highlight w:val="lightGray"/>
        </w:rPr>
        <w:br w:type="page"/>
      </w:r>
    </w:p>
    <w:p w:rsidR="00C32A7C" w:rsidRPr="006603C1" w:rsidRDefault="00C32A7C" w:rsidP="00292B95">
      <w:pPr>
        <w:pStyle w:val="Heading3"/>
      </w:pPr>
      <w:r w:rsidRPr="006603C1">
        <w:lastRenderedPageBreak/>
        <w:t>The twenty DRGs with the highest volume x cost-weight (“cost-weighted separations”) in 2011/12</w:t>
      </w:r>
    </w:p>
    <w:p w:rsidR="007D1132" w:rsidRDefault="00C32A7C" w:rsidP="00F34CFF">
      <w:pPr>
        <w:pStyle w:val="PwCNormal"/>
        <w:rPr>
          <w:rFonts w:asciiTheme="majorHAnsi" w:hAnsiTheme="majorHAnsi"/>
          <w:b/>
          <w:bCs/>
          <w:color w:val="A32020" w:themeColor="text2"/>
          <w:szCs w:val="18"/>
        </w:rPr>
      </w:pPr>
      <w:r w:rsidRPr="00904B92">
        <w:rPr>
          <w:lang w:eastAsia="en-AU"/>
        </w:rPr>
        <w:t xml:space="preserve">This </w:t>
      </w:r>
      <w:r>
        <w:rPr>
          <w:lang w:eastAsia="en-AU"/>
        </w:rPr>
        <w:t xml:space="preserve">group of DRGs are those </w:t>
      </w:r>
      <w:r w:rsidRPr="00904B92">
        <w:rPr>
          <w:lang w:eastAsia="en-AU"/>
        </w:rPr>
        <w:t xml:space="preserve">that are estimated to consume the highest share of resources in a year, taking into account the volume of separations, and the average </w:t>
      </w:r>
      <w:proofErr w:type="gramStart"/>
      <w:r w:rsidRPr="00904B92">
        <w:rPr>
          <w:lang w:eastAsia="en-AU"/>
        </w:rPr>
        <w:t>resource</w:t>
      </w:r>
      <w:proofErr w:type="gramEnd"/>
      <w:r w:rsidRPr="00904B92">
        <w:rPr>
          <w:lang w:eastAsia="en-AU"/>
        </w:rPr>
        <w:t xml:space="preserve"> utilisation </w:t>
      </w:r>
      <w:r>
        <w:rPr>
          <w:lang w:eastAsia="en-AU"/>
        </w:rPr>
        <w:t xml:space="preserve">(cost weight) </w:t>
      </w:r>
      <w:r w:rsidRPr="00904B92">
        <w:rPr>
          <w:lang w:eastAsia="en-AU"/>
        </w:rPr>
        <w:t>for an individual episode of care.</w:t>
      </w:r>
      <w:r>
        <w:rPr>
          <w:lang w:eastAsia="en-AU"/>
        </w:rPr>
        <w:t xml:space="preserve"> These are identified by selecting the DRGs with the highest number of </w:t>
      </w:r>
      <w:r>
        <w:rPr>
          <w:b/>
          <w:lang w:eastAsia="en-AU"/>
        </w:rPr>
        <w:t>cost-weighted</w:t>
      </w:r>
      <w:r>
        <w:rPr>
          <w:lang w:eastAsia="en-AU"/>
        </w:rPr>
        <w:t xml:space="preserve"> separations. </w:t>
      </w:r>
      <w:r w:rsidR="004E202D" w:rsidRPr="00B6646C">
        <w:t xml:space="preserve">DRGs with fewer than 5 separations or 3 participating hospitals are excluded from the </w:t>
      </w:r>
      <w:r w:rsidR="004E202D">
        <w:t xml:space="preserve">analysis in this sub-section. </w:t>
      </w:r>
      <w:r>
        <w:rPr>
          <w:lang w:eastAsia="en-AU"/>
        </w:rPr>
        <w:t>The list of DRGs is provided on the following table:</w:t>
      </w:r>
    </w:p>
    <w:p w:rsidR="00C32A7C" w:rsidRDefault="00C32A7C" w:rsidP="00C32A7C">
      <w:pPr>
        <w:pStyle w:val="Caption"/>
        <w:keepNext w:val="0"/>
        <w:keepLines w:val="0"/>
        <w:widowControl w:val="0"/>
      </w:pPr>
      <w:r>
        <w:t xml:space="preserve">Table </w:t>
      </w:r>
      <w:r w:rsidR="00D502C6">
        <w:fldChar w:fldCharType="begin"/>
      </w:r>
      <w:r>
        <w:instrText xml:space="preserve"> SEQ Table \* ARABIC </w:instrText>
      </w:r>
      <w:r w:rsidR="00D502C6">
        <w:fldChar w:fldCharType="separate"/>
      </w:r>
      <w:r w:rsidR="00953F50">
        <w:rPr>
          <w:noProof/>
        </w:rPr>
        <w:t>7</w:t>
      </w:r>
      <w:r w:rsidR="00D502C6">
        <w:fldChar w:fldCharType="end"/>
      </w:r>
      <w:r>
        <w:t xml:space="preserve"> </w:t>
      </w:r>
      <w:r>
        <w:tab/>
        <w:t>DRGs with the twenty highest number of cost-weighted separations, AR-DRG 6.0x, Round 16 (2011/12)</w:t>
      </w:r>
    </w:p>
    <w:tbl>
      <w:tblPr>
        <w:tblW w:w="15546" w:type="dxa"/>
        <w:tblInd w:w="-128" w:type="dxa"/>
        <w:tblCellMar>
          <w:left w:w="0" w:type="dxa"/>
          <w:right w:w="0" w:type="dxa"/>
        </w:tblCellMar>
        <w:tblLook w:val="04A0" w:firstRow="1" w:lastRow="0" w:firstColumn="1" w:lastColumn="0" w:noHBand="0" w:noVBand="1"/>
      </w:tblPr>
      <w:tblGrid>
        <w:gridCol w:w="709"/>
        <w:gridCol w:w="851"/>
        <w:gridCol w:w="6291"/>
        <w:gridCol w:w="621"/>
        <w:gridCol w:w="1017"/>
        <w:gridCol w:w="1134"/>
        <w:gridCol w:w="1109"/>
        <w:gridCol w:w="992"/>
        <w:gridCol w:w="709"/>
        <w:gridCol w:w="2009"/>
        <w:gridCol w:w="104"/>
      </w:tblGrid>
      <w:tr w:rsidR="00E967E6" w:rsidRPr="0076167C" w:rsidTr="00872ECF">
        <w:trPr>
          <w:gridAfter w:val="1"/>
          <w:wAfter w:w="104" w:type="dxa"/>
          <w:trHeight w:val="238"/>
        </w:trPr>
        <w:tc>
          <w:tcPr>
            <w:tcW w:w="709"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DRG</w:t>
            </w:r>
          </w:p>
        </w:tc>
        <w:tc>
          <w:tcPr>
            <w:tcW w:w="851"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rPr>
                <w:rFonts w:asciiTheme="minorHAnsi" w:hAnsiTheme="minorHAnsi" w:cstheme="minorHAnsi"/>
                <w:b/>
                <w:bCs/>
                <w:color w:val="A32020"/>
                <w:sz w:val="16"/>
                <w:szCs w:val="16"/>
              </w:rPr>
            </w:pPr>
          </w:p>
        </w:tc>
        <w:tc>
          <w:tcPr>
            <w:tcW w:w="6291"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Description</w:t>
            </w:r>
          </w:p>
        </w:tc>
        <w:tc>
          <w:tcPr>
            <w:tcW w:w="621"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Cost Weight </w:t>
            </w:r>
            <w:r w:rsidRPr="0076167C">
              <w:rPr>
                <w:rFonts w:asciiTheme="minorHAnsi" w:hAnsiTheme="minorHAnsi" w:cstheme="minorHAnsi"/>
                <w:bCs/>
                <w:color w:val="A32020"/>
                <w:sz w:val="16"/>
                <w:szCs w:val="16"/>
              </w:rPr>
              <w:t>(a)</w:t>
            </w:r>
          </w:p>
        </w:tc>
        <w:tc>
          <w:tcPr>
            <w:tcW w:w="1017"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Separations </w:t>
            </w:r>
            <w:r w:rsidRPr="0076167C">
              <w:rPr>
                <w:rFonts w:asciiTheme="minorHAnsi" w:hAnsiTheme="minorHAnsi" w:cstheme="minorHAnsi"/>
                <w:color w:val="A32020"/>
                <w:sz w:val="16"/>
                <w:szCs w:val="16"/>
              </w:rPr>
              <w:t>(b)</w:t>
            </w:r>
          </w:p>
        </w:tc>
        <w:tc>
          <w:tcPr>
            <w:tcW w:w="1134"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Cost Weighted Separations </w:t>
            </w:r>
            <w:r w:rsidRPr="0076167C">
              <w:rPr>
                <w:rFonts w:asciiTheme="minorHAnsi" w:hAnsiTheme="minorHAnsi" w:cstheme="minorHAnsi"/>
                <w:color w:val="A32020"/>
                <w:sz w:val="16"/>
                <w:szCs w:val="16"/>
              </w:rPr>
              <w:t>(c)=(a)x(b)</w:t>
            </w:r>
          </w:p>
        </w:tc>
        <w:tc>
          <w:tcPr>
            <w:tcW w:w="1109" w:type="dxa"/>
            <w:tcBorders>
              <w:top w:val="single" w:sz="8" w:space="0" w:color="A32020" w:themeColor="accent1"/>
              <w:left w:val="nil"/>
              <w:bottom w:val="single" w:sz="8" w:space="0" w:color="A32020" w:themeColor="accent1"/>
              <w:right w:val="nil"/>
            </w:tcBorders>
            <w:shd w:val="clear" w:color="auto" w:fill="auto"/>
            <w:tcMar>
              <w:top w:w="14" w:type="dxa"/>
              <w:left w:w="14" w:type="dxa"/>
              <w:bottom w:w="0" w:type="dxa"/>
              <w:right w:w="14" w:type="dxa"/>
            </w:tcMar>
            <w:vAlign w:val="bottom"/>
            <w:hideMark/>
          </w:tcPr>
          <w:p w:rsidR="00E967E6" w:rsidRPr="0076167C" w:rsidRDefault="00E967E6" w:rsidP="006603C1">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Number of Days </w:t>
            </w:r>
            <w:r w:rsidRPr="0076167C">
              <w:rPr>
                <w:rFonts w:asciiTheme="minorHAnsi" w:hAnsiTheme="minorHAnsi" w:cstheme="minorHAnsi"/>
                <w:color w:val="A32020"/>
                <w:sz w:val="16"/>
                <w:szCs w:val="16"/>
              </w:rPr>
              <w:t>(d)</w:t>
            </w:r>
          </w:p>
        </w:tc>
        <w:tc>
          <w:tcPr>
            <w:tcW w:w="992" w:type="dxa"/>
            <w:tcBorders>
              <w:top w:val="single" w:sz="8" w:space="0" w:color="A32020" w:themeColor="accent1"/>
              <w:left w:val="nil"/>
              <w:bottom w:val="single" w:sz="8" w:space="0" w:color="A32020" w:themeColor="accent1"/>
              <w:right w:val="nil"/>
            </w:tcBorders>
            <w:shd w:val="clear" w:color="auto" w:fill="auto"/>
            <w:noWrap/>
            <w:tcMar>
              <w:top w:w="14" w:type="dxa"/>
              <w:left w:w="14" w:type="dxa"/>
              <w:bottom w:w="0" w:type="dxa"/>
              <w:right w:w="14" w:type="dxa"/>
            </w:tcMar>
            <w:vAlign w:val="bottom"/>
            <w:hideMark/>
          </w:tcPr>
          <w:p w:rsidR="00E967E6" w:rsidRPr="0076167C" w:rsidRDefault="00E967E6" w:rsidP="006603C1">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 xml:space="preserve">ALOS (days) </w:t>
            </w:r>
            <w:r w:rsidRPr="0076167C">
              <w:rPr>
                <w:rFonts w:asciiTheme="minorHAnsi" w:hAnsiTheme="minorHAnsi" w:cstheme="minorHAnsi"/>
                <w:color w:val="A32020"/>
                <w:sz w:val="16"/>
                <w:szCs w:val="16"/>
              </w:rPr>
              <w:t>(e)=(d)/(b)</w:t>
            </w:r>
          </w:p>
        </w:tc>
        <w:tc>
          <w:tcPr>
            <w:tcW w:w="709" w:type="dxa"/>
            <w:tcBorders>
              <w:top w:val="single" w:sz="8" w:space="0" w:color="A32020" w:themeColor="accent1"/>
              <w:left w:val="nil"/>
              <w:bottom w:val="single" w:sz="8" w:space="0" w:color="A32020" w:themeColor="accent1"/>
              <w:right w:val="nil"/>
            </w:tcBorders>
            <w:vAlign w:val="bottom"/>
          </w:tcPr>
          <w:p w:rsidR="00E967E6" w:rsidRPr="0076167C" w:rsidRDefault="00E967E6" w:rsidP="00E967E6">
            <w:pPr>
              <w:jc w:val="right"/>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Std Error</w:t>
            </w:r>
          </w:p>
        </w:tc>
        <w:tc>
          <w:tcPr>
            <w:tcW w:w="2009" w:type="dxa"/>
            <w:tcBorders>
              <w:top w:val="single" w:sz="8" w:space="0" w:color="A32020" w:themeColor="accent1"/>
              <w:left w:val="nil"/>
              <w:bottom w:val="single" w:sz="8" w:space="0" w:color="A32020" w:themeColor="accent1"/>
              <w:right w:val="nil"/>
            </w:tcBorders>
            <w:vAlign w:val="bottom"/>
          </w:tcPr>
          <w:p w:rsidR="00E967E6" w:rsidRPr="0076167C" w:rsidRDefault="00E967E6" w:rsidP="00E967E6">
            <w:pPr>
              <w:jc w:val="center"/>
              <w:rPr>
                <w:rFonts w:asciiTheme="minorHAnsi" w:hAnsiTheme="minorHAnsi" w:cstheme="minorHAnsi"/>
                <w:b/>
                <w:bCs/>
                <w:color w:val="A32020"/>
                <w:sz w:val="16"/>
                <w:szCs w:val="16"/>
              </w:rPr>
            </w:pPr>
            <w:r w:rsidRPr="0076167C">
              <w:rPr>
                <w:rFonts w:asciiTheme="minorHAnsi" w:hAnsiTheme="minorHAnsi" w:cstheme="minorHAnsi"/>
                <w:b/>
                <w:bCs/>
                <w:color w:val="A32020"/>
                <w:sz w:val="16"/>
                <w:szCs w:val="16"/>
              </w:rPr>
              <w:t>Comments</w:t>
            </w: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I04B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Knee Replacement W/O Catastrophic Or Severe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5.70</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25,079</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142,893</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153,629</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6.1</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vMerge w:val="restart"/>
            <w:tcBorders>
              <w:top w:val="nil"/>
              <w:left w:val="nil"/>
              <w:right w:val="nil"/>
            </w:tcBorders>
            <w:vAlign w:val="bottom"/>
          </w:tcPr>
          <w:p w:rsidR="00872ECF" w:rsidRPr="0076167C" w:rsidRDefault="00872ECF" w:rsidP="00E967E6">
            <w:pPr>
              <w:rPr>
                <w:rFonts w:asciiTheme="minorHAnsi" w:hAnsiTheme="minorHAnsi" w:cstheme="minorHAnsi"/>
                <w:color w:val="000000"/>
                <w:sz w:val="16"/>
                <w:szCs w:val="16"/>
              </w:rPr>
            </w:pPr>
            <w:proofErr w:type="spellStart"/>
            <w:r w:rsidRPr="0076167C">
              <w:rPr>
                <w:rFonts w:asciiTheme="minorHAnsi" w:hAnsiTheme="minorHAnsi" w:cstheme="minorHAnsi"/>
                <w:color w:val="000000"/>
                <w:sz w:val="16"/>
                <w:szCs w:val="16"/>
              </w:rPr>
              <w:t>i</w:t>
            </w:r>
            <w:proofErr w:type="spellEnd"/>
            <w:r w:rsidRPr="0076167C">
              <w:rPr>
                <w:rFonts w:asciiTheme="minorHAnsi" w:hAnsiTheme="minorHAnsi" w:cstheme="minorHAnsi"/>
                <w:color w:val="000000"/>
                <w:sz w:val="16"/>
                <w:szCs w:val="16"/>
              </w:rPr>
              <w:t>) These twenty DRGs represent 24% of total separations in 2011/12, and are estimated to consume 34% of total resources as measured by the number of cost-weighted separations.</w:t>
            </w:r>
          </w:p>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I03B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Hip Replacement W/O Catastrophic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5.29</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19,918</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105,453</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129,880</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6.5</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I09B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Spinal Fusion W/O Catastrophic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8.85</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10,871</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96,234</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70,280</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6.5</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0.03</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O01C</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Caesarean Delivery W/O Catastrophic Or Severe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1.89</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33,837</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63,904</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168,411</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5.0</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I16Z</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Other Shoulder Procedures</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1.37</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36,362</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49,859</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47,047</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O60B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Vaginal Delivery W/O Catastrophic Or Severe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1.34</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36,425</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48,819</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150,076</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4.1</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R63Z</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Chemotherapy</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0.20</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192,612</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37,713</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192,650</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I18Z</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Other Knee Procedures</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0.58</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62,946</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36,427</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70,002</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vMerge/>
            <w:tcBorders>
              <w:left w:val="nil"/>
              <w:bottom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F42B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Circulatory Disorders W/O Ami W Invasive Cardiac </w:t>
            </w:r>
            <w:proofErr w:type="spellStart"/>
            <w:r w:rsidRPr="0076167C">
              <w:rPr>
                <w:rFonts w:asciiTheme="minorHAnsi" w:hAnsiTheme="minorHAnsi" w:cstheme="minorHAnsi"/>
                <w:color w:val="000000"/>
                <w:sz w:val="16"/>
                <w:szCs w:val="16"/>
              </w:rPr>
              <w:t>Inves</w:t>
            </w:r>
            <w:proofErr w:type="spellEnd"/>
            <w:r w:rsidRPr="0076167C">
              <w:rPr>
                <w:rFonts w:asciiTheme="minorHAnsi" w:hAnsiTheme="minorHAnsi" w:cstheme="minorHAnsi"/>
                <w:color w:val="000000"/>
                <w:sz w:val="16"/>
                <w:szCs w:val="16"/>
              </w:rPr>
              <w:t xml:space="preserve"> </w:t>
            </w:r>
            <w:proofErr w:type="spellStart"/>
            <w:r w:rsidRPr="0076167C">
              <w:rPr>
                <w:rFonts w:asciiTheme="minorHAnsi" w:hAnsiTheme="minorHAnsi" w:cstheme="minorHAnsi"/>
                <w:color w:val="000000"/>
                <w:sz w:val="16"/>
                <w:szCs w:val="16"/>
              </w:rPr>
              <w:t>Proc</w:t>
            </w:r>
            <w:proofErr w:type="spellEnd"/>
            <w:r w:rsidRPr="0076167C">
              <w:rPr>
                <w:rFonts w:asciiTheme="minorHAnsi" w:hAnsiTheme="minorHAnsi" w:cstheme="minorHAnsi"/>
                <w:color w:val="000000"/>
                <w:sz w:val="16"/>
                <w:szCs w:val="16"/>
              </w:rPr>
              <w:t xml:space="preserve"> W/O Cat Or </w:t>
            </w:r>
            <w:proofErr w:type="spellStart"/>
            <w:r w:rsidRPr="0076167C">
              <w:rPr>
                <w:rFonts w:asciiTheme="minorHAnsi" w:hAnsiTheme="minorHAnsi" w:cstheme="minorHAnsi"/>
                <w:color w:val="000000"/>
                <w:sz w:val="16"/>
                <w:szCs w:val="16"/>
              </w:rPr>
              <w:t>Sev</w:t>
            </w:r>
            <w:proofErr w:type="spellEnd"/>
            <w:r w:rsidRPr="0076167C">
              <w:rPr>
                <w:rFonts w:asciiTheme="minorHAnsi" w:hAnsiTheme="minorHAnsi" w:cstheme="minorHAnsi"/>
                <w:color w:val="000000"/>
                <w:sz w:val="16"/>
                <w:szCs w:val="16"/>
              </w:rPr>
              <w:t xml:space="preserve">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1.20</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26,873</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32,161</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55,517</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2.1</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vMerge w:val="restart"/>
            <w:tcBorders>
              <w:top w:val="nil"/>
              <w:left w:val="nil"/>
              <w:right w:val="nil"/>
            </w:tcBorders>
            <w:vAlign w:val="bottom"/>
          </w:tcPr>
          <w:p w:rsidR="002263E0" w:rsidRPr="0076167C" w:rsidRDefault="00872ECF" w:rsidP="002263E0">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ii) The rankings are broadly consistent with the Round</w:t>
            </w:r>
            <w:r w:rsidR="002263E0">
              <w:rPr>
                <w:rFonts w:asciiTheme="minorHAnsi" w:hAnsiTheme="minorHAnsi" w:cstheme="minorHAnsi"/>
                <w:color w:val="000000"/>
                <w:sz w:val="16"/>
                <w:szCs w:val="16"/>
              </w:rPr>
              <w:t xml:space="preserve"> 13 rankings, where available.</w:t>
            </w:r>
            <w:r w:rsidR="002263E0">
              <w:rPr>
                <w:rFonts w:asciiTheme="minorHAnsi" w:hAnsiTheme="minorHAnsi" w:cstheme="minorHAnsi"/>
                <w:color w:val="000000"/>
                <w:sz w:val="16"/>
                <w:szCs w:val="16"/>
              </w:rPr>
              <w:tab/>
            </w:r>
          </w:p>
          <w:p w:rsidR="00872ECF" w:rsidRPr="0076167C" w:rsidRDefault="00872ECF" w:rsidP="00872ECF">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F12B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Implantation Or Replacement Of Pacemaker, Total System W/O Catastrophic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4.48</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7,168</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32,113</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22,913</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3.2</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0.02</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G10B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Hernia Procedures W/O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0.83</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38,188</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31,535</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49,845</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F01B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Implantation Or Replacement Of </w:t>
            </w:r>
            <w:proofErr w:type="spellStart"/>
            <w:r w:rsidRPr="0076167C">
              <w:rPr>
                <w:rFonts w:asciiTheme="minorHAnsi" w:hAnsiTheme="minorHAnsi" w:cstheme="minorHAnsi"/>
                <w:color w:val="000000"/>
                <w:sz w:val="16"/>
                <w:szCs w:val="16"/>
              </w:rPr>
              <w:t>Aicd</w:t>
            </w:r>
            <w:proofErr w:type="spellEnd"/>
            <w:r w:rsidRPr="0076167C">
              <w:rPr>
                <w:rFonts w:asciiTheme="minorHAnsi" w:hAnsiTheme="minorHAnsi" w:cstheme="minorHAnsi"/>
                <w:color w:val="000000"/>
                <w:sz w:val="16"/>
                <w:szCs w:val="16"/>
              </w:rPr>
              <w:t>, Total System W/O Catastrophic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12.76</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2,437</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31,106</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6,308</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2.6</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0.10</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I10B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Other Back And Neck Procedures W/O Catastrophic Or Severe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1.72</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15,914</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27,396</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60,540</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3.8</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vMerge/>
            <w:tcBorders>
              <w:left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872ECF"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872ECF" w:rsidRPr="0076167C" w:rsidRDefault="00872ECF"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w:t>
            </w:r>
          </w:p>
        </w:tc>
        <w:tc>
          <w:tcPr>
            <w:tcW w:w="85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F15B</w:t>
            </w:r>
          </w:p>
        </w:tc>
        <w:tc>
          <w:tcPr>
            <w:tcW w:w="6291" w:type="dxa"/>
            <w:tcBorders>
              <w:top w:val="nil"/>
              <w:left w:val="nil"/>
              <w:bottom w:val="nil"/>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Interventional Coronary </w:t>
            </w:r>
            <w:proofErr w:type="spellStart"/>
            <w:r w:rsidRPr="0076167C">
              <w:rPr>
                <w:rFonts w:asciiTheme="minorHAnsi" w:hAnsiTheme="minorHAnsi" w:cstheme="minorHAnsi"/>
                <w:color w:val="000000"/>
                <w:sz w:val="16"/>
                <w:szCs w:val="16"/>
              </w:rPr>
              <w:t>Procs</w:t>
            </w:r>
            <w:proofErr w:type="spellEnd"/>
            <w:r w:rsidRPr="0076167C">
              <w:rPr>
                <w:rFonts w:asciiTheme="minorHAnsi" w:hAnsiTheme="minorHAnsi" w:cstheme="minorHAnsi"/>
                <w:color w:val="000000"/>
                <w:sz w:val="16"/>
                <w:szCs w:val="16"/>
              </w:rPr>
              <w:t xml:space="preserve"> W/O Ami W Stent Implantation W/O Cat Or </w:t>
            </w:r>
            <w:proofErr w:type="spellStart"/>
            <w:r w:rsidRPr="0076167C">
              <w:rPr>
                <w:rFonts w:asciiTheme="minorHAnsi" w:hAnsiTheme="minorHAnsi" w:cstheme="minorHAnsi"/>
                <w:color w:val="000000"/>
                <w:sz w:val="16"/>
                <w:szCs w:val="16"/>
              </w:rPr>
              <w:t>Sev</w:t>
            </w:r>
            <w:proofErr w:type="spellEnd"/>
            <w:r w:rsidRPr="0076167C">
              <w:rPr>
                <w:rFonts w:asciiTheme="minorHAnsi" w:hAnsiTheme="minorHAnsi" w:cstheme="minorHAnsi"/>
                <w:color w:val="000000"/>
                <w:sz w:val="16"/>
                <w:szCs w:val="16"/>
              </w:rPr>
              <w:t xml:space="preserve"> Cc</w:t>
            </w:r>
          </w:p>
        </w:tc>
        <w:tc>
          <w:tcPr>
            <w:tcW w:w="621"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2.36</w:t>
            </w:r>
          </w:p>
        </w:tc>
        <w:tc>
          <w:tcPr>
            <w:tcW w:w="1017"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10,971</w:t>
            </w:r>
          </w:p>
        </w:tc>
        <w:tc>
          <w:tcPr>
            <w:tcW w:w="1134"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25,918</w:t>
            </w:r>
          </w:p>
        </w:tc>
        <w:tc>
          <w:tcPr>
            <w:tcW w:w="1109"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20,604</w:t>
            </w:r>
          </w:p>
        </w:tc>
        <w:tc>
          <w:tcPr>
            <w:tcW w:w="992" w:type="dxa"/>
            <w:tcBorders>
              <w:top w:val="nil"/>
              <w:left w:val="nil"/>
              <w:bottom w:val="nil"/>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w:t>
            </w:r>
          </w:p>
        </w:tc>
        <w:tc>
          <w:tcPr>
            <w:tcW w:w="709" w:type="dxa"/>
            <w:tcBorders>
              <w:top w:val="nil"/>
              <w:left w:val="nil"/>
              <w:bottom w:val="nil"/>
              <w:right w:val="nil"/>
            </w:tcBorders>
            <w:vAlign w:val="bottom"/>
          </w:tcPr>
          <w:p w:rsidR="00872ECF" w:rsidRPr="0076167C" w:rsidRDefault="00872ECF"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vMerge/>
            <w:tcBorders>
              <w:left w:val="nil"/>
              <w:bottom w:val="nil"/>
              <w:right w:val="nil"/>
            </w:tcBorders>
            <w:vAlign w:val="bottom"/>
          </w:tcPr>
          <w:p w:rsidR="00872ECF" w:rsidRPr="0076167C" w:rsidRDefault="00872ECF"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E967E6" w:rsidRPr="0076167C" w:rsidRDefault="00E967E6"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15</w:t>
            </w:r>
          </w:p>
        </w:tc>
        <w:tc>
          <w:tcPr>
            <w:tcW w:w="85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F04A</w:t>
            </w:r>
          </w:p>
        </w:tc>
        <w:tc>
          <w:tcPr>
            <w:tcW w:w="629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xml:space="preserve">Cardiac Valve </w:t>
            </w:r>
            <w:proofErr w:type="spellStart"/>
            <w:r w:rsidRPr="0076167C">
              <w:rPr>
                <w:rFonts w:asciiTheme="minorHAnsi" w:hAnsiTheme="minorHAnsi" w:cstheme="minorHAnsi"/>
                <w:color w:val="000000"/>
                <w:sz w:val="16"/>
                <w:szCs w:val="16"/>
              </w:rPr>
              <w:t>Proc</w:t>
            </w:r>
            <w:proofErr w:type="spellEnd"/>
            <w:r w:rsidRPr="0076167C">
              <w:rPr>
                <w:rFonts w:asciiTheme="minorHAnsi" w:hAnsiTheme="minorHAnsi" w:cstheme="minorHAnsi"/>
                <w:color w:val="000000"/>
                <w:sz w:val="16"/>
                <w:szCs w:val="16"/>
              </w:rPr>
              <w:t xml:space="preserve"> W </w:t>
            </w:r>
            <w:proofErr w:type="spellStart"/>
            <w:r w:rsidRPr="0076167C">
              <w:rPr>
                <w:rFonts w:asciiTheme="minorHAnsi" w:hAnsiTheme="minorHAnsi" w:cstheme="minorHAnsi"/>
                <w:color w:val="000000"/>
                <w:sz w:val="16"/>
                <w:szCs w:val="16"/>
              </w:rPr>
              <w:t>Cpb</w:t>
            </w:r>
            <w:proofErr w:type="spellEnd"/>
            <w:r w:rsidRPr="0076167C">
              <w:rPr>
                <w:rFonts w:asciiTheme="minorHAnsi" w:hAnsiTheme="minorHAnsi" w:cstheme="minorHAnsi"/>
                <w:color w:val="000000"/>
                <w:sz w:val="16"/>
                <w:szCs w:val="16"/>
              </w:rPr>
              <w:t xml:space="preserve"> Pump W/O Invasive Cardiac </w:t>
            </w:r>
            <w:proofErr w:type="spellStart"/>
            <w:r w:rsidRPr="0076167C">
              <w:rPr>
                <w:rFonts w:asciiTheme="minorHAnsi" w:hAnsiTheme="minorHAnsi" w:cstheme="minorHAnsi"/>
                <w:color w:val="000000"/>
                <w:sz w:val="16"/>
                <w:szCs w:val="16"/>
              </w:rPr>
              <w:t>Inves</w:t>
            </w:r>
            <w:proofErr w:type="spellEnd"/>
            <w:r w:rsidRPr="0076167C">
              <w:rPr>
                <w:rFonts w:asciiTheme="minorHAnsi" w:hAnsiTheme="minorHAnsi" w:cstheme="minorHAnsi"/>
                <w:color w:val="000000"/>
                <w:sz w:val="16"/>
                <w:szCs w:val="16"/>
              </w:rPr>
              <w:t xml:space="preserve"> W Cat Cc</w:t>
            </w:r>
          </w:p>
        </w:tc>
        <w:tc>
          <w:tcPr>
            <w:tcW w:w="621"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11.50</w:t>
            </w:r>
          </w:p>
        </w:tc>
        <w:tc>
          <w:tcPr>
            <w:tcW w:w="1017"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2,253</w:t>
            </w:r>
          </w:p>
        </w:tc>
        <w:tc>
          <w:tcPr>
            <w:tcW w:w="1134"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25,907</w:t>
            </w:r>
          </w:p>
        </w:tc>
        <w:tc>
          <w:tcPr>
            <w:tcW w:w="1109"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30,859</w:t>
            </w:r>
          </w:p>
        </w:tc>
        <w:tc>
          <w:tcPr>
            <w:tcW w:w="992"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13.7</w:t>
            </w:r>
          </w:p>
        </w:tc>
        <w:tc>
          <w:tcPr>
            <w:tcW w:w="709" w:type="dxa"/>
            <w:tcBorders>
              <w:top w:val="nil"/>
              <w:left w:val="nil"/>
              <w:bottom w:val="nil"/>
              <w:right w:val="nil"/>
            </w:tcBorders>
            <w:vAlign w:val="bottom"/>
          </w:tcPr>
          <w:p w:rsidR="00E967E6" w:rsidRPr="0076167C" w:rsidRDefault="00E967E6"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0.06</w:t>
            </w:r>
          </w:p>
        </w:tc>
        <w:tc>
          <w:tcPr>
            <w:tcW w:w="2113" w:type="dxa"/>
            <w:gridSpan w:val="2"/>
            <w:tcBorders>
              <w:top w:val="nil"/>
              <w:left w:val="nil"/>
              <w:bottom w:val="nil"/>
              <w:right w:val="nil"/>
            </w:tcBorders>
            <w:vAlign w:val="bottom"/>
          </w:tcPr>
          <w:p w:rsidR="00E967E6" w:rsidRPr="0076167C" w:rsidRDefault="00E967E6"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E967E6" w:rsidRPr="0076167C" w:rsidRDefault="00E967E6"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16</w:t>
            </w:r>
          </w:p>
        </w:tc>
        <w:tc>
          <w:tcPr>
            <w:tcW w:w="85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I04A</w:t>
            </w:r>
          </w:p>
        </w:tc>
        <w:tc>
          <w:tcPr>
            <w:tcW w:w="629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Knee Replacement W Catastrophic Or Severe Cc</w:t>
            </w:r>
          </w:p>
        </w:tc>
        <w:tc>
          <w:tcPr>
            <w:tcW w:w="621"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6.65</w:t>
            </w:r>
          </w:p>
        </w:tc>
        <w:tc>
          <w:tcPr>
            <w:tcW w:w="1017"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3,800</w:t>
            </w:r>
          </w:p>
        </w:tc>
        <w:tc>
          <w:tcPr>
            <w:tcW w:w="1134"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25,259</w:t>
            </w:r>
          </w:p>
        </w:tc>
        <w:tc>
          <w:tcPr>
            <w:tcW w:w="1109"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32,685</w:t>
            </w:r>
          </w:p>
        </w:tc>
        <w:tc>
          <w:tcPr>
            <w:tcW w:w="992"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8.6</w:t>
            </w:r>
          </w:p>
        </w:tc>
        <w:tc>
          <w:tcPr>
            <w:tcW w:w="709" w:type="dxa"/>
            <w:tcBorders>
              <w:top w:val="nil"/>
              <w:left w:val="nil"/>
              <w:bottom w:val="nil"/>
              <w:right w:val="nil"/>
            </w:tcBorders>
            <w:vAlign w:val="bottom"/>
          </w:tcPr>
          <w:p w:rsidR="00E967E6" w:rsidRPr="0076167C" w:rsidRDefault="00E967E6"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0.05</w:t>
            </w:r>
          </w:p>
        </w:tc>
        <w:tc>
          <w:tcPr>
            <w:tcW w:w="2113" w:type="dxa"/>
            <w:gridSpan w:val="2"/>
            <w:tcBorders>
              <w:top w:val="nil"/>
              <w:left w:val="nil"/>
              <w:bottom w:val="nil"/>
              <w:right w:val="nil"/>
            </w:tcBorders>
            <w:vAlign w:val="bottom"/>
          </w:tcPr>
          <w:p w:rsidR="00E967E6" w:rsidRPr="0076167C" w:rsidRDefault="00E967E6"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238"/>
        </w:trPr>
        <w:tc>
          <w:tcPr>
            <w:tcW w:w="709" w:type="dxa"/>
            <w:tcBorders>
              <w:top w:val="nil"/>
              <w:left w:val="nil"/>
              <w:bottom w:val="nil"/>
              <w:right w:val="nil"/>
            </w:tcBorders>
            <w:shd w:val="clear" w:color="auto" w:fill="auto"/>
            <w:noWrap/>
            <w:vAlign w:val="bottom"/>
            <w:hideMark/>
          </w:tcPr>
          <w:p w:rsidR="00E967E6" w:rsidRPr="0076167C" w:rsidRDefault="00E967E6"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w:t>
            </w:r>
          </w:p>
        </w:tc>
        <w:tc>
          <w:tcPr>
            <w:tcW w:w="85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I13B</w:t>
            </w:r>
          </w:p>
        </w:tc>
        <w:tc>
          <w:tcPr>
            <w:tcW w:w="629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proofErr w:type="spellStart"/>
            <w:r w:rsidRPr="0076167C">
              <w:rPr>
                <w:rFonts w:asciiTheme="minorHAnsi" w:hAnsiTheme="minorHAnsi" w:cstheme="minorHAnsi"/>
                <w:color w:val="000000"/>
                <w:sz w:val="16"/>
                <w:szCs w:val="16"/>
              </w:rPr>
              <w:t>Humerus</w:t>
            </w:r>
            <w:proofErr w:type="spellEnd"/>
            <w:r w:rsidRPr="0076167C">
              <w:rPr>
                <w:rFonts w:asciiTheme="minorHAnsi" w:hAnsiTheme="minorHAnsi" w:cstheme="minorHAnsi"/>
                <w:color w:val="000000"/>
                <w:sz w:val="16"/>
                <w:szCs w:val="16"/>
              </w:rPr>
              <w:t>, Tibia, Fibula And Ankle Procedures W/O Cc</w:t>
            </w:r>
          </w:p>
        </w:tc>
        <w:tc>
          <w:tcPr>
            <w:tcW w:w="621"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1.74</w:t>
            </w:r>
          </w:p>
        </w:tc>
        <w:tc>
          <w:tcPr>
            <w:tcW w:w="1017"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14,297</w:t>
            </w:r>
          </w:p>
        </w:tc>
        <w:tc>
          <w:tcPr>
            <w:tcW w:w="1134"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24,897</w:t>
            </w:r>
          </w:p>
        </w:tc>
        <w:tc>
          <w:tcPr>
            <w:tcW w:w="1109"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34,269</w:t>
            </w:r>
          </w:p>
        </w:tc>
        <w:tc>
          <w:tcPr>
            <w:tcW w:w="992"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2.4</w:t>
            </w:r>
          </w:p>
        </w:tc>
        <w:tc>
          <w:tcPr>
            <w:tcW w:w="709" w:type="dxa"/>
            <w:tcBorders>
              <w:top w:val="nil"/>
              <w:left w:val="nil"/>
              <w:bottom w:val="nil"/>
              <w:right w:val="nil"/>
            </w:tcBorders>
            <w:vAlign w:val="bottom"/>
          </w:tcPr>
          <w:p w:rsidR="00E967E6" w:rsidRPr="0076167C" w:rsidRDefault="00E967E6"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tcBorders>
              <w:top w:val="nil"/>
              <w:left w:val="nil"/>
              <w:bottom w:val="nil"/>
              <w:right w:val="nil"/>
            </w:tcBorders>
            <w:vAlign w:val="bottom"/>
          </w:tcPr>
          <w:p w:rsidR="00E967E6" w:rsidRPr="0076167C" w:rsidRDefault="00E967E6"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253"/>
        </w:trPr>
        <w:tc>
          <w:tcPr>
            <w:tcW w:w="709" w:type="dxa"/>
            <w:tcBorders>
              <w:top w:val="nil"/>
              <w:left w:val="nil"/>
              <w:bottom w:val="nil"/>
              <w:right w:val="nil"/>
            </w:tcBorders>
            <w:shd w:val="clear" w:color="auto" w:fill="auto"/>
            <w:noWrap/>
            <w:vAlign w:val="bottom"/>
            <w:hideMark/>
          </w:tcPr>
          <w:p w:rsidR="00E967E6" w:rsidRPr="0076167C" w:rsidRDefault="00E967E6"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18</w:t>
            </w:r>
          </w:p>
        </w:tc>
        <w:tc>
          <w:tcPr>
            <w:tcW w:w="85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D40Z</w:t>
            </w:r>
          </w:p>
        </w:tc>
        <w:tc>
          <w:tcPr>
            <w:tcW w:w="6291" w:type="dxa"/>
            <w:tcBorders>
              <w:top w:val="nil"/>
              <w:left w:val="nil"/>
              <w:bottom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Dental Extractions And Restorations</w:t>
            </w:r>
          </w:p>
        </w:tc>
        <w:tc>
          <w:tcPr>
            <w:tcW w:w="621"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0.38</w:t>
            </w:r>
          </w:p>
        </w:tc>
        <w:tc>
          <w:tcPr>
            <w:tcW w:w="1017"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60,903</w:t>
            </w:r>
          </w:p>
        </w:tc>
        <w:tc>
          <w:tcPr>
            <w:tcW w:w="1134"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23,332</w:t>
            </w:r>
          </w:p>
        </w:tc>
        <w:tc>
          <w:tcPr>
            <w:tcW w:w="1109"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61,197</w:t>
            </w:r>
          </w:p>
        </w:tc>
        <w:tc>
          <w:tcPr>
            <w:tcW w:w="992" w:type="dxa"/>
            <w:tcBorders>
              <w:top w:val="nil"/>
              <w:left w:val="nil"/>
              <w:bottom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w:t>
            </w:r>
          </w:p>
        </w:tc>
        <w:tc>
          <w:tcPr>
            <w:tcW w:w="709" w:type="dxa"/>
            <w:tcBorders>
              <w:top w:val="nil"/>
              <w:left w:val="nil"/>
              <w:bottom w:val="nil"/>
              <w:right w:val="nil"/>
            </w:tcBorders>
            <w:vAlign w:val="bottom"/>
          </w:tcPr>
          <w:p w:rsidR="00E967E6" w:rsidRPr="0076167C" w:rsidRDefault="00E967E6"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tcBorders>
              <w:top w:val="nil"/>
              <w:left w:val="nil"/>
              <w:right w:val="nil"/>
            </w:tcBorders>
            <w:vAlign w:val="bottom"/>
          </w:tcPr>
          <w:p w:rsidR="00E967E6" w:rsidRPr="0076167C" w:rsidRDefault="00E967E6"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253"/>
        </w:trPr>
        <w:tc>
          <w:tcPr>
            <w:tcW w:w="709" w:type="dxa"/>
            <w:tcBorders>
              <w:top w:val="nil"/>
              <w:left w:val="nil"/>
              <w:right w:val="nil"/>
            </w:tcBorders>
            <w:shd w:val="clear" w:color="auto" w:fill="auto"/>
            <w:noWrap/>
            <w:vAlign w:val="bottom"/>
            <w:hideMark/>
          </w:tcPr>
          <w:p w:rsidR="00E967E6" w:rsidRPr="0076167C" w:rsidRDefault="00E967E6"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w:t>
            </w:r>
          </w:p>
        </w:tc>
        <w:tc>
          <w:tcPr>
            <w:tcW w:w="851" w:type="dxa"/>
            <w:tcBorders>
              <w:top w:val="nil"/>
              <w:left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K04B</w:t>
            </w:r>
          </w:p>
        </w:tc>
        <w:tc>
          <w:tcPr>
            <w:tcW w:w="6291" w:type="dxa"/>
            <w:tcBorders>
              <w:top w:val="nil"/>
              <w:left w:val="nil"/>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Major Procedures For Obesity W/O Cc</w:t>
            </w:r>
          </w:p>
        </w:tc>
        <w:tc>
          <w:tcPr>
            <w:tcW w:w="621" w:type="dxa"/>
            <w:tcBorders>
              <w:top w:val="nil"/>
              <w:left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2.51</w:t>
            </w:r>
          </w:p>
        </w:tc>
        <w:tc>
          <w:tcPr>
            <w:tcW w:w="1017" w:type="dxa"/>
            <w:tcBorders>
              <w:top w:val="nil"/>
              <w:left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9,103</w:t>
            </w:r>
          </w:p>
        </w:tc>
        <w:tc>
          <w:tcPr>
            <w:tcW w:w="1134" w:type="dxa"/>
            <w:tcBorders>
              <w:top w:val="nil"/>
              <w:left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22,862</w:t>
            </w:r>
          </w:p>
        </w:tc>
        <w:tc>
          <w:tcPr>
            <w:tcW w:w="1109" w:type="dxa"/>
            <w:tcBorders>
              <w:top w:val="nil"/>
              <w:left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17,103</w:t>
            </w:r>
          </w:p>
        </w:tc>
        <w:tc>
          <w:tcPr>
            <w:tcW w:w="992" w:type="dxa"/>
            <w:tcBorders>
              <w:top w:val="nil"/>
              <w:left w:val="nil"/>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1.9</w:t>
            </w:r>
          </w:p>
        </w:tc>
        <w:tc>
          <w:tcPr>
            <w:tcW w:w="709" w:type="dxa"/>
            <w:tcBorders>
              <w:top w:val="nil"/>
              <w:left w:val="nil"/>
              <w:right w:val="nil"/>
            </w:tcBorders>
            <w:vAlign w:val="bottom"/>
          </w:tcPr>
          <w:p w:rsidR="00E967E6" w:rsidRPr="0076167C" w:rsidRDefault="00E967E6"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0.01</w:t>
            </w:r>
          </w:p>
        </w:tc>
        <w:tc>
          <w:tcPr>
            <w:tcW w:w="2113" w:type="dxa"/>
            <w:gridSpan w:val="2"/>
            <w:tcBorders>
              <w:top w:val="nil"/>
              <w:left w:val="nil"/>
              <w:right w:val="nil"/>
            </w:tcBorders>
            <w:vAlign w:val="bottom"/>
          </w:tcPr>
          <w:p w:rsidR="00E967E6" w:rsidRPr="0076167C" w:rsidRDefault="00E967E6"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253"/>
        </w:trPr>
        <w:tc>
          <w:tcPr>
            <w:tcW w:w="709" w:type="dxa"/>
            <w:tcBorders>
              <w:top w:val="nil"/>
              <w:left w:val="nil"/>
              <w:bottom w:val="single" w:sz="8" w:space="0" w:color="A32020" w:themeColor="accent1"/>
              <w:right w:val="nil"/>
            </w:tcBorders>
            <w:shd w:val="clear" w:color="auto" w:fill="auto"/>
            <w:noWrap/>
            <w:vAlign w:val="bottom"/>
            <w:hideMark/>
          </w:tcPr>
          <w:p w:rsidR="00E967E6" w:rsidRPr="0076167C" w:rsidRDefault="00E967E6" w:rsidP="00E967E6">
            <w:pPr>
              <w:ind w:firstLineChars="100" w:firstLine="160"/>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20</w:t>
            </w:r>
          </w:p>
        </w:tc>
        <w:tc>
          <w:tcPr>
            <w:tcW w:w="851"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C16Z</w:t>
            </w:r>
          </w:p>
        </w:tc>
        <w:tc>
          <w:tcPr>
            <w:tcW w:w="6291"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Lens Procedures</w:t>
            </w:r>
          </w:p>
        </w:tc>
        <w:tc>
          <w:tcPr>
            <w:tcW w:w="621"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0.45</w:t>
            </w:r>
          </w:p>
        </w:tc>
        <w:tc>
          <w:tcPr>
            <w:tcW w:w="1017"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49,440</w:t>
            </w:r>
          </w:p>
        </w:tc>
        <w:tc>
          <w:tcPr>
            <w:tcW w:w="1134"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22,274</w:t>
            </w:r>
          </w:p>
        </w:tc>
        <w:tc>
          <w:tcPr>
            <w:tcW w:w="1109"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49,789</w:t>
            </w:r>
          </w:p>
        </w:tc>
        <w:tc>
          <w:tcPr>
            <w:tcW w:w="992" w:type="dxa"/>
            <w:tcBorders>
              <w:top w:val="nil"/>
              <w:left w:val="nil"/>
              <w:bottom w:val="single" w:sz="8" w:space="0" w:color="A32020" w:themeColor="accent1"/>
              <w:right w:val="nil"/>
            </w:tcBorders>
            <w:shd w:val="clear" w:color="auto" w:fill="auto"/>
            <w:noWrap/>
            <w:vAlign w:val="bottom"/>
            <w:hideMark/>
          </w:tcPr>
          <w:p w:rsidR="00E967E6" w:rsidRPr="0076167C" w:rsidRDefault="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1.0</w:t>
            </w:r>
          </w:p>
        </w:tc>
        <w:tc>
          <w:tcPr>
            <w:tcW w:w="709" w:type="dxa"/>
            <w:tcBorders>
              <w:top w:val="nil"/>
              <w:left w:val="nil"/>
              <w:bottom w:val="single" w:sz="8" w:space="0" w:color="A32020" w:themeColor="accent1"/>
              <w:right w:val="nil"/>
            </w:tcBorders>
            <w:vAlign w:val="bottom"/>
          </w:tcPr>
          <w:p w:rsidR="00E967E6" w:rsidRPr="0076167C" w:rsidRDefault="00E967E6" w:rsidP="00E967E6">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0.00</w:t>
            </w:r>
          </w:p>
        </w:tc>
        <w:tc>
          <w:tcPr>
            <w:tcW w:w="2113" w:type="dxa"/>
            <w:gridSpan w:val="2"/>
            <w:tcBorders>
              <w:top w:val="nil"/>
              <w:left w:val="nil"/>
              <w:right w:val="nil"/>
            </w:tcBorders>
            <w:vAlign w:val="bottom"/>
          </w:tcPr>
          <w:p w:rsidR="00E967E6" w:rsidRPr="0076167C" w:rsidRDefault="00E967E6" w:rsidP="00E967E6">
            <w:pPr>
              <w:rPr>
                <w:rFonts w:asciiTheme="minorHAnsi" w:hAnsiTheme="minorHAnsi" w:cstheme="minorHAnsi"/>
                <w:color w:val="000000"/>
                <w:sz w:val="16"/>
                <w:szCs w:val="16"/>
              </w:rPr>
            </w:pPr>
          </w:p>
        </w:tc>
      </w:tr>
      <w:tr w:rsidR="00E967E6" w:rsidRPr="0076167C" w:rsidTr="00872ECF">
        <w:tblPrEx>
          <w:tblCellMar>
            <w:left w:w="108" w:type="dxa"/>
            <w:right w:w="108" w:type="dxa"/>
          </w:tblCellMar>
        </w:tblPrEx>
        <w:trPr>
          <w:trHeight w:val="331"/>
        </w:trPr>
        <w:tc>
          <w:tcPr>
            <w:tcW w:w="709" w:type="dxa"/>
            <w:tcBorders>
              <w:top w:val="single" w:sz="8" w:space="0" w:color="A32020" w:themeColor="accent1"/>
              <w:left w:val="nil"/>
              <w:bottom w:val="nil"/>
              <w:right w:val="nil"/>
            </w:tcBorders>
            <w:shd w:val="clear" w:color="auto" w:fill="auto"/>
            <w:noWrap/>
            <w:vAlign w:val="center"/>
            <w:hideMark/>
          </w:tcPr>
          <w:p w:rsidR="00E967E6" w:rsidRPr="0076167C" w:rsidRDefault="00E967E6" w:rsidP="006603C1">
            <w:pPr>
              <w:kinsoku/>
              <w:overflowPunct/>
              <w:autoSpaceDE/>
              <w:autoSpaceDN/>
              <w:adjustRightInd/>
              <w:snapToGrid/>
              <w:jc w:val="right"/>
              <w:rPr>
                <w:rFonts w:asciiTheme="minorHAnsi" w:hAnsiTheme="minorHAnsi" w:cstheme="minorHAnsi"/>
                <w:b/>
                <w:bCs/>
                <w:snapToGrid/>
                <w:color w:val="000000"/>
                <w:sz w:val="16"/>
                <w:szCs w:val="16"/>
                <w:lang w:eastAsia="en-AU"/>
              </w:rPr>
            </w:pPr>
          </w:p>
        </w:tc>
        <w:tc>
          <w:tcPr>
            <w:tcW w:w="7142" w:type="dxa"/>
            <w:gridSpan w:val="2"/>
            <w:tcBorders>
              <w:top w:val="single" w:sz="8" w:space="0" w:color="A32020" w:themeColor="accent1"/>
              <w:left w:val="nil"/>
              <w:bottom w:val="nil"/>
              <w:right w:val="nil"/>
            </w:tcBorders>
            <w:shd w:val="clear" w:color="auto" w:fill="auto"/>
            <w:noWrap/>
            <w:vAlign w:val="center"/>
            <w:hideMark/>
          </w:tcPr>
          <w:p w:rsidR="00E967E6" w:rsidRPr="0076167C" w:rsidRDefault="00E967E6" w:rsidP="00E967E6">
            <w:pPr>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Sub-total, top 20 highest cost-weighted separations</w:t>
            </w:r>
          </w:p>
        </w:tc>
        <w:tc>
          <w:tcPr>
            <w:tcW w:w="621" w:type="dxa"/>
            <w:tcBorders>
              <w:top w:val="single" w:sz="8" w:space="0" w:color="A32020" w:themeColor="accent1"/>
              <w:left w:val="nil"/>
              <w:bottom w:val="nil"/>
              <w:right w:val="nil"/>
            </w:tcBorders>
            <w:shd w:val="clear" w:color="auto" w:fill="auto"/>
            <w:noWrap/>
            <w:vAlign w:val="center"/>
            <w:hideMark/>
          </w:tcPr>
          <w:p w:rsidR="00E967E6" w:rsidRPr="0076167C" w:rsidRDefault="00E967E6">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1.37</w:t>
            </w:r>
          </w:p>
        </w:tc>
        <w:tc>
          <w:tcPr>
            <w:tcW w:w="1017" w:type="dxa"/>
            <w:tcBorders>
              <w:top w:val="single" w:sz="8" w:space="0" w:color="A32020" w:themeColor="accent1"/>
              <w:left w:val="nil"/>
              <w:bottom w:val="nil"/>
              <w:right w:val="nil"/>
            </w:tcBorders>
            <w:shd w:val="clear" w:color="auto" w:fill="auto"/>
            <w:noWrap/>
            <w:vAlign w:val="center"/>
            <w:hideMark/>
          </w:tcPr>
          <w:p w:rsidR="00E967E6" w:rsidRPr="0076167C" w:rsidRDefault="00E967E6">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659,395</w:t>
            </w:r>
          </w:p>
        </w:tc>
        <w:tc>
          <w:tcPr>
            <w:tcW w:w="1134" w:type="dxa"/>
            <w:tcBorders>
              <w:top w:val="single" w:sz="8" w:space="0" w:color="A32020" w:themeColor="accent1"/>
              <w:left w:val="nil"/>
              <w:bottom w:val="nil"/>
              <w:right w:val="nil"/>
            </w:tcBorders>
            <w:shd w:val="clear" w:color="auto" w:fill="auto"/>
            <w:noWrap/>
            <w:vAlign w:val="center"/>
            <w:hideMark/>
          </w:tcPr>
          <w:p w:rsidR="00E967E6" w:rsidRPr="0076167C" w:rsidRDefault="00E967E6">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906,062</w:t>
            </w:r>
          </w:p>
        </w:tc>
        <w:tc>
          <w:tcPr>
            <w:tcW w:w="1109" w:type="dxa"/>
            <w:tcBorders>
              <w:top w:val="single" w:sz="8" w:space="0" w:color="A32020" w:themeColor="accent1"/>
              <w:left w:val="nil"/>
              <w:bottom w:val="nil"/>
              <w:right w:val="nil"/>
            </w:tcBorders>
            <w:shd w:val="clear" w:color="auto" w:fill="auto"/>
            <w:noWrap/>
            <w:vAlign w:val="center"/>
            <w:hideMark/>
          </w:tcPr>
          <w:p w:rsidR="00E967E6" w:rsidRPr="0076167C" w:rsidRDefault="00E967E6">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1,423,604</w:t>
            </w:r>
          </w:p>
        </w:tc>
        <w:tc>
          <w:tcPr>
            <w:tcW w:w="992" w:type="dxa"/>
            <w:tcBorders>
              <w:top w:val="single" w:sz="8" w:space="0" w:color="A32020" w:themeColor="accent1"/>
              <w:left w:val="nil"/>
              <w:bottom w:val="nil"/>
              <w:right w:val="nil"/>
            </w:tcBorders>
            <w:shd w:val="clear" w:color="auto" w:fill="auto"/>
            <w:noWrap/>
            <w:vAlign w:val="center"/>
            <w:hideMark/>
          </w:tcPr>
          <w:p w:rsidR="00E967E6" w:rsidRPr="0076167C" w:rsidRDefault="00E967E6">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2.2</w:t>
            </w:r>
          </w:p>
        </w:tc>
        <w:tc>
          <w:tcPr>
            <w:tcW w:w="709" w:type="dxa"/>
            <w:tcBorders>
              <w:top w:val="single" w:sz="8" w:space="0" w:color="A32020" w:themeColor="accent1"/>
              <w:left w:val="nil"/>
              <w:bottom w:val="nil"/>
              <w:right w:val="nil"/>
            </w:tcBorders>
            <w:shd w:val="clear" w:color="auto" w:fill="auto"/>
            <w:noWrap/>
            <w:vAlign w:val="center"/>
            <w:hideMark/>
          </w:tcPr>
          <w:p w:rsidR="00E967E6" w:rsidRPr="0076167C" w:rsidRDefault="00E967E6" w:rsidP="006603C1">
            <w:pPr>
              <w:kinsoku/>
              <w:overflowPunct/>
              <w:autoSpaceDE/>
              <w:autoSpaceDN/>
              <w:adjustRightInd/>
              <w:snapToGrid/>
              <w:rPr>
                <w:rFonts w:asciiTheme="minorHAnsi" w:hAnsiTheme="minorHAnsi" w:cstheme="minorHAnsi"/>
                <w:snapToGrid/>
                <w:color w:val="000000"/>
                <w:sz w:val="16"/>
                <w:szCs w:val="16"/>
                <w:lang w:eastAsia="en-AU"/>
              </w:rPr>
            </w:pPr>
          </w:p>
        </w:tc>
        <w:tc>
          <w:tcPr>
            <w:tcW w:w="2113" w:type="dxa"/>
            <w:gridSpan w:val="2"/>
            <w:tcBorders>
              <w:left w:val="nil"/>
              <w:bottom w:val="nil"/>
              <w:right w:val="nil"/>
            </w:tcBorders>
            <w:vAlign w:val="center"/>
          </w:tcPr>
          <w:p w:rsidR="00E967E6" w:rsidRPr="0076167C" w:rsidRDefault="00E967E6" w:rsidP="00E967E6">
            <w:pPr>
              <w:kinsoku/>
              <w:overflowPunct/>
              <w:autoSpaceDE/>
              <w:autoSpaceDN/>
              <w:adjustRightInd/>
              <w:snapToGrid/>
              <w:rPr>
                <w:rFonts w:asciiTheme="minorHAnsi" w:hAnsiTheme="minorHAnsi" w:cstheme="minorHAnsi"/>
                <w:snapToGrid/>
                <w:color w:val="000000"/>
                <w:sz w:val="16"/>
                <w:szCs w:val="16"/>
                <w:lang w:eastAsia="en-AU"/>
              </w:rPr>
            </w:pPr>
          </w:p>
        </w:tc>
      </w:tr>
      <w:tr w:rsidR="00872ECF" w:rsidRPr="0076167C" w:rsidTr="00872ECF">
        <w:tblPrEx>
          <w:tblCellMar>
            <w:left w:w="108" w:type="dxa"/>
            <w:right w:w="108" w:type="dxa"/>
          </w:tblCellMar>
        </w:tblPrEx>
        <w:trPr>
          <w:trHeight w:val="238"/>
        </w:trPr>
        <w:tc>
          <w:tcPr>
            <w:tcW w:w="709" w:type="dxa"/>
            <w:tcBorders>
              <w:top w:val="nil"/>
              <w:left w:val="nil"/>
              <w:right w:val="nil"/>
            </w:tcBorders>
            <w:shd w:val="clear" w:color="auto" w:fill="auto"/>
            <w:noWrap/>
            <w:vAlign w:val="center"/>
            <w:hideMark/>
          </w:tcPr>
          <w:p w:rsidR="00872ECF" w:rsidRPr="0076167C" w:rsidRDefault="00872ECF" w:rsidP="006603C1">
            <w:pPr>
              <w:kinsoku/>
              <w:overflowPunct/>
              <w:autoSpaceDE/>
              <w:autoSpaceDN/>
              <w:adjustRightInd/>
              <w:snapToGrid/>
              <w:ind w:firstLineChars="100" w:firstLine="161"/>
              <w:jc w:val="right"/>
              <w:rPr>
                <w:rFonts w:asciiTheme="minorHAnsi" w:hAnsiTheme="minorHAnsi" w:cstheme="minorHAnsi"/>
                <w:b/>
                <w:bCs/>
                <w:snapToGrid/>
                <w:color w:val="000000"/>
                <w:sz w:val="16"/>
                <w:szCs w:val="16"/>
                <w:lang w:eastAsia="en-AU"/>
              </w:rPr>
            </w:pPr>
          </w:p>
        </w:tc>
        <w:tc>
          <w:tcPr>
            <w:tcW w:w="7142" w:type="dxa"/>
            <w:gridSpan w:val="2"/>
            <w:tcBorders>
              <w:top w:val="nil"/>
              <w:left w:val="nil"/>
              <w:right w:val="nil"/>
            </w:tcBorders>
            <w:shd w:val="clear" w:color="auto" w:fill="auto"/>
            <w:noWrap/>
            <w:vAlign w:val="center"/>
            <w:hideMark/>
          </w:tcPr>
          <w:p w:rsidR="00872ECF" w:rsidRPr="0076167C" w:rsidRDefault="00872ECF" w:rsidP="00872ECF">
            <w:pPr>
              <w:kinsoku/>
              <w:overflowPunct/>
              <w:autoSpaceDE/>
              <w:autoSpaceDN/>
              <w:adjustRightInd/>
              <w:snapToGrid/>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All DRGs</w:t>
            </w:r>
          </w:p>
        </w:tc>
        <w:tc>
          <w:tcPr>
            <w:tcW w:w="621" w:type="dxa"/>
            <w:tcBorders>
              <w:top w:val="nil"/>
              <w:left w:val="nil"/>
              <w:right w:val="nil"/>
            </w:tcBorders>
            <w:shd w:val="clear" w:color="auto" w:fill="auto"/>
            <w:noWrap/>
            <w:vAlign w:val="center"/>
            <w:hideMark/>
          </w:tcPr>
          <w:p w:rsidR="00872ECF" w:rsidRPr="0076167C" w:rsidRDefault="00872ECF" w:rsidP="00872ECF">
            <w:pPr>
              <w:kinsoku/>
              <w:overflowPunct/>
              <w:autoSpaceDE/>
              <w:autoSpaceDN/>
              <w:adjustRightInd/>
              <w:snapToGrid/>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 xml:space="preserve"> </w:t>
            </w:r>
          </w:p>
        </w:tc>
        <w:tc>
          <w:tcPr>
            <w:tcW w:w="1017" w:type="dxa"/>
            <w:tcBorders>
              <w:top w:val="nil"/>
              <w:left w:val="nil"/>
              <w:right w:val="nil"/>
            </w:tcBorders>
            <w:shd w:val="clear" w:color="auto" w:fill="auto"/>
            <w:noWrap/>
            <w:vAlign w:val="center"/>
            <w:hideMark/>
          </w:tcPr>
          <w:p w:rsidR="00872ECF" w:rsidRPr="0076167C" w:rsidRDefault="00872ECF">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2,703,792</w:t>
            </w:r>
          </w:p>
        </w:tc>
        <w:tc>
          <w:tcPr>
            <w:tcW w:w="1134" w:type="dxa"/>
            <w:tcBorders>
              <w:top w:val="nil"/>
              <w:left w:val="nil"/>
              <w:right w:val="nil"/>
            </w:tcBorders>
            <w:shd w:val="clear" w:color="auto" w:fill="auto"/>
            <w:noWrap/>
            <w:vAlign w:val="center"/>
            <w:hideMark/>
          </w:tcPr>
          <w:p w:rsidR="00872ECF" w:rsidRPr="0076167C" w:rsidRDefault="00872ECF">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2,703,792</w:t>
            </w:r>
          </w:p>
        </w:tc>
        <w:tc>
          <w:tcPr>
            <w:tcW w:w="1109" w:type="dxa"/>
            <w:tcBorders>
              <w:top w:val="nil"/>
              <w:left w:val="nil"/>
              <w:right w:val="nil"/>
            </w:tcBorders>
            <w:shd w:val="clear" w:color="auto" w:fill="auto"/>
            <w:noWrap/>
            <w:vAlign w:val="center"/>
            <w:hideMark/>
          </w:tcPr>
          <w:p w:rsidR="00872ECF" w:rsidRPr="0076167C" w:rsidRDefault="00872ECF">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6,820,000</w:t>
            </w:r>
          </w:p>
        </w:tc>
        <w:tc>
          <w:tcPr>
            <w:tcW w:w="992" w:type="dxa"/>
            <w:tcBorders>
              <w:top w:val="nil"/>
              <w:left w:val="nil"/>
              <w:right w:val="nil"/>
            </w:tcBorders>
            <w:shd w:val="clear" w:color="auto" w:fill="auto"/>
            <w:noWrap/>
            <w:vAlign w:val="center"/>
            <w:hideMark/>
          </w:tcPr>
          <w:p w:rsidR="00872ECF" w:rsidRPr="0076167C" w:rsidRDefault="00872ECF">
            <w:pPr>
              <w:jc w:val="right"/>
              <w:rPr>
                <w:rFonts w:asciiTheme="minorHAnsi" w:hAnsiTheme="minorHAnsi" w:cstheme="minorHAnsi"/>
                <w:b/>
                <w:bCs/>
                <w:color w:val="000000"/>
                <w:sz w:val="16"/>
                <w:szCs w:val="16"/>
              </w:rPr>
            </w:pPr>
            <w:r w:rsidRPr="0076167C">
              <w:rPr>
                <w:rFonts w:asciiTheme="minorHAnsi" w:hAnsiTheme="minorHAnsi" w:cstheme="minorHAnsi"/>
                <w:b/>
                <w:bCs/>
                <w:color w:val="000000"/>
                <w:sz w:val="16"/>
                <w:szCs w:val="16"/>
              </w:rPr>
              <w:t>2.5</w:t>
            </w:r>
          </w:p>
        </w:tc>
        <w:tc>
          <w:tcPr>
            <w:tcW w:w="709" w:type="dxa"/>
            <w:tcBorders>
              <w:top w:val="nil"/>
              <w:left w:val="nil"/>
              <w:right w:val="nil"/>
            </w:tcBorders>
            <w:vAlign w:val="center"/>
          </w:tcPr>
          <w:p w:rsidR="00872ECF" w:rsidRPr="0076167C" w:rsidRDefault="00872ECF" w:rsidP="00E967E6">
            <w:pPr>
              <w:kinsoku/>
              <w:overflowPunct/>
              <w:autoSpaceDE/>
              <w:autoSpaceDN/>
              <w:adjustRightInd/>
              <w:snapToGrid/>
              <w:rPr>
                <w:rFonts w:asciiTheme="minorHAnsi" w:hAnsiTheme="minorHAnsi" w:cstheme="minorHAnsi"/>
                <w:snapToGrid/>
                <w:color w:val="000000"/>
                <w:sz w:val="16"/>
                <w:szCs w:val="16"/>
                <w:lang w:eastAsia="en-AU"/>
              </w:rPr>
            </w:pPr>
          </w:p>
        </w:tc>
        <w:tc>
          <w:tcPr>
            <w:tcW w:w="2113" w:type="dxa"/>
            <w:gridSpan w:val="2"/>
            <w:tcBorders>
              <w:top w:val="nil"/>
              <w:left w:val="nil"/>
              <w:right w:val="nil"/>
            </w:tcBorders>
            <w:vAlign w:val="center"/>
          </w:tcPr>
          <w:p w:rsidR="00872ECF" w:rsidRPr="0076167C" w:rsidRDefault="00872ECF" w:rsidP="00E967E6">
            <w:pPr>
              <w:kinsoku/>
              <w:overflowPunct/>
              <w:autoSpaceDE/>
              <w:autoSpaceDN/>
              <w:adjustRightInd/>
              <w:snapToGrid/>
              <w:rPr>
                <w:rFonts w:asciiTheme="minorHAnsi" w:hAnsiTheme="minorHAnsi" w:cstheme="minorHAnsi"/>
                <w:snapToGrid/>
                <w:color w:val="000000"/>
                <w:sz w:val="16"/>
                <w:szCs w:val="16"/>
                <w:lang w:eastAsia="en-AU"/>
              </w:rPr>
            </w:pPr>
          </w:p>
        </w:tc>
      </w:tr>
      <w:tr w:rsidR="00872ECF" w:rsidRPr="0076167C" w:rsidTr="00872ECF">
        <w:tblPrEx>
          <w:tblCellMar>
            <w:left w:w="108" w:type="dxa"/>
            <w:right w:w="108" w:type="dxa"/>
          </w:tblCellMar>
        </w:tblPrEx>
        <w:trPr>
          <w:trHeight w:val="80"/>
        </w:trPr>
        <w:tc>
          <w:tcPr>
            <w:tcW w:w="709" w:type="dxa"/>
            <w:tcBorders>
              <w:top w:val="nil"/>
              <w:left w:val="nil"/>
              <w:bottom w:val="single" w:sz="4" w:space="0" w:color="A32020" w:themeColor="accent1"/>
              <w:right w:val="nil"/>
            </w:tcBorders>
            <w:shd w:val="clear" w:color="auto" w:fill="auto"/>
            <w:noWrap/>
            <w:vAlign w:val="bottom"/>
            <w:hideMark/>
          </w:tcPr>
          <w:p w:rsidR="00872ECF" w:rsidRPr="0076167C" w:rsidRDefault="00872ECF" w:rsidP="006603C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7142" w:type="dxa"/>
            <w:gridSpan w:val="2"/>
            <w:tcBorders>
              <w:top w:val="nil"/>
              <w:left w:val="nil"/>
              <w:bottom w:val="single" w:sz="4" w:space="0" w:color="A32020" w:themeColor="accent1"/>
              <w:right w:val="nil"/>
            </w:tcBorders>
            <w:shd w:val="clear" w:color="auto" w:fill="auto"/>
            <w:noWrap/>
            <w:vAlign w:val="bottom"/>
            <w:hideMark/>
          </w:tcPr>
          <w:p w:rsidR="00872ECF" w:rsidRPr="0076167C" w:rsidRDefault="00872ECF" w:rsidP="00E967E6">
            <w:pPr>
              <w:rPr>
                <w:rFonts w:asciiTheme="minorHAnsi" w:hAnsiTheme="minorHAnsi" w:cstheme="minorHAnsi"/>
                <w:color w:val="000000"/>
                <w:sz w:val="16"/>
                <w:szCs w:val="16"/>
              </w:rPr>
            </w:pPr>
            <w:r w:rsidRPr="0076167C">
              <w:rPr>
                <w:rFonts w:asciiTheme="minorHAnsi" w:hAnsiTheme="minorHAnsi" w:cstheme="minorHAnsi"/>
                <w:color w:val="000000"/>
                <w:sz w:val="16"/>
                <w:szCs w:val="16"/>
              </w:rPr>
              <w:t>Top 20 cost-weighted separations, % of all DRGs</w:t>
            </w:r>
          </w:p>
        </w:tc>
        <w:tc>
          <w:tcPr>
            <w:tcW w:w="621" w:type="dxa"/>
            <w:tcBorders>
              <w:top w:val="nil"/>
              <w:left w:val="nil"/>
              <w:bottom w:val="single" w:sz="4" w:space="0" w:color="A32020" w:themeColor="accent1"/>
              <w:right w:val="nil"/>
            </w:tcBorders>
            <w:shd w:val="clear" w:color="auto" w:fill="auto"/>
            <w:noWrap/>
            <w:vAlign w:val="bottom"/>
            <w:hideMark/>
          </w:tcPr>
          <w:p w:rsidR="00872ECF" w:rsidRPr="0076167C" w:rsidRDefault="00872ECF">
            <w:pPr>
              <w:rPr>
                <w:rFonts w:asciiTheme="minorHAnsi" w:hAnsiTheme="minorHAnsi" w:cstheme="minorHAnsi"/>
                <w:color w:val="000000"/>
                <w:sz w:val="16"/>
                <w:szCs w:val="16"/>
              </w:rPr>
            </w:pPr>
            <w:r w:rsidRPr="0076167C">
              <w:rPr>
                <w:rFonts w:asciiTheme="minorHAnsi" w:hAnsiTheme="minorHAnsi" w:cstheme="minorHAnsi"/>
                <w:color w:val="000000"/>
                <w:sz w:val="16"/>
                <w:szCs w:val="16"/>
              </w:rPr>
              <w:t> </w:t>
            </w:r>
          </w:p>
        </w:tc>
        <w:tc>
          <w:tcPr>
            <w:tcW w:w="1017" w:type="dxa"/>
            <w:tcBorders>
              <w:top w:val="nil"/>
              <w:left w:val="nil"/>
              <w:bottom w:val="single" w:sz="4" w:space="0" w:color="A32020" w:themeColor="accent1"/>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24%</w:t>
            </w:r>
          </w:p>
        </w:tc>
        <w:tc>
          <w:tcPr>
            <w:tcW w:w="1134" w:type="dxa"/>
            <w:tcBorders>
              <w:top w:val="nil"/>
              <w:left w:val="nil"/>
              <w:bottom w:val="single" w:sz="4" w:space="0" w:color="A32020" w:themeColor="accent1"/>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34%</w:t>
            </w:r>
          </w:p>
        </w:tc>
        <w:tc>
          <w:tcPr>
            <w:tcW w:w="1109" w:type="dxa"/>
            <w:tcBorders>
              <w:top w:val="nil"/>
              <w:left w:val="nil"/>
              <w:bottom w:val="single" w:sz="4" w:space="0" w:color="A32020" w:themeColor="accent1"/>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21%</w:t>
            </w:r>
          </w:p>
        </w:tc>
        <w:tc>
          <w:tcPr>
            <w:tcW w:w="992" w:type="dxa"/>
            <w:tcBorders>
              <w:top w:val="nil"/>
              <w:left w:val="nil"/>
              <w:bottom w:val="single" w:sz="4" w:space="0" w:color="A32020" w:themeColor="accent1"/>
              <w:right w:val="nil"/>
            </w:tcBorders>
            <w:shd w:val="clear" w:color="auto" w:fill="auto"/>
            <w:noWrap/>
            <w:vAlign w:val="bottom"/>
            <w:hideMark/>
          </w:tcPr>
          <w:p w:rsidR="00872ECF" w:rsidRPr="0076167C" w:rsidRDefault="00872ECF">
            <w:pPr>
              <w:jc w:val="right"/>
              <w:rPr>
                <w:rFonts w:asciiTheme="minorHAnsi" w:hAnsiTheme="minorHAnsi" w:cstheme="minorHAnsi"/>
                <w:color w:val="000000"/>
                <w:sz w:val="16"/>
                <w:szCs w:val="16"/>
              </w:rPr>
            </w:pPr>
            <w:r w:rsidRPr="0076167C">
              <w:rPr>
                <w:rFonts w:asciiTheme="minorHAnsi" w:hAnsiTheme="minorHAnsi" w:cstheme="minorHAnsi"/>
                <w:color w:val="000000"/>
                <w:sz w:val="16"/>
                <w:szCs w:val="16"/>
              </w:rPr>
              <w:t>0.4</w:t>
            </w:r>
          </w:p>
        </w:tc>
        <w:tc>
          <w:tcPr>
            <w:tcW w:w="709" w:type="dxa"/>
            <w:tcBorders>
              <w:top w:val="nil"/>
              <w:left w:val="nil"/>
              <w:bottom w:val="single" w:sz="4" w:space="0" w:color="A32020" w:themeColor="accent1"/>
              <w:right w:val="nil"/>
            </w:tcBorders>
            <w:shd w:val="clear" w:color="auto" w:fill="auto"/>
            <w:noWrap/>
            <w:vAlign w:val="bottom"/>
            <w:hideMark/>
          </w:tcPr>
          <w:p w:rsidR="00872ECF" w:rsidRPr="0076167C" w:rsidRDefault="00872ECF" w:rsidP="006603C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2113" w:type="dxa"/>
            <w:gridSpan w:val="2"/>
            <w:tcBorders>
              <w:top w:val="nil"/>
              <w:left w:val="nil"/>
              <w:right w:val="nil"/>
            </w:tcBorders>
            <w:vAlign w:val="bottom"/>
          </w:tcPr>
          <w:p w:rsidR="00872ECF" w:rsidRPr="0076167C" w:rsidRDefault="00872ECF" w:rsidP="00E967E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r>
    </w:tbl>
    <w:p w:rsidR="00872ECF" w:rsidRDefault="00872ECF" w:rsidP="00872ECF">
      <w:pPr>
        <w:pStyle w:val="PwCNormal"/>
        <w:spacing w:before="120" w:after="0"/>
        <w:rPr>
          <w:b/>
          <w:sz w:val="16"/>
        </w:rPr>
      </w:pPr>
      <w:r w:rsidRPr="00E43DC3">
        <w:rPr>
          <w:b/>
          <w:sz w:val="16"/>
        </w:rPr>
        <w:t>Notes</w:t>
      </w:r>
      <w:r>
        <w:rPr>
          <w:b/>
          <w:sz w:val="16"/>
        </w:rPr>
        <w:t xml:space="preserve"> :</w:t>
      </w:r>
    </w:p>
    <w:p w:rsidR="00872ECF" w:rsidRPr="0081233E" w:rsidRDefault="00872ECF" w:rsidP="00872ECF">
      <w:pPr>
        <w:pStyle w:val="PwCNormal"/>
        <w:spacing w:after="0"/>
        <w:rPr>
          <w:sz w:val="16"/>
        </w:rPr>
      </w:pPr>
      <w:r w:rsidRPr="0081233E">
        <w:rPr>
          <w:sz w:val="16"/>
        </w:rPr>
        <w:t>(b) Separations shown are strata weighted</w:t>
      </w:r>
    </w:p>
    <w:p w:rsidR="00872ECF" w:rsidRDefault="00872ECF" w:rsidP="00872ECF">
      <w:pPr>
        <w:pStyle w:val="PwCNormal"/>
        <w:widowControl w:val="0"/>
        <w:numPr>
          <w:ilvl w:val="0"/>
          <w:numId w:val="0"/>
        </w:numPr>
        <w:rPr>
          <w:sz w:val="16"/>
        </w:rPr>
      </w:pPr>
      <w:r w:rsidRPr="0081233E">
        <w:rPr>
          <w:sz w:val="16"/>
        </w:rPr>
        <w:t>(e) ALOS means average length of stay</w:t>
      </w:r>
    </w:p>
    <w:p w:rsidR="00292B95" w:rsidRDefault="00292B95" w:rsidP="00872ECF">
      <w:pPr>
        <w:pStyle w:val="PwCNormal"/>
        <w:widowControl w:val="0"/>
        <w:numPr>
          <w:ilvl w:val="0"/>
          <w:numId w:val="0"/>
        </w:numPr>
        <w:rPr>
          <w:noProof/>
          <w:snapToGrid/>
          <w:lang w:eastAsia="en-AU"/>
        </w:rPr>
        <w:sectPr w:rsidR="00292B95" w:rsidSect="0081233E">
          <w:pgSz w:w="16840" w:h="11907" w:orient="landscape" w:code="9"/>
          <w:pgMar w:top="1418" w:right="1021" w:bottom="1134" w:left="1021" w:header="567" w:footer="567" w:gutter="0"/>
          <w:cols w:space="227"/>
          <w:docGrid w:linePitch="360"/>
        </w:sectPr>
      </w:pPr>
    </w:p>
    <w:p w:rsidR="00F34CFF" w:rsidRDefault="00D502C6" w:rsidP="00F34CFF">
      <w:pPr>
        <w:pStyle w:val="PwCNormal"/>
        <w:rPr>
          <w:lang w:eastAsia="en-AU"/>
        </w:rPr>
      </w:pPr>
      <w:r>
        <w:rPr>
          <w:lang w:eastAsia="en-AU"/>
        </w:rPr>
        <w:lastRenderedPageBreak/>
        <w:fldChar w:fldCharType="begin"/>
      </w:r>
      <w:r w:rsidR="00C32A7C">
        <w:rPr>
          <w:lang w:eastAsia="en-AU"/>
        </w:rPr>
        <w:instrText xml:space="preserve"> REF _Ref355172857 \h </w:instrText>
      </w:r>
      <w:r>
        <w:rPr>
          <w:lang w:eastAsia="en-AU"/>
        </w:rPr>
      </w:r>
      <w:r>
        <w:rPr>
          <w:lang w:eastAsia="en-AU"/>
        </w:rPr>
        <w:fldChar w:fldCharType="separate"/>
      </w:r>
      <w:r w:rsidR="00953F50" w:rsidRPr="004B3D08">
        <w:t xml:space="preserve">Figure </w:t>
      </w:r>
      <w:r w:rsidR="00953F50">
        <w:rPr>
          <w:noProof/>
        </w:rPr>
        <w:t>5</w:t>
      </w:r>
      <w:r>
        <w:rPr>
          <w:lang w:eastAsia="en-AU"/>
        </w:rPr>
        <w:fldChar w:fldCharType="end"/>
      </w:r>
      <w:r w:rsidR="00C32A7C">
        <w:rPr>
          <w:lang w:eastAsia="en-AU"/>
        </w:rPr>
        <w:t xml:space="preserve"> show this group of DRGs represent 2</w:t>
      </w:r>
      <w:r w:rsidR="00D20C01">
        <w:rPr>
          <w:lang w:eastAsia="en-AU"/>
        </w:rPr>
        <w:t>4</w:t>
      </w:r>
      <w:r w:rsidR="00C32A7C">
        <w:rPr>
          <w:lang w:eastAsia="en-AU"/>
        </w:rPr>
        <w:t>% of separations, but they consume 3</w:t>
      </w:r>
      <w:r w:rsidR="00D20C01">
        <w:rPr>
          <w:lang w:eastAsia="en-AU"/>
        </w:rPr>
        <w:t>4</w:t>
      </w:r>
      <w:r w:rsidR="00C32A7C">
        <w:rPr>
          <w:lang w:eastAsia="en-AU"/>
        </w:rPr>
        <w:t>% of hospital resources, as measured by the proportion of cost-weighted separations.</w:t>
      </w:r>
    </w:p>
    <w:p w:rsidR="00F34CFF" w:rsidRDefault="007039A8" w:rsidP="00C32A7C">
      <w:pPr>
        <w:pStyle w:val="Caption"/>
        <w:rPr>
          <w:lang w:eastAsia="en-AU"/>
        </w:rPr>
      </w:pPr>
      <w:bookmarkStart w:id="76" w:name="_Ref355172857"/>
      <w:r w:rsidRPr="004B3D08">
        <w:t xml:space="preserve">Figure </w:t>
      </w:r>
      <w:r w:rsidR="00D502C6" w:rsidRPr="004B3D08">
        <w:fldChar w:fldCharType="begin"/>
      </w:r>
      <w:r w:rsidR="00A4645C">
        <w:instrText xml:space="preserve"> SEQ Figure \* ARABIC </w:instrText>
      </w:r>
      <w:r w:rsidR="00D502C6" w:rsidRPr="004B3D08">
        <w:fldChar w:fldCharType="separate"/>
      </w:r>
      <w:r w:rsidR="00953F50">
        <w:rPr>
          <w:noProof/>
        </w:rPr>
        <w:t>5</w:t>
      </w:r>
      <w:r w:rsidR="00D502C6" w:rsidRPr="004B3D08">
        <w:fldChar w:fldCharType="end"/>
      </w:r>
      <w:bookmarkEnd w:id="76"/>
      <w:r w:rsidR="00A4645C">
        <w:tab/>
        <w:t>Twenty DRGs with the highest number of cost-weighted separations</w:t>
      </w:r>
    </w:p>
    <w:p w:rsidR="00C32A7C" w:rsidRPr="005C47FB" w:rsidRDefault="00E7642F" w:rsidP="00C32A7C">
      <w:pPr>
        <w:pStyle w:val="BodyText"/>
        <w:rPr>
          <w:lang w:eastAsia="en-AU"/>
        </w:rPr>
      </w:pPr>
      <w:r w:rsidRPr="005C47FB">
        <w:rPr>
          <w:noProof/>
          <w:lang w:eastAsia="en-AU"/>
        </w:rPr>
        <w:drawing>
          <wp:inline distT="0" distB="0" distL="0" distR="0" wp14:anchorId="19CA0172" wp14:editId="75A62A75">
            <wp:extent cx="4278630" cy="2070100"/>
            <wp:effectExtent l="19050" t="0" r="7620" b="0"/>
            <wp:docPr id="30" name="Picture 3" descr="Figure 5 show this group of DRGs represent 24% of separations, but they consume 34% of hospital resources, as measured by the proportion of cost-weighted sepa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4278630" cy="2070100"/>
                    </a:xfrm>
                    <a:prstGeom prst="rect">
                      <a:avLst/>
                    </a:prstGeom>
                    <a:noFill/>
                    <a:ln w="9525">
                      <a:noFill/>
                      <a:miter lim="800000"/>
                      <a:headEnd/>
                      <a:tailEnd/>
                    </a:ln>
                  </pic:spPr>
                </pic:pic>
              </a:graphicData>
            </a:graphic>
          </wp:inline>
        </w:drawing>
      </w:r>
    </w:p>
    <w:p w:rsidR="00C32A7C" w:rsidRPr="005C47FB" w:rsidRDefault="00A4645C" w:rsidP="00F34CFF">
      <w:pPr>
        <w:pStyle w:val="PwCNormal"/>
        <w:rPr>
          <w:lang w:eastAsia="en-AU"/>
        </w:rPr>
      </w:pPr>
      <w:r>
        <w:rPr>
          <w:lang w:eastAsia="en-AU"/>
        </w:rPr>
        <w:t>The DRGs in this group consist of a mixture of high / medium / low cost weight DRGs, as highlighted by the range of dark red areas in below, e.g.</w:t>
      </w:r>
    </w:p>
    <w:p w:rsidR="00C32A7C" w:rsidRPr="005C47FB" w:rsidRDefault="00A4645C" w:rsidP="00C32A7C">
      <w:pPr>
        <w:pStyle w:val="ListBullet"/>
        <w:rPr>
          <w:lang w:eastAsia="en-AU"/>
        </w:rPr>
      </w:pPr>
      <w:r>
        <w:rPr>
          <w:lang w:eastAsia="en-AU"/>
        </w:rPr>
        <w:t>DRGs with low cost weight, but a high volume of separations, e.g. Chemotherapy (R63Z);</w:t>
      </w:r>
    </w:p>
    <w:p w:rsidR="00C32A7C" w:rsidRPr="005C47FB" w:rsidRDefault="00A4645C" w:rsidP="00C32A7C">
      <w:pPr>
        <w:pStyle w:val="ListBullet"/>
        <w:rPr>
          <w:lang w:eastAsia="en-AU"/>
        </w:rPr>
      </w:pPr>
      <w:r>
        <w:rPr>
          <w:lang w:eastAsia="en-AU"/>
        </w:rPr>
        <w:t>DRGs with moderate to high cost weight, and a moderate number of separations, egg. Spinal fusion without complications (I09B).</w:t>
      </w:r>
    </w:p>
    <w:p w:rsidR="00F34CFF" w:rsidRDefault="00AB1EF2" w:rsidP="00F34CFF">
      <w:pPr>
        <w:pStyle w:val="PwCNormal"/>
      </w:pPr>
      <w:r>
        <w:fldChar w:fldCharType="begin"/>
      </w:r>
      <w:r>
        <w:instrText xml:space="preserve"> REF _Ref355172823 \h  \* MERGEFORMAT </w:instrText>
      </w:r>
      <w:r>
        <w:fldChar w:fldCharType="separate"/>
      </w:r>
      <w:r w:rsidR="00953F50" w:rsidRPr="004B3D08">
        <w:t xml:space="preserve">Figure </w:t>
      </w:r>
      <w:r w:rsidR="00953F50">
        <w:t>6</w:t>
      </w:r>
      <w:r>
        <w:fldChar w:fldCharType="end"/>
      </w:r>
      <w:r w:rsidR="00A4645C">
        <w:t xml:space="preserve">  below highlights the cost-weight of these DRGs (dark red) and plots them relative to the cost weight of all other DRGs.</w:t>
      </w:r>
    </w:p>
    <w:p w:rsidR="00C32A7C" w:rsidRPr="004B3D08" w:rsidRDefault="007039A8" w:rsidP="00C32A7C">
      <w:pPr>
        <w:pStyle w:val="Caption"/>
      </w:pPr>
      <w:bookmarkStart w:id="77" w:name="_Ref355172823"/>
      <w:r w:rsidRPr="004B3D08">
        <w:lastRenderedPageBreak/>
        <w:t xml:space="preserve">Figure </w:t>
      </w:r>
      <w:r w:rsidR="00D502C6" w:rsidRPr="004B3D08">
        <w:fldChar w:fldCharType="begin"/>
      </w:r>
      <w:r w:rsidR="00A4645C">
        <w:instrText xml:space="preserve"> SEQ Figure \* ARABIC </w:instrText>
      </w:r>
      <w:r w:rsidR="00D502C6" w:rsidRPr="004B3D08">
        <w:fldChar w:fldCharType="separate"/>
      </w:r>
      <w:r w:rsidR="00953F50">
        <w:rPr>
          <w:noProof/>
        </w:rPr>
        <w:t>6</w:t>
      </w:r>
      <w:r w:rsidR="00D502C6" w:rsidRPr="004B3D08">
        <w:fldChar w:fldCharType="end"/>
      </w:r>
      <w:bookmarkEnd w:id="77"/>
      <w:r w:rsidR="00A4645C">
        <w:tab/>
        <w:t>Twenty DRGs with the highest number of cost-weighted separations –   plot of cost weight versus number of separations</w:t>
      </w:r>
    </w:p>
    <w:p w:rsidR="00C32A7C" w:rsidRPr="00D20C01" w:rsidRDefault="00161BA2" w:rsidP="00C32A7C">
      <w:pPr>
        <w:kinsoku/>
        <w:overflowPunct/>
        <w:autoSpaceDE/>
        <w:autoSpaceDN/>
        <w:adjustRightInd/>
        <w:snapToGrid/>
        <w:rPr>
          <w:highlight w:val="lightGray"/>
        </w:rPr>
      </w:pPr>
      <w:r w:rsidRPr="00161BA2">
        <w:rPr>
          <w:noProof/>
          <w:lang w:eastAsia="en-AU"/>
        </w:rPr>
        <w:drawing>
          <wp:inline distT="0" distB="0" distL="0" distR="0" wp14:anchorId="02B7C59D" wp14:editId="5F24DC4B">
            <wp:extent cx="7738110" cy="4735830"/>
            <wp:effectExtent l="0" t="0" r="0" b="0"/>
            <wp:docPr id="75" name="Picture 10" descr="Figure 6 highlights the cost-weight of DRGs with the highest number of cost-weighted separations and plots them relative to the cost weight of all other DRGs. &#10;&#10;It contains a mix of high volume, low cost weight separations (for example chemotherapy) and moderate volume, moderate-to-high cost weight separations (for example spinal fusion without complications).&#10;&#10;Some of these highest cost-weight are labelled.  In descending order of cost-weight, these are Spinal Fusion without Catastrophic Cc, Knee Replacement without Catastrophic or Severe Cc, Caesarean Delivert without Catastrophic or Severe Cc, Other Knee Procedures and Chemotherap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7738110" cy="4735830"/>
                    </a:xfrm>
                    <a:prstGeom prst="rect">
                      <a:avLst/>
                    </a:prstGeom>
                    <a:noFill/>
                    <a:ln w="9525">
                      <a:noFill/>
                      <a:miter lim="800000"/>
                      <a:headEnd/>
                      <a:tailEnd/>
                    </a:ln>
                  </pic:spPr>
                </pic:pic>
              </a:graphicData>
            </a:graphic>
          </wp:inline>
        </w:drawing>
      </w:r>
    </w:p>
    <w:p w:rsidR="007D1132" w:rsidRPr="00D20C01" w:rsidRDefault="00700626" w:rsidP="007D1132">
      <w:pPr>
        <w:pStyle w:val="PwCNormal"/>
        <w:rPr>
          <w:highlight w:val="lightGray"/>
        </w:rPr>
      </w:pPr>
      <w:r w:rsidRPr="00700626">
        <w:rPr>
          <w:highlight w:val="lightGray"/>
        </w:rPr>
        <w:br w:type="page"/>
      </w:r>
    </w:p>
    <w:p w:rsidR="00685526" w:rsidRDefault="00685526" w:rsidP="0087449C">
      <w:pPr>
        <w:pStyle w:val="Heading3"/>
      </w:pPr>
      <w:bookmarkStart w:id="78" w:name="_Toc355175021"/>
      <w:bookmarkStart w:id="79" w:name="_Toc355175025"/>
      <w:bookmarkStart w:id="80" w:name="_Toc355175026"/>
      <w:bookmarkStart w:id="81" w:name="_Toc355175029"/>
      <w:bookmarkStart w:id="82" w:name="_Toc355175030"/>
      <w:bookmarkStart w:id="83" w:name="_Toc355175031"/>
      <w:bookmarkStart w:id="84" w:name="_Toc355175032"/>
      <w:bookmarkStart w:id="85" w:name="_Toc355175034"/>
      <w:bookmarkStart w:id="86" w:name="_Toc355175035"/>
      <w:bookmarkStart w:id="87" w:name="_Toc355175037"/>
      <w:bookmarkStart w:id="88" w:name="_Toc355175040"/>
      <w:bookmarkStart w:id="89" w:name="_Toc355175041"/>
      <w:bookmarkStart w:id="90" w:name="_Toc355175044"/>
      <w:bookmarkStart w:id="91" w:name="_Toc355175045"/>
      <w:bookmarkStart w:id="92" w:name="_Toc355175046"/>
      <w:bookmarkStart w:id="93" w:name="_Toc355175049"/>
      <w:bookmarkStart w:id="94" w:name="_Toc355175050"/>
      <w:bookmarkStart w:id="95" w:name="_Toc35682929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lastRenderedPageBreak/>
        <w:t>DRG Analysis – other cost buckets</w:t>
      </w:r>
      <w:bookmarkEnd w:id="95"/>
    </w:p>
    <w:p w:rsidR="00685526" w:rsidRDefault="00685526" w:rsidP="00685526">
      <w:pPr>
        <w:pStyle w:val="Caption"/>
      </w:pPr>
      <w:r>
        <w:t xml:space="preserve">Table </w:t>
      </w:r>
      <w:r w:rsidR="00D502C6">
        <w:fldChar w:fldCharType="begin"/>
      </w:r>
      <w:r w:rsidR="00AB571C">
        <w:instrText xml:space="preserve"> SEQ Table \* ARABIC </w:instrText>
      </w:r>
      <w:r w:rsidR="00D502C6">
        <w:fldChar w:fldCharType="separate"/>
      </w:r>
      <w:r w:rsidR="00953F50">
        <w:rPr>
          <w:noProof/>
        </w:rPr>
        <w:t>8</w:t>
      </w:r>
      <w:r w:rsidR="00D502C6">
        <w:fldChar w:fldCharType="end"/>
      </w:r>
      <w:r>
        <w:tab/>
        <w:t xml:space="preserve">Twenty DRGs with the highest cost weight for Miscellaneous costs (Ward </w:t>
      </w:r>
      <w:r w:rsidR="00A7288D">
        <w:t>Medical</w:t>
      </w:r>
      <w:r>
        <w:t>, Pathology, Imaging, Emergency Department and Prostheses)</w:t>
      </w:r>
    </w:p>
    <w:tbl>
      <w:tblPr>
        <w:tblW w:w="16382" w:type="dxa"/>
        <w:tblLook w:val="04A0" w:firstRow="1" w:lastRow="0" w:firstColumn="1" w:lastColumn="0" w:noHBand="0" w:noVBand="1"/>
      </w:tblPr>
      <w:tblGrid>
        <w:gridCol w:w="608"/>
        <w:gridCol w:w="634"/>
        <w:gridCol w:w="6096"/>
        <w:gridCol w:w="1310"/>
        <w:gridCol w:w="1241"/>
        <w:gridCol w:w="1134"/>
        <w:gridCol w:w="1134"/>
        <w:gridCol w:w="1134"/>
        <w:gridCol w:w="608"/>
        <w:gridCol w:w="1518"/>
        <w:gridCol w:w="965"/>
      </w:tblGrid>
      <w:tr w:rsidR="004C4E86" w:rsidRPr="0076167C" w:rsidTr="0076167C">
        <w:trPr>
          <w:trHeight w:val="243"/>
        </w:trPr>
        <w:tc>
          <w:tcPr>
            <w:tcW w:w="608"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DRG</w:t>
            </w:r>
          </w:p>
        </w:tc>
        <w:tc>
          <w:tcPr>
            <w:tcW w:w="634"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b/>
                <w:bCs/>
                <w:snapToGrid/>
                <w:color w:val="A32020"/>
                <w:sz w:val="16"/>
                <w:szCs w:val="16"/>
                <w:lang w:eastAsia="en-AU"/>
              </w:rPr>
            </w:pPr>
          </w:p>
        </w:tc>
        <w:tc>
          <w:tcPr>
            <w:tcW w:w="6096"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Description</w:t>
            </w:r>
          </w:p>
        </w:tc>
        <w:tc>
          <w:tcPr>
            <w:tcW w:w="1310"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Miscellaneous Cost Weight </w:t>
            </w:r>
            <w:r w:rsidRPr="0076167C">
              <w:rPr>
                <w:rFonts w:asciiTheme="minorHAnsi" w:hAnsiTheme="minorHAnsi" w:cstheme="minorHAnsi"/>
                <w:snapToGrid/>
                <w:color w:val="A32020"/>
                <w:sz w:val="16"/>
                <w:szCs w:val="16"/>
                <w:lang w:eastAsia="en-AU"/>
              </w:rPr>
              <w:t>(a)</w:t>
            </w:r>
          </w:p>
        </w:tc>
        <w:tc>
          <w:tcPr>
            <w:tcW w:w="1241"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Separations </w:t>
            </w:r>
            <w:r w:rsidRPr="0076167C">
              <w:rPr>
                <w:rFonts w:asciiTheme="minorHAnsi" w:hAnsiTheme="minorHAnsi" w:cstheme="minorHAnsi"/>
                <w:snapToGrid/>
                <w:color w:val="A32020"/>
                <w:sz w:val="16"/>
                <w:szCs w:val="16"/>
                <w:lang w:eastAsia="en-AU"/>
              </w:rPr>
              <w:t>(b)</w:t>
            </w:r>
          </w:p>
        </w:tc>
        <w:tc>
          <w:tcPr>
            <w:tcW w:w="1134"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Overall Cost Weight </w:t>
            </w:r>
            <w:r w:rsidRPr="0076167C">
              <w:rPr>
                <w:rFonts w:asciiTheme="minorHAnsi" w:hAnsiTheme="minorHAnsi" w:cstheme="minorHAnsi"/>
                <w:snapToGrid/>
                <w:color w:val="A32020"/>
                <w:sz w:val="16"/>
                <w:szCs w:val="16"/>
                <w:lang w:eastAsia="en-AU"/>
              </w:rPr>
              <w:t>(c)</w:t>
            </w:r>
          </w:p>
        </w:tc>
        <w:tc>
          <w:tcPr>
            <w:tcW w:w="1134" w:type="dxa"/>
            <w:tcBorders>
              <w:top w:val="single" w:sz="4" w:space="0" w:color="A32020" w:themeColor="accent1"/>
              <w:left w:val="nil"/>
              <w:bottom w:val="single" w:sz="4" w:space="0" w:color="A32020" w:themeColor="accent1"/>
              <w:right w:val="nil"/>
            </w:tcBorders>
            <w:shd w:val="clear" w:color="auto" w:fill="auto"/>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Number of Days </w:t>
            </w:r>
            <w:r w:rsidRPr="0076167C">
              <w:rPr>
                <w:rFonts w:asciiTheme="minorHAnsi" w:hAnsiTheme="minorHAnsi" w:cstheme="minorHAnsi"/>
                <w:snapToGrid/>
                <w:color w:val="A32020"/>
                <w:sz w:val="16"/>
                <w:szCs w:val="16"/>
                <w:lang w:eastAsia="en-AU"/>
              </w:rPr>
              <w:t>(d)</w:t>
            </w:r>
          </w:p>
        </w:tc>
        <w:tc>
          <w:tcPr>
            <w:tcW w:w="1134"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 ALOS (days) </w:t>
            </w:r>
            <w:r w:rsidRPr="0076167C">
              <w:rPr>
                <w:rFonts w:asciiTheme="minorHAnsi" w:hAnsiTheme="minorHAnsi" w:cstheme="minorHAnsi"/>
                <w:snapToGrid/>
                <w:color w:val="A32020"/>
                <w:sz w:val="16"/>
                <w:szCs w:val="16"/>
                <w:lang w:eastAsia="en-AU"/>
              </w:rPr>
              <w:t>(e)=(d)/(b)</w:t>
            </w:r>
          </w:p>
        </w:tc>
        <w:tc>
          <w:tcPr>
            <w:tcW w:w="608" w:type="dxa"/>
            <w:tcBorders>
              <w:top w:val="single" w:sz="4" w:space="0" w:color="A32020" w:themeColor="accent1"/>
              <w:left w:val="nil"/>
              <w:bottom w:val="single" w:sz="4" w:space="0" w:color="A32020" w:themeColor="accent1"/>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Std Error</w:t>
            </w:r>
          </w:p>
        </w:tc>
        <w:tc>
          <w:tcPr>
            <w:tcW w:w="1518" w:type="dxa"/>
            <w:tcBorders>
              <w:top w:val="single" w:sz="4" w:space="0" w:color="A32020" w:themeColor="accent1"/>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center"/>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Comment</w:t>
            </w:r>
          </w:p>
        </w:tc>
        <w:tc>
          <w:tcPr>
            <w:tcW w:w="965"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F01A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Implantation Or Replacement Of </w:t>
            </w:r>
            <w:proofErr w:type="spellStart"/>
            <w:r w:rsidRPr="0076167C">
              <w:rPr>
                <w:rFonts w:asciiTheme="minorHAnsi" w:hAnsiTheme="minorHAnsi" w:cstheme="minorHAnsi"/>
                <w:snapToGrid/>
                <w:color w:val="000000"/>
                <w:sz w:val="16"/>
                <w:szCs w:val="16"/>
                <w:lang w:eastAsia="en-AU"/>
              </w:rPr>
              <w:t>Aicd</w:t>
            </w:r>
            <w:proofErr w:type="spellEnd"/>
            <w:r w:rsidRPr="0076167C">
              <w:rPr>
                <w:rFonts w:asciiTheme="minorHAnsi" w:hAnsiTheme="minorHAnsi" w:cstheme="minorHAnsi"/>
                <w:snapToGrid/>
                <w:color w:val="000000"/>
                <w:sz w:val="16"/>
                <w:szCs w:val="16"/>
                <w:lang w:eastAsia="en-AU"/>
              </w:rPr>
              <w:t>, Total System W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12.73</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323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19.78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3,733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11.6</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0.42</w:t>
            </w:r>
          </w:p>
        </w:tc>
        <w:tc>
          <w:tcPr>
            <w:tcW w:w="1518" w:type="dxa"/>
            <w:vMerge w:val="restart"/>
            <w:tcBorders>
              <w:top w:val="nil"/>
              <w:left w:val="nil"/>
              <w:right w:val="nil"/>
            </w:tcBorders>
            <w:shd w:val="clear" w:color="auto" w:fill="auto"/>
            <w:noWrap/>
            <w:hideMark/>
          </w:tcPr>
          <w:p w:rsidR="004C4E86" w:rsidRPr="0076167C" w:rsidRDefault="005279B8" w:rsidP="0076167C">
            <w:pPr>
              <w:kinsoku/>
              <w:overflowPunct/>
              <w:autoSpaceDE/>
              <w:autoSpaceDN/>
              <w:adjustRightInd/>
              <w:snapToGrid/>
              <w:spacing w:before="240"/>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i</w:t>
            </w:r>
            <w:proofErr w:type="spellEnd"/>
            <w:r w:rsidRPr="0076167C">
              <w:rPr>
                <w:rFonts w:asciiTheme="minorHAnsi" w:hAnsiTheme="minorHAnsi" w:cstheme="minorHAnsi"/>
                <w:snapToGrid/>
                <w:color w:val="000000"/>
                <w:sz w:val="16"/>
                <w:szCs w:val="16"/>
                <w:lang w:eastAsia="en-AU"/>
              </w:rPr>
              <w:t xml:space="preserve">) </w:t>
            </w:r>
            <w:r w:rsidR="004C4E86" w:rsidRPr="0076167C">
              <w:rPr>
                <w:rFonts w:asciiTheme="minorHAnsi" w:hAnsiTheme="minorHAnsi" w:cstheme="minorHAnsi"/>
                <w:snapToGrid/>
                <w:color w:val="000000"/>
                <w:sz w:val="16"/>
                <w:szCs w:val="16"/>
                <w:lang w:eastAsia="en-AU"/>
              </w:rPr>
              <w:t>This table shows the DRGs that are likely to consume the highest resources for a combined mix of cost buckets. Most of these DRGs also have a high overall cost weight.</w:t>
            </w:r>
          </w:p>
          <w:p w:rsidR="004C4E86" w:rsidRPr="0076167C" w:rsidRDefault="004C4E86" w:rsidP="004C4E86">
            <w:pPr>
              <w:pStyle w:val="PwCNormal"/>
              <w:rPr>
                <w:rFonts w:asciiTheme="minorHAnsi" w:hAnsiTheme="minorHAnsi" w:cstheme="minorHAnsi"/>
                <w:sz w:val="16"/>
                <w:szCs w:val="16"/>
                <w:lang w:eastAsia="en-AU"/>
              </w:rPr>
            </w:pPr>
          </w:p>
          <w:p w:rsidR="004C4E86" w:rsidRPr="0076167C" w:rsidRDefault="004C4E86" w:rsidP="004C4E86">
            <w:pPr>
              <w:pStyle w:val="PwCNormal"/>
              <w:rPr>
                <w:rFonts w:asciiTheme="minorHAnsi" w:hAnsiTheme="minorHAnsi" w:cstheme="minorHAnsi"/>
                <w:lang w:eastAsia="en-AU"/>
              </w:rPr>
            </w:pPr>
            <w:r w:rsidRPr="0076167C">
              <w:rPr>
                <w:rFonts w:asciiTheme="minorHAnsi" w:hAnsiTheme="minorHAnsi" w:cstheme="minorHAnsi"/>
                <w:sz w:val="16"/>
                <w:szCs w:val="16"/>
                <w:lang w:eastAsia="en-AU"/>
              </w:rPr>
              <w:t>DRGs with fewer than 5 separations or 3 participating hospitals are excluded from the table.</w:t>
            </w: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I06Z</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Spinal Fusion W Deformity</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11.77</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843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17.77</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8,606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10.2</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0.33</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F01B</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Implantation Or Replacement Of </w:t>
            </w:r>
            <w:proofErr w:type="spellStart"/>
            <w:r w:rsidRPr="0076167C">
              <w:rPr>
                <w:rFonts w:asciiTheme="minorHAnsi" w:hAnsiTheme="minorHAnsi" w:cstheme="minorHAnsi"/>
                <w:snapToGrid/>
                <w:color w:val="000000"/>
                <w:sz w:val="16"/>
                <w:szCs w:val="16"/>
                <w:lang w:eastAsia="en-AU"/>
              </w:rPr>
              <w:t>Aicd</w:t>
            </w:r>
            <w:proofErr w:type="spellEnd"/>
            <w:r w:rsidRPr="0076167C">
              <w:rPr>
                <w:rFonts w:asciiTheme="minorHAnsi" w:hAnsiTheme="minorHAnsi" w:cstheme="minorHAnsi"/>
                <w:snapToGrid/>
                <w:color w:val="000000"/>
                <w:sz w:val="16"/>
                <w:szCs w:val="16"/>
                <w:lang w:eastAsia="en-AU"/>
              </w:rPr>
              <w:t>, Total System W/O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9.95</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2,437</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12.76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6,308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2.6</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0.10</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A11A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Insertion Of Implantable Spinal Infusion Device W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9.26</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15.30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226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17.4</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2.02</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D01Z</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Cochlear Implant</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8.51</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733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10.89</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1,068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0.35</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I09A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Spinal Fusion W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7.49</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689</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14.15</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11,598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16.8</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0.21</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I01A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Bilateral/Multiple Major Joint Proc Of Lower Extremity W Revision Or W Cat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6.19</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333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12.56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5,077</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15.2</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0.31</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A12Z</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Insertion Of </w:t>
            </w:r>
            <w:proofErr w:type="spellStart"/>
            <w:r w:rsidRPr="0076167C">
              <w:rPr>
                <w:rFonts w:asciiTheme="minorHAnsi" w:hAnsiTheme="minorHAnsi" w:cstheme="minorHAnsi"/>
                <w:snapToGrid/>
                <w:color w:val="000000"/>
                <w:sz w:val="16"/>
                <w:szCs w:val="16"/>
                <w:lang w:eastAsia="en-AU"/>
              </w:rPr>
              <w:t>Neurostimulator</w:t>
            </w:r>
            <w:proofErr w:type="spellEnd"/>
            <w:r w:rsidRPr="0076167C">
              <w:rPr>
                <w:rFonts w:asciiTheme="minorHAnsi" w:hAnsiTheme="minorHAnsi" w:cstheme="minorHAnsi"/>
                <w:snapToGrid/>
                <w:color w:val="000000"/>
                <w:sz w:val="16"/>
                <w:szCs w:val="16"/>
                <w:lang w:eastAsia="en-AU"/>
              </w:rPr>
              <w:t xml:space="preserve"> Device</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5.76</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1,666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7.96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6,416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3.9</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0.08</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43"/>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I09B</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Spinal Fusion W/O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5.60</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10,871</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8.85</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70,280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6.5</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0.03</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A11B</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Insertion Of Implantable Spinal Infusion Device W/O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5.44</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62</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7.48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382</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6.2</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0.42</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A40Z</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Ecmo</w:t>
            </w:r>
            <w:proofErr w:type="spellEnd"/>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5.02</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36.10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497</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21.3</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5.52</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43"/>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I01B</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Bilateral/Multiple Major Joint Pr Of Lower Extremity W/O Revision W/O Cat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4.98</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2,229</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8.26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16,415</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7.4</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0.07</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F03A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Cardiac Valve </w:t>
            </w:r>
            <w:proofErr w:type="spellStart"/>
            <w:r w:rsidRPr="0076167C">
              <w:rPr>
                <w:rFonts w:asciiTheme="minorHAnsi" w:hAnsiTheme="minorHAnsi" w:cstheme="minorHAnsi"/>
                <w:snapToGrid/>
                <w:color w:val="000000"/>
                <w:sz w:val="16"/>
                <w:szCs w:val="16"/>
                <w:lang w:eastAsia="en-AU"/>
              </w:rPr>
              <w:t>Proc</w:t>
            </w:r>
            <w:proofErr w:type="spellEnd"/>
            <w:r w:rsidRPr="0076167C">
              <w:rPr>
                <w:rFonts w:asciiTheme="minorHAnsi" w:hAnsiTheme="minorHAnsi" w:cstheme="minorHAnsi"/>
                <w:snapToGrid/>
                <w:color w:val="000000"/>
                <w:sz w:val="16"/>
                <w:szCs w:val="16"/>
                <w:lang w:eastAsia="en-AU"/>
              </w:rPr>
              <w:t xml:space="preserve">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Invasive Cardiac Investigation W Cat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4.79</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596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14.90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10,740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18.0</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0.14</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I32A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Knee Revision W Catastrophic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4.28</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10.19</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3,439</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19.3</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0.38</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I32B</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Knee Revision W Severe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4.16</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273</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8.18</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3,094</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11.3</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0.22</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43"/>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F03B</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Cardiac Valve </w:t>
            </w:r>
            <w:proofErr w:type="spellStart"/>
            <w:r w:rsidRPr="0076167C">
              <w:rPr>
                <w:rFonts w:asciiTheme="minorHAnsi" w:hAnsiTheme="minorHAnsi" w:cstheme="minorHAnsi"/>
                <w:snapToGrid/>
                <w:color w:val="000000"/>
                <w:sz w:val="16"/>
                <w:szCs w:val="16"/>
                <w:lang w:eastAsia="en-AU"/>
              </w:rPr>
              <w:t>Proc</w:t>
            </w:r>
            <w:proofErr w:type="spellEnd"/>
            <w:r w:rsidRPr="0076167C">
              <w:rPr>
                <w:rFonts w:asciiTheme="minorHAnsi" w:hAnsiTheme="minorHAnsi" w:cstheme="minorHAnsi"/>
                <w:snapToGrid/>
                <w:color w:val="000000"/>
                <w:sz w:val="16"/>
                <w:szCs w:val="16"/>
                <w:lang w:eastAsia="en-AU"/>
              </w:rPr>
              <w:t xml:space="preserve">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Invasive Cardiac Investigation W/O Cat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4.14</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210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10.00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2,507</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11.9</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0.13</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I15Z</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Cranio</w:t>
            </w:r>
            <w:proofErr w:type="spellEnd"/>
            <w:r w:rsidRPr="0076167C">
              <w:rPr>
                <w:rFonts w:asciiTheme="minorHAnsi" w:hAnsiTheme="minorHAnsi" w:cstheme="minorHAnsi"/>
                <w:snapToGrid/>
                <w:color w:val="000000"/>
                <w:sz w:val="16"/>
                <w:szCs w:val="16"/>
                <w:lang w:eastAsia="en-AU"/>
              </w:rPr>
              <w:t>-Facial Surgery</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4.04</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200</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7.36</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1,035</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5.2</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0.85</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w:t>
            </w:r>
          </w:p>
        </w:tc>
        <w:tc>
          <w:tcPr>
            <w:tcW w:w="6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I05A</w:t>
            </w:r>
          </w:p>
        </w:tc>
        <w:tc>
          <w:tcPr>
            <w:tcW w:w="6096"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Other Joint Replacement W Catastrophic Or Severe Cc</w:t>
            </w:r>
          </w:p>
        </w:tc>
        <w:tc>
          <w:tcPr>
            <w:tcW w:w="1310"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3.98</w:t>
            </w:r>
          </w:p>
        </w:tc>
        <w:tc>
          <w:tcPr>
            <w:tcW w:w="1241"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282</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7.44</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2,602</w:t>
            </w:r>
          </w:p>
        </w:tc>
        <w:tc>
          <w:tcPr>
            <w:tcW w:w="1134" w:type="dxa"/>
            <w:tcBorders>
              <w:top w:val="nil"/>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9.2</w:t>
            </w:r>
          </w:p>
        </w:tc>
        <w:tc>
          <w:tcPr>
            <w:tcW w:w="608" w:type="dxa"/>
            <w:tcBorders>
              <w:top w:val="nil"/>
              <w:left w:val="nil"/>
              <w:bottom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0.18</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w:t>
            </w:r>
          </w:p>
        </w:tc>
        <w:tc>
          <w:tcPr>
            <w:tcW w:w="634"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I31A</w:t>
            </w:r>
          </w:p>
        </w:tc>
        <w:tc>
          <w:tcPr>
            <w:tcW w:w="6096"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Hip Revision W Catastrophic Cc</w:t>
            </w:r>
          </w:p>
        </w:tc>
        <w:tc>
          <w:tcPr>
            <w:tcW w:w="1310"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3.90</w:t>
            </w:r>
          </w:p>
        </w:tc>
        <w:tc>
          <w:tcPr>
            <w:tcW w:w="1241"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340</w:t>
            </w:r>
          </w:p>
        </w:tc>
        <w:tc>
          <w:tcPr>
            <w:tcW w:w="1134"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10.68</w:t>
            </w:r>
          </w:p>
        </w:tc>
        <w:tc>
          <w:tcPr>
            <w:tcW w:w="1134"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6,920</w:t>
            </w:r>
          </w:p>
        </w:tc>
        <w:tc>
          <w:tcPr>
            <w:tcW w:w="1134"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20.4</w:t>
            </w:r>
          </w:p>
        </w:tc>
        <w:tc>
          <w:tcPr>
            <w:tcW w:w="608" w:type="dxa"/>
            <w:tcBorders>
              <w:top w:val="nil"/>
              <w:left w:val="nil"/>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0.33</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w:t>
            </w:r>
          </w:p>
        </w:tc>
        <w:tc>
          <w:tcPr>
            <w:tcW w:w="6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I32C</w:t>
            </w:r>
          </w:p>
        </w:tc>
        <w:tc>
          <w:tcPr>
            <w:tcW w:w="6096"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Knee Revision W/O Catastrophic Or Severe Cc</w:t>
            </w:r>
          </w:p>
        </w:tc>
        <w:tc>
          <w:tcPr>
            <w:tcW w:w="1310"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3.89</w:t>
            </w:r>
          </w:p>
        </w:tc>
        <w:tc>
          <w:tcPr>
            <w:tcW w:w="1241"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1,830</w:t>
            </w:r>
          </w:p>
        </w:tc>
        <w:tc>
          <w:tcPr>
            <w:tcW w:w="11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6.79</w:t>
            </w:r>
          </w:p>
        </w:tc>
        <w:tc>
          <w:tcPr>
            <w:tcW w:w="11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13,652</w:t>
            </w:r>
          </w:p>
        </w:tc>
        <w:tc>
          <w:tcPr>
            <w:tcW w:w="11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7.5</w:t>
            </w:r>
          </w:p>
        </w:tc>
        <w:tc>
          <w:tcPr>
            <w:tcW w:w="608" w:type="dxa"/>
            <w:tcBorders>
              <w:top w:val="nil"/>
              <w:left w:val="nil"/>
              <w:bottom w:val="single" w:sz="4" w:space="0" w:color="A32020" w:themeColor="accent1"/>
              <w:right w:val="nil"/>
            </w:tcBorders>
            <w:vAlign w:val="bottom"/>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0.06</w:t>
            </w:r>
          </w:p>
        </w:tc>
        <w:tc>
          <w:tcPr>
            <w:tcW w:w="1518" w:type="dxa"/>
            <w:vMerge/>
            <w:tcBorders>
              <w:left w:val="nil"/>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58"/>
        </w:trPr>
        <w:tc>
          <w:tcPr>
            <w:tcW w:w="608" w:type="dxa"/>
            <w:tcBorders>
              <w:top w:val="single" w:sz="4" w:space="0" w:color="A32020" w:themeColor="accent1"/>
              <w:left w:val="nil"/>
              <w:bottom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p>
        </w:tc>
        <w:tc>
          <w:tcPr>
            <w:tcW w:w="6730" w:type="dxa"/>
            <w:gridSpan w:val="2"/>
            <w:tcBorders>
              <w:top w:val="single" w:sz="4" w:space="0" w:color="A32020" w:themeColor="accent1"/>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Sub-total, top 20 highest cost-weighted separations</w:t>
            </w:r>
          </w:p>
        </w:tc>
        <w:tc>
          <w:tcPr>
            <w:tcW w:w="1310" w:type="dxa"/>
            <w:tcBorders>
              <w:top w:val="single" w:sz="4" w:space="0" w:color="A32020" w:themeColor="accent1"/>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6.21</w:t>
            </w:r>
          </w:p>
        </w:tc>
        <w:tc>
          <w:tcPr>
            <w:tcW w:w="1241" w:type="dxa"/>
            <w:tcBorders>
              <w:top w:val="single" w:sz="4" w:space="0" w:color="A32020" w:themeColor="accent1"/>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24,131</w:t>
            </w:r>
          </w:p>
        </w:tc>
        <w:tc>
          <w:tcPr>
            <w:tcW w:w="1134" w:type="dxa"/>
            <w:tcBorders>
              <w:top w:val="single" w:sz="4" w:space="0" w:color="A32020" w:themeColor="accent1"/>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rPr>
                <w:rFonts w:asciiTheme="minorHAnsi" w:hAnsiTheme="minorHAnsi" w:cstheme="minorHAnsi"/>
                <w:b/>
                <w:bCs/>
                <w:snapToGrid/>
                <w:color w:val="000000"/>
                <w:sz w:val="16"/>
                <w:szCs w:val="16"/>
                <w:lang w:eastAsia="en-AU"/>
              </w:rPr>
            </w:pPr>
          </w:p>
        </w:tc>
        <w:tc>
          <w:tcPr>
            <w:tcW w:w="1134" w:type="dxa"/>
            <w:tcBorders>
              <w:top w:val="single" w:sz="4" w:space="0" w:color="A32020" w:themeColor="accent1"/>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174,595</w:t>
            </w:r>
          </w:p>
        </w:tc>
        <w:tc>
          <w:tcPr>
            <w:tcW w:w="1134" w:type="dxa"/>
            <w:tcBorders>
              <w:top w:val="single" w:sz="4" w:space="0" w:color="A32020" w:themeColor="accent1"/>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7.2</w:t>
            </w:r>
          </w:p>
        </w:tc>
        <w:tc>
          <w:tcPr>
            <w:tcW w:w="608" w:type="dxa"/>
            <w:tcBorders>
              <w:top w:val="single" w:sz="4" w:space="0" w:color="A32020" w:themeColor="accent1"/>
              <w:left w:val="nil"/>
              <w:bottom w:val="nil"/>
              <w:right w:val="nil"/>
            </w:tcBorders>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
        </w:tc>
        <w:tc>
          <w:tcPr>
            <w:tcW w:w="1518" w:type="dxa"/>
            <w:tcBorders>
              <w:left w:val="nil"/>
              <w:bottom w:val="nil"/>
              <w:right w:val="nil"/>
            </w:tcBorders>
            <w:shd w:val="clear" w:color="auto" w:fill="auto"/>
            <w:noWrap/>
            <w:vAlign w:val="center"/>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243"/>
        </w:trPr>
        <w:tc>
          <w:tcPr>
            <w:tcW w:w="608"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p>
        </w:tc>
        <w:tc>
          <w:tcPr>
            <w:tcW w:w="6730" w:type="dxa"/>
            <w:gridSpan w:val="2"/>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b/>
                <w:bCs/>
                <w:snapToGrid/>
                <w:color w:val="000000"/>
                <w:sz w:val="16"/>
                <w:szCs w:val="16"/>
                <w:lang w:eastAsia="en-AU"/>
              </w:rPr>
              <w:t>All DRGs</w:t>
            </w:r>
          </w:p>
        </w:tc>
        <w:tc>
          <w:tcPr>
            <w:tcW w:w="1310" w:type="dxa"/>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0.27</w:t>
            </w:r>
          </w:p>
        </w:tc>
        <w:tc>
          <w:tcPr>
            <w:tcW w:w="1241" w:type="dxa"/>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2,703,792</w:t>
            </w:r>
          </w:p>
        </w:tc>
        <w:tc>
          <w:tcPr>
            <w:tcW w:w="1134" w:type="dxa"/>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rPr>
                <w:rFonts w:asciiTheme="minorHAnsi" w:hAnsiTheme="minorHAnsi" w:cstheme="minorHAnsi"/>
                <w:b/>
                <w:bCs/>
                <w:snapToGrid/>
                <w:color w:val="000000"/>
                <w:sz w:val="16"/>
                <w:szCs w:val="16"/>
                <w:lang w:eastAsia="en-AU"/>
              </w:rPr>
            </w:pPr>
          </w:p>
        </w:tc>
        <w:tc>
          <w:tcPr>
            <w:tcW w:w="1134" w:type="dxa"/>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6,820,000</w:t>
            </w:r>
          </w:p>
        </w:tc>
        <w:tc>
          <w:tcPr>
            <w:tcW w:w="1134" w:type="dxa"/>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2.5</w:t>
            </w:r>
          </w:p>
        </w:tc>
        <w:tc>
          <w:tcPr>
            <w:tcW w:w="608" w:type="dxa"/>
            <w:tcBorders>
              <w:top w:val="nil"/>
              <w:left w:val="nil"/>
              <w:right w:val="nil"/>
            </w:tcBorders>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
        </w:tc>
        <w:tc>
          <w:tcPr>
            <w:tcW w:w="1518" w:type="dxa"/>
            <w:tcBorders>
              <w:top w:val="nil"/>
              <w:left w:val="nil"/>
              <w:right w:val="nil"/>
            </w:tcBorders>
            <w:shd w:val="clear" w:color="auto" w:fill="auto"/>
            <w:noWrap/>
            <w:vAlign w:val="center"/>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
        </w:tc>
      </w:tr>
      <w:tr w:rsidR="004C4E86" w:rsidRPr="0076167C" w:rsidTr="0076167C">
        <w:trPr>
          <w:gridAfter w:val="1"/>
          <w:wAfter w:w="965" w:type="dxa"/>
          <w:trHeight w:val="80"/>
        </w:trPr>
        <w:tc>
          <w:tcPr>
            <w:tcW w:w="608"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6730" w:type="dxa"/>
            <w:gridSpan w:val="2"/>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Top 20 Miscellaneous cost-weight DRGs, % of all </w:t>
            </w:r>
            <w:proofErr w:type="spellStart"/>
            <w:r w:rsidRPr="0076167C">
              <w:rPr>
                <w:rFonts w:asciiTheme="minorHAnsi" w:hAnsiTheme="minorHAnsi" w:cstheme="minorHAnsi"/>
                <w:snapToGrid/>
                <w:color w:val="000000"/>
                <w:sz w:val="16"/>
                <w:szCs w:val="16"/>
                <w:lang w:eastAsia="en-AU"/>
              </w:rPr>
              <w:t>seps</w:t>
            </w:r>
            <w:proofErr w:type="spellEnd"/>
          </w:p>
        </w:tc>
        <w:tc>
          <w:tcPr>
            <w:tcW w:w="1310"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241"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0.9%</w:t>
            </w:r>
          </w:p>
        </w:tc>
        <w:tc>
          <w:tcPr>
            <w:tcW w:w="11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1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w:t>
            </w:r>
          </w:p>
        </w:tc>
        <w:tc>
          <w:tcPr>
            <w:tcW w:w="1134" w:type="dxa"/>
            <w:tcBorders>
              <w:top w:val="nil"/>
              <w:left w:val="nil"/>
              <w:bottom w:val="single" w:sz="4" w:space="0" w:color="A32020" w:themeColor="accent1"/>
              <w:right w:val="nil"/>
            </w:tcBorders>
            <w:shd w:val="clear" w:color="auto" w:fill="auto"/>
            <w:noWrap/>
            <w:vAlign w:val="bottom"/>
            <w:hideMark/>
          </w:tcPr>
          <w:p w:rsidR="004C4E86" w:rsidRPr="0076167C" w:rsidRDefault="004C4E86" w:rsidP="004C4E86">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w:t>
            </w:r>
          </w:p>
        </w:tc>
        <w:tc>
          <w:tcPr>
            <w:tcW w:w="608" w:type="dxa"/>
            <w:tcBorders>
              <w:top w:val="nil"/>
              <w:left w:val="nil"/>
              <w:bottom w:val="single" w:sz="4" w:space="0" w:color="A32020" w:themeColor="accent1"/>
              <w:right w:val="nil"/>
            </w:tcBorders>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p>
        </w:tc>
        <w:tc>
          <w:tcPr>
            <w:tcW w:w="1518" w:type="dxa"/>
            <w:tcBorders>
              <w:top w:val="nil"/>
              <w:left w:val="nil"/>
              <w:right w:val="nil"/>
            </w:tcBorders>
            <w:shd w:val="clear" w:color="auto" w:fill="auto"/>
            <w:noWrap/>
            <w:vAlign w:val="bottom"/>
            <w:hideMark/>
          </w:tcPr>
          <w:p w:rsidR="004C4E86" w:rsidRPr="0076167C" w:rsidRDefault="004C4E86" w:rsidP="004C4E86">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r>
    </w:tbl>
    <w:p w:rsidR="00872ECF" w:rsidRDefault="00872ECF" w:rsidP="00872ECF">
      <w:pPr>
        <w:pStyle w:val="PwCNormal"/>
        <w:spacing w:before="120" w:after="0"/>
        <w:rPr>
          <w:b/>
          <w:sz w:val="16"/>
        </w:rPr>
      </w:pPr>
      <w:r w:rsidRPr="00E43DC3">
        <w:rPr>
          <w:b/>
          <w:sz w:val="16"/>
        </w:rPr>
        <w:t>Notes</w:t>
      </w:r>
      <w:r>
        <w:rPr>
          <w:b/>
          <w:sz w:val="16"/>
        </w:rPr>
        <w:t xml:space="preserve"> :</w:t>
      </w:r>
    </w:p>
    <w:p w:rsidR="00872ECF" w:rsidRDefault="00872ECF" w:rsidP="00872ECF">
      <w:pPr>
        <w:pStyle w:val="PwCNormal"/>
        <w:spacing w:after="0"/>
        <w:ind w:left="284" w:hanging="284"/>
        <w:rPr>
          <w:sz w:val="16"/>
        </w:rPr>
      </w:pPr>
      <w:r>
        <w:rPr>
          <w:sz w:val="16"/>
        </w:rPr>
        <w:t>(a</w:t>
      </w:r>
      <w:r w:rsidRPr="0081233E">
        <w:rPr>
          <w:sz w:val="16"/>
        </w:rPr>
        <w:t>)</w:t>
      </w:r>
      <w:r>
        <w:rPr>
          <w:sz w:val="16"/>
        </w:rPr>
        <w:tab/>
      </w:r>
      <w:r w:rsidRPr="00872ECF">
        <w:rPr>
          <w:sz w:val="16"/>
        </w:rPr>
        <w:t>Miscellaneous is the sum of Ward Medical, Pathology, Imaging, Emergency Departments, and Prostheses.</w:t>
      </w:r>
    </w:p>
    <w:p w:rsidR="00872ECF" w:rsidRDefault="00872ECF" w:rsidP="00872ECF">
      <w:pPr>
        <w:pStyle w:val="PwCNormal"/>
        <w:spacing w:after="0"/>
        <w:ind w:left="284"/>
        <w:rPr>
          <w:sz w:val="16"/>
        </w:rPr>
      </w:pPr>
      <w:r w:rsidRPr="00872ECF">
        <w:rPr>
          <w:sz w:val="16"/>
        </w:rPr>
        <w:t>For cost weight (cost bucket specific) calculations please refer to the "Appendix A: Glossary of NHCDC terms"</w:t>
      </w:r>
    </w:p>
    <w:p w:rsidR="00872ECF" w:rsidRPr="0081233E" w:rsidRDefault="00872ECF" w:rsidP="00872ECF">
      <w:pPr>
        <w:pStyle w:val="PwCNormal"/>
        <w:spacing w:after="0"/>
        <w:rPr>
          <w:sz w:val="16"/>
        </w:rPr>
      </w:pPr>
      <w:r>
        <w:rPr>
          <w:sz w:val="16"/>
        </w:rPr>
        <w:t>(b</w:t>
      </w:r>
      <w:r w:rsidRPr="0081233E">
        <w:rPr>
          <w:sz w:val="16"/>
        </w:rPr>
        <w:t>) Separations shown are strata weighted</w:t>
      </w:r>
    </w:p>
    <w:p w:rsidR="00872ECF" w:rsidRPr="0081233E" w:rsidRDefault="00872ECF" w:rsidP="00872ECF">
      <w:pPr>
        <w:pStyle w:val="PwCNormal"/>
        <w:spacing w:after="0"/>
        <w:rPr>
          <w:sz w:val="16"/>
        </w:rPr>
      </w:pPr>
      <w:r>
        <w:rPr>
          <w:sz w:val="16"/>
        </w:rPr>
        <w:t>(c</w:t>
      </w:r>
      <w:r w:rsidRPr="0081233E">
        <w:rPr>
          <w:sz w:val="16"/>
        </w:rPr>
        <w:t xml:space="preserve">) </w:t>
      </w:r>
      <w:r w:rsidR="004C4E86" w:rsidRPr="004C4E86">
        <w:rPr>
          <w:sz w:val="16"/>
        </w:rPr>
        <w:t>DRG-rank for cost weight across all cost buckets. A rank of 1 means that the DRG has the highest cost weight.</w:t>
      </w:r>
    </w:p>
    <w:p w:rsidR="00872ECF" w:rsidRPr="005279B8" w:rsidRDefault="00872ECF" w:rsidP="00872ECF">
      <w:pPr>
        <w:pStyle w:val="PwCNormal"/>
        <w:widowControl w:val="0"/>
        <w:numPr>
          <w:ilvl w:val="0"/>
          <w:numId w:val="0"/>
        </w:numPr>
        <w:spacing w:after="0"/>
        <w:rPr>
          <w:noProof/>
          <w:snapToGrid/>
          <w:lang w:eastAsia="en-AU"/>
        </w:rPr>
        <w:sectPr w:rsidR="00872ECF" w:rsidRPr="005279B8" w:rsidSect="0081233E">
          <w:pgSz w:w="16840" w:h="11907" w:orient="landscape" w:code="9"/>
          <w:pgMar w:top="1418" w:right="1021" w:bottom="1134" w:left="1021" w:header="567" w:footer="567" w:gutter="0"/>
          <w:cols w:space="227"/>
          <w:docGrid w:linePitch="360"/>
        </w:sectPr>
      </w:pPr>
      <w:r w:rsidRPr="005279B8">
        <w:rPr>
          <w:sz w:val="16"/>
        </w:rPr>
        <w:t xml:space="preserve">(e) </w:t>
      </w:r>
      <w:r w:rsidR="004C4E86" w:rsidRPr="005279B8">
        <w:rPr>
          <w:sz w:val="16"/>
        </w:rPr>
        <w:t>ALOS means average length of stay</w:t>
      </w:r>
    </w:p>
    <w:p w:rsidR="001F68EB" w:rsidRDefault="001F68EB" w:rsidP="001F68EB">
      <w:pPr>
        <w:pStyle w:val="Caption"/>
      </w:pPr>
      <w:r>
        <w:lastRenderedPageBreak/>
        <w:t xml:space="preserve">Table </w:t>
      </w:r>
      <w:r w:rsidR="00D502C6">
        <w:fldChar w:fldCharType="begin"/>
      </w:r>
      <w:r>
        <w:instrText xml:space="preserve"> SEQ Table \* ARABIC </w:instrText>
      </w:r>
      <w:r w:rsidR="00D502C6">
        <w:fldChar w:fldCharType="separate"/>
      </w:r>
      <w:r w:rsidR="00953F50">
        <w:rPr>
          <w:noProof/>
        </w:rPr>
        <w:t>9</w:t>
      </w:r>
      <w:r w:rsidR="00D502C6">
        <w:fldChar w:fldCharType="end"/>
      </w:r>
      <w:r>
        <w:tab/>
        <w:t>Twenty DRGs with the highest cost weight for Operating rooms and Specialist Procedure Suites</w:t>
      </w:r>
    </w:p>
    <w:tbl>
      <w:tblPr>
        <w:tblW w:w="15559" w:type="dxa"/>
        <w:tblLook w:val="04A0" w:firstRow="1" w:lastRow="0" w:firstColumn="1" w:lastColumn="0" w:noHBand="0" w:noVBand="1"/>
      </w:tblPr>
      <w:tblGrid>
        <w:gridCol w:w="607"/>
        <w:gridCol w:w="669"/>
        <w:gridCol w:w="6203"/>
        <w:gridCol w:w="851"/>
        <w:gridCol w:w="1205"/>
        <w:gridCol w:w="1063"/>
        <w:gridCol w:w="1082"/>
        <w:gridCol w:w="1186"/>
        <w:gridCol w:w="709"/>
        <w:gridCol w:w="1984"/>
      </w:tblGrid>
      <w:tr w:rsidR="003D4C03" w:rsidRPr="0076167C" w:rsidTr="0076167C">
        <w:trPr>
          <w:trHeight w:val="1099"/>
        </w:trPr>
        <w:tc>
          <w:tcPr>
            <w:tcW w:w="607"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DRG</w:t>
            </w:r>
          </w:p>
        </w:tc>
        <w:tc>
          <w:tcPr>
            <w:tcW w:w="669"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b/>
                <w:bCs/>
                <w:snapToGrid/>
                <w:color w:val="A32020"/>
                <w:sz w:val="16"/>
                <w:szCs w:val="16"/>
                <w:lang w:eastAsia="en-AU"/>
              </w:rPr>
            </w:pPr>
          </w:p>
        </w:tc>
        <w:tc>
          <w:tcPr>
            <w:tcW w:w="6203"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b/>
                <w:bCs/>
                <w:snapToGrid/>
                <w:color w:val="1F497D"/>
                <w:sz w:val="16"/>
                <w:szCs w:val="16"/>
                <w:lang w:eastAsia="en-AU"/>
              </w:rPr>
            </w:pPr>
            <w:r w:rsidRPr="0076167C">
              <w:rPr>
                <w:rFonts w:asciiTheme="minorHAnsi" w:hAnsiTheme="minorHAnsi" w:cstheme="minorHAnsi"/>
                <w:b/>
                <w:bCs/>
                <w:snapToGrid/>
                <w:color w:val="A32020"/>
                <w:sz w:val="16"/>
                <w:szCs w:val="16"/>
                <w:lang w:eastAsia="en-AU"/>
              </w:rPr>
              <w:t>Description</w:t>
            </w:r>
          </w:p>
        </w:tc>
        <w:tc>
          <w:tcPr>
            <w:tcW w:w="851"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OR and SPS Cost Weight </w:t>
            </w:r>
            <w:r w:rsidRPr="0076167C">
              <w:rPr>
                <w:rFonts w:asciiTheme="minorHAnsi" w:hAnsiTheme="minorHAnsi" w:cstheme="minorHAnsi"/>
                <w:snapToGrid/>
                <w:color w:val="A32020"/>
                <w:sz w:val="16"/>
                <w:szCs w:val="16"/>
                <w:lang w:eastAsia="en-AU"/>
              </w:rPr>
              <w:t>(a)</w:t>
            </w:r>
          </w:p>
        </w:tc>
        <w:tc>
          <w:tcPr>
            <w:tcW w:w="1205"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Separations </w:t>
            </w:r>
            <w:r w:rsidRPr="0076167C">
              <w:rPr>
                <w:rFonts w:asciiTheme="minorHAnsi" w:hAnsiTheme="minorHAnsi" w:cstheme="minorHAnsi"/>
                <w:snapToGrid/>
                <w:color w:val="A32020"/>
                <w:sz w:val="16"/>
                <w:szCs w:val="16"/>
                <w:lang w:eastAsia="en-AU"/>
              </w:rPr>
              <w:t>(b)</w:t>
            </w:r>
          </w:p>
        </w:tc>
        <w:tc>
          <w:tcPr>
            <w:tcW w:w="1063"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Overall Cost Weight </w:t>
            </w:r>
            <w:r w:rsidRPr="0076167C">
              <w:rPr>
                <w:rFonts w:asciiTheme="minorHAnsi" w:hAnsiTheme="minorHAnsi" w:cstheme="minorHAnsi"/>
                <w:snapToGrid/>
                <w:color w:val="A32020"/>
                <w:sz w:val="16"/>
                <w:szCs w:val="16"/>
                <w:lang w:eastAsia="en-AU"/>
              </w:rPr>
              <w:t>(c)</w:t>
            </w:r>
          </w:p>
        </w:tc>
        <w:tc>
          <w:tcPr>
            <w:tcW w:w="1082" w:type="dxa"/>
            <w:tcBorders>
              <w:top w:val="single" w:sz="4" w:space="0" w:color="A32020" w:themeColor="accent1"/>
              <w:left w:val="nil"/>
              <w:bottom w:val="single" w:sz="4" w:space="0" w:color="A32020" w:themeColor="accent1"/>
              <w:right w:val="nil"/>
            </w:tcBorders>
            <w:shd w:val="clear" w:color="auto" w:fill="auto"/>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Number of Days </w:t>
            </w:r>
            <w:r w:rsidRPr="0076167C">
              <w:rPr>
                <w:rFonts w:asciiTheme="minorHAnsi" w:hAnsiTheme="minorHAnsi" w:cstheme="minorHAnsi"/>
                <w:snapToGrid/>
                <w:color w:val="A32020"/>
                <w:sz w:val="16"/>
                <w:szCs w:val="16"/>
                <w:lang w:eastAsia="en-AU"/>
              </w:rPr>
              <w:t>(d)</w:t>
            </w:r>
          </w:p>
        </w:tc>
        <w:tc>
          <w:tcPr>
            <w:tcW w:w="1186"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 ALOS (days) </w:t>
            </w:r>
            <w:r w:rsidRPr="0076167C">
              <w:rPr>
                <w:rFonts w:asciiTheme="minorHAnsi" w:hAnsiTheme="minorHAnsi" w:cstheme="minorHAnsi"/>
                <w:snapToGrid/>
                <w:color w:val="A32020"/>
                <w:sz w:val="16"/>
                <w:szCs w:val="16"/>
                <w:lang w:eastAsia="en-AU"/>
              </w:rPr>
              <w:t>(e)=(d)/(b)</w:t>
            </w:r>
          </w:p>
        </w:tc>
        <w:tc>
          <w:tcPr>
            <w:tcW w:w="709" w:type="dxa"/>
            <w:tcBorders>
              <w:top w:val="single" w:sz="4" w:space="0" w:color="A32020" w:themeColor="accent1"/>
              <w:left w:val="nil"/>
              <w:bottom w:val="single" w:sz="4" w:space="0" w:color="A32020" w:themeColor="accent1"/>
              <w:right w:val="nil"/>
            </w:tcBorders>
            <w:shd w:val="clear" w:color="auto" w:fill="auto"/>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Std Error</w:t>
            </w:r>
          </w:p>
        </w:tc>
        <w:tc>
          <w:tcPr>
            <w:tcW w:w="1984" w:type="dxa"/>
            <w:tcBorders>
              <w:top w:val="single" w:sz="4" w:space="0" w:color="A32020" w:themeColor="accent1"/>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center"/>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Comment</w:t>
            </w:r>
          </w:p>
        </w:tc>
      </w:tr>
      <w:tr w:rsidR="003D4C03" w:rsidRPr="0076167C" w:rsidTr="0076167C">
        <w:trPr>
          <w:trHeight w:val="255"/>
        </w:trPr>
        <w:tc>
          <w:tcPr>
            <w:tcW w:w="607"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w:t>
            </w:r>
          </w:p>
        </w:tc>
        <w:tc>
          <w:tcPr>
            <w:tcW w:w="669"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J01A</w:t>
            </w:r>
          </w:p>
        </w:tc>
        <w:tc>
          <w:tcPr>
            <w:tcW w:w="6203"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Microvas</w:t>
            </w:r>
            <w:proofErr w:type="spellEnd"/>
            <w:r w:rsidRPr="0076167C">
              <w:rPr>
                <w:rFonts w:asciiTheme="minorHAnsi" w:hAnsiTheme="minorHAnsi" w:cstheme="minorHAnsi"/>
                <w:snapToGrid/>
                <w:color w:val="000000"/>
                <w:sz w:val="16"/>
                <w:szCs w:val="16"/>
                <w:lang w:eastAsia="en-AU"/>
              </w:rPr>
              <w:t xml:space="preserve"> </w:t>
            </w:r>
            <w:proofErr w:type="spellStart"/>
            <w:r w:rsidRPr="0076167C">
              <w:rPr>
                <w:rFonts w:asciiTheme="minorHAnsi" w:hAnsiTheme="minorHAnsi" w:cstheme="minorHAnsi"/>
                <w:snapToGrid/>
                <w:color w:val="000000"/>
                <w:sz w:val="16"/>
                <w:szCs w:val="16"/>
                <w:lang w:eastAsia="en-AU"/>
              </w:rPr>
              <w:t>Tiss</w:t>
            </w:r>
            <w:proofErr w:type="spellEnd"/>
            <w:r w:rsidRPr="0076167C">
              <w:rPr>
                <w:rFonts w:asciiTheme="minorHAnsi" w:hAnsiTheme="minorHAnsi" w:cstheme="minorHAnsi"/>
                <w:snapToGrid/>
                <w:color w:val="000000"/>
                <w:sz w:val="16"/>
                <w:szCs w:val="16"/>
                <w:lang w:eastAsia="en-AU"/>
              </w:rPr>
              <w:t xml:space="preserve"> </w:t>
            </w:r>
            <w:proofErr w:type="spellStart"/>
            <w:r w:rsidRPr="0076167C">
              <w:rPr>
                <w:rFonts w:asciiTheme="minorHAnsi" w:hAnsiTheme="minorHAnsi" w:cstheme="minorHAnsi"/>
                <w:snapToGrid/>
                <w:color w:val="000000"/>
                <w:sz w:val="16"/>
                <w:szCs w:val="16"/>
                <w:lang w:eastAsia="en-AU"/>
              </w:rPr>
              <w:t>Transf</w:t>
            </w:r>
            <w:proofErr w:type="spellEnd"/>
            <w:r w:rsidRPr="0076167C">
              <w:rPr>
                <w:rFonts w:asciiTheme="minorHAnsi" w:hAnsiTheme="minorHAnsi" w:cstheme="minorHAnsi"/>
                <w:snapToGrid/>
                <w:color w:val="000000"/>
                <w:sz w:val="16"/>
                <w:szCs w:val="16"/>
                <w:lang w:eastAsia="en-AU"/>
              </w:rPr>
              <w:t xml:space="preserve"> For Skin, Subcutaneous </w:t>
            </w:r>
            <w:proofErr w:type="spellStart"/>
            <w:r w:rsidRPr="0076167C">
              <w:rPr>
                <w:rFonts w:asciiTheme="minorHAnsi" w:hAnsiTheme="minorHAnsi" w:cstheme="minorHAnsi"/>
                <w:snapToGrid/>
                <w:color w:val="000000"/>
                <w:sz w:val="16"/>
                <w:szCs w:val="16"/>
                <w:lang w:eastAsia="en-AU"/>
              </w:rPr>
              <w:t>Tiss</w:t>
            </w:r>
            <w:proofErr w:type="spellEnd"/>
            <w:r w:rsidRPr="0076167C">
              <w:rPr>
                <w:rFonts w:asciiTheme="minorHAnsi" w:hAnsiTheme="minorHAnsi" w:cstheme="minorHAnsi"/>
                <w:snapToGrid/>
                <w:color w:val="000000"/>
                <w:sz w:val="16"/>
                <w:szCs w:val="16"/>
                <w:lang w:eastAsia="en-AU"/>
              </w:rPr>
              <w:t xml:space="preserve"> &amp; Breast </w:t>
            </w:r>
            <w:proofErr w:type="spellStart"/>
            <w:r w:rsidRPr="0076167C">
              <w:rPr>
                <w:rFonts w:asciiTheme="minorHAnsi" w:hAnsiTheme="minorHAnsi" w:cstheme="minorHAnsi"/>
                <w:snapToGrid/>
                <w:color w:val="000000"/>
                <w:sz w:val="16"/>
                <w:szCs w:val="16"/>
                <w:lang w:eastAsia="en-AU"/>
              </w:rPr>
              <w:t>Disd</w:t>
            </w:r>
            <w:proofErr w:type="spellEnd"/>
            <w:r w:rsidRPr="0076167C">
              <w:rPr>
                <w:rFonts w:asciiTheme="minorHAnsi" w:hAnsiTheme="minorHAnsi" w:cstheme="minorHAnsi"/>
                <w:snapToGrid/>
                <w:color w:val="000000"/>
                <w:sz w:val="16"/>
                <w:szCs w:val="16"/>
                <w:lang w:eastAsia="en-AU"/>
              </w:rPr>
              <w:t xml:space="preserve"> W Cat/</w:t>
            </w:r>
            <w:proofErr w:type="spellStart"/>
            <w:r w:rsidRPr="0076167C">
              <w:rPr>
                <w:rFonts w:asciiTheme="minorHAnsi" w:hAnsiTheme="minorHAnsi" w:cstheme="minorHAnsi"/>
                <w:snapToGrid/>
                <w:color w:val="000000"/>
                <w:sz w:val="16"/>
                <w:szCs w:val="16"/>
                <w:lang w:eastAsia="en-AU"/>
              </w:rPr>
              <w:t>Sev</w:t>
            </w:r>
            <w:proofErr w:type="spellEnd"/>
            <w:r w:rsidRPr="0076167C">
              <w:rPr>
                <w:rFonts w:asciiTheme="minorHAnsi" w:hAnsiTheme="minorHAnsi" w:cstheme="minorHAnsi"/>
                <w:snapToGrid/>
                <w:color w:val="000000"/>
                <w:sz w:val="16"/>
                <w:szCs w:val="16"/>
                <w:lang w:eastAsia="en-AU"/>
              </w:rPr>
              <w:t xml:space="preserve"> Cc</w:t>
            </w:r>
          </w:p>
        </w:tc>
        <w:tc>
          <w:tcPr>
            <w:tcW w:w="851"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2.56</w:t>
            </w:r>
          </w:p>
        </w:tc>
        <w:tc>
          <w:tcPr>
            <w:tcW w:w="1205"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145</w:t>
            </w:r>
          </w:p>
        </w:tc>
        <w:tc>
          <w:tcPr>
            <w:tcW w:w="1063"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7.27</w:t>
            </w:r>
          </w:p>
        </w:tc>
        <w:tc>
          <w:tcPr>
            <w:tcW w:w="1082"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1,533</w:t>
            </w:r>
          </w:p>
        </w:tc>
        <w:tc>
          <w:tcPr>
            <w:tcW w:w="1186"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10.6</w:t>
            </w:r>
          </w:p>
        </w:tc>
        <w:tc>
          <w:tcPr>
            <w:tcW w:w="709"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0.25</w:t>
            </w:r>
          </w:p>
        </w:tc>
        <w:tc>
          <w:tcPr>
            <w:tcW w:w="1984" w:type="dxa"/>
            <w:vMerge w:val="restart"/>
            <w:tcBorders>
              <w:top w:val="single" w:sz="4" w:space="0" w:color="A32020" w:themeColor="accent1"/>
              <w:left w:val="nil"/>
              <w:bottom w:val="nil"/>
              <w:right w:val="nil"/>
            </w:tcBorders>
            <w:shd w:val="clear" w:color="auto" w:fill="auto"/>
            <w:hideMark/>
          </w:tcPr>
          <w:p w:rsidR="003E0FF1" w:rsidRPr="0076167C" w:rsidRDefault="00AB2AB6" w:rsidP="0076167C">
            <w:pPr>
              <w:kinsoku/>
              <w:overflowPunct/>
              <w:autoSpaceDE/>
              <w:autoSpaceDN/>
              <w:adjustRightInd/>
              <w:snapToGrid/>
              <w:spacing w:before="240"/>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i</w:t>
            </w:r>
            <w:proofErr w:type="spellEnd"/>
            <w:r w:rsidRPr="0076167C">
              <w:rPr>
                <w:rFonts w:asciiTheme="minorHAnsi" w:hAnsiTheme="minorHAnsi" w:cstheme="minorHAnsi"/>
                <w:snapToGrid/>
                <w:color w:val="000000"/>
                <w:sz w:val="16"/>
                <w:szCs w:val="16"/>
                <w:lang w:eastAsia="en-AU"/>
              </w:rPr>
              <w:t xml:space="preserve">) </w:t>
            </w:r>
            <w:r w:rsidR="003E0FF1" w:rsidRPr="0076167C">
              <w:rPr>
                <w:rFonts w:asciiTheme="minorHAnsi" w:hAnsiTheme="minorHAnsi" w:cstheme="minorHAnsi"/>
                <w:snapToGrid/>
                <w:color w:val="000000"/>
                <w:sz w:val="16"/>
                <w:szCs w:val="16"/>
                <w:lang w:eastAsia="en-AU"/>
              </w:rPr>
              <w:t>This table shows the DRGs that are likely to consume the highest Operating Room and Specialist Procedure Suite resources for an individual episode of care, as measured by the Operating Room and Specialist Procedure cost weight. Most of these DRGs also have a high overall cost weight.</w:t>
            </w:r>
            <w:r w:rsidR="003E0FF1" w:rsidRPr="0076167C">
              <w:rPr>
                <w:rFonts w:asciiTheme="minorHAnsi" w:hAnsiTheme="minorHAnsi" w:cstheme="minorHAnsi"/>
                <w:snapToGrid/>
                <w:color w:val="000000"/>
                <w:sz w:val="16"/>
                <w:szCs w:val="16"/>
                <w:lang w:eastAsia="en-AU"/>
              </w:rPr>
              <w:br/>
            </w:r>
            <w:r w:rsidR="003E0FF1" w:rsidRPr="0076167C">
              <w:rPr>
                <w:rFonts w:asciiTheme="minorHAnsi" w:hAnsiTheme="minorHAnsi" w:cstheme="minorHAnsi"/>
                <w:snapToGrid/>
                <w:color w:val="000000"/>
                <w:sz w:val="16"/>
                <w:szCs w:val="16"/>
                <w:lang w:eastAsia="en-AU"/>
              </w:rPr>
              <w:br/>
              <w:t>DRGs with fewer than 5 separations or 3 participating hospitals are excluded from the table.</w:t>
            </w: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J01B</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Microvas</w:t>
            </w:r>
            <w:proofErr w:type="spellEnd"/>
            <w:r w:rsidRPr="0076167C">
              <w:rPr>
                <w:rFonts w:asciiTheme="minorHAnsi" w:hAnsiTheme="minorHAnsi" w:cstheme="minorHAnsi"/>
                <w:snapToGrid/>
                <w:color w:val="000000"/>
                <w:sz w:val="16"/>
                <w:szCs w:val="16"/>
                <w:lang w:eastAsia="en-AU"/>
              </w:rPr>
              <w:t xml:space="preserve"> </w:t>
            </w:r>
            <w:proofErr w:type="spellStart"/>
            <w:r w:rsidRPr="0076167C">
              <w:rPr>
                <w:rFonts w:asciiTheme="minorHAnsi" w:hAnsiTheme="minorHAnsi" w:cstheme="minorHAnsi"/>
                <w:snapToGrid/>
                <w:color w:val="000000"/>
                <w:sz w:val="16"/>
                <w:szCs w:val="16"/>
                <w:lang w:eastAsia="en-AU"/>
              </w:rPr>
              <w:t>Tiss</w:t>
            </w:r>
            <w:proofErr w:type="spellEnd"/>
            <w:r w:rsidRPr="0076167C">
              <w:rPr>
                <w:rFonts w:asciiTheme="minorHAnsi" w:hAnsiTheme="minorHAnsi" w:cstheme="minorHAnsi"/>
                <w:snapToGrid/>
                <w:color w:val="000000"/>
                <w:sz w:val="16"/>
                <w:szCs w:val="16"/>
                <w:lang w:eastAsia="en-AU"/>
              </w:rPr>
              <w:t xml:space="preserve"> </w:t>
            </w:r>
            <w:proofErr w:type="spellStart"/>
            <w:r w:rsidRPr="0076167C">
              <w:rPr>
                <w:rFonts w:asciiTheme="minorHAnsi" w:hAnsiTheme="minorHAnsi" w:cstheme="minorHAnsi"/>
                <w:snapToGrid/>
                <w:color w:val="000000"/>
                <w:sz w:val="16"/>
                <w:szCs w:val="16"/>
                <w:lang w:eastAsia="en-AU"/>
              </w:rPr>
              <w:t>Transf</w:t>
            </w:r>
            <w:proofErr w:type="spellEnd"/>
            <w:r w:rsidRPr="0076167C">
              <w:rPr>
                <w:rFonts w:asciiTheme="minorHAnsi" w:hAnsiTheme="minorHAnsi" w:cstheme="minorHAnsi"/>
                <w:snapToGrid/>
                <w:color w:val="000000"/>
                <w:sz w:val="16"/>
                <w:szCs w:val="16"/>
                <w:lang w:eastAsia="en-AU"/>
              </w:rPr>
              <w:t xml:space="preserve"> For Skin, Subcutaneous </w:t>
            </w:r>
            <w:proofErr w:type="spellStart"/>
            <w:r w:rsidRPr="0076167C">
              <w:rPr>
                <w:rFonts w:asciiTheme="minorHAnsi" w:hAnsiTheme="minorHAnsi" w:cstheme="minorHAnsi"/>
                <w:snapToGrid/>
                <w:color w:val="000000"/>
                <w:sz w:val="16"/>
                <w:szCs w:val="16"/>
                <w:lang w:eastAsia="en-AU"/>
              </w:rPr>
              <w:t>Tiss</w:t>
            </w:r>
            <w:proofErr w:type="spellEnd"/>
            <w:r w:rsidRPr="0076167C">
              <w:rPr>
                <w:rFonts w:asciiTheme="minorHAnsi" w:hAnsiTheme="minorHAnsi" w:cstheme="minorHAnsi"/>
                <w:snapToGrid/>
                <w:color w:val="000000"/>
                <w:sz w:val="16"/>
                <w:szCs w:val="16"/>
                <w:lang w:eastAsia="en-AU"/>
              </w:rPr>
              <w:t xml:space="preserve"> &amp; Breast </w:t>
            </w:r>
            <w:proofErr w:type="spellStart"/>
            <w:r w:rsidRPr="0076167C">
              <w:rPr>
                <w:rFonts w:asciiTheme="minorHAnsi" w:hAnsiTheme="minorHAnsi" w:cstheme="minorHAnsi"/>
                <w:snapToGrid/>
                <w:color w:val="000000"/>
                <w:sz w:val="16"/>
                <w:szCs w:val="16"/>
                <w:lang w:eastAsia="en-AU"/>
              </w:rPr>
              <w:t>Disd</w:t>
            </w:r>
            <w:proofErr w:type="spellEnd"/>
            <w:r w:rsidRPr="0076167C">
              <w:rPr>
                <w:rFonts w:asciiTheme="minorHAnsi" w:hAnsiTheme="minorHAnsi" w:cstheme="minorHAnsi"/>
                <w:snapToGrid/>
                <w:color w:val="000000"/>
                <w:sz w:val="16"/>
                <w:szCs w:val="16"/>
                <w:lang w:eastAsia="en-AU"/>
              </w:rPr>
              <w:t xml:space="preserve"> W/O Cat/</w:t>
            </w:r>
            <w:proofErr w:type="spellStart"/>
            <w:r w:rsidRPr="0076167C">
              <w:rPr>
                <w:rFonts w:asciiTheme="minorHAnsi" w:hAnsiTheme="minorHAnsi" w:cstheme="minorHAnsi"/>
                <w:snapToGrid/>
                <w:color w:val="000000"/>
                <w:sz w:val="16"/>
                <w:szCs w:val="16"/>
                <w:lang w:eastAsia="en-AU"/>
              </w:rPr>
              <w:t>Sev</w:t>
            </w:r>
            <w:proofErr w:type="spellEnd"/>
            <w:r w:rsidRPr="0076167C">
              <w:rPr>
                <w:rFonts w:asciiTheme="minorHAnsi" w:hAnsiTheme="minorHAnsi" w:cstheme="minorHAnsi"/>
                <w:snapToGrid/>
                <w:color w:val="000000"/>
                <w:sz w:val="16"/>
                <w:szCs w:val="16"/>
                <w:lang w:eastAsia="en-AU"/>
              </w:rPr>
              <w:t xml:space="preserve">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2.18</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408</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5.29</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2,985</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7.3</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0.09</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I02A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Microvascular</w:t>
            </w:r>
            <w:proofErr w:type="spellEnd"/>
            <w:r w:rsidRPr="0076167C">
              <w:rPr>
                <w:rFonts w:asciiTheme="minorHAnsi" w:hAnsiTheme="minorHAnsi" w:cstheme="minorHAnsi"/>
                <w:snapToGrid/>
                <w:color w:val="000000"/>
                <w:sz w:val="16"/>
                <w:szCs w:val="16"/>
                <w:lang w:eastAsia="en-AU"/>
              </w:rPr>
              <w:t xml:space="preserve"> Tissue Transfer Or (Skin Graft W Cat Or </w:t>
            </w:r>
            <w:proofErr w:type="spellStart"/>
            <w:r w:rsidRPr="0076167C">
              <w:rPr>
                <w:rFonts w:asciiTheme="minorHAnsi" w:hAnsiTheme="minorHAnsi" w:cstheme="minorHAnsi"/>
                <w:snapToGrid/>
                <w:color w:val="000000"/>
                <w:sz w:val="16"/>
                <w:szCs w:val="16"/>
                <w:lang w:eastAsia="en-AU"/>
              </w:rPr>
              <w:t>Sev</w:t>
            </w:r>
            <w:proofErr w:type="spellEnd"/>
            <w:r w:rsidRPr="0076167C">
              <w:rPr>
                <w:rFonts w:asciiTheme="minorHAnsi" w:hAnsiTheme="minorHAnsi" w:cstheme="minorHAnsi"/>
                <w:snapToGrid/>
                <w:color w:val="000000"/>
                <w:sz w:val="16"/>
                <w:szCs w:val="16"/>
                <w:lang w:eastAsia="en-AU"/>
              </w:rPr>
              <w:t xml:space="preserve"> Cc), Excluding Hand</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2.00</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349</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8.94</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6,987</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20.0</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0.27</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F07A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Cardiothoracic/Vascular Procedures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Catastrophic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1.84</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235</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10.96</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3,210</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13.7</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0.36</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A06A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Tracheostomy W Ventilation &gt;95 Hours W Catastrophic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1.77</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292</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54.94</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13,842</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47.4</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1.56</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F07B</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Cardiothoracic/Vascular Procedures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Severe Or Moderate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1.68</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160</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7.88</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1,457</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9.1</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0.25</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F03A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Cardiac Valve </w:t>
            </w:r>
            <w:proofErr w:type="spellStart"/>
            <w:r w:rsidRPr="0076167C">
              <w:rPr>
                <w:rFonts w:asciiTheme="minorHAnsi" w:hAnsiTheme="minorHAnsi" w:cstheme="minorHAnsi"/>
                <w:snapToGrid/>
                <w:color w:val="000000"/>
                <w:sz w:val="16"/>
                <w:szCs w:val="16"/>
                <w:lang w:eastAsia="en-AU"/>
              </w:rPr>
              <w:t>Proc</w:t>
            </w:r>
            <w:proofErr w:type="spellEnd"/>
            <w:r w:rsidRPr="0076167C">
              <w:rPr>
                <w:rFonts w:asciiTheme="minorHAnsi" w:hAnsiTheme="minorHAnsi" w:cstheme="minorHAnsi"/>
                <w:snapToGrid/>
                <w:color w:val="000000"/>
                <w:sz w:val="16"/>
                <w:szCs w:val="16"/>
                <w:lang w:eastAsia="en-AU"/>
              </w:rPr>
              <w:t xml:space="preserve">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Invasive Cardiac Investigation W Cat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1.56</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596</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14.90</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10,740</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18.0</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0.14</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F05A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Coronary Bypass W Invasive Cardiac Investigation W Reoperation Or W Cat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1.50</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758</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10.04</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12,718</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16.8</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0.08</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40"/>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F04A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Cardiac Valve </w:t>
            </w:r>
            <w:proofErr w:type="spellStart"/>
            <w:r w:rsidRPr="0076167C">
              <w:rPr>
                <w:rFonts w:asciiTheme="minorHAnsi" w:hAnsiTheme="minorHAnsi" w:cstheme="minorHAnsi"/>
                <w:snapToGrid/>
                <w:color w:val="000000"/>
                <w:sz w:val="16"/>
                <w:szCs w:val="16"/>
                <w:lang w:eastAsia="en-AU"/>
              </w:rPr>
              <w:t>Proc</w:t>
            </w:r>
            <w:proofErr w:type="spellEnd"/>
            <w:r w:rsidRPr="0076167C">
              <w:rPr>
                <w:rFonts w:asciiTheme="minorHAnsi" w:hAnsiTheme="minorHAnsi" w:cstheme="minorHAnsi"/>
                <w:snapToGrid/>
                <w:color w:val="000000"/>
                <w:sz w:val="16"/>
                <w:szCs w:val="16"/>
                <w:lang w:eastAsia="en-AU"/>
              </w:rPr>
              <w:t xml:space="preserve">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W/O Invasive Cardiac </w:t>
            </w:r>
            <w:proofErr w:type="spellStart"/>
            <w:r w:rsidRPr="0076167C">
              <w:rPr>
                <w:rFonts w:asciiTheme="minorHAnsi" w:hAnsiTheme="minorHAnsi" w:cstheme="minorHAnsi"/>
                <w:snapToGrid/>
                <w:color w:val="000000"/>
                <w:sz w:val="16"/>
                <w:szCs w:val="16"/>
                <w:lang w:eastAsia="en-AU"/>
              </w:rPr>
              <w:t>Inves</w:t>
            </w:r>
            <w:proofErr w:type="spellEnd"/>
            <w:r w:rsidRPr="0076167C">
              <w:rPr>
                <w:rFonts w:asciiTheme="minorHAnsi" w:hAnsiTheme="minorHAnsi" w:cstheme="minorHAnsi"/>
                <w:snapToGrid/>
                <w:color w:val="000000"/>
                <w:sz w:val="16"/>
                <w:szCs w:val="16"/>
                <w:lang w:eastAsia="en-AU"/>
              </w:rPr>
              <w:t xml:space="preserve"> W Cat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1.49</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2,253</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11.50</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30,859</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13.7</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0.06</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I06Z</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Spinal Fusion W Deformity</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1.48</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843</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17.77</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8,606</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10.2</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0.33</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W04A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Or </w:t>
            </w:r>
            <w:proofErr w:type="spellStart"/>
            <w:r w:rsidRPr="0076167C">
              <w:rPr>
                <w:rFonts w:asciiTheme="minorHAnsi" w:hAnsiTheme="minorHAnsi" w:cstheme="minorHAnsi"/>
                <w:snapToGrid/>
                <w:color w:val="000000"/>
                <w:sz w:val="16"/>
                <w:szCs w:val="16"/>
                <w:lang w:eastAsia="en-AU"/>
              </w:rPr>
              <w:t>Procs</w:t>
            </w:r>
            <w:proofErr w:type="spellEnd"/>
            <w:r w:rsidRPr="0076167C">
              <w:rPr>
                <w:rFonts w:asciiTheme="minorHAnsi" w:hAnsiTheme="minorHAnsi" w:cstheme="minorHAnsi"/>
                <w:snapToGrid/>
                <w:color w:val="000000"/>
                <w:sz w:val="16"/>
                <w:szCs w:val="16"/>
                <w:lang w:eastAsia="en-AU"/>
              </w:rPr>
              <w:t xml:space="preserve"> For Multiple Significant Trauma W Catastrophic Or Severe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1.47</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11.35</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487</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37.7</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1.62</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40"/>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F04B</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Cardiac Valve </w:t>
            </w:r>
            <w:proofErr w:type="spellStart"/>
            <w:r w:rsidRPr="0076167C">
              <w:rPr>
                <w:rFonts w:asciiTheme="minorHAnsi" w:hAnsiTheme="minorHAnsi" w:cstheme="minorHAnsi"/>
                <w:snapToGrid/>
                <w:color w:val="000000"/>
                <w:sz w:val="16"/>
                <w:szCs w:val="16"/>
                <w:lang w:eastAsia="en-AU"/>
              </w:rPr>
              <w:t>Proc</w:t>
            </w:r>
            <w:proofErr w:type="spellEnd"/>
            <w:r w:rsidRPr="0076167C">
              <w:rPr>
                <w:rFonts w:asciiTheme="minorHAnsi" w:hAnsiTheme="minorHAnsi" w:cstheme="minorHAnsi"/>
                <w:snapToGrid/>
                <w:color w:val="000000"/>
                <w:sz w:val="16"/>
                <w:szCs w:val="16"/>
                <w:lang w:eastAsia="en-AU"/>
              </w:rPr>
              <w:t xml:space="preserve">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W/O Invasive Cardiac </w:t>
            </w:r>
            <w:proofErr w:type="spellStart"/>
            <w:r w:rsidRPr="0076167C">
              <w:rPr>
                <w:rFonts w:asciiTheme="minorHAnsi" w:hAnsiTheme="minorHAnsi" w:cstheme="minorHAnsi"/>
                <w:snapToGrid/>
                <w:color w:val="000000"/>
                <w:sz w:val="16"/>
                <w:szCs w:val="16"/>
                <w:lang w:eastAsia="en-AU"/>
              </w:rPr>
              <w:t>Inves</w:t>
            </w:r>
            <w:proofErr w:type="spellEnd"/>
            <w:r w:rsidRPr="0076167C">
              <w:rPr>
                <w:rFonts w:asciiTheme="minorHAnsi" w:hAnsiTheme="minorHAnsi" w:cstheme="minorHAnsi"/>
                <w:snapToGrid/>
                <w:color w:val="000000"/>
                <w:sz w:val="16"/>
                <w:szCs w:val="16"/>
                <w:lang w:eastAsia="en-AU"/>
              </w:rPr>
              <w:t xml:space="preserve"> W/O Cat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1.39</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1,440</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8.58</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13,615</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9.5</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0.04</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F07C</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Cardiothoracic/Vascular Procedures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W/O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1.34</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123</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6.02</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836</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6.8</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0.20</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I15Z</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Cranio</w:t>
            </w:r>
            <w:proofErr w:type="spellEnd"/>
            <w:r w:rsidRPr="0076167C">
              <w:rPr>
                <w:rFonts w:asciiTheme="minorHAnsi" w:hAnsiTheme="minorHAnsi" w:cstheme="minorHAnsi"/>
                <w:snapToGrid/>
                <w:color w:val="000000"/>
                <w:sz w:val="16"/>
                <w:szCs w:val="16"/>
                <w:lang w:eastAsia="en-AU"/>
              </w:rPr>
              <w:t>-Facial Surgery</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1.31</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200</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7.36</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1,035</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5.2</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0.85</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F05B</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Coronary Bypass W Invasive Cardiac Investigation W/O Reoperation W/O Cat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1.28</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665</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6.75</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8,001</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12.0</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0.06</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40"/>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F06A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Coronary Bypass W/O Invasive Cardiac </w:t>
            </w:r>
            <w:proofErr w:type="spellStart"/>
            <w:r w:rsidRPr="0076167C">
              <w:rPr>
                <w:rFonts w:asciiTheme="minorHAnsi" w:hAnsiTheme="minorHAnsi" w:cstheme="minorHAnsi"/>
                <w:snapToGrid/>
                <w:color w:val="000000"/>
                <w:sz w:val="16"/>
                <w:szCs w:val="16"/>
                <w:lang w:eastAsia="en-AU"/>
              </w:rPr>
              <w:t>Inves</w:t>
            </w:r>
            <w:proofErr w:type="spellEnd"/>
            <w:r w:rsidRPr="0076167C">
              <w:rPr>
                <w:rFonts w:asciiTheme="minorHAnsi" w:hAnsiTheme="minorHAnsi" w:cstheme="minorHAnsi"/>
                <w:snapToGrid/>
                <w:color w:val="000000"/>
                <w:sz w:val="16"/>
                <w:szCs w:val="16"/>
                <w:lang w:eastAsia="en-AU"/>
              </w:rPr>
              <w:t xml:space="preserve"> W Reoperation Or W Cat Or </w:t>
            </w:r>
            <w:proofErr w:type="spellStart"/>
            <w:r w:rsidRPr="0076167C">
              <w:rPr>
                <w:rFonts w:asciiTheme="minorHAnsi" w:hAnsiTheme="minorHAnsi" w:cstheme="minorHAnsi"/>
                <w:snapToGrid/>
                <w:color w:val="000000"/>
                <w:sz w:val="16"/>
                <w:szCs w:val="16"/>
                <w:lang w:eastAsia="en-AU"/>
              </w:rPr>
              <w:t>Sev</w:t>
            </w:r>
            <w:proofErr w:type="spellEnd"/>
            <w:r w:rsidRPr="0076167C">
              <w:rPr>
                <w:rFonts w:asciiTheme="minorHAnsi" w:hAnsiTheme="minorHAnsi" w:cstheme="minorHAnsi"/>
                <w:snapToGrid/>
                <w:color w:val="000000"/>
                <w:sz w:val="16"/>
                <w:szCs w:val="16"/>
                <w:lang w:eastAsia="en-AU"/>
              </w:rPr>
              <w:t xml:space="preserve">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1.27</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2,397</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6.76</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26,890</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11.2</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0.03</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I09A</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Spinal Fusion W Catastrophic Cc</w:t>
            </w:r>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1.24</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689</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14.15</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11,598</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16.8</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0.21</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w:t>
            </w:r>
          </w:p>
        </w:tc>
        <w:tc>
          <w:tcPr>
            <w:tcW w:w="66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A40Z</w:t>
            </w:r>
          </w:p>
        </w:tc>
        <w:tc>
          <w:tcPr>
            <w:tcW w:w="620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Ecmo</w:t>
            </w:r>
            <w:proofErr w:type="spellEnd"/>
          </w:p>
        </w:tc>
        <w:tc>
          <w:tcPr>
            <w:tcW w:w="851"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1.23</w:t>
            </w:r>
          </w:p>
        </w:tc>
        <w:tc>
          <w:tcPr>
            <w:tcW w:w="1205"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w:t>
            </w:r>
          </w:p>
        </w:tc>
        <w:tc>
          <w:tcPr>
            <w:tcW w:w="1063"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36.10</w:t>
            </w:r>
          </w:p>
        </w:tc>
        <w:tc>
          <w:tcPr>
            <w:tcW w:w="1082"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497</w:t>
            </w:r>
          </w:p>
        </w:tc>
        <w:tc>
          <w:tcPr>
            <w:tcW w:w="1186"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21.3</w:t>
            </w:r>
          </w:p>
        </w:tc>
        <w:tc>
          <w:tcPr>
            <w:tcW w:w="709"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5.52</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w:t>
            </w:r>
          </w:p>
        </w:tc>
        <w:tc>
          <w:tcPr>
            <w:tcW w:w="669"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L03A</w:t>
            </w:r>
          </w:p>
        </w:tc>
        <w:tc>
          <w:tcPr>
            <w:tcW w:w="6203"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Kidney, Ureter And Major Bladder Procedures For Neoplasm W Catastrophic Cc</w:t>
            </w:r>
          </w:p>
        </w:tc>
        <w:tc>
          <w:tcPr>
            <w:tcW w:w="851"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1.20</w:t>
            </w:r>
          </w:p>
        </w:tc>
        <w:tc>
          <w:tcPr>
            <w:tcW w:w="1205"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421</w:t>
            </w:r>
          </w:p>
        </w:tc>
        <w:tc>
          <w:tcPr>
            <w:tcW w:w="1063"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6.50</w:t>
            </w:r>
          </w:p>
        </w:tc>
        <w:tc>
          <w:tcPr>
            <w:tcW w:w="1082"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6,676</w:t>
            </w:r>
          </w:p>
        </w:tc>
        <w:tc>
          <w:tcPr>
            <w:tcW w:w="1186"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15.8</w:t>
            </w:r>
          </w:p>
        </w:tc>
        <w:tc>
          <w:tcPr>
            <w:tcW w:w="709"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0.17</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76167C">
        <w:trPr>
          <w:trHeight w:val="255"/>
        </w:trPr>
        <w:tc>
          <w:tcPr>
            <w:tcW w:w="607"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w:t>
            </w:r>
          </w:p>
        </w:tc>
        <w:tc>
          <w:tcPr>
            <w:tcW w:w="669"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H01A</w:t>
            </w:r>
          </w:p>
        </w:tc>
        <w:tc>
          <w:tcPr>
            <w:tcW w:w="6203"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Pancreas, Liver And Shunt Procedures W Catastrophic Cc</w:t>
            </w:r>
          </w:p>
        </w:tc>
        <w:tc>
          <w:tcPr>
            <w:tcW w:w="851"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1.20</w:t>
            </w:r>
          </w:p>
        </w:tc>
        <w:tc>
          <w:tcPr>
            <w:tcW w:w="1205"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541</w:t>
            </w:r>
          </w:p>
        </w:tc>
        <w:tc>
          <w:tcPr>
            <w:tcW w:w="1063"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7.52</w:t>
            </w:r>
          </w:p>
        </w:tc>
        <w:tc>
          <w:tcPr>
            <w:tcW w:w="1082"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9,379</w:t>
            </w:r>
          </w:p>
        </w:tc>
        <w:tc>
          <w:tcPr>
            <w:tcW w:w="1186"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17.3</w:t>
            </w:r>
          </w:p>
        </w:tc>
        <w:tc>
          <w:tcPr>
            <w:tcW w:w="709"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0.20</w:t>
            </w:r>
          </w:p>
        </w:tc>
        <w:tc>
          <w:tcPr>
            <w:tcW w:w="1984" w:type="dxa"/>
            <w:vMerge/>
            <w:tcBorders>
              <w:top w:val="nil"/>
              <w:left w:val="nil"/>
              <w:bottom w:val="nil"/>
              <w:right w:val="nil"/>
            </w:tcBorders>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40"/>
        </w:trPr>
        <w:tc>
          <w:tcPr>
            <w:tcW w:w="607" w:type="dxa"/>
            <w:tcBorders>
              <w:top w:val="single" w:sz="4" w:space="0" w:color="A32020" w:themeColor="accent1"/>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p>
        </w:tc>
        <w:tc>
          <w:tcPr>
            <w:tcW w:w="6872" w:type="dxa"/>
            <w:gridSpan w:val="2"/>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Sub-total, top 20 highest cost-weighted separations</w:t>
            </w:r>
          </w:p>
        </w:tc>
        <w:tc>
          <w:tcPr>
            <w:tcW w:w="851" w:type="dxa"/>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1.45</w:t>
            </w:r>
          </w:p>
        </w:tc>
        <w:tc>
          <w:tcPr>
            <w:tcW w:w="1205" w:type="dxa"/>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12,552</w:t>
            </w:r>
          </w:p>
        </w:tc>
        <w:tc>
          <w:tcPr>
            <w:tcW w:w="1063" w:type="dxa"/>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10.87</w:t>
            </w:r>
          </w:p>
        </w:tc>
        <w:tc>
          <w:tcPr>
            <w:tcW w:w="1082" w:type="dxa"/>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171,951</w:t>
            </w:r>
          </w:p>
        </w:tc>
        <w:tc>
          <w:tcPr>
            <w:tcW w:w="1186" w:type="dxa"/>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13.7</w:t>
            </w:r>
          </w:p>
        </w:tc>
        <w:tc>
          <w:tcPr>
            <w:tcW w:w="709" w:type="dxa"/>
            <w:tcBorders>
              <w:top w:val="single" w:sz="4" w:space="0" w:color="A32020" w:themeColor="accent1"/>
              <w:left w:val="nil"/>
              <w:bottom w:val="nil"/>
              <w:right w:val="nil"/>
            </w:tcBorders>
            <w:shd w:val="clear" w:color="auto" w:fill="auto"/>
            <w:noWrap/>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c>
          <w:tcPr>
            <w:tcW w:w="1984" w:type="dxa"/>
            <w:tcBorders>
              <w:top w:val="nil"/>
              <w:left w:val="nil"/>
              <w:bottom w:val="nil"/>
              <w:right w:val="nil"/>
            </w:tcBorders>
            <w:shd w:val="clear" w:color="auto" w:fill="auto"/>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21"/>
        </w:trPr>
        <w:tc>
          <w:tcPr>
            <w:tcW w:w="607" w:type="dxa"/>
            <w:tcBorders>
              <w:top w:val="nil"/>
              <w:left w:val="nil"/>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p>
        </w:tc>
        <w:tc>
          <w:tcPr>
            <w:tcW w:w="6872" w:type="dxa"/>
            <w:gridSpan w:val="2"/>
            <w:tcBorders>
              <w:top w:val="nil"/>
              <w:left w:val="nil"/>
              <w:right w:val="nil"/>
            </w:tcBorders>
            <w:shd w:val="clear" w:color="auto" w:fill="auto"/>
            <w:noWrap/>
            <w:hideMark/>
          </w:tcPr>
          <w:p w:rsidR="003E0FF1" w:rsidRPr="0076167C" w:rsidRDefault="003E0FF1">
            <w:pPr>
              <w:rPr>
                <w:rFonts w:asciiTheme="minorHAnsi" w:hAnsiTheme="minorHAnsi" w:cstheme="minorHAnsi"/>
                <w:sz w:val="16"/>
                <w:szCs w:val="16"/>
              </w:rPr>
            </w:pPr>
            <w:r w:rsidRPr="0076167C">
              <w:rPr>
                <w:rFonts w:asciiTheme="minorHAnsi" w:hAnsiTheme="minorHAnsi" w:cstheme="minorHAnsi"/>
                <w:b/>
                <w:bCs/>
                <w:snapToGrid/>
                <w:color w:val="000000"/>
                <w:sz w:val="16"/>
                <w:szCs w:val="16"/>
                <w:lang w:eastAsia="en-AU"/>
              </w:rPr>
              <w:t>All DRGs</w:t>
            </w:r>
          </w:p>
        </w:tc>
        <w:tc>
          <w:tcPr>
            <w:tcW w:w="851" w:type="dxa"/>
            <w:tcBorders>
              <w:top w:val="nil"/>
              <w:left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0.18</w:t>
            </w:r>
          </w:p>
        </w:tc>
        <w:tc>
          <w:tcPr>
            <w:tcW w:w="1205" w:type="dxa"/>
            <w:tcBorders>
              <w:top w:val="nil"/>
              <w:left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2,703,792</w:t>
            </w:r>
          </w:p>
        </w:tc>
        <w:tc>
          <w:tcPr>
            <w:tcW w:w="1063" w:type="dxa"/>
            <w:tcBorders>
              <w:top w:val="nil"/>
              <w:left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1.00</w:t>
            </w:r>
          </w:p>
        </w:tc>
        <w:tc>
          <w:tcPr>
            <w:tcW w:w="1082" w:type="dxa"/>
            <w:tcBorders>
              <w:top w:val="nil"/>
              <w:left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6,820,000</w:t>
            </w:r>
          </w:p>
        </w:tc>
        <w:tc>
          <w:tcPr>
            <w:tcW w:w="1186" w:type="dxa"/>
            <w:tcBorders>
              <w:top w:val="nil"/>
              <w:left w:val="nil"/>
              <w:right w:val="nil"/>
            </w:tcBorders>
            <w:shd w:val="clear" w:color="auto" w:fill="auto"/>
            <w:noWrap/>
            <w:vAlign w:val="center"/>
            <w:hideMark/>
          </w:tcPr>
          <w:p w:rsidR="003E0FF1" w:rsidRPr="0076167C" w:rsidRDefault="003E0FF1" w:rsidP="003E0FF1">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2.5</w:t>
            </w:r>
          </w:p>
        </w:tc>
        <w:tc>
          <w:tcPr>
            <w:tcW w:w="709" w:type="dxa"/>
            <w:tcBorders>
              <w:top w:val="nil"/>
              <w:left w:val="nil"/>
              <w:right w:val="nil"/>
            </w:tcBorders>
            <w:shd w:val="clear" w:color="auto" w:fill="auto"/>
            <w:noWrap/>
            <w:vAlign w:val="center"/>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c>
          <w:tcPr>
            <w:tcW w:w="1984"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140"/>
        </w:trPr>
        <w:tc>
          <w:tcPr>
            <w:tcW w:w="607"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6872" w:type="dxa"/>
            <w:gridSpan w:val="2"/>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Top 20 OR and SPS cost-weight DRGs, % of all </w:t>
            </w:r>
            <w:proofErr w:type="spellStart"/>
            <w:r w:rsidRPr="0076167C">
              <w:rPr>
                <w:rFonts w:asciiTheme="minorHAnsi" w:hAnsiTheme="minorHAnsi" w:cstheme="minorHAnsi"/>
                <w:snapToGrid/>
                <w:color w:val="000000"/>
                <w:sz w:val="16"/>
                <w:szCs w:val="16"/>
                <w:lang w:eastAsia="en-AU"/>
              </w:rPr>
              <w:t>seps</w:t>
            </w:r>
            <w:proofErr w:type="spellEnd"/>
          </w:p>
        </w:tc>
        <w:tc>
          <w:tcPr>
            <w:tcW w:w="851"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205"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0.5%</w:t>
            </w:r>
          </w:p>
        </w:tc>
        <w:tc>
          <w:tcPr>
            <w:tcW w:w="1063"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082"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w:t>
            </w:r>
          </w:p>
        </w:tc>
        <w:tc>
          <w:tcPr>
            <w:tcW w:w="1186"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w:t>
            </w:r>
          </w:p>
        </w:tc>
        <w:tc>
          <w:tcPr>
            <w:tcW w:w="709" w:type="dxa"/>
            <w:tcBorders>
              <w:top w:val="nil"/>
              <w:left w:val="nil"/>
              <w:bottom w:val="single" w:sz="4" w:space="0" w:color="A32020" w:themeColor="accent1"/>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984" w:type="dxa"/>
            <w:tcBorders>
              <w:top w:val="nil"/>
              <w:left w:val="nil"/>
              <w:bottom w:val="nil"/>
              <w:right w:val="nil"/>
            </w:tcBorders>
            <w:shd w:val="clear" w:color="auto" w:fill="auto"/>
            <w:noWrap/>
            <w:vAlign w:val="bottom"/>
            <w:hideMark/>
          </w:tcPr>
          <w:p w:rsidR="003E0FF1" w:rsidRPr="0076167C" w:rsidRDefault="003E0FF1" w:rsidP="003E0FF1">
            <w:pPr>
              <w:kinsoku/>
              <w:overflowPunct/>
              <w:autoSpaceDE/>
              <w:autoSpaceDN/>
              <w:adjustRightInd/>
              <w:snapToGrid/>
              <w:rPr>
                <w:rFonts w:asciiTheme="minorHAnsi" w:hAnsiTheme="minorHAnsi" w:cstheme="minorHAnsi"/>
                <w:snapToGrid/>
                <w:color w:val="000000"/>
                <w:sz w:val="16"/>
                <w:szCs w:val="16"/>
                <w:lang w:eastAsia="en-AU"/>
              </w:rPr>
            </w:pPr>
          </w:p>
        </w:tc>
      </w:tr>
    </w:tbl>
    <w:p w:rsidR="005279B8" w:rsidRDefault="005279B8" w:rsidP="005279B8">
      <w:pPr>
        <w:pStyle w:val="PwCNormal"/>
        <w:spacing w:before="120" w:after="0"/>
        <w:rPr>
          <w:b/>
          <w:sz w:val="16"/>
        </w:rPr>
      </w:pPr>
      <w:r w:rsidRPr="00E43DC3">
        <w:rPr>
          <w:b/>
          <w:sz w:val="16"/>
        </w:rPr>
        <w:t>Notes</w:t>
      </w:r>
      <w:r>
        <w:rPr>
          <w:b/>
          <w:sz w:val="16"/>
        </w:rPr>
        <w:t xml:space="preserve"> :</w:t>
      </w:r>
    </w:p>
    <w:p w:rsidR="005279B8" w:rsidRDefault="005279B8" w:rsidP="005279B8">
      <w:pPr>
        <w:pStyle w:val="PwCNormal"/>
        <w:spacing w:after="0"/>
        <w:ind w:left="284" w:hanging="284"/>
        <w:rPr>
          <w:sz w:val="16"/>
        </w:rPr>
      </w:pPr>
      <w:r>
        <w:rPr>
          <w:sz w:val="16"/>
        </w:rPr>
        <w:t>(a</w:t>
      </w:r>
      <w:r w:rsidRPr="0081233E">
        <w:rPr>
          <w:sz w:val="16"/>
        </w:rPr>
        <w:t>)</w:t>
      </w:r>
      <w:r>
        <w:rPr>
          <w:sz w:val="16"/>
        </w:rPr>
        <w:tab/>
      </w:r>
      <w:r w:rsidR="00342D68" w:rsidRPr="00342D68">
        <w:rPr>
          <w:sz w:val="16"/>
        </w:rPr>
        <w:t>OR and SPS means "Operating Room" and "Specialist Procedure Suites" for the DRG shown</w:t>
      </w:r>
    </w:p>
    <w:p w:rsidR="005279B8" w:rsidRDefault="005279B8" w:rsidP="005279B8">
      <w:pPr>
        <w:pStyle w:val="PwCNormal"/>
        <w:spacing w:after="0"/>
        <w:ind w:left="284"/>
        <w:rPr>
          <w:sz w:val="16"/>
        </w:rPr>
      </w:pPr>
      <w:r w:rsidRPr="00872ECF">
        <w:rPr>
          <w:sz w:val="16"/>
        </w:rPr>
        <w:t>For cost weight (cost bucket specific) calculations please refer to the "Appendix A: Glossary of NHCDC terms"</w:t>
      </w:r>
    </w:p>
    <w:p w:rsidR="005279B8" w:rsidRPr="0081233E" w:rsidRDefault="005279B8" w:rsidP="005279B8">
      <w:pPr>
        <w:pStyle w:val="PwCNormal"/>
        <w:spacing w:after="0"/>
        <w:rPr>
          <w:sz w:val="16"/>
        </w:rPr>
      </w:pPr>
      <w:r>
        <w:rPr>
          <w:sz w:val="16"/>
        </w:rPr>
        <w:t>(b</w:t>
      </w:r>
      <w:r w:rsidRPr="0081233E">
        <w:rPr>
          <w:sz w:val="16"/>
        </w:rPr>
        <w:t>) Separations shown are strata weighted</w:t>
      </w:r>
    </w:p>
    <w:p w:rsidR="005279B8" w:rsidRPr="0081233E" w:rsidRDefault="005279B8" w:rsidP="005279B8">
      <w:pPr>
        <w:pStyle w:val="PwCNormal"/>
        <w:spacing w:after="0"/>
        <w:rPr>
          <w:sz w:val="16"/>
        </w:rPr>
      </w:pPr>
      <w:r>
        <w:rPr>
          <w:sz w:val="16"/>
        </w:rPr>
        <w:t>(c</w:t>
      </w:r>
      <w:r w:rsidRPr="0081233E">
        <w:rPr>
          <w:sz w:val="16"/>
        </w:rPr>
        <w:t xml:space="preserve">) </w:t>
      </w:r>
      <w:r w:rsidRPr="004C4E86">
        <w:rPr>
          <w:sz w:val="16"/>
        </w:rPr>
        <w:t>DRG-rank for cost weight across all cost buckets. A rank of 1 means that the DRG has the highest cost weight.</w:t>
      </w:r>
    </w:p>
    <w:p w:rsidR="005279B8" w:rsidRPr="005279B8" w:rsidRDefault="005279B8" w:rsidP="005279B8">
      <w:pPr>
        <w:pStyle w:val="PwCNormal"/>
        <w:widowControl w:val="0"/>
        <w:numPr>
          <w:ilvl w:val="0"/>
          <w:numId w:val="0"/>
        </w:numPr>
        <w:spacing w:after="0"/>
        <w:rPr>
          <w:noProof/>
          <w:snapToGrid/>
          <w:lang w:eastAsia="en-AU"/>
        </w:rPr>
        <w:sectPr w:rsidR="005279B8" w:rsidRPr="005279B8" w:rsidSect="0081233E">
          <w:pgSz w:w="16840" w:h="11907" w:orient="landscape" w:code="9"/>
          <w:pgMar w:top="1418" w:right="1021" w:bottom="1134" w:left="1021" w:header="567" w:footer="567" w:gutter="0"/>
          <w:cols w:space="227"/>
          <w:docGrid w:linePitch="360"/>
        </w:sectPr>
      </w:pPr>
      <w:r w:rsidRPr="005279B8">
        <w:rPr>
          <w:sz w:val="16"/>
        </w:rPr>
        <w:t>(e) ALOS means average length of stay</w:t>
      </w:r>
    </w:p>
    <w:p w:rsidR="00E30D9E" w:rsidRDefault="00E30D9E" w:rsidP="00E30D9E">
      <w:pPr>
        <w:pStyle w:val="Caption"/>
      </w:pPr>
      <w:r>
        <w:lastRenderedPageBreak/>
        <w:t xml:space="preserve">Table </w:t>
      </w:r>
      <w:r w:rsidR="00D502C6">
        <w:fldChar w:fldCharType="begin"/>
      </w:r>
      <w:r>
        <w:instrText xml:space="preserve"> SEQ Table \* ARABIC </w:instrText>
      </w:r>
      <w:r w:rsidR="00D502C6">
        <w:fldChar w:fldCharType="separate"/>
      </w:r>
      <w:r w:rsidR="00953F50">
        <w:rPr>
          <w:noProof/>
        </w:rPr>
        <w:t>10</w:t>
      </w:r>
      <w:r w:rsidR="00D502C6">
        <w:fldChar w:fldCharType="end"/>
      </w:r>
      <w:r>
        <w:tab/>
        <w:t>Twenty DRGs with the highest cost weight for Critical Care costs</w:t>
      </w:r>
    </w:p>
    <w:tbl>
      <w:tblPr>
        <w:tblW w:w="15324" w:type="dxa"/>
        <w:tblInd w:w="93" w:type="dxa"/>
        <w:tblLayout w:type="fixed"/>
        <w:tblLook w:val="04A0" w:firstRow="1" w:lastRow="0" w:firstColumn="1" w:lastColumn="0" w:noHBand="0" w:noVBand="1"/>
      </w:tblPr>
      <w:tblGrid>
        <w:gridCol w:w="607"/>
        <w:gridCol w:w="684"/>
        <w:gridCol w:w="6095"/>
        <w:gridCol w:w="851"/>
        <w:gridCol w:w="1276"/>
        <w:gridCol w:w="850"/>
        <w:gridCol w:w="1134"/>
        <w:gridCol w:w="1134"/>
        <w:gridCol w:w="709"/>
        <w:gridCol w:w="1984"/>
      </w:tblGrid>
      <w:tr w:rsidR="003D4C03" w:rsidRPr="0076167C" w:rsidTr="0076167C">
        <w:trPr>
          <w:trHeight w:val="1087"/>
        </w:trPr>
        <w:tc>
          <w:tcPr>
            <w:tcW w:w="607"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DRG</w:t>
            </w:r>
          </w:p>
        </w:tc>
        <w:tc>
          <w:tcPr>
            <w:tcW w:w="684"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w:t>
            </w:r>
          </w:p>
        </w:tc>
        <w:tc>
          <w:tcPr>
            <w:tcW w:w="6095"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Description</w:t>
            </w:r>
          </w:p>
        </w:tc>
        <w:tc>
          <w:tcPr>
            <w:tcW w:w="851"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Critical Care Cost Weight </w:t>
            </w:r>
            <w:r w:rsidRPr="0076167C">
              <w:rPr>
                <w:rFonts w:asciiTheme="minorHAnsi" w:hAnsiTheme="minorHAnsi" w:cstheme="minorHAnsi"/>
                <w:snapToGrid/>
                <w:color w:val="A32020"/>
                <w:sz w:val="16"/>
                <w:szCs w:val="16"/>
                <w:lang w:eastAsia="en-AU"/>
              </w:rPr>
              <w:t>(a)</w:t>
            </w:r>
          </w:p>
        </w:tc>
        <w:tc>
          <w:tcPr>
            <w:tcW w:w="1276"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Separations </w:t>
            </w:r>
            <w:r w:rsidRPr="0076167C">
              <w:rPr>
                <w:rFonts w:asciiTheme="minorHAnsi" w:hAnsiTheme="minorHAnsi" w:cstheme="minorHAnsi"/>
                <w:snapToGrid/>
                <w:color w:val="A32020"/>
                <w:sz w:val="16"/>
                <w:szCs w:val="16"/>
                <w:lang w:eastAsia="en-AU"/>
              </w:rPr>
              <w:t>(b)</w:t>
            </w:r>
          </w:p>
        </w:tc>
        <w:tc>
          <w:tcPr>
            <w:tcW w:w="850"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Overall Cost Weight </w:t>
            </w:r>
            <w:r w:rsidRPr="0076167C">
              <w:rPr>
                <w:rFonts w:asciiTheme="minorHAnsi" w:hAnsiTheme="minorHAnsi" w:cstheme="minorHAnsi"/>
                <w:snapToGrid/>
                <w:color w:val="A32020"/>
                <w:sz w:val="16"/>
                <w:szCs w:val="16"/>
                <w:lang w:eastAsia="en-AU"/>
              </w:rPr>
              <w:t>(c)</w:t>
            </w:r>
          </w:p>
        </w:tc>
        <w:tc>
          <w:tcPr>
            <w:tcW w:w="1134"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Number of Days </w:t>
            </w:r>
            <w:r w:rsidRPr="0076167C">
              <w:rPr>
                <w:rFonts w:asciiTheme="minorHAnsi" w:hAnsiTheme="minorHAnsi" w:cstheme="minorHAnsi"/>
                <w:snapToGrid/>
                <w:color w:val="A32020"/>
                <w:sz w:val="16"/>
                <w:szCs w:val="16"/>
                <w:lang w:eastAsia="en-AU"/>
              </w:rPr>
              <w:t>(d)</w:t>
            </w:r>
          </w:p>
        </w:tc>
        <w:tc>
          <w:tcPr>
            <w:tcW w:w="1134"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 xml:space="preserve"> ALOS (days) </w:t>
            </w:r>
            <w:r w:rsidRPr="0076167C">
              <w:rPr>
                <w:rFonts w:asciiTheme="minorHAnsi" w:hAnsiTheme="minorHAnsi" w:cstheme="minorHAnsi"/>
                <w:snapToGrid/>
                <w:color w:val="A32020"/>
                <w:sz w:val="16"/>
                <w:szCs w:val="16"/>
                <w:lang w:eastAsia="en-AU"/>
              </w:rPr>
              <w:t>(e)=(d)/(b)</w:t>
            </w:r>
          </w:p>
        </w:tc>
        <w:tc>
          <w:tcPr>
            <w:tcW w:w="709"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Std Error</w:t>
            </w:r>
          </w:p>
        </w:tc>
        <w:tc>
          <w:tcPr>
            <w:tcW w:w="1984" w:type="dxa"/>
            <w:tcBorders>
              <w:top w:val="single" w:sz="8" w:space="0" w:color="A32020"/>
              <w:left w:val="nil"/>
              <w:bottom w:val="single" w:sz="8" w:space="0" w:color="A32020"/>
              <w:right w:val="nil"/>
            </w:tcBorders>
            <w:shd w:val="clear" w:color="auto" w:fill="auto"/>
            <w:vAlign w:val="bottom"/>
            <w:hideMark/>
          </w:tcPr>
          <w:p w:rsidR="003D4C03" w:rsidRPr="0076167C" w:rsidRDefault="003D4C03" w:rsidP="003D4C03">
            <w:pPr>
              <w:kinsoku/>
              <w:overflowPunct/>
              <w:autoSpaceDE/>
              <w:autoSpaceDN/>
              <w:adjustRightInd/>
              <w:snapToGrid/>
              <w:jc w:val="center"/>
              <w:rPr>
                <w:rFonts w:asciiTheme="minorHAnsi" w:hAnsiTheme="minorHAnsi" w:cstheme="minorHAnsi"/>
                <w:b/>
                <w:bCs/>
                <w:snapToGrid/>
                <w:color w:val="A32020"/>
                <w:sz w:val="16"/>
                <w:szCs w:val="16"/>
                <w:lang w:eastAsia="en-AU"/>
              </w:rPr>
            </w:pPr>
            <w:r w:rsidRPr="0076167C">
              <w:rPr>
                <w:rFonts w:asciiTheme="minorHAnsi" w:hAnsiTheme="minorHAnsi" w:cstheme="minorHAnsi"/>
                <w:b/>
                <w:bCs/>
                <w:snapToGrid/>
                <w:color w:val="A32020"/>
                <w:sz w:val="16"/>
                <w:szCs w:val="16"/>
                <w:lang w:eastAsia="en-AU"/>
              </w:rPr>
              <w:t>Comment</w:t>
            </w: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A06A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Tracheostomy W Ventilation &gt;95 Hours W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36.73</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292</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54.94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13,842</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47.4</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1.56</w:t>
            </w:r>
          </w:p>
        </w:tc>
        <w:tc>
          <w:tcPr>
            <w:tcW w:w="1984" w:type="dxa"/>
            <w:vMerge w:val="restart"/>
            <w:tcBorders>
              <w:top w:val="nil"/>
              <w:left w:val="nil"/>
              <w:bottom w:val="nil"/>
              <w:right w:val="nil"/>
            </w:tcBorders>
            <w:shd w:val="clear" w:color="auto" w:fill="auto"/>
            <w:hideMark/>
          </w:tcPr>
          <w:p w:rsidR="003D4C03" w:rsidRPr="0076167C" w:rsidRDefault="003D4C03" w:rsidP="0076167C">
            <w:pPr>
              <w:kinsoku/>
              <w:overflowPunct/>
              <w:autoSpaceDE/>
              <w:autoSpaceDN/>
              <w:adjustRightInd/>
              <w:snapToGrid/>
              <w:spacing w:before="240"/>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i</w:t>
            </w:r>
            <w:proofErr w:type="spellEnd"/>
            <w:r w:rsidRPr="0076167C">
              <w:rPr>
                <w:rFonts w:asciiTheme="minorHAnsi" w:hAnsiTheme="minorHAnsi" w:cstheme="minorHAnsi"/>
                <w:snapToGrid/>
                <w:color w:val="000000"/>
                <w:sz w:val="16"/>
                <w:szCs w:val="16"/>
                <w:lang w:eastAsia="en-AU"/>
              </w:rPr>
              <w:t>) This table shows the DRGs that are likely to consume the highest Critical Care resources for an individual episode of care, as measured by the Critical Care cost weight. Most of these DRGs also have a high overall cost weight.</w:t>
            </w:r>
            <w:r w:rsidRPr="0076167C">
              <w:rPr>
                <w:rFonts w:asciiTheme="minorHAnsi" w:hAnsiTheme="minorHAnsi" w:cstheme="minorHAnsi"/>
                <w:snapToGrid/>
                <w:color w:val="000000"/>
                <w:sz w:val="16"/>
                <w:szCs w:val="16"/>
                <w:lang w:eastAsia="en-AU"/>
              </w:rPr>
              <w:br/>
              <w:t>DRGs with fewer than 5 separations or 3 participating hospitals are excluded from the table.</w:t>
            </w: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A06C</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Ventilation &gt;95 Hours W/O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18.76</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42</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25.58</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978</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23.1</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1.57</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A40Z</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Ecmo</w:t>
            </w:r>
            <w:proofErr w:type="spellEnd"/>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16.64</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36.10</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497</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21.3</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5.52</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A06B</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roofErr w:type="spellStart"/>
            <w:r w:rsidRPr="0076167C">
              <w:rPr>
                <w:rFonts w:asciiTheme="minorHAnsi" w:hAnsiTheme="minorHAnsi" w:cstheme="minorHAnsi"/>
                <w:snapToGrid/>
                <w:color w:val="000000"/>
                <w:sz w:val="16"/>
                <w:szCs w:val="16"/>
                <w:lang w:eastAsia="en-AU"/>
              </w:rPr>
              <w:t>Trach</w:t>
            </w:r>
            <w:proofErr w:type="spellEnd"/>
            <w:r w:rsidRPr="0076167C">
              <w:rPr>
                <w:rFonts w:asciiTheme="minorHAnsi" w:hAnsiTheme="minorHAnsi" w:cstheme="minorHAnsi"/>
                <w:snapToGrid/>
                <w:color w:val="000000"/>
                <w:sz w:val="16"/>
                <w:szCs w:val="16"/>
                <w:lang w:eastAsia="en-AU"/>
              </w:rPr>
              <w:t xml:space="preserve"> W Vent &gt;95 Hours W/O Cat Cc Or </w:t>
            </w:r>
            <w:proofErr w:type="spellStart"/>
            <w:r w:rsidRPr="0076167C">
              <w:rPr>
                <w:rFonts w:asciiTheme="minorHAnsi" w:hAnsiTheme="minorHAnsi" w:cstheme="minorHAnsi"/>
                <w:snapToGrid/>
                <w:color w:val="000000"/>
                <w:sz w:val="16"/>
                <w:szCs w:val="16"/>
                <w:lang w:eastAsia="en-AU"/>
              </w:rPr>
              <w:t>Trach</w:t>
            </w:r>
            <w:proofErr w:type="spellEnd"/>
            <w:r w:rsidRPr="0076167C">
              <w:rPr>
                <w:rFonts w:asciiTheme="minorHAnsi" w:hAnsiTheme="minorHAnsi" w:cstheme="minorHAnsi"/>
                <w:snapToGrid/>
                <w:color w:val="000000"/>
                <w:sz w:val="16"/>
                <w:szCs w:val="16"/>
                <w:lang w:eastAsia="en-AU"/>
              </w:rPr>
              <w:t>/Vent &gt;95 Hours W Cat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13.48</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929</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23.34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27,277</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29.4</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0.41</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P06B</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Neonate, </w:t>
            </w:r>
            <w:proofErr w:type="spellStart"/>
            <w:r w:rsidRPr="0076167C">
              <w:rPr>
                <w:rFonts w:asciiTheme="minorHAnsi" w:hAnsiTheme="minorHAnsi" w:cstheme="minorHAnsi"/>
                <w:snapToGrid/>
                <w:color w:val="000000"/>
                <w:sz w:val="16"/>
                <w:szCs w:val="16"/>
                <w:lang w:eastAsia="en-AU"/>
              </w:rPr>
              <w:t>Admwt</w:t>
            </w:r>
            <w:proofErr w:type="spellEnd"/>
            <w:r w:rsidRPr="0076167C">
              <w:rPr>
                <w:rFonts w:asciiTheme="minorHAnsi" w:hAnsiTheme="minorHAnsi" w:cstheme="minorHAnsi"/>
                <w:snapToGrid/>
                <w:color w:val="000000"/>
                <w:sz w:val="16"/>
                <w:szCs w:val="16"/>
                <w:lang w:eastAsia="en-AU"/>
              </w:rPr>
              <w:t xml:space="preserve"> &gt;2499 G W Significant Or Procedure W/O Multi Major Problems</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8.68</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148</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13.45</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3,745</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25.3</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1.56</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P03Z</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Neonate, </w:t>
            </w:r>
            <w:proofErr w:type="spellStart"/>
            <w:r w:rsidRPr="0076167C">
              <w:rPr>
                <w:rFonts w:asciiTheme="minorHAnsi" w:hAnsiTheme="minorHAnsi" w:cstheme="minorHAnsi"/>
                <w:snapToGrid/>
                <w:color w:val="000000"/>
                <w:sz w:val="16"/>
                <w:szCs w:val="16"/>
                <w:lang w:eastAsia="en-AU"/>
              </w:rPr>
              <w:t>Admwt</w:t>
            </w:r>
            <w:proofErr w:type="spellEnd"/>
            <w:r w:rsidRPr="0076167C">
              <w:rPr>
                <w:rFonts w:asciiTheme="minorHAnsi" w:hAnsiTheme="minorHAnsi" w:cstheme="minorHAnsi"/>
                <w:snapToGrid/>
                <w:color w:val="000000"/>
                <w:sz w:val="16"/>
                <w:szCs w:val="16"/>
                <w:lang w:eastAsia="en-AU"/>
              </w:rPr>
              <w:t xml:space="preserve"> 1000-1499 G W Significant Or Procedure</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8.10</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9.49</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4.60</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F40B</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Circulatory System Diagnosis W Ventilator Support W/O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5.59</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7.04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1.32</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P67A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Neonate, </w:t>
            </w:r>
            <w:proofErr w:type="spellStart"/>
            <w:r w:rsidRPr="0076167C">
              <w:rPr>
                <w:rFonts w:asciiTheme="minorHAnsi" w:hAnsiTheme="minorHAnsi" w:cstheme="minorHAnsi"/>
                <w:snapToGrid/>
                <w:color w:val="000000"/>
                <w:sz w:val="16"/>
                <w:szCs w:val="16"/>
                <w:lang w:eastAsia="en-AU"/>
              </w:rPr>
              <w:t>Admwt</w:t>
            </w:r>
            <w:proofErr w:type="spellEnd"/>
            <w:r w:rsidRPr="0076167C">
              <w:rPr>
                <w:rFonts w:asciiTheme="minorHAnsi" w:hAnsiTheme="minorHAnsi" w:cstheme="minorHAnsi"/>
                <w:snapToGrid/>
                <w:color w:val="000000"/>
                <w:sz w:val="16"/>
                <w:szCs w:val="16"/>
                <w:lang w:eastAsia="en-AU"/>
              </w:rPr>
              <w:t xml:space="preserve"> &gt;2499 G W/O Significant Or Procedure W Multi Major Problems</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5.39</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89</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9.16</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1,532</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17.3</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1.65</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40"/>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E40B</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Respiratory System Diagnosis W Ventilator Support W/O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5.35</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7.20</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143</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7.2</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1.11</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E40A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Respiratory System Diagnosis W Ventilator Support W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5.06</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84</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9.25</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1,069</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12.7</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0.61</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F40A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Circulatory System Diagnosis W Ventilator Support W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5.03</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50</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8.80</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683</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13.7</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0.66</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40"/>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X40Z</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Injuries, Poisoning And Toxic Effects Of Drugs W Ventilator Support</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4.84</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7.48</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58</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5.3</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1.04</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B42B</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Nervous System Diagnosis W Ventilator Support W/O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3.14</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6.14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183</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7.8</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0.54</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B42A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Nervous System Diagnosis W Ventilator Support W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3.13</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5.81</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224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9.8</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0.57</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15</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F03A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Cardiac Valve </w:t>
            </w:r>
            <w:proofErr w:type="spellStart"/>
            <w:r w:rsidRPr="0076167C">
              <w:rPr>
                <w:rFonts w:asciiTheme="minorHAnsi" w:hAnsiTheme="minorHAnsi" w:cstheme="minorHAnsi"/>
                <w:snapToGrid/>
                <w:color w:val="000000"/>
                <w:sz w:val="16"/>
                <w:szCs w:val="16"/>
                <w:lang w:eastAsia="en-AU"/>
              </w:rPr>
              <w:t>Proc</w:t>
            </w:r>
            <w:proofErr w:type="spellEnd"/>
            <w:r w:rsidRPr="0076167C">
              <w:rPr>
                <w:rFonts w:asciiTheme="minorHAnsi" w:hAnsiTheme="minorHAnsi" w:cstheme="minorHAnsi"/>
                <w:snapToGrid/>
                <w:color w:val="000000"/>
                <w:sz w:val="16"/>
                <w:szCs w:val="16"/>
                <w:lang w:eastAsia="en-AU"/>
              </w:rPr>
              <w:t xml:space="preserve">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Invasive Cardiac Investigation W Cat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3.06</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596</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14.90</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10,740</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18.0</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0.14</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40"/>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F07A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Other Cardiothoracic/Vascular Procedures W </w:t>
            </w:r>
            <w:proofErr w:type="spellStart"/>
            <w:r w:rsidRPr="0076167C">
              <w:rPr>
                <w:rFonts w:asciiTheme="minorHAnsi" w:hAnsiTheme="minorHAnsi" w:cstheme="minorHAnsi"/>
                <w:snapToGrid/>
                <w:color w:val="000000"/>
                <w:sz w:val="16"/>
                <w:szCs w:val="16"/>
                <w:lang w:eastAsia="en-AU"/>
              </w:rPr>
              <w:t>Cpb</w:t>
            </w:r>
            <w:proofErr w:type="spellEnd"/>
            <w:r w:rsidRPr="0076167C">
              <w:rPr>
                <w:rFonts w:asciiTheme="minorHAnsi" w:hAnsiTheme="minorHAnsi" w:cstheme="minorHAnsi"/>
                <w:snapToGrid/>
                <w:color w:val="000000"/>
                <w:sz w:val="16"/>
                <w:szCs w:val="16"/>
                <w:lang w:eastAsia="en-AU"/>
              </w:rPr>
              <w:t xml:space="preserve"> Pump W Catastrophic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2.88</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235</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10.96</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3,210</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13.7</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0.36</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17</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E41Z</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Respiratory System Diagnosis W Non-Invasive Ventilation</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2.85</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312</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5.65</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4,403</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14.1</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0.15</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18</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F05A</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Coronary Bypass W Invasive Cardiac Investigation W Reoperation Or W Cat Cc</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2.84</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758</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10.04</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12,718</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16.8</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0.08</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19</w:t>
            </w:r>
          </w:p>
        </w:tc>
        <w:tc>
          <w:tcPr>
            <w:tcW w:w="6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P65B</w:t>
            </w:r>
          </w:p>
        </w:tc>
        <w:tc>
          <w:tcPr>
            <w:tcW w:w="6095"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Neonate, </w:t>
            </w:r>
            <w:proofErr w:type="spellStart"/>
            <w:r w:rsidRPr="0076167C">
              <w:rPr>
                <w:rFonts w:asciiTheme="minorHAnsi" w:hAnsiTheme="minorHAnsi" w:cstheme="minorHAnsi"/>
                <w:snapToGrid/>
                <w:color w:val="000000"/>
                <w:sz w:val="16"/>
                <w:szCs w:val="16"/>
                <w:lang w:eastAsia="en-AU"/>
              </w:rPr>
              <w:t>Admwt</w:t>
            </w:r>
            <w:proofErr w:type="spellEnd"/>
            <w:r w:rsidRPr="0076167C">
              <w:rPr>
                <w:rFonts w:asciiTheme="minorHAnsi" w:hAnsiTheme="minorHAnsi" w:cstheme="minorHAnsi"/>
                <w:snapToGrid/>
                <w:color w:val="000000"/>
                <w:sz w:val="16"/>
                <w:szCs w:val="16"/>
                <w:lang w:eastAsia="en-AU"/>
              </w:rPr>
              <w:t xml:space="preserve"> 1500-1999 G W/O Significant Or Procedure W Major Problem</w:t>
            </w:r>
          </w:p>
        </w:tc>
        <w:tc>
          <w:tcPr>
            <w:tcW w:w="851"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2.74</w:t>
            </w:r>
          </w:p>
        </w:tc>
        <w:tc>
          <w:tcPr>
            <w:tcW w:w="1276"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21</w:t>
            </w:r>
          </w:p>
        </w:tc>
        <w:tc>
          <w:tcPr>
            <w:tcW w:w="850"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6.67</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516</w:t>
            </w:r>
          </w:p>
        </w:tc>
        <w:tc>
          <w:tcPr>
            <w:tcW w:w="113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24.4</w:t>
            </w:r>
          </w:p>
        </w:tc>
        <w:tc>
          <w:tcPr>
            <w:tcW w:w="709"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0.87</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55"/>
        </w:trPr>
        <w:tc>
          <w:tcPr>
            <w:tcW w:w="607"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20</w:t>
            </w:r>
          </w:p>
        </w:tc>
        <w:tc>
          <w:tcPr>
            <w:tcW w:w="684"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T40Z</w:t>
            </w:r>
          </w:p>
        </w:tc>
        <w:tc>
          <w:tcPr>
            <w:tcW w:w="6095"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Infectious And Parasitic Diseases W Ventilator Support</w:t>
            </w:r>
          </w:p>
        </w:tc>
        <w:tc>
          <w:tcPr>
            <w:tcW w:w="851"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2.64</w:t>
            </w:r>
          </w:p>
        </w:tc>
        <w:tc>
          <w:tcPr>
            <w:tcW w:w="1276"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33</w:t>
            </w:r>
          </w:p>
        </w:tc>
        <w:tc>
          <w:tcPr>
            <w:tcW w:w="850"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10.11</w:t>
            </w:r>
          </w:p>
        </w:tc>
        <w:tc>
          <w:tcPr>
            <w:tcW w:w="1134"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379</w:t>
            </w:r>
          </w:p>
        </w:tc>
        <w:tc>
          <w:tcPr>
            <w:tcW w:w="1134"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11.5</w:t>
            </w:r>
          </w:p>
        </w:tc>
        <w:tc>
          <w:tcPr>
            <w:tcW w:w="709"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0.75</w:t>
            </w:r>
          </w:p>
        </w:tc>
        <w:tc>
          <w:tcPr>
            <w:tcW w:w="1984" w:type="dxa"/>
            <w:vMerge/>
            <w:tcBorders>
              <w:top w:val="nil"/>
              <w:left w:val="nil"/>
              <w:bottom w:val="nil"/>
              <w:right w:val="nil"/>
            </w:tcBorders>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40"/>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p>
        </w:tc>
        <w:tc>
          <w:tcPr>
            <w:tcW w:w="6779" w:type="dxa"/>
            <w:gridSpan w:val="2"/>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Sub-total, top 20 highest cost-weighted separations</w:t>
            </w:r>
          </w:p>
        </w:tc>
        <w:tc>
          <w:tcPr>
            <w:tcW w:w="851"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8.90</w:t>
            </w:r>
          </w:p>
        </w:tc>
        <w:tc>
          <w:tcPr>
            <w:tcW w:w="1276"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3,703</w:t>
            </w:r>
          </w:p>
        </w:tc>
        <w:tc>
          <w:tcPr>
            <w:tcW w:w="850"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rPr>
                <w:rFonts w:asciiTheme="minorHAnsi" w:hAnsiTheme="minorHAnsi" w:cstheme="minorHAnsi"/>
                <w:b/>
                <w:bCs/>
                <w:snapToGrid/>
                <w:color w:val="000000"/>
                <w:sz w:val="16"/>
                <w:szCs w:val="16"/>
                <w:lang w:eastAsia="en-AU"/>
              </w:rPr>
            </w:pPr>
          </w:p>
        </w:tc>
        <w:tc>
          <w:tcPr>
            <w:tcW w:w="1134"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82,237</w:t>
            </w:r>
          </w:p>
        </w:tc>
        <w:tc>
          <w:tcPr>
            <w:tcW w:w="1134"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22.2</w:t>
            </w:r>
          </w:p>
        </w:tc>
        <w:tc>
          <w:tcPr>
            <w:tcW w:w="709"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c>
          <w:tcPr>
            <w:tcW w:w="1984" w:type="dxa"/>
            <w:tcBorders>
              <w:top w:val="nil"/>
              <w:left w:val="nil"/>
              <w:bottom w:val="nil"/>
              <w:right w:val="nil"/>
            </w:tcBorders>
            <w:shd w:val="clear" w:color="auto" w:fill="auto"/>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240"/>
        </w:trPr>
        <w:tc>
          <w:tcPr>
            <w:tcW w:w="607"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p>
        </w:tc>
        <w:tc>
          <w:tcPr>
            <w:tcW w:w="6779" w:type="dxa"/>
            <w:gridSpan w:val="2"/>
            <w:tcBorders>
              <w:top w:val="nil"/>
              <w:left w:val="nil"/>
              <w:bottom w:val="nil"/>
              <w:right w:val="nil"/>
            </w:tcBorders>
            <w:shd w:val="clear" w:color="auto" w:fill="auto"/>
            <w:noWrap/>
            <w:hideMark/>
          </w:tcPr>
          <w:p w:rsidR="003D4C03" w:rsidRPr="0076167C" w:rsidRDefault="003D4C03" w:rsidP="003D4C03">
            <w:pPr>
              <w:rPr>
                <w:rFonts w:asciiTheme="minorHAnsi" w:hAnsiTheme="minorHAnsi" w:cstheme="minorHAnsi"/>
                <w:sz w:val="16"/>
                <w:szCs w:val="16"/>
              </w:rPr>
            </w:pPr>
            <w:r w:rsidRPr="0076167C">
              <w:rPr>
                <w:rFonts w:asciiTheme="minorHAnsi" w:hAnsiTheme="minorHAnsi" w:cstheme="minorHAnsi"/>
                <w:b/>
                <w:bCs/>
                <w:snapToGrid/>
                <w:color w:val="000000"/>
                <w:sz w:val="16"/>
                <w:szCs w:val="16"/>
                <w:lang w:eastAsia="en-AU"/>
              </w:rPr>
              <w:t>All DRGs</w:t>
            </w:r>
          </w:p>
        </w:tc>
        <w:tc>
          <w:tcPr>
            <w:tcW w:w="851"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0.05</w:t>
            </w:r>
          </w:p>
        </w:tc>
        <w:tc>
          <w:tcPr>
            <w:tcW w:w="1276"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2,703,792v</w:t>
            </w:r>
          </w:p>
        </w:tc>
        <w:tc>
          <w:tcPr>
            <w:tcW w:w="850"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rPr>
                <w:rFonts w:asciiTheme="minorHAnsi" w:hAnsiTheme="minorHAnsi" w:cstheme="minorHAnsi"/>
                <w:b/>
                <w:bCs/>
                <w:snapToGrid/>
                <w:color w:val="000000"/>
                <w:sz w:val="16"/>
                <w:szCs w:val="16"/>
                <w:lang w:eastAsia="en-AU"/>
              </w:rPr>
            </w:pPr>
          </w:p>
        </w:tc>
        <w:tc>
          <w:tcPr>
            <w:tcW w:w="1134"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6,820,000</w:t>
            </w:r>
          </w:p>
        </w:tc>
        <w:tc>
          <w:tcPr>
            <w:tcW w:w="1134"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jc w:val="right"/>
              <w:rPr>
                <w:rFonts w:asciiTheme="minorHAnsi" w:hAnsiTheme="minorHAnsi" w:cstheme="minorHAnsi"/>
                <w:b/>
                <w:bCs/>
                <w:snapToGrid/>
                <w:color w:val="000000"/>
                <w:sz w:val="16"/>
                <w:szCs w:val="16"/>
                <w:lang w:eastAsia="en-AU"/>
              </w:rPr>
            </w:pPr>
            <w:r w:rsidRPr="0076167C">
              <w:rPr>
                <w:rFonts w:asciiTheme="minorHAnsi" w:hAnsiTheme="minorHAnsi" w:cstheme="minorHAnsi"/>
                <w:b/>
                <w:bCs/>
                <w:snapToGrid/>
                <w:color w:val="000000"/>
                <w:sz w:val="16"/>
                <w:szCs w:val="16"/>
                <w:lang w:eastAsia="en-AU"/>
              </w:rPr>
              <w:t>2.5</w:t>
            </w:r>
          </w:p>
        </w:tc>
        <w:tc>
          <w:tcPr>
            <w:tcW w:w="709" w:type="dxa"/>
            <w:tcBorders>
              <w:top w:val="nil"/>
              <w:left w:val="nil"/>
              <w:bottom w:val="nil"/>
              <w:right w:val="nil"/>
            </w:tcBorders>
            <w:shd w:val="clear" w:color="auto" w:fill="auto"/>
            <w:noWrap/>
            <w:vAlign w:val="center"/>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c>
          <w:tcPr>
            <w:tcW w:w="19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r w:rsidR="003D4C03" w:rsidRPr="0076167C" w:rsidTr="003D4C03">
        <w:trPr>
          <w:trHeight w:val="80"/>
        </w:trPr>
        <w:tc>
          <w:tcPr>
            <w:tcW w:w="607"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ind w:firstLineChars="100" w:firstLine="160"/>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6779" w:type="dxa"/>
            <w:gridSpan w:val="2"/>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xml:space="preserve">Top 20 Critical Care cost-weight DRGs, % of all </w:t>
            </w:r>
            <w:proofErr w:type="spellStart"/>
            <w:r w:rsidRPr="0076167C">
              <w:rPr>
                <w:rFonts w:asciiTheme="minorHAnsi" w:hAnsiTheme="minorHAnsi" w:cstheme="minorHAnsi"/>
                <w:snapToGrid/>
                <w:color w:val="000000"/>
                <w:sz w:val="16"/>
                <w:szCs w:val="16"/>
                <w:lang w:eastAsia="en-AU"/>
              </w:rPr>
              <w:t>seps</w:t>
            </w:r>
            <w:proofErr w:type="spellEnd"/>
          </w:p>
        </w:tc>
        <w:tc>
          <w:tcPr>
            <w:tcW w:w="851"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276"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0.1%</w:t>
            </w:r>
          </w:p>
        </w:tc>
        <w:tc>
          <w:tcPr>
            <w:tcW w:w="850"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134"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1%</w:t>
            </w:r>
          </w:p>
        </w:tc>
        <w:tc>
          <w:tcPr>
            <w:tcW w:w="1134"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jc w:val="right"/>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0.4</w:t>
            </w:r>
          </w:p>
        </w:tc>
        <w:tc>
          <w:tcPr>
            <w:tcW w:w="709" w:type="dxa"/>
            <w:tcBorders>
              <w:top w:val="nil"/>
              <w:left w:val="nil"/>
              <w:bottom w:val="single" w:sz="4" w:space="0" w:color="auto"/>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r w:rsidRPr="0076167C">
              <w:rPr>
                <w:rFonts w:asciiTheme="minorHAnsi" w:hAnsiTheme="minorHAnsi" w:cstheme="minorHAnsi"/>
                <w:snapToGrid/>
                <w:color w:val="000000"/>
                <w:sz w:val="16"/>
                <w:szCs w:val="16"/>
                <w:lang w:eastAsia="en-AU"/>
              </w:rPr>
              <w:t> </w:t>
            </w:r>
          </w:p>
        </w:tc>
        <w:tc>
          <w:tcPr>
            <w:tcW w:w="1984" w:type="dxa"/>
            <w:tcBorders>
              <w:top w:val="nil"/>
              <w:left w:val="nil"/>
              <w:bottom w:val="nil"/>
              <w:right w:val="nil"/>
            </w:tcBorders>
            <w:shd w:val="clear" w:color="auto" w:fill="auto"/>
            <w:noWrap/>
            <w:vAlign w:val="bottom"/>
            <w:hideMark/>
          </w:tcPr>
          <w:p w:rsidR="003D4C03" w:rsidRPr="0076167C" w:rsidRDefault="003D4C03" w:rsidP="003D4C03">
            <w:pPr>
              <w:kinsoku/>
              <w:overflowPunct/>
              <w:autoSpaceDE/>
              <w:autoSpaceDN/>
              <w:adjustRightInd/>
              <w:snapToGrid/>
              <w:rPr>
                <w:rFonts w:asciiTheme="minorHAnsi" w:hAnsiTheme="minorHAnsi" w:cstheme="minorHAnsi"/>
                <w:snapToGrid/>
                <w:color w:val="000000"/>
                <w:sz w:val="16"/>
                <w:szCs w:val="16"/>
                <w:lang w:eastAsia="en-AU"/>
              </w:rPr>
            </w:pPr>
          </w:p>
        </w:tc>
      </w:tr>
    </w:tbl>
    <w:p w:rsidR="00342D68" w:rsidRDefault="00342D68" w:rsidP="00342D68">
      <w:pPr>
        <w:pStyle w:val="PwCNormal"/>
        <w:spacing w:before="120" w:after="0"/>
        <w:rPr>
          <w:b/>
          <w:sz w:val="16"/>
        </w:rPr>
      </w:pPr>
      <w:r w:rsidRPr="00E43DC3">
        <w:rPr>
          <w:b/>
          <w:sz w:val="16"/>
        </w:rPr>
        <w:t>Notes</w:t>
      </w:r>
      <w:r>
        <w:rPr>
          <w:b/>
          <w:sz w:val="16"/>
        </w:rPr>
        <w:t xml:space="preserve"> :</w:t>
      </w:r>
    </w:p>
    <w:p w:rsidR="00342D68" w:rsidRPr="003D4C03" w:rsidRDefault="00342D68" w:rsidP="00342D68">
      <w:pPr>
        <w:pStyle w:val="PwCNormal"/>
        <w:spacing w:after="0"/>
        <w:ind w:left="284" w:hanging="284"/>
        <w:rPr>
          <w:sz w:val="16"/>
        </w:rPr>
      </w:pPr>
      <w:r w:rsidRPr="003D4C03">
        <w:rPr>
          <w:sz w:val="16"/>
        </w:rPr>
        <w:t>(a)</w:t>
      </w:r>
      <w:r w:rsidRPr="003D4C03">
        <w:rPr>
          <w:sz w:val="16"/>
        </w:rPr>
        <w:tab/>
        <w:t>For cost weight (cost bucket specific) calculations please refer to the "Appendix A: Glossary of NHCDC terms"</w:t>
      </w:r>
    </w:p>
    <w:p w:rsidR="00342D68" w:rsidRPr="0081233E" w:rsidRDefault="00342D68" w:rsidP="00342D68">
      <w:pPr>
        <w:pStyle w:val="PwCNormal"/>
        <w:spacing w:after="0"/>
        <w:rPr>
          <w:sz w:val="16"/>
        </w:rPr>
      </w:pPr>
      <w:r>
        <w:rPr>
          <w:sz w:val="16"/>
        </w:rPr>
        <w:t>(b</w:t>
      </w:r>
      <w:r w:rsidRPr="0081233E">
        <w:rPr>
          <w:sz w:val="16"/>
        </w:rPr>
        <w:t>) Separations shown are strata weighted</w:t>
      </w:r>
    </w:p>
    <w:p w:rsidR="00342D68" w:rsidRPr="0081233E" w:rsidRDefault="00342D68" w:rsidP="00342D68">
      <w:pPr>
        <w:pStyle w:val="PwCNormal"/>
        <w:spacing w:after="0"/>
        <w:rPr>
          <w:sz w:val="16"/>
        </w:rPr>
      </w:pPr>
      <w:r>
        <w:rPr>
          <w:sz w:val="16"/>
        </w:rPr>
        <w:t>(c</w:t>
      </w:r>
      <w:r w:rsidRPr="0081233E">
        <w:rPr>
          <w:sz w:val="16"/>
        </w:rPr>
        <w:t xml:space="preserve">) </w:t>
      </w:r>
      <w:r w:rsidRPr="004C4E86">
        <w:rPr>
          <w:sz w:val="16"/>
        </w:rPr>
        <w:t>DRG-rank for cost weight across all cost buckets. A rank of 1 means that the DRG has the highest cost weight.</w:t>
      </w:r>
    </w:p>
    <w:p w:rsidR="00685526" w:rsidRDefault="00342D68" w:rsidP="00342D68">
      <w:pPr>
        <w:pStyle w:val="PwCNormal"/>
        <w:widowControl w:val="0"/>
        <w:numPr>
          <w:ilvl w:val="0"/>
          <w:numId w:val="0"/>
        </w:numPr>
        <w:spacing w:after="0"/>
        <w:sectPr w:rsidR="00685526" w:rsidSect="00BC75AE">
          <w:headerReference w:type="even" r:id="rId33"/>
          <w:headerReference w:type="default" r:id="rId34"/>
          <w:footerReference w:type="even" r:id="rId35"/>
          <w:footerReference w:type="default" r:id="rId36"/>
          <w:headerReference w:type="first" r:id="rId37"/>
          <w:footerReference w:type="first" r:id="rId38"/>
          <w:pgSz w:w="16840" w:h="11907" w:orient="landscape" w:code="9"/>
          <w:pgMar w:top="1644" w:right="1020" w:bottom="1417" w:left="1020" w:header="567" w:footer="567" w:gutter="0"/>
          <w:cols w:space="227"/>
          <w:docGrid w:linePitch="360"/>
        </w:sectPr>
      </w:pPr>
      <w:r w:rsidRPr="005279B8">
        <w:rPr>
          <w:sz w:val="16"/>
        </w:rPr>
        <w:t>(e) ALOS means average length of stay</w:t>
      </w:r>
    </w:p>
    <w:p w:rsidR="002A55A1" w:rsidRDefault="00292B95" w:rsidP="00446789">
      <w:pPr>
        <w:pStyle w:val="Heading1-Accessibility"/>
        <w:numPr>
          <w:ilvl w:val="0"/>
          <w:numId w:val="0"/>
        </w:numPr>
      </w:pPr>
      <w:bookmarkStart w:id="96" w:name="_Ref356294071"/>
      <w:bookmarkStart w:id="97" w:name="_Toc356829293"/>
      <w:bookmarkStart w:id="98" w:name="_Toc356830900"/>
      <w:r>
        <w:lastRenderedPageBreak/>
        <w:t>Appendix A</w:t>
      </w:r>
      <w:r>
        <w:tab/>
      </w:r>
      <w:r w:rsidR="00823DCC">
        <w:t>Glossary of NHCDC terms</w:t>
      </w:r>
      <w:bookmarkEnd w:id="96"/>
      <w:bookmarkEnd w:id="97"/>
      <w:bookmarkEnd w:id="98"/>
    </w:p>
    <w:p w:rsidR="00DB08B6" w:rsidRDefault="00EA4E53" w:rsidP="00F34CFF">
      <w:pPr>
        <w:pStyle w:val="PwCNormal"/>
      </w:pPr>
      <w:r w:rsidRPr="00EA4E53">
        <w:rPr>
          <w:b/>
        </w:rPr>
        <w:t>Actual data</w:t>
      </w:r>
      <w:r w:rsidR="00DB08B6" w:rsidRPr="00DB08B6">
        <w:rPr>
          <w:b/>
        </w:rPr>
        <w:t>:</w:t>
      </w:r>
      <w:r w:rsidR="00DB08B6">
        <w:t xml:space="preserve"> The hospital data received by the NHCDC that is used as the sample data to produce national average costs. Actual data (or sample data) is used in the estimation process as defined by the NHCDC (see Estimated).</w:t>
      </w:r>
    </w:p>
    <w:p w:rsidR="00DB08B6" w:rsidRDefault="00DB08B6" w:rsidP="00F34CFF">
      <w:pPr>
        <w:pStyle w:val="PwCNormal"/>
      </w:pPr>
      <w:r>
        <w:t>Note: As actual data is a sample only; caution should be taken when comparing this data as it is not necessarily representative of the population.</w:t>
      </w:r>
    </w:p>
    <w:p w:rsidR="00DB08B6" w:rsidRDefault="00EA4E53" w:rsidP="00F34CFF">
      <w:pPr>
        <w:pStyle w:val="PwCNormal"/>
      </w:pPr>
      <w:r w:rsidRPr="00EA4E53">
        <w:rPr>
          <w:b/>
        </w:rPr>
        <w:t>Acute inpatient</w:t>
      </w:r>
      <w:r w:rsidR="00DB08B6" w:rsidRPr="00DB08B6">
        <w:rPr>
          <w:b/>
        </w:rPr>
        <w:t>:</w:t>
      </w:r>
      <w:r w:rsidR="00DB08B6">
        <w:t xml:space="preserve"> An admitted patient whose illness is acute, and has one or more problems which require short–term health care in an admitted patient setting.</w:t>
      </w:r>
    </w:p>
    <w:p w:rsidR="00DB08B6" w:rsidRDefault="00DB08B6" w:rsidP="00F34CFF">
      <w:pPr>
        <w:pStyle w:val="PwCNormal"/>
      </w:pPr>
      <w:r>
        <w:t>In the Casemix context, episodes of care which can appropriately be classified by AR–DRG, and which do not meet the definitions for rehabilitation, palliation, or non–acute admitted patient.</w:t>
      </w:r>
    </w:p>
    <w:p w:rsidR="00DB08B6" w:rsidRDefault="00EA4E53" w:rsidP="00F34CFF">
      <w:pPr>
        <w:pStyle w:val="PwCNormal"/>
      </w:pPr>
      <w:r w:rsidRPr="00EA4E53">
        <w:rPr>
          <w:b/>
        </w:rPr>
        <w:t>Admitted patient</w:t>
      </w:r>
      <w:r w:rsidR="00DB08B6">
        <w:t>: A patient who has been formally admitted to a hospital.</w:t>
      </w:r>
    </w:p>
    <w:p w:rsidR="00DB08B6" w:rsidRDefault="00DB08B6" w:rsidP="00F34CFF">
      <w:pPr>
        <w:pStyle w:val="PwCNormal"/>
      </w:pPr>
      <w:r>
        <w:t>Further, admitted patients are categorised by care type into acute, rehabilitation, palliation, and non-acute.</w:t>
      </w:r>
    </w:p>
    <w:p w:rsidR="00DB08B6" w:rsidRDefault="00EA4E53" w:rsidP="00F34CFF">
      <w:pPr>
        <w:pStyle w:val="PwCNormal"/>
      </w:pPr>
      <w:r w:rsidRPr="00EA4E53">
        <w:rPr>
          <w:b/>
        </w:rPr>
        <w:t>Adjacent DRGs</w:t>
      </w:r>
      <w:r w:rsidR="00ED6A47">
        <w:t xml:space="preserve">: </w:t>
      </w:r>
      <w:r w:rsidR="00DB08B6">
        <w:t>Adjacent DRGs consist of one or more DRGs generally defined by the</w:t>
      </w:r>
      <w:r w:rsidR="00ED6A47">
        <w:t xml:space="preserve"> </w:t>
      </w:r>
      <w:r w:rsidR="00DB08B6">
        <w:t>same diagnosis or procedure code list.</w:t>
      </w:r>
      <w:r w:rsidR="00ED6A47">
        <w:t xml:space="preserve"> </w:t>
      </w:r>
      <w:r w:rsidR="00DB08B6">
        <w:t>DRGs within adjacent DRGs have differing levels of resource</w:t>
      </w:r>
      <w:r w:rsidR="00ED6A47">
        <w:t xml:space="preserve"> </w:t>
      </w:r>
      <w:r w:rsidR="00DB08B6">
        <w:t>consumption and are partitioned on the basis of several factors,</w:t>
      </w:r>
      <w:r w:rsidR="00ED6A47">
        <w:t xml:space="preserve"> </w:t>
      </w:r>
      <w:r w:rsidR="00DB08B6">
        <w:t xml:space="preserve">including </w:t>
      </w:r>
      <w:r w:rsidR="00ED6A47">
        <w:t>c</w:t>
      </w:r>
      <w:r w:rsidR="00DB08B6">
        <w:t>omplicating diagnoses/procedures, age and/or the patient</w:t>
      </w:r>
      <w:r w:rsidR="00ED6A47">
        <w:t xml:space="preserve"> </w:t>
      </w:r>
      <w:r w:rsidR="00DB08B6">
        <w:t>clinical complexity level (PCCL).</w:t>
      </w:r>
    </w:p>
    <w:p w:rsidR="00DB08B6" w:rsidRDefault="00DB08B6" w:rsidP="00F34CFF">
      <w:pPr>
        <w:pStyle w:val="PwCNormal"/>
      </w:pPr>
      <w:r>
        <w:t>The fourth character of a DRG code represents the severity of a DRG.</w:t>
      </w:r>
      <w:r w:rsidR="00ED6A47">
        <w:t xml:space="preserve"> </w:t>
      </w:r>
      <w:r>
        <w:t>A severity code of "A</w:t>
      </w:r>
      <w:proofErr w:type="gramStart"/>
      <w:r>
        <w:t xml:space="preserve">" </w:t>
      </w:r>
      <w:r w:rsidR="00ED6A47">
        <w:t xml:space="preserve"> i</w:t>
      </w:r>
      <w:r>
        <w:t>ndicates</w:t>
      </w:r>
      <w:proofErr w:type="gramEnd"/>
      <w:r>
        <w:t xml:space="preserve"> the highest consumption of resources;</w:t>
      </w:r>
      <w:r w:rsidR="00ED6A47">
        <w:t xml:space="preserve"> </w:t>
      </w:r>
      <w:r>
        <w:t>a severity code of "B" indicates the next highest consumption of</w:t>
      </w:r>
      <w:r w:rsidR="00ED6A47">
        <w:t xml:space="preserve"> </w:t>
      </w:r>
      <w:r>
        <w:t>resources; code "C" indicates the next highest consumption of</w:t>
      </w:r>
      <w:r w:rsidR="00ED6A47">
        <w:t xml:space="preserve"> </w:t>
      </w:r>
      <w:r>
        <w:t>resources; and severity code "D" indicates the least consumption of</w:t>
      </w:r>
      <w:r w:rsidR="00ED6A47">
        <w:t xml:space="preserve"> </w:t>
      </w:r>
      <w:r>
        <w:t>resources within a DRG.</w:t>
      </w:r>
    </w:p>
    <w:p w:rsidR="00DB08B6" w:rsidRDefault="00DB08B6" w:rsidP="00F34CFF">
      <w:pPr>
        <w:pStyle w:val="PwCNormal"/>
      </w:pPr>
      <w:r>
        <w:t>A severity code of "Z" indicates that there is no split for the DRG.</w:t>
      </w:r>
      <w:r w:rsidR="00ED6A47">
        <w:t xml:space="preserve"> </w:t>
      </w:r>
      <w:r>
        <w:t>Therefore the adjacent DRG data for DRG with a severity code of "Z"</w:t>
      </w:r>
      <w:r w:rsidR="00ED6A47">
        <w:t xml:space="preserve"> </w:t>
      </w:r>
      <w:r>
        <w:t>has no change to the cost by volume.</w:t>
      </w:r>
    </w:p>
    <w:p w:rsidR="00DB08B6" w:rsidRDefault="00EA4E53" w:rsidP="00F34CFF">
      <w:pPr>
        <w:pStyle w:val="PwCNormal"/>
      </w:pPr>
      <w:r w:rsidRPr="00EA4E53">
        <w:rPr>
          <w:b/>
        </w:rPr>
        <w:t>ALOS</w:t>
      </w:r>
      <w:r w:rsidR="00F338BE">
        <w:t xml:space="preserve">: </w:t>
      </w:r>
      <w:r w:rsidR="00DB08B6">
        <w:t>See average length of stay.</w:t>
      </w:r>
    </w:p>
    <w:p w:rsidR="00DB08B6" w:rsidRDefault="00EA4E53" w:rsidP="00F34CFF">
      <w:pPr>
        <w:pStyle w:val="PwCNormal"/>
      </w:pPr>
      <w:r w:rsidRPr="00EA4E53">
        <w:rPr>
          <w:b/>
        </w:rPr>
        <w:t>AR–DRG</w:t>
      </w:r>
      <w:r w:rsidR="00F338BE">
        <w:t xml:space="preserve">: </w:t>
      </w:r>
      <w:r w:rsidR="00DB08B6">
        <w:t>See Australian Refined Diagnosis Related Groups.</w:t>
      </w:r>
    </w:p>
    <w:p w:rsidR="00DB08B6" w:rsidRDefault="00EA4E53" w:rsidP="00F34CFF">
      <w:pPr>
        <w:pStyle w:val="PwCNormal"/>
      </w:pPr>
      <w:r w:rsidRPr="00EA4E53">
        <w:rPr>
          <w:b/>
        </w:rPr>
        <w:t>Australian Refined Diagnosis Related Groups (AR–DRGs)</w:t>
      </w:r>
      <w:r w:rsidR="00F338BE" w:rsidRPr="00F338BE">
        <w:rPr>
          <w:b/>
        </w:rPr>
        <w:t xml:space="preserve">: </w:t>
      </w:r>
      <w:r w:rsidR="00DB08B6">
        <w:t xml:space="preserve">A variant of the DRG </w:t>
      </w:r>
      <w:r w:rsidR="00F338BE">
        <w:t>s</w:t>
      </w:r>
      <w:r w:rsidR="00DB08B6">
        <w:t>ystem designed specifically for use in Australia.</w:t>
      </w:r>
      <w:r w:rsidR="00F338BE">
        <w:t xml:space="preserve"> </w:t>
      </w:r>
      <w:r w:rsidR="00DB08B6">
        <w:t xml:space="preserve">The national standard. The current version in use is Version </w:t>
      </w:r>
      <w:r w:rsidR="00F338BE">
        <w:t>6.0x</w:t>
      </w:r>
      <w:r w:rsidR="00DB08B6">
        <w:t>, which</w:t>
      </w:r>
      <w:r w:rsidR="00F338BE">
        <w:t xml:space="preserve"> </w:t>
      </w:r>
      <w:r w:rsidR="00DB08B6">
        <w:t xml:space="preserve">recognises </w:t>
      </w:r>
      <w:r w:rsidR="00F338BE">
        <w:t>702</w:t>
      </w:r>
      <w:r w:rsidR="00DB08B6">
        <w:t xml:space="preserve"> categories of DRG.</w:t>
      </w:r>
    </w:p>
    <w:p w:rsidR="00DB08B6" w:rsidRPr="000139AD" w:rsidRDefault="00EA4E53" w:rsidP="00F34CFF">
      <w:pPr>
        <w:pStyle w:val="PwCNormal"/>
      </w:pPr>
      <w:r w:rsidRPr="00EA4E53">
        <w:rPr>
          <w:b/>
        </w:rPr>
        <w:t>Average cost</w:t>
      </w:r>
      <w:r w:rsidR="005776DE">
        <w:t xml:space="preserve">: </w:t>
      </w:r>
      <w:r w:rsidR="00DB08B6">
        <w:t>In the costing context, the total cost of production divided by the</w:t>
      </w:r>
      <w:r w:rsidR="005776DE">
        <w:t xml:space="preserve"> </w:t>
      </w:r>
      <w:r w:rsidR="00DB08B6">
        <w:t xml:space="preserve">number of </w:t>
      </w:r>
      <w:r w:rsidR="002D4126" w:rsidRPr="002D4126">
        <w:t>products in a period. Also known as full average cost.</w:t>
      </w:r>
    </w:p>
    <w:p w:rsidR="00DB08B6" w:rsidRDefault="002D4126" w:rsidP="00F34CFF">
      <w:pPr>
        <w:pStyle w:val="PwCNormal"/>
      </w:pPr>
      <w:r w:rsidRPr="002D4126">
        <w:rPr>
          <w:b/>
        </w:rPr>
        <w:t xml:space="preserve">Average Length of Stay (ALOS): </w:t>
      </w:r>
      <w:r w:rsidRPr="002D4126">
        <w:t>The ALOS is calculated by dividing the number of days by the number of separations for each DRG. The calculation of ALOS includes all days and separations. That is, no trimming is applied when calculating this statistic</w:t>
      </w:r>
      <w:r w:rsidR="000139AD" w:rsidRPr="000139AD">
        <w:t xml:space="preserve">. </w:t>
      </w:r>
      <w:r w:rsidR="000C2042" w:rsidRPr="000C2042">
        <w:t>In other national reporting, length of stay is adjusted to remove leave days, however this adjustment was not</w:t>
      </w:r>
      <w:r w:rsidR="000C2042">
        <w:t xml:space="preserve"> </w:t>
      </w:r>
      <w:r w:rsidR="000C2042" w:rsidRPr="000C2042">
        <w:t>applied in this report because most hospitals did not supply leave days.</w:t>
      </w:r>
    </w:p>
    <w:p w:rsidR="00DB08B6" w:rsidRDefault="00EA4E53" w:rsidP="00F34CFF">
      <w:pPr>
        <w:pStyle w:val="PwCNormal"/>
      </w:pPr>
      <w:r w:rsidRPr="00EA4E53">
        <w:rPr>
          <w:b/>
        </w:rPr>
        <w:t>Care type</w:t>
      </w:r>
      <w:r w:rsidR="005776DE">
        <w:t xml:space="preserve">: </w:t>
      </w:r>
      <w:r w:rsidR="00DB08B6">
        <w:t>The overall nature of a clinical service provided to an admitted patient</w:t>
      </w:r>
      <w:r w:rsidR="005776DE">
        <w:t xml:space="preserve"> </w:t>
      </w:r>
      <w:r w:rsidR="00DB08B6">
        <w:t>during an episode of admitted care (e.g. acute, rehabilitation, palliative,</w:t>
      </w:r>
      <w:r w:rsidR="005776DE">
        <w:t xml:space="preserve"> </w:t>
      </w:r>
      <w:r w:rsidR="00611F05">
        <w:t>psychogeriatric</w:t>
      </w:r>
      <w:r w:rsidR="00DB08B6">
        <w:t>, maintenance, newborn and other admitted patient care).</w:t>
      </w:r>
    </w:p>
    <w:p w:rsidR="00DB08B6" w:rsidRDefault="00EA4E53" w:rsidP="00F34CFF">
      <w:pPr>
        <w:pStyle w:val="PwCNormal"/>
      </w:pPr>
      <w:r w:rsidRPr="00EA4E53">
        <w:rPr>
          <w:b/>
        </w:rPr>
        <w:lastRenderedPageBreak/>
        <w:t>Cost buckets</w:t>
      </w:r>
      <w:r w:rsidR="005776DE" w:rsidRPr="005776DE">
        <w:rPr>
          <w:b/>
        </w:rPr>
        <w:t>:</w:t>
      </w:r>
      <w:r w:rsidR="00DB08B6">
        <w:t xml:space="preserve"> Also known as ‘cost components’, cost buckets determine the detail of</w:t>
      </w:r>
      <w:r w:rsidR="005776DE">
        <w:t xml:space="preserve"> </w:t>
      </w:r>
      <w:r w:rsidR="00DB08B6">
        <w:t>the reporting framework for NHCDC products. For a complete list of</w:t>
      </w:r>
      <w:r w:rsidR="005776DE">
        <w:t xml:space="preserve"> </w:t>
      </w:r>
      <w:r w:rsidR="00DB08B6">
        <w:t>the cost buckets and what they include and exclude, see the Definitions</w:t>
      </w:r>
      <w:r w:rsidR="005776DE">
        <w:t xml:space="preserve"> </w:t>
      </w:r>
      <w:r w:rsidR="00DB08B6">
        <w:t>chapter in the Hospital Reference Manual.</w:t>
      </w:r>
    </w:p>
    <w:p w:rsidR="00DB08B6" w:rsidRDefault="00EA4E53" w:rsidP="00F34CFF">
      <w:pPr>
        <w:pStyle w:val="PwCNormal"/>
      </w:pPr>
      <w:r w:rsidRPr="00EA4E53">
        <w:rPr>
          <w:b/>
        </w:rPr>
        <w:t>Cost centre (CC):</w:t>
      </w:r>
      <w:r w:rsidR="005776DE">
        <w:t xml:space="preserve"> </w:t>
      </w:r>
      <w:r w:rsidR="00DB08B6">
        <w:t>An accounting entity where all costs associated with a particular type</w:t>
      </w:r>
      <w:r w:rsidR="005776DE">
        <w:t xml:space="preserve"> </w:t>
      </w:r>
      <w:r w:rsidR="00DB08B6">
        <w:t>of activity can be recorded. Sometimes abbreviated to CC.</w:t>
      </w:r>
    </w:p>
    <w:p w:rsidR="00DB08B6" w:rsidRDefault="00EA4E53" w:rsidP="00F34CFF">
      <w:pPr>
        <w:pStyle w:val="PwCNormal"/>
      </w:pPr>
      <w:r w:rsidRPr="00EA4E53">
        <w:rPr>
          <w:b/>
        </w:rPr>
        <w:t>Cost modelling (CM)</w:t>
      </w:r>
      <w:r w:rsidR="005776DE" w:rsidRPr="005776DE">
        <w:rPr>
          <w:b/>
        </w:rPr>
        <w:t xml:space="preserve">: </w:t>
      </w:r>
      <w:r w:rsidR="00DB08B6">
        <w:t>A popular for a type of product costing which makes minimal use</w:t>
      </w:r>
      <w:r w:rsidR="005776DE">
        <w:t xml:space="preserve"> </w:t>
      </w:r>
      <w:r w:rsidR="00DB08B6">
        <w:t>of measures of resource consumption by individual patients, and aims</w:t>
      </w:r>
      <w:r w:rsidR="005776DE">
        <w:t xml:space="preserve"> </w:t>
      </w:r>
      <w:r w:rsidR="00DB08B6">
        <w:t>only to estimate mean costs for classes of patients. CM sites are</w:t>
      </w:r>
      <w:r w:rsidR="005776DE">
        <w:t xml:space="preserve"> </w:t>
      </w:r>
      <w:r w:rsidR="00DB08B6">
        <w:t>hospitals that ‘model’ their cost centres using pre-determined statistics</w:t>
      </w:r>
      <w:r w:rsidR="005776DE">
        <w:t xml:space="preserve"> </w:t>
      </w:r>
      <w:r w:rsidR="00DB08B6">
        <w:t>and ‘weights’ in order to apportion their costs across product groups</w:t>
      </w:r>
      <w:r w:rsidR="005776DE">
        <w:t xml:space="preserve"> </w:t>
      </w:r>
      <w:r w:rsidR="00DB08B6">
        <w:t>and types. This is also known as ‘top down’ costing because you start</w:t>
      </w:r>
      <w:r w:rsidR="005776DE">
        <w:t xml:space="preserve"> </w:t>
      </w:r>
      <w:r w:rsidR="00DB08B6">
        <w:t>with an aggregate cost and apportion it across cost centres.</w:t>
      </w:r>
    </w:p>
    <w:p w:rsidR="00F34CFF" w:rsidRDefault="002D4126" w:rsidP="00F34CFF">
      <w:pPr>
        <w:pStyle w:val="PwCNormal"/>
      </w:pPr>
      <w:r w:rsidRPr="002D4126">
        <w:rPr>
          <w:b/>
        </w:rPr>
        <w:t>Cost weight (total)</w:t>
      </w:r>
      <w:r w:rsidR="00662D66">
        <w:t xml:space="preserve">: </w:t>
      </w:r>
      <w:r w:rsidR="006971B9" w:rsidRPr="006971B9">
        <w:t>The average cost across all AR–DRGs for the total cost is chosen as the reference value, and given a weight of 1. A cost weight of an AR-DRG is calculated as the average total cost for that AR-DRG divided by the reference value.</w:t>
      </w:r>
      <w:r w:rsidR="006971B9">
        <w:t xml:space="preserve"> </w:t>
      </w:r>
      <w:r w:rsidR="00E30D9E">
        <w:t>The formula to calculate the cost weight is:</w:t>
      </w:r>
    </w:p>
    <w:p w:rsidR="002D4126" w:rsidRDefault="007D0D4E" w:rsidP="002D4126">
      <w:pPr>
        <w:pStyle w:val="PwCNormal"/>
        <w:jc w:val="center"/>
      </w:pPr>
      <m:oMath>
        <m:sSub>
          <m:sSubPr>
            <m:ctrlPr>
              <w:rPr>
                <w:rFonts w:ascii="Cambria Math" w:hAnsi="Cambria Math"/>
                <w:i/>
              </w:rPr>
            </m:ctrlPr>
          </m:sSubPr>
          <m:e>
            <m:r>
              <w:rPr>
                <w:rFonts w:ascii="Cambria Math" w:hAnsi="Cambria Math"/>
              </w:rPr>
              <m:t>Costweight</m:t>
            </m:r>
          </m:e>
          <m:sub>
            <m:r>
              <w:rPr>
                <w:rFonts w:ascii="Cambria Math" w:hAnsi="Cambria Math"/>
              </w:rPr>
              <m:t xml:space="preserve"> DRG</m:t>
            </m:r>
          </m:sub>
        </m:sSub>
        <m:r>
          <w:rPr>
            <w:rFonts w:ascii="Cambria Math" w:hAnsi="Cambria Math"/>
          </w:rPr>
          <m:t>=</m:t>
        </m:r>
        <m:f>
          <m:fPr>
            <m:ctrlPr>
              <w:rPr>
                <w:rFonts w:ascii="Cambria Math" w:hAnsi="Cambria Math"/>
                <w:i/>
              </w:rPr>
            </m:ctrlPr>
          </m:fPr>
          <m:num>
            <m:r>
              <w:rPr>
                <w:rFonts w:ascii="Cambria Math" w:hAnsi="Cambria Math"/>
              </w:rPr>
              <m:t>Average Cos</m:t>
            </m:r>
            <m:sSub>
              <m:sSubPr>
                <m:ctrlPr>
                  <w:rPr>
                    <w:rFonts w:ascii="Cambria Math" w:hAnsi="Cambria Math"/>
                    <w:i/>
                  </w:rPr>
                </m:ctrlPr>
              </m:sSubPr>
              <m:e>
                <m:r>
                  <w:rPr>
                    <w:rFonts w:ascii="Cambria Math" w:hAnsi="Cambria Math"/>
                  </w:rPr>
                  <m:t>t</m:t>
                </m:r>
              </m:e>
              <m:sub>
                <m:r>
                  <w:rPr>
                    <w:rFonts w:ascii="Cambria Math" w:hAnsi="Cambria Math"/>
                  </w:rPr>
                  <m:t>DRG</m:t>
                </m:r>
              </m:sub>
            </m:sSub>
          </m:num>
          <m:den>
            <m:r>
              <w:rPr>
                <w:rFonts w:ascii="Cambria Math" w:hAnsi="Cambria Math"/>
              </w:rPr>
              <m:t>Average Cos</m:t>
            </m:r>
            <m:sSub>
              <m:sSubPr>
                <m:ctrlPr>
                  <w:rPr>
                    <w:rFonts w:ascii="Cambria Math" w:hAnsi="Cambria Math"/>
                    <w:i/>
                  </w:rPr>
                </m:ctrlPr>
              </m:sSubPr>
              <m:e>
                <m:r>
                  <w:rPr>
                    <w:rFonts w:ascii="Cambria Math" w:hAnsi="Cambria Math"/>
                  </w:rPr>
                  <m:t>t</m:t>
                </m:r>
              </m:e>
              <m:sub>
                <m:r>
                  <w:rPr>
                    <w:rFonts w:ascii="Cambria Math" w:hAnsi="Cambria Math"/>
                  </w:rPr>
                  <m:t>All</m:t>
                </m:r>
              </m:sub>
            </m:sSub>
          </m:den>
        </m:f>
      </m:oMath>
    </w:p>
    <w:p w:rsidR="005E0558" w:rsidRPr="005E0558" w:rsidRDefault="002D4126">
      <w:pPr>
        <w:pStyle w:val="PwCNormal"/>
        <w:rPr>
          <w:i/>
        </w:rPr>
      </w:pPr>
      <w:r w:rsidRPr="002D4126">
        <w:rPr>
          <w:i/>
        </w:rPr>
        <w:t>Example for AR-DRG = "XXX"</w:t>
      </w:r>
    </w:p>
    <w:p w:rsidR="002D4126" w:rsidRDefault="002D4126" w:rsidP="002D4126">
      <w:pPr>
        <w:pStyle w:val="Indent1"/>
      </w:pPr>
      <w:r w:rsidRPr="002D4126">
        <w:t xml:space="preserve">Reference Cost = $80 </w:t>
      </w:r>
      <w:r w:rsidRPr="002D4126">
        <w:br/>
        <w:t>Total Average Cost for DRG:XXX = $100</w:t>
      </w:r>
      <w:r w:rsidRPr="002D4126">
        <w:br/>
        <w:t>"XXX" Total Cost Weight = $100/$80 = 1.25</w:t>
      </w:r>
    </w:p>
    <w:p w:rsidR="00F34CFF" w:rsidRDefault="002D4126" w:rsidP="00F34CFF">
      <w:pPr>
        <w:pStyle w:val="PwCNormal"/>
      </w:pPr>
      <w:r w:rsidRPr="002D4126">
        <w:rPr>
          <w:b/>
        </w:rPr>
        <w:t>Cost weight (specific cost bucket)</w:t>
      </w:r>
      <w:r w:rsidRPr="002D4126">
        <w:t xml:space="preserve">: </w:t>
      </w:r>
      <w:r w:rsidR="006971B9" w:rsidRPr="006971B9">
        <w:t>A cost weight for an AR-DRG for a specific cost bucket is calculated as the average cost for that AR-DRG and relevant cost bucket, divided by the reference value. The</w:t>
      </w:r>
      <w:r w:rsidR="006971B9">
        <w:t xml:space="preserve"> </w:t>
      </w:r>
      <w:r w:rsidR="006971B9" w:rsidRPr="006971B9">
        <w:t>reference value equals the total average cost across all AR-DRGs, as per that used in the Cost Weight (Total Costs).</w:t>
      </w:r>
      <w:r w:rsidRPr="002D4126">
        <w:t>The formula to calculate the cost weight is:</w:t>
      </w:r>
    </w:p>
    <w:p w:rsidR="005E0558" w:rsidRPr="005E0558" w:rsidRDefault="007D0D4E">
      <w:pPr>
        <w:pStyle w:val="PwCNormal"/>
        <w:jc w:val="center"/>
      </w:pPr>
      <m:oMath>
        <m:sSub>
          <m:sSubPr>
            <m:ctrlPr>
              <w:rPr>
                <w:rFonts w:ascii="Cambria Math" w:hAnsi="Cambria Math"/>
                <w:i/>
              </w:rPr>
            </m:ctrlPr>
          </m:sSubPr>
          <m:e>
            <m:r>
              <w:rPr>
                <w:rFonts w:ascii="Cambria Math" w:hAnsi="Cambria Math"/>
              </w:rPr>
              <m:t>Costweight</m:t>
            </m:r>
          </m:e>
          <m:sub>
            <m:r>
              <w:rPr>
                <w:rFonts w:ascii="Cambria Math" w:hAnsi="Cambria Math"/>
              </w:rPr>
              <m:t>c,DRG</m:t>
            </m:r>
          </m:sub>
        </m:sSub>
        <m:r>
          <w:rPr>
            <w:rFonts w:ascii="Cambria Math" w:hAnsi="Cambria Math"/>
          </w:rPr>
          <m:t>=</m:t>
        </m:r>
        <m:f>
          <m:fPr>
            <m:ctrlPr>
              <w:rPr>
                <w:rFonts w:ascii="Cambria Math" w:hAnsi="Cambria Math"/>
                <w:i/>
              </w:rPr>
            </m:ctrlPr>
          </m:fPr>
          <m:num>
            <m:r>
              <w:rPr>
                <w:rFonts w:ascii="Cambria Math" w:hAnsi="Cambria Math"/>
              </w:rPr>
              <m:t>Average Cos</m:t>
            </m:r>
            <m:sSub>
              <m:sSubPr>
                <m:ctrlPr>
                  <w:rPr>
                    <w:rFonts w:ascii="Cambria Math" w:hAnsi="Cambria Math"/>
                    <w:i/>
                  </w:rPr>
                </m:ctrlPr>
              </m:sSubPr>
              <m:e>
                <m:r>
                  <w:rPr>
                    <w:rFonts w:ascii="Cambria Math" w:hAnsi="Cambria Math"/>
                  </w:rPr>
                  <m:t>t</m:t>
                </m:r>
              </m:e>
              <m:sub>
                <m:r>
                  <w:rPr>
                    <w:rFonts w:ascii="Cambria Math" w:hAnsi="Cambria Math"/>
                  </w:rPr>
                  <m:t>c,DRG</m:t>
                </m:r>
              </m:sub>
            </m:sSub>
          </m:num>
          <m:den>
            <m:r>
              <w:rPr>
                <w:rFonts w:ascii="Cambria Math" w:hAnsi="Cambria Math"/>
              </w:rPr>
              <m:t>Average Cos</m:t>
            </m:r>
            <m:sSub>
              <m:sSubPr>
                <m:ctrlPr>
                  <w:rPr>
                    <w:rFonts w:ascii="Cambria Math" w:hAnsi="Cambria Math"/>
                    <w:i/>
                  </w:rPr>
                </m:ctrlPr>
              </m:sSubPr>
              <m:e>
                <m:r>
                  <w:rPr>
                    <w:rFonts w:ascii="Cambria Math" w:hAnsi="Cambria Math"/>
                  </w:rPr>
                  <m:t>t</m:t>
                </m:r>
              </m:e>
              <m:sub>
                <m:r>
                  <w:rPr>
                    <w:rFonts w:ascii="Cambria Math" w:hAnsi="Cambria Math"/>
                  </w:rPr>
                  <m:t>All,All</m:t>
                </m:r>
              </m:sub>
            </m:sSub>
          </m:den>
        </m:f>
      </m:oMath>
    </w:p>
    <w:p w:rsidR="00F34CFF" w:rsidRDefault="000139AD" w:rsidP="00F34CFF">
      <w:pPr>
        <w:pStyle w:val="PwCNormal"/>
      </w:pPr>
      <w:r>
        <w:t>W</w:t>
      </w:r>
      <w:r w:rsidR="002D4126" w:rsidRPr="002D4126">
        <w:t>here:</w:t>
      </w:r>
    </w:p>
    <w:p w:rsidR="000139AD" w:rsidRPr="000139AD" w:rsidRDefault="002D4126" w:rsidP="000139AD">
      <w:pPr>
        <w:pStyle w:val="PwCNormal"/>
        <w:numPr>
          <w:ilvl w:val="0"/>
          <w:numId w:val="0"/>
        </w:numPr>
        <w:spacing w:after="0"/>
      </w:pPr>
      <w:r w:rsidRPr="002D4126">
        <w:rPr>
          <w:i/>
        </w:rPr>
        <w:tab/>
      </w:r>
      <w:proofErr w:type="gramStart"/>
      <w:r w:rsidR="000D672E">
        <w:rPr>
          <w:i/>
        </w:rPr>
        <w:t>c</w:t>
      </w:r>
      <w:proofErr w:type="gramEnd"/>
      <w:r w:rsidR="000D672E">
        <w:rPr>
          <w:i/>
        </w:rPr>
        <w:t xml:space="preserve"> </w:t>
      </w:r>
      <w:r w:rsidRPr="002D4126">
        <w:t>is the specific cost bucket or combination of cost buckets</w:t>
      </w:r>
    </w:p>
    <w:p w:rsidR="00783F15" w:rsidRDefault="002D4126" w:rsidP="000139AD">
      <w:pPr>
        <w:pStyle w:val="PwCNormal"/>
        <w:numPr>
          <w:ilvl w:val="0"/>
          <w:numId w:val="0"/>
        </w:numPr>
        <w:spacing w:after="0"/>
        <w:rPr>
          <w:i/>
        </w:rPr>
      </w:pPr>
      <w:r w:rsidRPr="002D4126">
        <w:rPr>
          <w:i/>
        </w:rPr>
        <w:tab/>
      </w:r>
    </w:p>
    <w:p w:rsidR="002D4126" w:rsidRDefault="002D4126" w:rsidP="002D4126">
      <w:pPr>
        <w:pStyle w:val="PwCNormal"/>
        <w:rPr>
          <w:i/>
        </w:rPr>
      </w:pPr>
      <w:r w:rsidRPr="002D4126">
        <w:rPr>
          <w:i/>
        </w:rPr>
        <w:t>Example for AR-DRG = "XXX</w:t>
      </w:r>
    </w:p>
    <w:p w:rsidR="002D4126" w:rsidRPr="002D4126" w:rsidRDefault="002D4126" w:rsidP="002D4126">
      <w:pPr>
        <w:pStyle w:val="PwCNormal"/>
        <w:numPr>
          <w:ilvl w:val="0"/>
          <w:numId w:val="0"/>
        </w:numPr>
        <w:spacing w:after="0"/>
        <w:ind w:left="720"/>
      </w:pPr>
      <w:r w:rsidRPr="002D4126">
        <w:t xml:space="preserve">Reference Cost = $80 </w:t>
      </w:r>
      <w:r w:rsidRPr="002D4126">
        <w:br/>
        <w:t>Total Average Cost for DRG</w:t>
      </w:r>
      <w:proofErr w:type="gramStart"/>
      <w:r w:rsidRPr="002D4126">
        <w:t>:XXX</w:t>
      </w:r>
      <w:proofErr w:type="gramEnd"/>
      <w:r w:rsidRPr="002D4126">
        <w:t xml:space="preserve"> = $100</w:t>
      </w:r>
      <w:r w:rsidRPr="002D4126">
        <w:br/>
        <w:t>Critical Care Average Cost for DRG: XXX = $40</w:t>
      </w:r>
      <w:r w:rsidRPr="002D4126">
        <w:br/>
        <w:t>"XXX" Critical Care Cost Weight = $40/$80 = 0.5</w:t>
      </w:r>
    </w:p>
    <w:p w:rsidR="000139AD" w:rsidRPr="006B05C5" w:rsidRDefault="000139AD" w:rsidP="000139AD">
      <w:pPr>
        <w:pStyle w:val="PwCNormal"/>
        <w:numPr>
          <w:ilvl w:val="0"/>
          <w:numId w:val="0"/>
        </w:numPr>
        <w:spacing w:after="0"/>
      </w:pPr>
    </w:p>
    <w:p w:rsidR="00B6646C" w:rsidRDefault="00B6646C" w:rsidP="00F34CFF">
      <w:pPr>
        <w:pStyle w:val="PwCNormal"/>
      </w:pPr>
      <w:r w:rsidRPr="00E30D9E">
        <w:rPr>
          <w:b/>
        </w:rPr>
        <w:t>Cost-weight</w:t>
      </w:r>
      <w:r>
        <w:rPr>
          <w:b/>
        </w:rPr>
        <w:t>ed</w:t>
      </w:r>
      <w:r w:rsidRPr="00E30D9E">
        <w:rPr>
          <w:b/>
        </w:rPr>
        <w:t xml:space="preserve"> separations: </w:t>
      </w:r>
      <w:r w:rsidR="002D4126" w:rsidRPr="002D4126">
        <w:t>This is calculated</w:t>
      </w:r>
      <w:r>
        <w:t xml:space="preserve"> as the DRG cost weight</w:t>
      </w:r>
      <w:r w:rsidR="00A7288D">
        <w:t xml:space="preserve"> (total costs)</w:t>
      </w:r>
      <w:r>
        <w:t>, multiplied by the number of separations for a given DRG, and aggregated across a set of DRGs. It is an indicator of the relative resource consumption of acute care hospitals. The formula to calculate cost-weighted separations is:</w:t>
      </w:r>
    </w:p>
    <w:p w:rsidR="00B6646C" w:rsidRDefault="00B6646C" w:rsidP="00B6646C">
      <w:pPr>
        <w:pStyle w:val="PwCNormal"/>
        <w:numPr>
          <w:ilvl w:val="0"/>
          <w:numId w:val="0"/>
        </w:numPr>
      </w:pPr>
      <m:oMathPara>
        <m:oMath>
          <m:r>
            <w:rPr>
              <w:rFonts w:ascii="Cambria Math" w:hAnsi="Cambria Math"/>
            </w:rPr>
            <m:t xml:space="preserve">Cost-weighted separations= </m:t>
          </m:r>
          <m:nary>
            <m:naryPr>
              <m:chr m:val="∑"/>
              <m:limLoc m:val="undOvr"/>
              <m:ctrlPr>
                <w:rPr>
                  <w:rFonts w:ascii="Cambria Math" w:hAnsi="Cambria Math"/>
                  <w:i/>
                </w:rPr>
              </m:ctrlPr>
            </m:naryPr>
            <m:sub>
              <m:r>
                <w:rPr>
                  <w:rFonts w:ascii="Cambria Math" w:hAnsi="Cambria Math"/>
                </w:rPr>
                <m:t>i</m:t>
              </m:r>
            </m:sub>
            <m:sup>
              <m:r>
                <w:rPr>
                  <w:rFonts w:ascii="Cambria Math" w:hAnsi="Cambria Math"/>
                </w:rPr>
                <m:t>k</m:t>
              </m:r>
            </m:sup>
            <m:e>
              <m:sSub>
                <m:sSubPr>
                  <m:ctrlPr>
                    <w:rPr>
                      <w:rFonts w:ascii="Cambria Math" w:hAnsi="Cambria Math"/>
                      <w:i/>
                    </w:rPr>
                  </m:ctrlPr>
                </m:sSubPr>
                <m:e>
                  <m:r>
                    <w:rPr>
                      <w:rFonts w:ascii="Cambria Math" w:hAnsi="Cambria Math"/>
                    </w:rPr>
                    <m:t>n</m:t>
                  </m:r>
                </m:e>
                <m:sub>
                  <m:r>
                    <w:rPr>
                      <w:rFonts w:ascii="Cambria Math" w:hAnsi="Cambria Math"/>
                    </w:rPr>
                    <m:t xml:space="preserve">i </m:t>
                  </m:r>
                </m:sub>
              </m:sSub>
            </m:e>
          </m:nary>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i</m:t>
              </m:r>
            </m:sub>
          </m:sSub>
        </m:oMath>
      </m:oMathPara>
    </w:p>
    <w:p w:rsidR="00B6646C" w:rsidRDefault="00B6646C" w:rsidP="00F34CFF">
      <w:pPr>
        <w:pStyle w:val="PwCNormal"/>
      </w:pPr>
      <w:r>
        <w:t>Where:</w:t>
      </w:r>
    </w:p>
    <w:p w:rsidR="00B6646C" w:rsidRDefault="00B6646C" w:rsidP="00B6646C">
      <w:pPr>
        <w:pStyle w:val="PwCNormal"/>
        <w:numPr>
          <w:ilvl w:val="0"/>
          <w:numId w:val="0"/>
        </w:numPr>
        <w:spacing w:after="0"/>
      </w:pPr>
      <w:r>
        <w:rPr>
          <w:i/>
        </w:rPr>
        <w:tab/>
      </w:r>
      <w:proofErr w:type="spellStart"/>
      <w:proofErr w:type="gramStart"/>
      <w:r w:rsidRPr="006B05C5">
        <w:rPr>
          <w:i/>
        </w:rPr>
        <w:t>n</w:t>
      </w:r>
      <w:r w:rsidRPr="006B05C5">
        <w:rPr>
          <w:i/>
          <w:vertAlign w:val="subscript"/>
        </w:rPr>
        <w:t>i</w:t>
      </w:r>
      <w:proofErr w:type="spellEnd"/>
      <w:proofErr w:type="gramEnd"/>
      <w:r>
        <w:t xml:space="preserve"> is the number of separations in the </w:t>
      </w:r>
      <w:proofErr w:type="spellStart"/>
      <w:r w:rsidRPr="006B05C5">
        <w:rPr>
          <w:i/>
        </w:rPr>
        <w:t>ith</w:t>
      </w:r>
      <w:proofErr w:type="spellEnd"/>
      <w:r>
        <w:t xml:space="preserve"> DRG</w:t>
      </w:r>
    </w:p>
    <w:p w:rsidR="00B6646C" w:rsidRDefault="00B6646C" w:rsidP="00B6646C">
      <w:pPr>
        <w:pStyle w:val="PwCNormal"/>
        <w:numPr>
          <w:ilvl w:val="0"/>
          <w:numId w:val="0"/>
        </w:numPr>
        <w:spacing w:after="0"/>
      </w:pPr>
      <w:r>
        <w:rPr>
          <w:i/>
        </w:rPr>
        <w:tab/>
      </w:r>
      <w:proofErr w:type="gramStart"/>
      <w:r w:rsidRPr="006B05C5">
        <w:rPr>
          <w:i/>
        </w:rPr>
        <w:t>k</w:t>
      </w:r>
      <w:proofErr w:type="gramEnd"/>
      <w:r>
        <w:t xml:space="preserve"> is the number of DRGs (in AR-DRGv6.0x it is 702)</w:t>
      </w:r>
    </w:p>
    <w:p w:rsidR="00F34CFF" w:rsidRDefault="00B6646C" w:rsidP="00B6646C">
      <w:pPr>
        <w:pStyle w:val="PwCNormal"/>
        <w:numPr>
          <w:ilvl w:val="0"/>
          <w:numId w:val="0"/>
        </w:numPr>
        <w:spacing w:after="0"/>
      </w:pPr>
      <w:r>
        <w:rPr>
          <w:i/>
        </w:rPr>
        <w:tab/>
      </w:r>
      <w:proofErr w:type="spellStart"/>
      <w:r w:rsidRPr="006B05C5">
        <w:rPr>
          <w:i/>
        </w:rPr>
        <w:t>CW</w:t>
      </w:r>
      <w:r w:rsidRPr="006B05C5">
        <w:rPr>
          <w:i/>
          <w:vertAlign w:val="subscript"/>
        </w:rPr>
        <w:t>i</w:t>
      </w:r>
      <w:proofErr w:type="spellEnd"/>
      <w:r>
        <w:t xml:space="preserve"> is the cost weight </w:t>
      </w:r>
      <w:r w:rsidR="00A7288D">
        <w:t>(</w:t>
      </w:r>
      <w:r w:rsidR="00B56648">
        <w:t>total cost</w:t>
      </w:r>
      <w:r w:rsidR="00A7288D">
        <w:t xml:space="preserve">) </w:t>
      </w:r>
      <w:r>
        <w:t xml:space="preserve">for the </w:t>
      </w:r>
      <w:proofErr w:type="spellStart"/>
      <w:r w:rsidRPr="006B05C5">
        <w:rPr>
          <w:i/>
        </w:rPr>
        <w:t>ith</w:t>
      </w:r>
      <w:proofErr w:type="spellEnd"/>
      <w:r>
        <w:t xml:space="preserve"> DRG</w:t>
      </w:r>
    </w:p>
    <w:p w:rsidR="00B6646C" w:rsidRDefault="00B6646C" w:rsidP="00B6646C">
      <w:pPr>
        <w:pStyle w:val="PwCNormal"/>
      </w:pPr>
    </w:p>
    <w:p w:rsidR="00DB08B6" w:rsidRDefault="00EA4E53" w:rsidP="00F34CFF">
      <w:pPr>
        <w:pStyle w:val="PwCNormal"/>
      </w:pPr>
      <w:r w:rsidRPr="00EA4E53">
        <w:rPr>
          <w:b/>
        </w:rPr>
        <w:t>Critical Care Unit:</w:t>
      </w:r>
      <w:r w:rsidR="00662D66">
        <w:t xml:space="preserve"> </w:t>
      </w:r>
      <w:r w:rsidR="00DB08B6">
        <w:t>A patient care area in a hospital which is staffed and equipped to</w:t>
      </w:r>
      <w:r w:rsidR="00662D66">
        <w:t xml:space="preserve"> </w:t>
      </w:r>
      <w:r w:rsidR="00DB08B6">
        <w:t>handle patients at particular risk due to high severity of illness.</w:t>
      </w:r>
      <w:r w:rsidR="00662D66">
        <w:t xml:space="preserve"> </w:t>
      </w:r>
      <w:r w:rsidR="00DB08B6">
        <w:t>Includes intensive care units, neonatal intensive care units and coronary</w:t>
      </w:r>
      <w:r w:rsidR="00662D66">
        <w:t xml:space="preserve"> </w:t>
      </w:r>
      <w:r w:rsidR="00DB08B6">
        <w:t>care units.</w:t>
      </w:r>
    </w:p>
    <w:p w:rsidR="00DB08B6" w:rsidRDefault="00EA4E53" w:rsidP="00F34CFF">
      <w:pPr>
        <w:pStyle w:val="PwCNormal"/>
      </w:pPr>
      <w:r w:rsidRPr="00EA4E53">
        <w:rPr>
          <w:b/>
        </w:rPr>
        <w:t>Direct cost centre</w:t>
      </w:r>
      <w:r w:rsidR="00662D66">
        <w:t>:</w:t>
      </w:r>
      <w:r w:rsidR="00DB08B6">
        <w:t xml:space="preserve"> In the product costing context, cost centres are generally classified as</w:t>
      </w:r>
      <w:r w:rsidR="00662D66">
        <w:t xml:space="preserve"> </w:t>
      </w:r>
      <w:r w:rsidR="00DB08B6">
        <w:t>either overhead or direct product. The latter type is also known as</w:t>
      </w:r>
      <w:r w:rsidR="00662D66">
        <w:t xml:space="preserve"> </w:t>
      </w:r>
      <w:r w:rsidR="00DB08B6">
        <w:t>‘Direct Cost Centres’.</w:t>
      </w:r>
    </w:p>
    <w:p w:rsidR="00DB08B6" w:rsidRDefault="00DB08B6" w:rsidP="00F34CFF">
      <w:pPr>
        <w:pStyle w:val="PwCNormal"/>
      </w:pPr>
      <w:r>
        <w:t>Direct products are those able to be delivered directly to the customer.</w:t>
      </w:r>
      <w:r w:rsidR="00662D66">
        <w:t xml:space="preserve"> </w:t>
      </w:r>
      <w:r>
        <w:t>The main types of direct products are patient episodes of care. Direct</w:t>
      </w:r>
      <w:r w:rsidR="00662D66">
        <w:t xml:space="preserve"> </w:t>
      </w:r>
      <w:r>
        <w:t>product cost centres therefore include all those which provide their</w:t>
      </w:r>
      <w:r w:rsidR="00662D66">
        <w:t xml:space="preserve"> </w:t>
      </w:r>
      <w:r>
        <w:t>services to patients rather than to other cost centres (as is the case for</w:t>
      </w:r>
      <w:r w:rsidR="00662D66">
        <w:t xml:space="preserve"> </w:t>
      </w:r>
      <w:r>
        <w:t>overhead cost centres). Examples are nursing, emergency department,</w:t>
      </w:r>
      <w:r w:rsidR="00662D66">
        <w:t xml:space="preserve"> </w:t>
      </w:r>
      <w:r>
        <w:t>and imaging.</w:t>
      </w:r>
    </w:p>
    <w:p w:rsidR="00DB08B6" w:rsidRDefault="00EA4E53" w:rsidP="00F34CFF">
      <w:pPr>
        <w:pStyle w:val="PwCNormal"/>
      </w:pPr>
      <w:r w:rsidRPr="00EA4E53">
        <w:rPr>
          <w:b/>
        </w:rPr>
        <w:t>Estimated data</w:t>
      </w:r>
      <w:r w:rsidR="00662D66" w:rsidRPr="00662D66">
        <w:rPr>
          <w:b/>
        </w:rPr>
        <w:t>:</w:t>
      </w:r>
      <w:r w:rsidR="00DB08B6">
        <w:t xml:space="preserve"> The total costs are estimated by, increasing within each stratum, the</w:t>
      </w:r>
      <w:r w:rsidR="00662D66">
        <w:t xml:space="preserve"> </w:t>
      </w:r>
      <w:r w:rsidR="00DB08B6">
        <w:t>sample of hospitals data to the estimated volumes for the total</w:t>
      </w:r>
      <w:r w:rsidR="00662D66">
        <w:t xml:space="preserve"> </w:t>
      </w:r>
      <w:r w:rsidR="00DB08B6">
        <w:t>population. The aim is to minimise bias in the collection caused by the sample</w:t>
      </w:r>
      <w:r w:rsidR="00662D66">
        <w:t xml:space="preserve"> </w:t>
      </w:r>
      <w:r w:rsidR="00DB08B6">
        <w:t>of the participating hospitals, by weighting the sample results</w:t>
      </w:r>
      <w:r w:rsidR="00662D66">
        <w:t xml:space="preserve"> </w:t>
      </w:r>
      <w:r w:rsidR="00DB08B6">
        <w:t>according to the known characteristics of the population.</w:t>
      </w:r>
    </w:p>
    <w:p w:rsidR="00DB08B6" w:rsidRDefault="00EA4E53" w:rsidP="00F34CFF">
      <w:pPr>
        <w:pStyle w:val="PwCNormal"/>
      </w:pPr>
      <w:r w:rsidRPr="00EA4E53">
        <w:rPr>
          <w:b/>
        </w:rPr>
        <w:t>Grouper</w:t>
      </w:r>
      <w:r w:rsidR="00662D66">
        <w:t>:</w:t>
      </w:r>
      <w:r w:rsidR="00DB08B6">
        <w:t xml:space="preserve"> An analytical tool (usually a computer program) which supports the</w:t>
      </w:r>
      <w:r w:rsidR="00662D66">
        <w:t xml:space="preserve"> </w:t>
      </w:r>
      <w:r w:rsidR="00DB08B6">
        <w:t>assignment of patient care episodes to Casemix classes.</w:t>
      </w:r>
    </w:p>
    <w:p w:rsidR="00DB08B6" w:rsidRDefault="00EA4E53" w:rsidP="00F34CFF">
      <w:pPr>
        <w:pStyle w:val="PwCNormal"/>
      </w:pPr>
      <w:r w:rsidRPr="00EA4E53">
        <w:rPr>
          <w:b/>
        </w:rPr>
        <w:t>ICU</w:t>
      </w:r>
      <w:r w:rsidR="00662D66">
        <w:t xml:space="preserve">: </w:t>
      </w:r>
      <w:r w:rsidR="00DB08B6">
        <w:t>Intensive Care Unit. See Critical Care Unit.</w:t>
      </w:r>
    </w:p>
    <w:p w:rsidR="00DB08B6" w:rsidRDefault="00EA4E53" w:rsidP="00F34CFF">
      <w:pPr>
        <w:pStyle w:val="PwCNormal"/>
      </w:pPr>
      <w:r w:rsidRPr="00EA4E53">
        <w:rPr>
          <w:b/>
        </w:rPr>
        <w:t>Indirect costs</w:t>
      </w:r>
      <w:r w:rsidR="00662D66" w:rsidRPr="00662D66">
        <w:rPr>
          <w:b/>
        </w:rPr>
        <w:t>:</w:t>
      </w:r>
      <w:r w:rsidR="00DB08B6">
        <w:t xml:space="preserve"> Used in several ways to designate costs which are not easily able to be</w:t>
      </w:r>
      <w:r w:rsidR="00662D66">
        <w:t xml:space="preserve"> </w:t>
      </w:r>
      <w:r w:rsidR="00DB08B6">
        <w:t>related to specific products.</w:t>
      </w:r>
      <w:r w:rsidR="00662D66">
        <w:t xml:space="preserve"> </w:t>
      </w:r>
      <w:r w:rsidR="00DB08B6">
        <w:t>In the standard product costing method, costs which are passed to cost</w:t>
      </w:r>
      <w:r w:rsidR="00662D66">
        <w:t xml:space="preserve"> </w:t>
      </w:r>
      <w:r w:rsidR="00DB08B6">
        <w:t>centres from overhead cost centres.</w:t>
      </w:r>
    </w:p>
    <w:p w:rsidR="00DB08B6" w:rsidRDefault="00EA4E53" w:rsidP="00F34CFF">
      <w:pPr>
        <w:pStyle w:val="PwCNormal"/>
      </w:pPr>
      <w:r w:rsidRPr="00EA4E53">
        <w:rPr>
          <w:b/>
        </w:rPr>
        <w:t>Inpatient</w:t>
      </w:r>
      <w:r w:rsidR="00662D66">
        <w:rPr>
          <w:b/>
        </w:rPr>
        <w:t>:</w:t>
      </w:r>
      <w:r w:rsidR="00DB08B6">
        <w:t xml:space="preserve"> See admitted patient.</w:t>
      </w:r>
    </w:p>
    <w:p w:rsidR="00DB08B6" w:rsidRDefault="00EA4E53" w:rsidP="00F34CFF">
      <w:pPr>
        <w:pStyle w:val="PwCNormal"/>
      </w:pPr>
      <w:r w:rsidRPr="00EA4E53">
        <w:rPr>
          <w:b/>
        </w:rPr>
        <w:t>Intensive Care Unit</w:t>
      </w:r>
      <w:r w:rsidR="00662D66" w:rsidRPr="00662D66">
        <w:rPr>
          <w:b/>
        </w:rPr>
        <w:t xml:space="preserve"> </w:t>
      </w:r>
      <w:r w:rsidRPr="00EA4E53">
        <w:rPr>
          <w:b/>
        </w:rPr>
        <w:t>(ICU)</w:t>
      </w:r>
      <w:r w:rsidR="00662D66" w:rsidRPr="00662D66">
        <w:rPr>
          <w:b/>
        </w:rPr>
        <w:t xml:space="preserve">: </w:t>
      </w:r>
      <w:r w:rsidR="00DB08B6">
        <w:t>See Critical Care Unit.</w:t>
      </w:r>
    </w:p>
    <w:p w:rsidR="00DB08B6" w:rsidRDefault="00EA4E53" w:rsidP="00F34CFF">
      <w:pPr>
        <w:pStyle w:val="PwCNormal"/>
      </w:pPr>
      <w:r w:rsidRPr="00EA4E53">
        <w:rPr>
          <w:b/>
        </w:rPr>
        <w:t>Length of stay (LOS)</w:t>
      </w:r>
      <w:r w:rsidR="008E446A" w:rsidRPr="008E446A">
        <w:rPr>
          <w:b/>
        </w:rPr>
        <w:t>:</w:t>
      </w:r>
      <w:r w:rsidRPr="00EA4E53">
        <w:rPr>
          <w:b/>
        </w:rPr>
        <w:t xml:space="preserve"> </w:t>
      </w:r>
      <w:r w:rsidR="00DB08B6">
        <w:t>The number of days an inpatient spends in hospital. It is calculated in</w:t>
      </w:r>
      <w:r w:rsidR="008E446A">
        <w:t xml:space="preserve"> </w:t>
      </w:r>
      <w:r w:rsidR="00DB08B6">
        <w:t>different ways for different purposes. The most common involves</w:t>
      </w:r>
      <w:r w:rsidR="008E446A">
        <w:t xml:space="preserve"> </w:t>
      </w:r>
      <w:r w:rsidR="00DB08B6">
        <w:t xml:space="preserve">subtracting the </w:t>
      </w:r>
      <w:r w:rsidR="008E446A">
        <w:t>a</w:t>
      </w:r>
      <w:r w:rsidR="00DB08B6">
        <w:t>dmission date from the discharge date.</w:t>
      </w:r>
      <w:r w:rsidR="004C0162">
        <w:t xml:space="preserve"> </w:t>
      </w:r>
      <w:r w:rsidR="000C2042" w:rsidRPr="000C2042">
        <w:t>In other national reporting, length of stay is adjusted to remove leave days, however this adjustment was not applied in this report because most hospitals did not supply leave days.</w:t>
      </w:r>
    </w:p>
    <w:p w:rsidR="00DB08B6" w:rsidRDefault="00EA4E53" w:rsidP="00F34CFF">
      <w:pPr>
        <w:pStyle w:val="PwCNormal"/>
      </w:pPr>
      <w:r w:rsidRPr="00EA4E53">
        <w:rPr>
          <w:b/>
        </w:rPr>
        <w:t>Overhead costs</w:t>
      </w:r>
      <w:r w:rsidR="008E446A" w:rsidRPr="008E446A">
        <w:rPr>
          <w:b/>
        </w:rPr>
        <w:t>:</w:t>
      </w:r>
      <w:r w:rsidR="00DB08B6">
        <w:t xml:space="preserve"> In the product costing context, cost centres are generally classified as</w:t>
      </w:r>
      <w:r w:rsidR="008E446A">
        <w:t xml:space="preserve"> </w:t>
      </w:r>
      <w:r w:rsidR="00DB08B6">
        <w:t>either overhead or direct products (patient care).</w:t>
      </w:r>
      <w:r w:rsidR="008E446A">
        <w:t xml:space="preserve"> </w:t>
      </w:r>
      <w:r w:rsidR="00DB08B6">
        <w:t>An overhead cost centre provides its services to other cost centres</w:t>
      </w:r>
      <w:r w:rsidR="008E446A">
        <w:t xml:space="preserve"> </w:t>
      </w:r>
      <w:r w:rsidR="00DB08B6">
        <w:t>rather than directly to patients (as is the case for patient care cost</w:t>
      </w:r>
      <w:r w:rsidR="008E446A">
        <w:t xml:space="preserve"> </w:t>
      </w:r>
      <w:r w:rsidR="00DB08B6">
        <w:t>centres). Examples are building costs and linen services.</w:t>
      </w:r>
    </w:p>
    <w:p w:rsidR="00DB08B6" w:rsidRDefault="00EA4E53" w:rsidP="00F34CFF">
      <w:pPr>
        <w:pStyle w:val="PwCNormal"/>
      </w:pPr>
      <w:r w:rsidRPr="00EA4E53">
        <w:rPr>
          <w:b/>
        </w:rPr>
        <w:t>Patient costing (PC)</w:t>
      </w:r>
      <w:r w:rsidR="008E446A">
        <w:rPr>
          <w:b/>
        </w:rPr>
        <w:t>:</w:t>
      </w:r>
      <w:r w:rsidRPr="00EA4E53">
        <w:rPr>
          <w:b/>
        </w:rPr>
        <w:t xml:space="preserve"> </w:t>
      </w:r>
      <w:r w:rsidR="00DB08B6">
        <w:t>A generic term for a type of product costing which makes use of</w:t>
      </w:r>
    </w:p>
    <w:p w:rsidR="00DB08B6" w:rsidRDefault="00DB08B6" w:rsidP="00F34CFF">
      <w:pPr>
        <w:pStyle w:val="PwCNormal"/>
      </w:pPr>
      <w:proofErr w:type="gramStart"/>
      <w:r>
        <w:t>measures</w:t>
      </w:r>
      <w:proofErr w:type="gramEnd"/>
      <w:r>
        <w:t xml:space="preserve"> of resource consumption by individual patients, and aims to</w:t>
      </w:r>
      <w:r w:rsidR="008E446A">
        <w:t xml:space="preserve"> </w:t>
      </w:r>
      <w:r>
        <w:t>estimate costs for each individual patient care episode. PC sites are</w:t>
      </w:r>
      <w:r w:rsidR="008E446A">
        <w:t xml:space="preserve"> </w:t>
      </w:r>
      <w:r>
        <w:t>hospitals that are able to calculate the cost of care at the patient level.</w:t>
      </w:r>
      <w:r w:rsidR="008E446A">
        <w:t xml:space="preserve"> </w:t>
      </w:r>
      <w:r>
        <w:t>Generally, this is done using actual patient level consumption data.</w:t>
      </w:r>
    </w:p>
    <w:p w:rsidR="00DB08B6" w:rsidRDefault="00DB08B6" w:rsidP="00F34CFF">
      <w:pPr>
        <w:pStyle w:val="PwCNormal"/>
      </w:pPr>
      <w:r>
        <w:t>The PC method of costing is also known as a ‘bottom up’ method of</w:t>
      </w:r>
      <w:r w:rsidR="008E446A">
        <w:t xml:space="preserve"> </w:t>
      </w:r>
      <w:r>
        <w:t>costing because cost aggregates are devised from individual items of</w:t>
      </w:r>
      <w:r w:rsidR="008E446A">
        <w:t xml:space="preserve"> </w:t>
      </w:r>
      <w:r>
        <w:t>patient consumption.</w:t>
      </w:r>
    </w:p>
    <w:p w:rsidR="00DB08B6" w:rsidRDefault="00EA4E53" w:rsidP="00F34CFF">
      <w:pPr>
        <w:pStyle w:val="PwCNormal"/>
      </w:pPr>
      <w:r w:rsidRPr="00EA4E53">
        <w:rPr>
          <w:b/>
        </w:rPr>
        <w:t>Service weights</w:t>
      </w:r>
      <w:r w:rsidR="008E446A" w:rsidRPr="008E446A">
        <w:rPr>
          <w:b/>
        </w:rPr>
        <w:t>:</w:t>
      </w:r>
      <w:r w:rsidR="00DB08B6">
        <w:t xml:space="preserve"> The relative costs of a service for each type of patient care product.</w:t>
      </w:r>
      <w:r w:rsidR="008E446A">
        <w:t xml:space="preserve"> </w:t>
      </w:r>
      <w:r w:rsidR="00DB08B6">
        <w:t>For example, the relative costs of imaging or nursing across all ARDRGs.</w:t>
      </w:r>
      <w:r w:rsidR="008E446A">
        <w:t xml:space="preserve"> </w:t>
      </w:r>
      <w:r w:rsidR="00DB08B6">
        <w:t>Also known as service weights.</w:t>
      </w:r>
    </w:p>
    <w:p w:rsidR="00DB08B6" w:rsidRDefault="00EA4E53" w:rsidP="00F34CFF">
      <w:pPr>
        <w:pStyle w:val="PwCNormal"/>
      </w:pPr>
      <w:r w:rsidRPr="00EA4E53">
        <w:rPr>
          <w:b/>
        </w:rPr>
        <w:t>Separations</w:t>
      </w:r>
      <w:r w:rsidR="008E446A" w:rsidRPr="008E446A">
        <w:rPr>
          <w:b/>
        </w:rPr>
        <w:t>:</w:t>
      </w:r>
      <w:r w:rsidR="00646390">
        <w:t xml:space="preserve"> The NHDD version 15</w:t>
      </w:r>
      <w:r w:rsidR="00DB08B6">
        <w:t>.0 defines a separation as “the process by which</w:t>
      </w:r>
      <w:r w:rsidR="008E446A">
        <w:t xml:space="preserve"> </w:t>
      </w:r>
      <w:r w:rsidR="00DB08B6">
        <w:t>an episode of care for an admitted patient ceases</w:t>
      </w:r>
      <w:r w:rsidR="008E446A">
        <w:t>”</w:t>
      </w:r>
      <w:r w:rsidR="00DB08B6">
        <w:t>.</w:t>
      </w:r>
    </w:p>
    <w:p w:rsidR="00CB3AAD" w:rsidRDefault="00EA4E53" w:rsidP="00F34CFF">
      <w:pPr>
        <w:pStyle w:val="PwCNormal"/>
      </w:pPr>
      <w:r w:rsidRPr="00EA4E53">
        <w:rPr>
          <w:b/>
        </w:rPr>
        <w:lastRenderedPageBreak/>
        <w:t>Standard error:</w:t>
      </w:r>
      <w:r w:rsidR="00CB3AAD">
        <w:t xml:space="preserve"> Standard errors, reported against DRG cost weights in tables across the Cost Weights Report, indicate the reliability of cost weights in terms of variation in costs and variation from the sample design.</w:t>
      </w:r>
    </w:p>
    <w:p w:rsidR="00B65E56" w:rsidRDefault="00EA4E53" w:rsidP="00F34CFF">
      <w:pPr>
        <w:pStyle w:val="PwCNormal"/>
      </w:pPr>
      <w:r w:rsidRPr="00EA4E53">
        <w:rPr>
          <w:b/>
        </w:rPr>
        <w:t>Weighted separation</w:t>
      </w:r>
      <w:r w:rsidR="00646390" w:rsidRPr="00646390">
        <w:rPr>
          <w:b/>
        </w:rPr>
        <w:t>:</w:t>
      </w:r>
      <w:r w:rsidR="00975595">
        <w:rPr>
          <w:b/>
        </w:rPr>
        <w:t xml:space="preserve"> </w:t>
      </w:r>
      <w:r w:rsidR="00975595">
        <w:t>see cost-weighted separation.</w:t>
      </w:r>
    </w:p>
    <w:p w:rsidR="00174029" w:rsidRDefault="00174029" w:rsidP="00823DCC">
      <w:pPr>
        <w:pStyle w:val="PwCNormal"/>
        <w:numPr>
          <w:ilvl w:val="0"/>
          <w:numId w:val="0"/>
        </w:numPr>
        <w:sectPr w:rsidR="00174029" w:rsidSect="00BC75AE">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588" w:right="1843" w:bottom="1418" w:left="1843" w:header="567" w:footer="567" w:gutter="0"/>
          <w:cols w:space="227"/>
          <w:titlePg/>
          <w:docGrid w:linePitch="360"/>
        </w:sectPr>
      </w:pPr>
    </w:p>
    <w:p w:rsidR="00174029" w:rsidRDefault="00960B57" w:rsidP="00446789">
      <w:pPr>
        <w:pStyle w:val="Heading1-Accessibility"/>
        <w:numPr>
          <w:ilvl w:val="0"/>
          <w:numId w:val="0"/>
        </w:numPr>
      </w:pPr>
      <w:bookmarkStart w:id="99" w:name="_Toc356829294"/>
      <w:bookmarkStart w:id="100" w:name="_Toc356830901"/>
      <w:r>
        <w:lastRenderedPageBreak/>
        <w:t>Appendix B</w:t>
      </w:r>
      <w:r>
        <w:tab/>
      </w:r>
      <w:r w:rsidR="00174029">
        <w:t>Standard error range, Round 16 Private sector</w:t>
      </w:r>
      <w:bookmarkEnd w:id="99"/>
      <w:bookmarkEnd w:id="100"/>
    </w:p>
    <w:p w:rsidR="0093329D" w:rsidRDefault="0093329D" w:rsidP="00F34CFF">
      <w:pPr>
        <w:pStyle w:val="PwCNormal"/>
      </w:pPr>
      <w:r>
        <w:t xml:space="preserve">Standard errors, reported against DRG cost weights in tables across the Cost Weights Report, indicate the reliability of cost weights in terms of variation in costs and variation from the sample design. The following tables summarise the reliability of DRG cost weights </w:t>
      </w:r>
      <w:proofErr w:type="gramStart"/>
      <w:r>
        <w:t>by  grouping</w:t>
      </w:r>
      <w:proofErr w:type="gramEnd"/>
      <w:r>
        <w:t xml:space="preserve"> the standard errors into a number of ranges.</w:t>
      </w:r>
    </w:p>
    <w:p w:rsidR="0093329D" w:rsidRDefault="0093329D" w:rsidP="00F34CFF">
      <w:pPr>
        <w:pStyle w:val="PwCNormal"/>
      </w:pPr>
      <w:r>
        <w:t>Numbers of DRGs and separations falling into standard error ranges in column 2 provide insight into the global impact of estimation error on cost weights.</w:t>
      </w:r>
    </w:p>
    <w:p w:rsidR="00B65E56" w:rsidRDefault="0093329D">
      <w:pPr>
        <w:pStyle w:val="Caption"/>
      </w:pPr>
      <w:r>
        <w:t xml:space="preserve">Table </w:t>
      </w:r>
      <w:r w:rsidR="00D502C6">
        <w:fldChar w:fldCharType="begin"/>
      </w:r>
      <w:r>
        <w:instrText xml:space="preserve"> SEQ Table \* ARABIC </w:instrText>
      </w:r>
      <w:r w:rsidR="00D502C6">
        <w:fldChar w:fldCharType="separate"/>
      </w:r>
      <w:r w:rsidR="00953F50">
        <w:rPr>
          <w:noProof/>
        </w:rPr>
        <w:t>11</w:t>
      </w:r>
      <w:r w:rsidR="00D502C6">
        <w:fldChar w:fldCharType="end"/>
      </w:r>
      <w:r>
        <w:tab/>
        <w:t>Number of DRGs by Standard Error range, AR-DRG 6.0x, Private Sector, Round 16</w:t>
      </w:r>
    </w:p>
    <w:tbl>
      <w:tblPr>
        <w:tblW w:w="7528" w:type="dxa"/>
        <w:tblInd w:w="93" w:type="dxa"/>
        <w:tblLook w:val="04A0" w:firstRow="1" w:lastRow="0" w:firstColumn="1" w:lastColumn="0" w:noHBand="0" w:noVBand="1"/>
      </w:tblPr>
      <w:tblGrid>
        <w:gridCol w:w="1716"/>
        <w:gridCol w:w="1134"/>
        <w:gridCol w:w="1418"/>
        <w:gridCol w:w="1417"/>
        <w:gridCol w:w="1843"/>
      </w:tblGrid>
      <w:tr w:rsidR="003A1808" w:rsidRPr="003A1808" w:rsidTr="003A1808">
        <w:trPr>
          <w:trHeight w:val="735"/>
        </w:trPr>
        <w:tc>
          <w:tcPr>
            <w:tcW w:w="1716" w:type="dxa"/>
            <w:tcBorders>
              <w:top w:val="single" w:sz="4" w:space="0" w:color="A32020"/>
              <w:left w:val="nil"/>
              <w:bottom w:val="single" w:sz="8" w:space="0" w:color="A32020"/>
              <w:right w:val="nil"/>
            </w:tcBorders>
            <w:shd w:val="clear" w:color="auto" w:fill="auto"/>
            <w:noWrap/>
            <w:vAlign w:val="bottom"/>
            <w:hideMark/>
          </w:tcPr>
          <w:p w:rsidR="003A1808" w:rsidRPr="003A1808" w:rsidRDefault="003A1808" w:rsidP="003A1808">
            <w:pPr>
              <w:kinsoku/>
              <w:overflowPunct/>
              <w:autoSpaceDE/>
              <w:autoSpaceDN/>
              <w:adjustRightInd/>
              <w:snapToGrid/>
              <w:rPr>
                <w:b/>
                <w:bCs/>
                <w:snapToGrid/>
                <w:color w:val="A32020"/>
                <w:sz w:val="18"/>
                <w:szCs w:val="18"/>
                <w:lang w:eastAsia="en-AU"/>
              </w:rPr>
            </w:pPr>
            <w:r w:rsidRPr="003A1808">
              <w:rPr>
                <w:b/>
                <w:bCs/>
                <w:snapToGrid/>
                <w:color w:val="A32020"/>
                <w:sz w:val="18"/>
                <w:szCs w:val="18"/>
                <w:lang w:eastAsia="en-AU"/>
              </w:rPr>
              <w:t> </w:t>
            </w:r>
          </w:p>
        </w:tc>
        <w:tc>
          <w:tcPr>
            <w:tcW w:w="1134" w:type="dxa"/>
            <w:tcBorders>
              <w:top w:val="single" w:sz="4" w:space="0" w:color="A32020"/>
              <w:left w:val="nil"/>
              <w:bottom w:val="single" w:sz="8" w:space="0" w:color="A32020"/>
              <w:right w:val="nil"/>
            </w:tcBorders>
            <w:shd w:val="clear" w:color="auto" w:fill="auto"/>
            <w:vAlign w:val="bottom"/>
            <w:hideMark/>
          </w:tcPr>
          <w:p w:rsidR="003A1808" w:rsidRPr="003A1808" w:rsidRDefault="003A1808" w:rsidP="003A1808">
            <w:pPr>
              <w:kinsoku/>
              <w:overflowPunct/>
              <w:autoSpaceDE/>
              <w:autoSpaceDN/>
              <w:adjustRightInd/>
              <w:snapToGrid/>
              <w:jc w:val="right"/>
              <w:rPr>
                <w:b/>
                <w:bCs/>
                <w:snapToGrid/>
                <w:color w:val="A32020"/>
                <w:sz w:val="18"/>
                <w:szCs w:val="18"/>
                <w:lang w:eastAsia="en-AU"/>
              </w:rPr>
            </w:pPr>
            <w:r w:rsidRPr="003A1808">
              <w:rPr>
                <w:b/>
                <w:bCs/>
                <w:snapToGrid/>
                <w:color w:val="A32020"/>
                <w:sz w:val="18"/>
                <w:szCs w:val="18"/>
                <w:lang w:eastAsia="en-AU"/>
              </w:rPr>
              <w:t>Number of DRGs</w:t>
            </w:r>
          </w:p>
        </w:tc>
        <w:tc>
          <w:tcPr>
            <w:tcW w:w="1418" w:type="dxa"/>
            <w:tcBorders>
              <w:top w:val="single" w:sz="4" w:space="0" w:color="A32020"/>
              <w:left w:val="nil"/>
              <w:bottom w:val="single" w:sz="8" w:space="0" w:color="A32020"/>
              <w:right w:val="nil"/>
            </w:tcBorders>
            <w:shd w:val="clear" w:color="auto" w:fill="auto"/>
            <w:vAlign w:val="bottom"/>
            <w:hideMark/>
          </w:tcPr>
          <w:p w:rsidR="003A1808" w:rsidRPr="003A1808" w:rsidRDefault="003A1808" w:rsidP="003A1808">
            <w:pPr>
              <w:kinsoku/>
              <w:overflowPunct/>
              <w:autoSpaceDE/>
              <w:autoSpaceDN/>
              <w:adjustRightInd/>
              <w:snapToGrid/>
              <w:jc w:val="right"/>
              <w:rPr>
                <w:b/>
                <w:bCs/>
                <w:snapToGrid/>
                <w:color w:val="A32020"/>
                <w:sz w:val="18"/>
                <w:szCs w:val="18"/>
                <w:lang w:eastAsia="en-AU"/>
              </w:rPr>
            </w:pPr>
            <w:r w:rsidRPr="003A1808">
              <w:rPr>
                <w:b/>
                <w:bCs/>
                <w:snapToGrid/>
                <w:color w:val="A32020"/>
                <w:sz w:val="18"/>
                <w:szCs w:val="18"/>
                <w:lang w:eastAsia="en-AU"/>
              </w:rPr>
              <w:t>Separations</w:t>
            </w:r>
          </w:p>
        </w:tc>
        <w:tc>
          <w:tcPr>
            <w:tcW w:w="1417" w:type="dxa"/>
            <w:tcBorders>
              <w:top w:val="single" w:sz="4" w:space="0" w:color="A32020"/>
              <w:left w:val="nil"/>
              <w:bottom w:val="single" w:sz="8" w:space="0" w:color="A32020"/>
              <w:right w:val="nil"/>
            </w:tcBorders>
            <w:shd w:val="clear" w:color="auto" w:fill="auto"/>
            <w:vAlign w:val="bottom"/>
            <w:hideMark/>
          </w:tcPr>
          <w:p w:rsidR="003A1808" w:rsidRPr="003A1808" w:rsidRDefault="003A1808" w:rsidP="003A1808">
            <w:pPr>
              <w:kinsoku/>
              <w:overflowPunct/>
              <w:autoSpaceDE/>
              <w:autoSpaceDN/>
              <w:adjustRightInd/>
              <w:snapToGrid/>
              <w:jc w:val="right"/>
              <w:rPr>
                <w:b/>
                <w:bCs/>
                <w:snapToGrid/>
                <w:color w:val="A32020"/>
                <w:sz w:val="18"/>
                <w:szCs w:val="18"/>
                <w:lang w:eastAsia="en-AU"/>
              </w:rPr>
            </w:pPr>
            <w:r w:rsidRPr="003A1808">
              <w:rPr>
                <w:b/>
                <w:bCs/>
                <w:snapToGrid/>
                <w:color w:val="A32020"/>
                <w:sz w:val="18"/>
                <w:szCs w:val="18"/>
                <w:lang w:eastAsia="en-AU"/>
              </w:rPr>
              <w:t>Percentage of DRGs (%)</w:t>
            </w:r>
          </w:p>
        </w:tc>
        <w:tc>
          <w:tcPr>
            <w:tcW w:w="1843" w:type="dxa"/>
            <w:tcBorders>
              <w:top w:val="single" w:sz="4" w:space="0" w:color="A32020"/>
              <w:left w:val="nil"/>
              <w:bottom w:val="single" w:sz="8" w:space="0" w:color="A32020"/>
              <w:right w:val="nil"/>
            </w:tcBorders>
            <w:shd w:val="clear" w:color="auto" w:fill="auto"/>
            <w:vAlign w:val="bottom"/>
            <w:hideMark/>
          </w:tcPr>
          <w:p w:rsidR="003A1808" w:rsidRPr="003A1808" w:rsidRDefault="003A1808" w:rsidP="003A1808">
            <w:pPr>
              <w:kinsoku/>
              <w:overflowPunct/>
              <w:autoSpaceDE/>
              <w:autoSpaceDN/>
              <w:adjustRightInd/>
              <w:snapToGrid/>
              <w:jc w:val="right"/>
              <w:rPr>
                <w:b/>
                <w:bCs/>
                <w:snapToGrid/>
                <w:color w:val="A32020"/>
                <w:sz w:val="18"/>
                <w:szCs w:val="18"/>
                <w:lang w:eastAsia="en-AU"/>
              </w:rPr>
            </w:pPr>
            <w:r w:rsidRPr="003A1808">
              <w:rPr>
                <w:b/>
                <w:bCs/>
                <w:snapToGrid/>
                <w:color w:val="A32020"/>
                <w:sz w:val="18"/>
                <w:szCs w:val="18"/>
                <w:lang w:eastAsia="en-AU"/>
              </w:rPr>
              <w:t>Percentage of Total Separations (%)</w:t>
            </w:r>
          </w:p>
        </w:tc>
      </w:tr>
      <w:tr w:rsidR="003A1808" w:rsidRPr="003A1808" w:rsidTr="003A1808">
        <w:trPr>
          <w:trHeight w:val="319"/>
        </w:trPr>
        <w:tc>
          <w:tcPr>
            <w:tcW w:w="1716" w:type="dxa"/>
            <w:tcBorders>
              <w:top w:val="nil"/>
              <w:left w:val="nil"/>
              <w:bottom w:val="nil"/>
              <w:right w:val="nil"/>
            </w:tcBorders>
            <w:shd w:val="clear" w:color="auto" w:fill="auto"/>
            <w:noWrap/>
            <w:vAlign w:val="center"/>
            <w:hideMark/>
          </w:tcPr>
          <w:p w:rsidR="003A1808" w:rsidRPr="003F3720" w:rsidRDefault="003A1808" w:rsidP="003A1808">
            <w:pPr>
              <w:kinsoku/>
              <w:overflowPunct/>
              <w:autoSpaceDE/>
              <w:autoSpaceDN/>
              <w:adjustRightInd/>
              <w:snapToGrid/>
              <w:rPr>
                <w:snapToGrid/>
                <w:sz w:val="18"/>
                <w:szCs w:val="18"/>
                <w:lang w:eastAsia="en-AU"/>
              </w:rPr>
            </w:pPr>
            <w:r w:rsidRPr="003F3720">
              <w:rPr>
                <w:snapToGrid/>
                <w:sz w:val="18"/>
                <w:szCs w:val="18"/>
                <w:lang w:eastAsia="en-AU"/>
              </w:rPr>
              <w:t>0.000 - 0.039</w:t>
            </w:r>
          </w:p>
        </w:tc>
        <w:tc>
          <w:tcPr>
            <w:tcW w:w="1134"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284</w:t>
            </w:r>
          </w:p>
        </w:tc>
        <w:tc>
          <w:tcPr>
            <w:tcW w:w="1418"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2,513,162</w:t>
            </w:r>
          </w:p>
        </w:tc>
        <w:tc>
          <w:tcPr>
            <w:tcW w:w="1417"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41%</w:t>
            </w:r>
          </w:p>
        </w:tc>
        <w:tc>
          <w:tcPr>
            <w:tcW w:w="1843"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93%</w:t>
            </w:r>
          </w:p>
        </w:tc>
      </w:tr>
      <w:tr w:rsidR="003A1808" w:rsidRPr="003A1808" w:rsidTr="003A1808">
        <w:trPr>
          <w:trHeight w:val="319"/>
        </w:trPr>
        <w:tc>
          <w:tcPr>
            <w:tcW w:w="1716" w:type="dxa"/>
            <w:tcBorders>
              <w:top w:val="nil"/>
              <w:left w:val="nil"/>
              <w:bottom w:val="nil"/>
              <w:right w:val="nil"/>
            </w:tcBorders>
            <w:shd w:val="clear" w:color="auto" w:fill="auto"/>
            <w:noWrap/>
            <w:vAlign w:val="center"/>
            <w:hideMark/>
          </w:tcPr>
          <w:p w:rsidR="003A1808" w:rsidRPr="003F3720" w:rsidRDefault="003A1808" w:rsidP="003A1808">
            <w:pPr>
              <w:kinsoku/>
              <w:overflowPunct/>
              <w:autoSpaceDE/>
              <w:autoSpaceDN/>
              <w:adjustRightInd/>
              <w:snapToGrid/>
              <w:rPr>
                <w:snapToGrid/>
                <w:sz w:val="18"/>
                <w:szCs w:val="18"/>
                <w:lang w:eastAsia="en-AU"/>
              </w:rPr>
            </w:pPr>
            <w:r w:rsidRPr="003F3720">
              <w:rPr>
                <w:snapToGrid/>
                <w:sz w:val="18"/>
                <w:szCs w:val="18"/>
                <w:lang w:eastAsia="en-AU"/>
              </w:rPr>
              <w:t>0.040 - 0.099</w:t>
            </w:r>
          </w:p>
        </w:tc>
        <w:tc>
          <w:tcPr>
            <w:tcW w:w="1134"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165</w:t>
            </w:r>
          </w:p>
        </w:tc>
        <w:tc>
          <w:tcPr>
            <w:tcW w:w="1418"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129,464</w:t>
            </w:r>
          </w:p>
        </w:tc>
        <w:tc>
          <w:tcPr>
            <w:tcW w:w="1417"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24%</w:t>
            </w:r>
          </w:p>
        </w:tc>
        <w:tc>
          <w:tcPr>
            <w:tcW w:w="1843"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5%</w:t>
            </w:r>
          </w:p>
        </w:tc>
      </w:tr>
      <w:tr w:rsidR="003A1808" w:rsidRPr="003A1808" w:rsidTr="003A1808">
        <w:trPr>
          <w:trHeight w:val="319"/>
        </w:trPr>
        <w:tc>
          <w:tcPr>
            <w:tcW w:w="1716" w:type="dxa"/>
            <w:tcBorders>
              <w:top w:val="nil"/>
              <w:left w:val="nil"/>
              <w:bottom w:val="nil"/>
              <w:right w:val="nil"/>
            </w:tcBorders>
            <w:shd w:val="clear" w:color="auto" w:fill="auto"/>
            <w:noWrap/>
            <w:vAlign w:val="center"/>
            <w:hideMark/>
          </w:tcPr>
          <w:p w:rsidR="003A1808" w:rsidRPr="003F3720" w:rsidRDefault="003A1808" w:rsidP="003A1808">
            <w:pPr>
              <w:kinsoku/>
              <w:overflowPunct/>
              <w:autoSpaceDE/>
              <w:autoSpaceDN/>
              <w:adjustRightInd/>
              <w:snapToGrid/>
              <w:rPr>
                <w:snapToGrid/>
                <w:sz w:val="18"/>
                <w:szCs w:val="18"/>
                <w:lang w:eastAsia="en-AU"/>
              </w:rPr>
            </w:pPr>
            <w:r w:rsidRPr="003F3720">
              <w:rPr>
                <w:snapToGrid/>
                <w:sz w:val="18"/>
                <w:szCs w:val="18"/>
                <w:lang w:eastAsia="en-AU"/>
              </w:rPr>
              <w:t>0.100 - 0.149</w:t>
            </w:r>
          </w:p>
        </w:tc>
        <w:tc>
          <w:tcPr>
            <w:tcW w:w="1134"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81</w:t>
            </w:r>
          </w:p>
        </w:tc>
        <w:tc>
          <w:tcPr>
            <w:tcW w:w="1418"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34,815</w:t>
            </w:r>
          </w:p>
        </w:tc>
        <w:tc>
          <w:tcPr>
            <w:tcW w:w="1417"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12%</w:t>
            </w:r>
          </w:p>
        </w:tc>
        <w:tc>
          <w:tcPr>
            <w:tcW w:w="1843"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w:t>
            </w:r>
          </w:p>
        </w:tc>
      </w:tr>
      <w:tr w:rsidR="003A1808" w:rsidRPr="003A1808" w:rsidTr="003A1808">
        <w:trPr>
          <w:trHeight w:val="319"/>
        </w:trPr>
        <w:tc>
          <w:tcPr>
            <w:tcW w:w="1716" w:type="dxa"/>
            <w:tcBorders>
              <w:top w:val="nil"/>
              <w:left w:val="nil"/>
              <w:bottom w:val="nil"/>
              <w:right w:val="nil"/>
            </w:tcBorders>
            <w:shd w:val="clear" w:color="auto" w:fill="auto"/>
            <w:noWrap/>
            <w:vAlign w:val="center"/>
            <w:hideMark/>
          </w:tcPr>
          <w:p w:rsidR="003A1808" w:rsidRPr="003F3720" w:rsidRDefault="003A1808" w:rsidP="003A1808">
            <w:pPr>
              <w:kinsoku/>
              <w:overflowPunct/>
              <w:autoSpaceDE/>
              <w:autoSpaceDN/>
              <w:adjustRightInd/>
              <w:snapToGrid/>
              <w:rPr>
                <w:snapToGrid/>
                <w:sz w:val="18"/>
                <w:szCs w:val="18"/>
                <w:lang w:eastAsia="en-AU"/>
              </w:rPr>
            </w:pPr>
            <w:r w:rsidRPr="003F3720">
              <w:rPr>
                <w:snapToGrid/>
                <w:sz w:val="18"/>
                <w:szCs w:val="18"/>
                <w:lang w:eastAsia="en-AU"/>
              </w:rPr>
              <w:t>0.150 - 0.199</w:t>
            </w:r>
          </w:p>
        </w:tc>
        <w:tc>
          <w:tcPr>
            <w:tcW w:w="1134"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33</w:t>
            </w:r>
          </w:p>
        </w:tc>
        <w:tc>
          <w:tcPr>
            <w:tcW w:w="1418"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8,043</w:t>
            </w:r>
          </w:p>
        </w:tc>
        <w:tc>
          <w:tcPr>
            <w:tcW w:w="1417"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5%</w:t>
            </w:r>
          </w:p>
        </w:tc>
        <w:tc>
          <w:tcPr>
            <w:tcW w:w="1843"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0%</w:t>
            </w:r>
          </w:p>
        </w:tc>
      </w:tr>
      <w:tr w:rsidR="003A1808" w:rsidRPr="003A1808" w:rsidTr="003A1808">
        <w:trPr>
          <w:trHeight w:val="319"/>
        </w:trPr>
        <w:tc>
          <w:tcPr>
            <w:tcW w:w="1716" w:type="dxa"/>
            <w:tcBorders>
              <w:top w:val="nil"/>
              <w:left w:val="nil"/>
              <w:bottom w:val="nil"/>
              <w:right w:val="nil"/>
            </w:tcBorders>
            <w:shd w:val="clear" w:color="auto" w:fill="auto"/>
            <w:noWrap/>
            <w:vAlign w:val="center"/>
            <w:hideMark/>
          </w:tcPr>
          <w:p w:rsidR="003A1808" w:rsidRPr="003F3720" w:rsidRDefault="003A1808" w:rsidP="003A1808">
            <w:pPr>
              <w:kinsoku/>
              <w:overflowPunct/>
              <w:autoSpaceDE/>
              <w:autoSpaceDN/>
              <w:adjustRightInd/>
              <w:snapToGrid/>
              <w:rPr>
                <w:snapToGrid/>
                <w:sz w:val="18"/>
                <w:szCs w:val="18"/>
                <w:lang w:eastAsia="en-AU"/>
              </w:rPr>
            </w:pPr>
            <w:r w:rsidRPr="003F3720">
              <w:rPr>
                <w:snapToGrid/>
                <w:sz w:val="18"/>
                <w:szCs w:val="18"/>
                <w:lang w:eastAsia="en-AU"/>
              </w:rPr>
              <w:t>0.200 - 0.399</w:t>
            </w:r>
          </w:p>
        </w:tc>
        <w:tc>
          <w:tcPr>
            <w:tcW w:w="1134"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81</w:t>
            </w:r>
          </w:p>
        </w:tc>
        <w:tc>
          <w:tcPr>
            <w:tcW w:w="1418"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14,634</w:t>
            </w:r>
          </w:p>
        </w:tc>
        <w:tc>
          <w:tcPr>
            <w:tcW w:w="1417"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12%</w:t>
            </w:r>
          </w:p>
        </w:tc>
        <w:tc>
          <w:tcPr>
            <w:tcW w:w="1843"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1%</w:t>
            </w:r>
          </w:p>
        </w:tc>
      </w:tr>
      <w:tr w:rsidR="003A1808" w:rsidRPr="003A1808" w:rsidTr="003A1808">
        <w:trPr>
          <w:trHeight w:val="319"/>
        </w:trPr>
        <w:tc>
          <w:tcPr>
            <w:tcW w:w="1716" w:type="dxa"/>
            <w:tcBorders>
              <w:top w:val="nil"/>
              <w:left w:val="nil"/>
              <w:bottom w:val="nil"/>
              <w:right w:val="nil"/>
            </w:tcBorders>
            <w:shd w:val="clear" w:color="auto" w:fill="auto"/>
            <w:noWrap/>
            <w:vAlign w:val="center"/>
            <w:hideMark/>
          </w:tcPr>
          <w:p w:rsidR="003A1808" w:rsidRPr="003F3720" w:rsidRDefault="003A1808" w:rsidP="003A1808">
            <w:pPr>
              <w:kinsoku/>
              <w:overflowPunct/>
              <w:autoSpaceDE/>
              <w:autoSpaceDN/>
              <w:adjustRightInd/>
              <w:snapToGrid/>
              <w:rPr>
                <w:snapToGrid/>
                <w:sz w:val="18"/>
                <w:szCs w:val="18"/>
                <w:lang w:eastAsia="en-AU"/>
              </w:rPr>
            </w:pPr>
            <w:r w:rsidRPr="003F3720">
              <w:rPr>
                <w:snapToGrid/>
                <w:sz w:val="18"/>
                <w:szCs w:val="18"/>
                <w:lang w:eastAsia="en-AU"/>
              </w:rPr>
              <w:t xml:space="preserve">0.400 + </w:t>
            </w:r>
          </w:p>
        </w:tc>
        <w:tc>
          <w:tcPr>
            <w:tcW w:w="1134"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51</w:t>
            </w:r>
          </w:p>
        </w:tc>
        <w:tc>
          <w:tcPr>
            <w:tcW w:w="1418"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3,674</w:t>
            </w:r>
          </w:p>
        </w:tc>
        <w:tc>
          <w:tcPr>
            <w:tcW w:w="1417"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7%</w:t>
            </w:r>
          </w:p>
        </w:tc>
        <w:tc>
          <w:tcPr>
            <w:tcW w:w="1843" w:type="dxa"/>
            <w:tcBorders>
              <w:top w:val="nil"/>
              <w:left w:val="nil"/>
              <w:bottom w:val="nil"/>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snapToGrid/>
                <w:color w:val="000000"/>
                <w:sz w:val="18"/>
                <w:szCs w:val="18"/>
                <w:lang w:eastAsia="en-AU"/>
              </w:rPr>
            </w:pPr>
            <w:r w:rsidRPr="003A1808">
              <w:rPr>
                <w:snapToGrid/>
                <w:color w:val="000000"/>
                <w:sz w:val="18"/>
                <w:szCs w:val="18"/>
                <w:lang w:eastAsia="en-AU"/>
              </w:rPr>
              <w:t>0%</w:t>
            </w:r>
          </w:p>
        </w:tc>
      </w:tr>
      <w:tr w:rsidR="003A1808" w:rsidRPr="003A1808" w:rsidTr="003A1808">
        <w:trPr>
          <w:trHeight w:val="319"/>
        </w:trPr>
        <w:tc>
          <w:tcPr>
            <w:tcW w:w="1716" w:type="dxa"/>
            <w:tcBorders>
              <w:top w:val="single" w:sz="4" w:space="0" w:color="A32020"/>
              <w:left w:val="nil"/>
              <w:bottom w:val="single" w:sz="8" w:space="0" w:color="A32020"/>
              <w:right w:val="nil"/>
            </w:tcBorders>
            <w:shd w:val="clear" w:color="auto" w:fill="auto"/>
            <w:noWrap/>
            <w:vAlign w:val="center"/>
            <w:hideMark/>
          </w:tcPr>
          <w:p w:rsidR="003A1808" w:rsidRPr="003A1808" w:rsidRDefault="003A1808" w:rsidP="003A1808">
            <w:pPr>
              <w:kinsoku/>
              <w:overflowPunct/>
              <w:autoSpaceDE/>
              <w:autoSpaceDN/>
              <w:adjustRightInd/>
              <w:snapToGrid/>
              <w:rPr>
                <w:b/>
                <w:bCs/>
                <w:snapToGrid/>
                <w:color w:val="000000"/>
                <w:sz w:val="18"/>
                <w:szCs w:val="18"/>
                <w:lang w:eastAsia="en-AU"/>
              </w:rPr>
            </w:pPr>
            <w:r w:rsidRPr="003A1808">
              <w:rPr>
                <w:b/>
                <w:bCs/>
                <w:snapToGrid/>
                <w:color w:val="000000"/>
                <w:sz w:val="18"/>
                <w:szCs w:val="18"/>
                <w:lang w:eastAsia="en-AU"/>
              </w:rPr>
              <w:t>Total*</w:t>
            </w:r>
          </w:p>
        </w:tc>
        <w:tc>
          <w:tcPr>
            <w:tcW w:w="1134" w:type="dxa"/>
            <w:tcBorders>
              <w:top w:val="single" w:sz="4" w:space="0" w:color="A32020"/>
              <w:left w:val="nil"/>
              <w:bottom w:val="single" w:sz="8" w:space="0" w:color="A32020"/>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b/>
                <w:bCs/>
                <w:snapToGrid/>
                <w:color w:val="000000"/>
                <w:sz w:val="18"/>
                <w:szCs w:val="18"/>
                <w:lang w:eastAsia="en-AU"/>
              </w:rPr>
            </w:pPr>
            <w:r w:rsidRPr="003A1808">
              <w:rPr>
                <w:b/>
                <w:bCs/>
                <w:snapToGrid/>
                <w:color w:val="000000"/>
                <w:sz w:val="18"/>
                <w:szCs w:val="18"/>
                <w:lang w:eastAsia="en-AU"/>
              </w:rPr>
              <w:t>695</w:t>
            </w:r>
          </w:p>
        </w:tc>
        <w:tc>
          <w:tcPr>
            <w:tcW w:w="1418" w:type="dxa"/>
            <w:tcBorders>
              <w:top w:val="single" w:sz="4" w:space="0" w:color="A32020"/>
              <w:left w:val="nil"/>
              <w:bottom w:val="single" w:sz="8" w:space="0" w:color="A32020"/>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b/>
                <w:bCs/>
                <w:snapToGrid/>
                <w:color w:val="000000"/>
                <w:sz w:val="18"/>
                <w:szCs w:val="18"/>
                <w:lang w:eastAsia="en-AU"/>
              </w:rPr>
            </w:pPr>
            <w:r w:rsidRPr="003A1808">
              <w:rPr>
                <w:b/>
                <w:bCs/>
                <w:snapToGrid/>
                <w:color w:val="000000"/>
                <w:sz w:val="18"/>
                <w:szCs w:val="18"/>
                <w:lang w:eastAsia="en-AU"/>
              </w:rPr>
              <w:t>2,703,792</w:t>
            </w:r>
          </w:p>
        </w:tc>
        <w:tc>
          <w:tcPr>
            <w:tcW w:w="1417" w:type="dxa"/>
            <w:tcBorders>
              <w:top w:val="single" w:sz="4" w:space="0" w:color="A32020"/>
              <w:left w:val="nil"/>
              <w:bottom w:val="single" w:sz="8" w:space="0" w:color="A32020"/>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b/>
                <w:bCs/>
                <w:snapToGrid/>
                <w:color w:val="000000"/>
                <w:sz w:val="18"/>
                <w:szCs w:val="18"/>
                <w:lang w:eastAsia="en-AU"/>
              </w:rPr>
            </w:pPr>
            <w:r w:rsidRPr="003A1808">
              <w:rPr>
                <w:b/>
                <w:bCs/>
                <w:snapToGrid/>
                <w:color w:val="000000"/>
                <w:sz w:val="18"/>
                <w:szCs w:val="18"/>
                <w:lang w:eastAsia="en-AU"/>
              </w:rPr>
              <w:t>100%</w:t>
            </w:r>
          </w:p>
        </w:tc>
        <w:tc>
          <w:tcPr>
            <w:tcW w:w="1843" w:type="dxa"/>
            <w:tcBorders>
              <w:top w:val="single" w:sz="4" w:space="0" w:color="A32020"/>
              <w:left w:val="nil"/>
              <w:bottom w:val="single" w:sz="8" w:space="0" w:color="A32020"/>
              <w:right w:val="nil"/>
            </w:tcBorders>
            <w:shd w:val="clear" w:color="auto" w:fill="auto"/>
            <w:noWrap/>
            <w:vAlign w:val="center"/>
            <w:hideMark/>
          </w:tcPr>
          <w:p w:rsidR="003A1808" w:rsidRPr="003A1808" w:rsidRDefault="003A1808" w:rsidP="003A1808">
            <w:pPr>
              <w:kinsoku/>
              <w:overflowPunct/>
              <w:autoSpaceDE/>
              <w:autoSpaceDN/>
              <w:adjustRightInd/>
              <w:snapToGrid/>
              <w:jc w:val="right"/>
              <w:rPr>
                <w:b/>
                <w:bCs/>
                <w:snapToGrid/>
                <w:color w:val="000000"/>
                <w:sz w:val="18"/>
                <w:szCs w:val="18"/>
                <w:lang w:eastAsia="en-AU"/>
              </w:rPr>
            </w:pPr>
            <w:r w:rsidRPr="003A1808">
              <w:rPr>
                <w:b/>
                <w:bCs/>
                <w:snapToGrid/>
                <w:color w:val="000000"/>
                <w:sz w:val="18"/>
                <w:szCs w:val="18"/>
                <w:lang w:eastAsia="en-AU"/>
              </w:rPr>
              <w:t>100%</w:t>
            </w:r>
          </w:p>
        </w:tc>
      </w:tr>
    </w:tbl>
    <w:p w:rsidR="007D1132" w:rsidRDefault="003A1808" w:rsidP="00F34CFF">
      <w:pPr>
        <w:pStyle w:val="PwCNormal"/>
      </w:pPr>
      <w:r>
        <w:t>*</w:t>
      </w:r>
      <w:r w:rsidRPr="003A1808">
        <w:t xml:space="preserve"> The standard error for some DRGs cannot be estimated due to low separation counts in the sample.</w:t>
      </w:r>
    </w:p>
    <w:p w:rsidR="0093329D" w:rsidRDefault="0093329D" w:rsidP="00F34CFF">
      <w:pPr>
        <w:pStyle w:val="PwCNormal"/>
      </w:pPr>
      <w:r>
        <w:t>The results above show that 6</w:t>
      </w:r>
      <w:r w:rsidR="006A52AA">
        <w:t>5</w:t>
      </w:r>
      <w:r>
        <w:t>% (4</w:t>
      </w:r>
      <w:r w:rsidR="006A52AA">
        <w:t>1</w:t>
      </w:r>
      <w:r>
        <w:t>% + 2</w:t>
      </w:r>
      <w:r w:rsidR="006A52AA">
        <w:t>4</w:t>
      </w:r>
      <w:r>
        <w:t>%) of v6.0x DRGs have cost weight estimates with a standard error range of less than 0.1. Almost 98% of separations are within the subset of DRGs that have a small standard error.</w:t>
      </w:r>
    </w:p>
    <w:p w:rsidR="00F34CFF" w:rsidRDefault="0093329D" w:rsidP="00F34CFF">
      <w:pPr>
        <w:pStyle w:val="PwCNormal"/>
      </w:pPr>
      <w:r>
        <w:t>These results are very similar to the range of standard errors published in Appendix D of the Round 13 NHCDC cost Report</w:t>
      </w:r>
      <w:r>
        <w:rPr>
          <w:rStyle w:val="FootnoteReference"/>
        </w:rPr>
        <w:footnoteReference w:id="15"/>
      </w:r>
      <w:r>
        <w:t>.</w:t>
      </w:r>
    </w:p>
    <w:p w:rsidR="002A55A1" w:rsidRDefault="002A55A1" w:rsidP="002A55A1">
      <w:pPr>
        <w:pStyle w:val="BodyText"/>
      </w:pPr>
    </w:p>
    <w:p w:rsidR="002A55A1" w:rsidRPr="00FC2C77" w:rsidRDefault="002A55A1" w:rsidP="002A55A1">
      <w:pPr>
        <w:pStyle w:val="BodyText"/>
        <w:sectPr w:rsidR="002A55A1" w:rsidRPr="00FC2C77" w:rsidSect="00BC75AE">
          <w:type w:val="oddPage"/>
          <w:pgSz w:w="11907" w:h="16840" w:code="9"/>
          <w:pgMar w:top="1588" w:right="1843" w:bottom="1418" w:left="1843" w:header="567" w:footer="567" w:gutter="0"/>
          <w:cols w:space="227"/>
          <w:titlePg/>
          <w:docGrid w:linePitch="360"/>
        </w:sectPr>
      </w:pPr>
    </w:p>
    <w:p w:rsidR="004F0878" w:rsidRDefault="00960B57" w:rsidP="00446789">
      <w:pPr>
        <w:pStyle w:val="Heading1-Accessibility"/>
        <w:numPr>
          <w:ilvl w:val="0"/>
          <w:numId w:val="0"/>
        </w:numPr>
      </w:pPr>
      <w:bookmarkStart w:id="101" w:name="_Ref354079652"/>
      <w:bookmarkStart w:id="102" w:name="_Ref354079689"/>
      <w:bookmarkStart w:id="103" w:name="_Ref354079695"/>
      <w:bookmarkStart w:id="104" w:name="_Toc356829295"/>
      <w:bookmarkStart w:id="105" w:name="_Toc356830902"/>
      <w:r>
        <w:lastRenderedPageBreak/>
        <w:t>Appendix C</w:t>
      </w:r>
      <w:r>
        <w:tab/>
      </w:r>
      <w:r w:rsidR="008550C5">
        <w:t xml:space="preserve">Costs included in the </w:t>
      </w:r>
      <w:r w:rsidR="001A55E5">
        <w:t>cost buckets</w:t>
      </w:r>
      <w:bookmarkEnd w:id="101"/>
      <w:bookmarkEnd w:id="102"/>
      <w:bookmarkEnd w:id="103"/>
      <w:bookmarkEnd w:id="104"/>
      <w:bookmarkEnd w:id="105"/>
    </w:p>
    <w:p w:rsidR="009F1A38" w:rsidRDefault="009F1A38" w:rsidP="00F34CFF">
      <w:pPr>
        <w:pStyle w:val="PwCNormal"/>
      </w:pPr>
      <w:r w:rsidRPr="00B2748F">
        <w:rPr>
          <w:b/>
        </w:rPr>
        <w:t>1. Ward Medical</w:t>
      </w:r>
      <w:r>
        <w:t>: This is also known as Medical Clinical Services, includes the salaries and wages of all medical officers including sessional payments.</w:t>
      </w:r>
      <w:r w:rsidR="00E328D8">
        <w:t xml:space="preserve"> </w:t>
      </w:r>
      <w:r>
        <w:t>Note that medical costs may also be found in other buckets that have a medical salary and wages component e.g. Imaging, Pathology, Critical Care, Operating Rooms, Emergency Department, Specialist Procedure Suites, Allied Health and Pharmacy.</w:t>
      </w:r>
    </w:p>
    <w:p w:rsidR="009F1A38" w:rsidRDefault="009F1A38" w:rsidP="00F34CFF">
      <w:pPr>
        <w:pStyle w:val="PwCNormal"/>
      </w:pPr>
      <w:r w:rsidRPr="00B2748F">
        <w:rPr>
          <w:b/>
        </w:rPr>
        <w:t>2. Ward Nursing</w:t>
      </w:r>
      <w:r>
        <w:t>: This bucket includes Nursing salaries and wages reported in Clinical Service areas.</w:t>
      </w:r>
    </w:p>
    <w:p w:rsidR="009F1A38" w:rsidRDefault="009F1A38" w:rsidP="00F34CFF">
      <w:pPr>
        <w:pStyle w:val="PwCNormal"/>
      </w:pPr>
      <w:r w:rsidRPr="00B2748F">
        <w:rPr>
          <w:b/>
        </w:rPr>
        <w:t>3. Non-clinical Salaries</w:t>
      </w:r>
      <w:r>
        <w:t>: This cost bucket includes all other costs of service provision for each inpatient separation.</w:t>
      </w:r>
    </w:p>
    <w:p w:rsidR="00F34CFF" w:rsidRDefault="009F1A38" w:rsidP="00F34CFF">
      <w:pPr>
        <w:pStyle w:val="PwCNormal"/>
      </w:pPr>
      <w:r w:rsidRPr="00B2748F">
        <w:rPr>
          <w:b/>
        </w:rPr>
        <w:t>4. Pathology</w:t>
      </w:r>
      <w:r>
        <w:t xml:space="preserve">: Pathology cost bucket includes costs of diagnostic clinical laboratory </w:t>
      </w:r>
      <w:r w:rsidR="00E328D8">
        <w:t xml:space="preserve">testing </w:t>
      </w:r>
      <w:r>
        <w:t>for the diagnosis and treatment of patients</w:t>
      </w:r>
      <w:r w:rsidR="00BA5675">
        <w:t xml:space="preserve"> and associated salaries.</w:t>
      </w:r>
    </w:p>
    <w:p w:rsidR="00F34CFF" w:rsidRDefault="009F1A38" w:rsidP="00F34CFF">
      <w:pPr>
        <w:pStyle w:val="PwCNormal"/>
      </w:pPr>
      <w:r w:rsidRPr="00B2748F">
        <w:rPr>
          <w:b/>
        </w:rPr>
        <w:t>5. Imaging</w:t>
      </w:r>
      <w:r>
        <w:t>: The Imaging cost bucket covers the area of diagnostic and therapeutic imaging produced under the direction of a qualified technician and reported by a medical practitioner</w:t>
      </w:r>
      <w:r w:rsidR="00BA5675">
        <w:t xml:space="preserve"> and associated salaries.</w:t>
      </w:r>
    </w:p>
    <w:p w:rsidR="009F1A38" w:rsidRDefault="009F1A38" w:rsidP="00F34CFF">
      <w:pPr>
        <w:pStyle w:val="PwCNormal"/>
      </w:pPr>
      <w:r w:rsidRPr="00B2748F">
        <w:rPr>
          <w:b/>
        </w:rPr>
        <w:t>6. Allied Health</w:t>
      </w:r>
      <w:r>
        <w:t>: The Allied Health cost bucket includes clinical services which are delivered by qualified Allied Health professionals who have direct patient contact in areas like audiology, physiotherapy, podiatry etc.</w:t>
      </w:r>
    </w:p>
    <w:p w:rsidR="009F1A38" w:rsidRDefault="009F1A38" w:rsidP="00F34CFF">
      <w:pPr>
        <w:pStyle w:val="PwCNormal"/>
      </w:pPr>
      <w:r w:rsidRPr="00B2748F">
        <w:rPr>
          <w:b/>
        </w:rPr>
        <w:t>7. Pharmacy</w:t>
      </w:r>
      <w:r>
        <w:t>: The Pharmacy cost bucket covers the area of the hospital responsible for the provision of pharmaceuticals. This includes the purchase, production, distribution, supply and storage of drug products and clinical pharmacy services.</w:t>
      </w:r>
    </w:p>
    <w:p w:rsidR="009F1A38" w:rsidRDefault="009F1A38" w:rsidP="00F34CFF">
      <w:pPr>
        <w:pStyle w:val="PwCNormal"/>
      </w:pPr>
      <w:r w:rsidRPr="00B2748F">
        <w:rPr>
          <w:b/>
        </w:rPr>
        <w:t>8. Critical Care</w:t>
      </w:r>
      <w:r>
        <w:t>: The Critical Care cost bucket covers the Intensive Care Unit and Coronary Care Units.</w:t>
      </w:r>
    </w:p>
    <w:p w:rsidR="009F1A38" w:rsidRDefault="009F1A38" w:rsidP="00F34CFF">
      <w:pPr>
        <w:pStyle w:val="PwCNormal"/>
      </w:pPr>
      <w:r w:rsidRPr="00B2748F">
        <w:rPr>
          <w:b/>
        </w:rPr>
        <w:t>9. Operating Rooms</w:t>
      </w:r>
      <w:r>
        <w:t>: The Operating Rooms cost bucket covers the area of a hospital where significant surgical procedures are carried out under surgical conditions under the supervision of qualified medical practitioners. The operating room must be equipped to deliver general anaesthesia and conform to the College of Anaesthetists and the Faculty of Intensive Care standards.</w:t>
      </w:r>
    </w:p>
    <w:p w:rsidR="009F1A38" w:rsidRDefault="009F1A38" w:rsidP="00F34CFF">
      <w:pPr>
        <w:pStyle w:val="PwCNormal"/>
      </w:pPr>
      <w:r w:rsidRPr="00B2748F">
        <w:rPr>
          <w:b/>
        </w:rPr>
        <w:t>10. Emergency Department (ED)</w:t>
      </w:r>
      <w:r>
        <w:t>: The ED cost bucket covers the area of the hospital where patients who present in an unscheduled manner can be triaged, assessed and treated. The ED must conform to the requirements of the Australian Council on Healthcare Standards trauma guidelines, with the capacity to provide complex, multi-system life support (including mechanical ventilation and invasive cardiovascular monitoring) for a limited period of time.</w:t>
      </w:r>
    </w:p>
    <w:p w:rsidR="009F1A38" w:rsidRDefault="009F1A38" w:rsidP="00F34CFF">
      <w:pPr>
        <w:pStyle w:val="PwCNormal"/>
      </w:pPr>
      <w:r w:rsidRPr="00B2748F">
        <w:rPr>
          <w:b/>
        </w:rPr>
        <w:t>11. Supplies</w:t>
      </w:r>
      <w:r>
        <w:t xml:space="preserve">: ‘Supplies’ is an abbreviation for the Supplies and Ward Overheads cost bucket. It includes costs for goods and services, medical and surgical </w:t>
      </w:r>
      <w:proofErr w:type="gramStart"/>
      <w:r>
        <w:t>supplies,</w:t>
      </w:r>
      <w:proofErr w:type="gramEnd"/>
      <w:r>
        <w:t xml:space="preserve"> ward overheads and clinical department overheads. In other words, it includes all costs attributed to a ward that are not included in any other cost buckets.</w:t>
      </w:r>
    </w:p>
    <w:p w:rsidR="009F1A38" w:rsidRDefault="009F1A38" w:rsidP="00F34CFF">
      <w:pPr>
        <w:pStyle w:val="PwCNormal"/>
      </w:pPr>
      <w:r w:rsidRPr="00B2748F">
        <w:rPr>
          <w:b/>
        </w:rPr>
        <w:t>12. Specialist Procedures Suites (SPS):</w:t>
      </w:r>
      <w:r>
        <w:t xml:space="preserve"> The SPS includes costs equipped specifically to provide an environment where diagnostic and therapeutic procedures can be performed under the direction of suitably qualified medical practitioners. Does not include Operating Room costs.</w:t>
      </w:r>
    </w:p>
    <w:p w:rsidR="009F1A38" w:rsidRDefault="009F1A38" w:rsidP="00F34CFF">
      <w:pPr>
        <w:pStyle w:val="PwCNormal"/>
      </w:pPr>
      <w:r w:rsidRPr="00B2748F">
        <w:rPr>
          <w:b/>
        </w:rPr>
        <w:lastRenderedPageBreak/>
        <w:t>13. On-costs:</w:t>
      </w:r>
      <w:r>
        <w:t xml:space="preserve"> The On-costs cost bucket includes superannuation, termination payments, workers compensation, long service leave etc.</w:t>
      </w:r>
    </w:p>
    <w:p w:rsidR="009F1A38" w:rsidRDefault="009F1A38" w:rsidP="00F34CFF">
      <w:pPr>
        <w:pStyle w:val="PwCNormal"/>
      </w:pPr>
      <w:r w:rsidRPr="00B2748F">
        <w:rPr>
          <w:b/>
        </w:rPr>
        <w:t>14. Prostheses:</w:t>
      </w:r>
      <w:r>
        <w:t xml:space="preserve"> The Prostheses cost bucket includes the costs of all prostheses appearing on hospital accounts and costs incurred by the hospital but have not been included in their accounts.</w:t>
      </w:r>
    </w:p>
    <w:p w:rsidR="009F1A38" w:rsidRDefault="009F1A38" w:rsidP="00F34CFF">
      <w:pPr>
        <w:pStyle w:val="PwCNormal"/>
      </w:pPr>
      <w:r w:rsidRPr="00B2748F">
        <w:rPr>
          <w:b/>
        </w:rPr>
        <w:t>15. Hotel:</w:t>
      </w:r>
      <w:r>
        <w:t xml:space="preserve"> The Hotel Services cost bucket includes such items as food service, linen, grocery supplies and recorded as overheads.</w:t>
      </w:r>
    </w:p>
    <w:p w:rsidR="009F1A38" w:rsidRDefault="009F1A38" w:rsidP="00F34CFF">
      <w:pPr>
        <w:pStyle w:val="PwCNormal"/>
      </w:pPr>
      <w:r w:rsidRPr="00B2748F">
        <w:rPr>
          <w:b/>
        </w:rPr>
        <w:t>16. Depreciation:</w:t>
      </w:r>
      <w:r>
        <w:t xml:space="preserve"> The Depreciation cost bucket includes depreciation for items that are durable, able to support production for an appreciable period of time and purchased outright or donated.</w:t>
      </w:r>
    </w:p>
    <w:p w:rsidR="009F1A38" w:rsidRDefault="009F1A38" w:rsidP="00F34CFF">
      <w:pPr>
        <w:pStyle w:val="PwCNormal"/>
      </w:pPr>
      <w:r>
        <w:t xml:space="preserve">More details on these costs are available in the Hospital Reference Manual on the </w:t>
      </w:r>
      <w:hyperlink r:id="rId45" w:history="1">
        <w:r w:rsidRPr="00C0639F">
          <w:rPr>
            <w:rStyle w:val="Hyperlink"/>
          </w:rPr>
          <w:t>Casemix website</w:t>
        </w:r>
      </w:hyperlink>
      <w:r>
        <w:t>.</w:t>
      </w:r>
    </w:p>
    <w:p w:rsidR="002A7EAB" w:rsidRPr="002A7EAB" w:rsidRDefault="002A7EAB" w:rsidP="002A7EAB">
      <w:pPr>
        <w:pStyle w:val="PwCNormal"/>
      </w:pPr>
    </w:p>
    <w:p w:rsidR="001F1DD9" w:rsidRDefault="001F1DD9" w:rsidP="001F1DD9">
      <w:pPr>
        <w:kinsoku/>
        <w:overflowPunct/>
        <w:autoSpaceDE/>
        <w:autoSpaceDN/>
        <w:adjustRightInd/>
        <w:snapToGrid/>
        <w:sectPr w:rsidR="001F1DD9" w:rsidSect="00BC75AE">
          <w:headerReference w:type="even" r:id="rId46"/>
          <w:headerReference w:type="default" r:id="rId47"/>
          <w:footerReference w:type="even" r:id="rId48"/>
          <w:footerReference w:type="default" r:id="rId49"/>
          <w:headerReference w:type="first" r:id="rId50"/>
          <w:footerReference w:type="first" r:id="rId51"/>
          <w:type w:val="oddPage"/>
          <w:pgSz w:w="11907" w:h="16840" w:code="9"/>
          <w:pgMar w:top="1588" w:right="1843" w:bottom="1418" w:left="1843" w:header="567" w:footer="567" w:gutter="0"/>
          <w:cols w:space="227"/>
          <w:titlePg/>
          <w:docGrid w:linePitch="360"/>
        </w:sectPr>
      </w:pPr>
    </w:p>
    <w:p w:rsidR="00CE4910" w:rsidRDefault="00960B57" w:rsidP="00446789">
      <w:pPr>
        <w:pStyle w:val="Heading1-Accessibility"/>
        <w:numPr>
          <w:ilvl w:val="0"/>
          <w:numId w:val="0"/>
        </w:numPr>
      </w:pPr>
      <w:bookmarkStart w:id="106" w:name="_Toc356829296"/>
      <w:bookmarkStart w:id="107" w:name="_Toc356830903"/>
      <w:bookmarkStart w:id="108" w:name="CVs"/>
      <w:r>
        <w:lastRenderedPageBreak/>
        <w:t>Appendix D</w:t>
      </w:r>
      <w:r>
        <w:tab/>
      </w:r>
      <w:r w:rsidR="00172A8C">
        <w:t>Cost weight tables by DRG</w:t>
      </w:r>
      <w:bookmarkEnd w:id="106"/>
      <w:bookmarkEnd w:id="107"/>
    </w:p>
    <w:bookmarkEnd w:id="108"/>
    <w:p w:rsidR="00BA3E74" w:rsidRDefault="0030106F" w:rsidP="00A1178A">
      <w:pPr>
        <w:pStyle w:val="PwCNormal"/>
        <w:numPr>
          <w:ilvl w:val="0"/>
          <w:numId w:val="0"/>
        </w:numPr>
        <w:spacing w:after="2040"/>
        <w:jc w:val="center"/>
      </w:pPr>
      <w:r>
        <w:t>Intentionally left blank</w:t>
      </w:r>
    </w:p>
    <w:p w:rsidR="00BA3E74" w:rsidRDefault="00BA3E74">
      <w:pPr>
        <w:kinsoku/>
        <w:overflowPunct/>
        <w:autoSpaceDE/>
        <w:autoSpaceDN/>
        <w:adjustRightInd/>
        <w:snapToGrid/>
      </w:pPr>
      <w:r>
        <w:br w:type="page"/>
      </w:r>
    </w:p>
    <w:p w:rsidR="00EB5332" w:rsidRDefault="0019311B">
      <w:pPr>
        <w:pStyle w:val="PwCNormal"/>
        <w:numPr>
          <w:ilvl w:val="0"/>
          <w:numId w:val="0"/>
        </w:numPr>
      </w:pPr>
      <w:bookmarkStart w:id="109" w:name="RANGE!A1:O179"/>
      <w:bookmarkEnd w:id="109"/>
      <w:r>
        <w:rPr>
          <w:noProof/>
          <w:lang w:eastAsia="en-AU"/>
        </w:rPr>
        <w:lastRenderedPageBreak/>
        <w:drawing>
          <wp:inline distT="0" distB="0" distL="0" distR="0" wp14:anchorId="750FF39A" wp14:editId="000155C2">
            <wp:extent cx="8784590" cy="4180062"/>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srcRect/>
                    <a:stretch>
                      <a:fillRect/>
                    </a:stretch>
                  </pic:blipFill>
                  <pic:spPr bwMode="auto">
                    <a:xfrm>
                      <a:off x="0" y="0"/>
                      <a:ext cx="8784590" cy="4180062"/>
                    </a:xfrm>
                    <a:prstGeom prst="rect">
                      <a:avLst/>
                    </a:prstGeom>
                    <a:noFill/>
                    <a:ln w="9525">
                      <a:noFill/>
                      <a:miter lim="800000"/>
                      <a:headEnd/>
                      <a:tailEnd/>
                    </a:ln>
                  </pic:spPr>
                </pic:pic>
              </a:graphicData>
            </a:graphic>
          </wp:inline>
        </w:drawing>
      </w:r>
    </w:p>
    <w:p w:rsidR="000C2042" w:rsidRDefault="000C2042">
      <w:pPr>
        <w:kinsoku/>
        <w:overflowPunct/>
        <w:autoSpaceDE/>
        <w:autoSpaceDN/>
        <w:adjustRightInd/>
        <w:snapToGrid/>
      </w:pPr>
      <w:r>
        <w:br w:type="page"/>
      </w:r>
    </w:p>
    <w:p w:rsidR="000C2042" w:rsidRDefault="0019311B">
      <w:pPr>
        <w:kinsoku/>
        <w:overflowPunct/>
        <w:autoSpaceDE/>
        <w:autoSpaceDN/>
        <w:adjustRightInd/>
        <w:snapToGrid/>
      </w:pPr>
      <w:r>
        <w:rPr>
          <w:noProof/>
          <w:lang w:eastAsia="en-AU"/>
        </w:rPr>
        <w:lastRenderedPageBreak/>
        <w:drawing>
          <wp:inline distT="0" distB="0" distL="0" distR="0" wp14:anchorId="4E439BDD" wp14:editId="12BF4375">
            <wp:extent cx="8784590" cy="4881353"/>
            <wp:effectExtent l="1905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rcRect/>
                    <a:stretch>
                      <a:fillRect/>
                    </a:stretch>
                  </pic:blipFill>
                  <pic:spPr bwMode="auto">
                    <a:xfrm>
                      <a:off x="0" y="0"/>
                      <a:ext cx="8784590" cy="4881353"/>
                    </a:xfrm>
                    <a:prstGeom prst="rect">
                      <a:avLst/>
                    </a:prstGeom>
                    <a:noFill/>
                    <a:ln w="9525">
                      <a:noFill/>
                      <a:miter lim="800000"/>
                      <a:headEnd/>
                      <a:tailEnd/>
                    </a:ln>
                  </pic:spPr>
                </pic:pic>
              </a:graphicData>
            </a:graphic>
          </wp:inline>
        </w:drawing>
      </w:r>
    </w:p>
    <w:p w:rsidR="00EB5332" w:rsidRDefault="00E14957" w:rsidP="00A1178A">
      <w:pPr>
        <w:kinsoku/>
        <w:overflowPunct/>
        <w:autoSpaceDE/>
        <w:autoSpaceDN/>
        <w:adjustRightInd/>
        <w:snapToGrid/>
      </w:pPr>
      <w:r w:rsidRPr="00E14957">
        <w:rPr>
          <w:noProof/>
          <w:lang w:eastAsia="en-AU"/>
        </w:rPr>
        <w:lastRenderedPageBreak/>
        <w:drawing>
          <wp:inline distT="0" distB="0" distL="0" distR="0" wp14:anchorId="4E8B9C7F" wp14:editId="5CFF886E">
            <wp:extent cx="8784590" cy="422063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srcRect/>
                    <a:stretch>
                      <a:fillRect/>
                    </a:stretch>
                  </pic:blipFill>
                  <pic:spPr bwMode="auto">
                    <a:xfrm>
                      <a:off x="0" y="0"/>
                      <a:ext cx="8784590" cy="4220639"/>
                    </a:xfrm>
                    <a:prstGeom prst="rect">
                      <a:avLst/>
                    </a:prstGeom>
                    <a:noFill/>
                    <a:ln w="9525">
                      <a:noFill/>
                      <a:miter lim="800000"/>
                      <a:headEnd/>
                      <a:tailEnd/>
                    </a:ln>
                  </pic:spPr>
                </pic:pic>
              </a:graphicData>
            </a:graphic>
          </wp:inline>
        </w:drawing>
      </w:r>
    </w:p>
    <w:p w:rsidR="00EB5332" w:rsidRDefault="0019311B">
      <w:pPr>
        <w:pStyle w:val="PwCNormal"/>
        <w:numPr>
          <w:ilvl w:val="0"/>
          <w:numId w:val="0"/>
        </w:numPr>
      </w:pPr>
      <w:r>
        <w:rPr>
          <w:noProof/>
          <w:lang w:eastAsia="en-AU"/>
        </w:rPr>
        <w:lastRenderedPageBreak/>
        <w:drawing>
          <wp:inline distT="0" distB="0" distL="0" distR="0" wp14:anchorId="5221CB10" wp14:editId="7577FC40">
            <wp:extent cx="8784590" cy="4742940"/>
            <wp:effectExtent l="1905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srcRect/>
                    <a:stretch>
                      <a:fillRect/>
                    </a:stretch>
                  </pic:blipFill>
                  <pic:spPr bwMode="auto">
                    <a:xfrm>
                      <a:off x="0" y="0"/>
                      <a:ext cx="8784590" cy="4742940"/>
                    </a:xfrm>
                    <a:prstGeom prst="rect">
                      <a:avLst/>
                    </a:prstGeom>
                    <a:noFill/>
                    <a:ln w="9525">
                      <a:noFill/>
                      <a:miter lim="800000"/>
                      <a:headEnd/>
                      <a:tailEnd/>
                    </a:ln>
                  </pic:spPr>
                </pic:pic>
              </a:graphicData>
            </a:graphic>
          </wp:inline>
        </w:drawing>
      </w:r>
    </w:p>
    <w:p w:rsidR="00EB5332" w:rsidRDefault="0019311B" w:rsidP="00A1178A">
      <w:pPr>
        <w:pStyle w:val="PwCNormal"/>
        <w:numPr>
          <w:ilvl w:val="0"/>
          <w:numId w:val="0"/>
        </w:numPr>
        <w:spacing w:after="1680"/>
      </w:pPr>
      <w:r>
        <w:rPr>
          <w:noProof/>
          <w:lang w:eastAsia="en-AU"/>
        </w:rPr>
        <w:lastRenderedPageBreak/>
        <w:drawing>
          <wp:inline distT="0" distB="0" distL="0" distR="0" wp14:anchorId="1715227B" wp14:editId="20D88C7F">
            <wp:extent cx="8784590" cy="2085417"/>
            <wp:effectExtent l="1905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srcRect/>
                    <a:stretch>
                      <a:fillRect/>
                    </a:stretch>
                  </pic:blipFill>
                  <pic:spPr bwMode="auto">
                    <a:xfrm>
                      <a:off x="0" y="0"/>
                      <a:ext cx="8784590" cy="2085417"/>
                    </a:xfrm>
                    <a:prstGeom prst="rect">
                      <a:avLst/>
                    </a:prstGeom>
                    <a:noFill/>
                    <a:ln w="9525">
                      <a:noFill/>
                      <a:miter lim="800000"/>
                      <a:headEnd/>
                      <a:tailEnd/>
                    </a:ln>
                  </pic:spPr>
                </pic:pic>
              </a:graphicData>
            </a:graphic>
          </wp:inline>
        </w:drawing>
      </w:r>
    </w:p>
    <w:p w:rsidR="00EB5332" w:rsidRDefault="00EB5332">
      <w:pPr>
        <w:pStyle w:val="PwCNormal"/>
        <w:numPr>
          <w:ilvl w:val="0"/>
          <w:numId w:val="0"/>
        </w:numPr>
      </w:pPr>
    </w:p>
    <w:p w:rsidR="00935BCB" w:rsidRDefault="00935BCB" w:rsidP="00935BCB">
      <w:pPr>
        <w:pStyle w:val="PwCNormal"/>
        <w:sectPr w:rsidR="00935BCB" w:rsidSect="00BC75AE">
          <w:headerReference w:type="first" r:id="rId57"/>
          <w:pgSz w:w="16840" w:h="11907" w:orient="landscape" w:code="9"/>
          <w:pgMar w:top="1843" w:right="1588" w:bottom="1843" w:left="1418" w:header="567" w:footer="567" w:gutter="0"/>
          <w:cols w:space="227"/>
          <w:titlePg/>
          <w:docGrid w:linePitch="360"/>
        </w:sectPr>
      </w:pPr>
    </w:p>
    <w:p w:rsidR="00935BCB" w:rsidRDefault="00935BCB" w:rsidP="00935BCB">
      <w:pPr>
        <w:kinsoku/>
        <w:overflowPunct/>
        <w:autoSpaceDE/>
        <w:autoSpaceDN/>
        <w:adjustRightInd/>
        <w:snapToGrid/>
      </w:pPr>
      <w:r>
        <w:rPr>
          <w:noProof/>
          <w:lang w:eastAsia="en-AU"/>
        </w:rPr>
        <w:lastRenderedPageBreak/>
        <w:drawing>
          <wp:inline distT="0" distB="0" distL="0" distR="0" wp14:anchorId="2E92A660" wp14:editId="4B057A3B">
            <wp:extent cx="8305151" cy="5155200"/>
            <wp:effectExtent l="19050" t="0" r="649" b="0"/>
            <wp:docPr id="86" name="Picture 21"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8"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2C2EFC9B" wp14:editId="219D919D">
            <wp:extent cx="8305151" cy="5155200"/>
            <wp:effectExtent l="19050" t="0" r="649" b="0"/>
            <wp:docPr id="87" name="Picture 22"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9"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34E7FC91" wp14:editId="42D119EC">
            <wp:extent cx="8305151" cy="5155200"/>
            <wp:effectExtent l="19050" t="0" r="649" b="0"/>
            <wp:docPr id="88" name="Picture 23"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0"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6ADC4501" wp14:editId="1F502223">
            <wp:extent cx="8305151" cy="5155200"/>
            <wp:effectExtent l="19050" t="0" r="649" b="0"/>
            <wp:docPr id="89" name="Picture 24"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603A6C68" wp14:editId="3C5DCDDD">
            <wp:extent cx="8305151" cy="5155200"/>
            <wp:effectExtent l="19050" t="0" r="649" b="0"/>
            <wp:docPr id="90" name="Picture 25"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2"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75AF6954" wp14:editId="6568B7BF">
            <wp:extent cx="8305151" cy="5155200"/>
            <wp:effectExtent l="19050" t="0" r="649" b="0"/>
            <wp:docPr id="91" name="Picture 26"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7D5DFA5E" wp14:editId="195ADC24">
            <wp:extent cx="8305151" cy="5155200"/>
            <wp:effectExtent l="19050" t="0" r="649" b="0"/>
            <wp:docPr id="92" name="Picture 27"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4DBC0B72" wp14:editId="4210015C">
            <wp:extent cx="8305151" cy="5155200"/>
            <wp:effectExtent l="19050" t="0" r="649" b="0"/>
            <wp:docPr id="93" name="Picture 28"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5"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7B11044E" wp14:editId="56DF1507">
            <wp:extent cx="8305151" cy="5155200"/>
            <wp:effectExtent l="19050" t="0" r="649" b="0"/>
            <wp:docPr id="94" name="Picture 29"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6"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47368E93" wp14:editId="13087FDC">
            <wp:extent cx="8305151" cy="5155200"/>
            <wp:effectExtent l="19050" t="0" r="649" b="0"/>
            <wp:docPr id="96" name="Picture 31"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7"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481DE853" wp14:editId="3E6683FB">
            <wp:extent cx="8305151" cy="5155200"/>
            <wp:effectExtent l="19050" t="0" r="649" b="0"/>
            <wp:docPr id="97" name="Picture 32"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8"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7DE20720" wp14:editId="633859BF">
            <wp:extent cx="8305151" cy="5155200"/>
            <wp:effectExtent l="19050" t="0" r="649" b="0"/>
            <wp:docPr id="98" name="Picture 33"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9"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03D7EFA6" wp14:editId="0E115F11">
            <wp:extent cx="8305151" cy="5155200"/>
            <wp:effectExtent l="19050" t="0" r="649" b="0"/>
            <wp:docPr id="99" name="Picture 34"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0"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4B78C5A6" wp14:editId="73434D2A">
            <wp:extent cx="8305151" cy="5155200"/>
            <wp:effectExtent l="19050" t="0" r="649" b="0"/>
            <wp:docPr id="100" name="Picture 35"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1" cstate="print"/>
                    <a:srcRect/>
                    <a:stretch>
                      <a:fillRect/>
                    </a:stretch>
                  </pic:blipFill>
                  <pic:spPr bwMode="auto">
                    <a:xfrm>
                      <a:off x="0" y="0"/>
                      <a:ext cx="8305151"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77F4389E" wp14:editId="6F2D090B">
            <wp:extent cx="8300547" cy="5155200"/>
            <wp:effectExtent l="19050" t="0" r="5253" b="0"/>
            <wp:docPr id="85" name="Picture 20"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2" cstate="print"/>
                    <a:srcRect/>
                    <a:stretch>
                      <a:fillRect/>
                    </a:stretch>
                  </pic:blipFill>
                  <pic:spPr bwMode="auto">
                    <a:xfrm>
                      <a:off x="0" y="0"/>
                      <a:ext cx="8300547" cy="5155200"/>
                    </a:xfrm>
                    <a:prstGeom prst="rect">
                      <a:avLst/>
                    </a:prstGeom>
                    <a:noFill/>
                    <a:ln w="9525">
                      <a:noFill/>
                      <a:miter lim="800000"/>
                      <a:headEnd/>
                      <a:tailEnd/>
                    </a:ln>
                  </pic:spPr>
                </pic:pic>
              </a:graphicData>
            </a:graphic>
          </wp:inline>
        </w:drawing>
      </w:r>
      <w:r>
        <w:rPr>
          <w:noProof/>
          <w:lang w:eastAsia="en-AU"/>
        </w:rPr>
        <w:lastRenderedPageBreak/>
        <w:drawing>
          <wp:inline distT="0" distB="0" distL="0" distR="0" wp14:anchorId="2DC0F0BF" wp14:editId="5DE08BB4">
            <wp:extent cx="8305200" cy="3548657"/>
            <wp:effectExtent l="19050" t="0" r="600" b="0"/>
            <wp:docPr id="84" name="Picture 19" descr="Private Sector Estimated Round 16 (2011-12) National consolidated Cost weights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3" cstate="print"/>
                    <a:srcRect/>
                    <a:stretch>
                      <a:fillRect/>
                    </a:stretch>
                  </pic:blipFill>
                  <pic:spPr bwMode="auto">
                    <a:xfrm>
                      <a:off x="0" y="0"/>
                      <a:ext cx="8305200" cy="3548657"/>
                    </a:xfrm>
                    <a:prstGeom prst="rect">
                      <a:avLst/>
                    </a:prstGeom>
                    <a:noFill/>
                    <a:ln w="9525">
                      <a:noFill/>
                      <a:miter lim="800000"/>
                      <a:headEnd/>
                      <a:tailEnd/>
                    </a:ln>
                  </pic:spPr>
                </pic:pic>
              </a:graphicData>
            </a:graphic>
          </wp:inline>
        </w:drawing>
      </w:r>
      <w:r>
        <w:br w:type="page"/>
      </w:r>
    </w:p>
    <w:p w:rsidR="00935BCB" w:rsidRDefault="00935BCB" w:rsidP="00935BCB">
      <w:pPr>
        <w:pStyle w:val="PwCNormal"/>
        <w:numPr>
          <w:ilvl w:val="0"/>
          <w:numId w:val="0"/>
        </w:numPr>
        <w:jc w:val="center"/>
        <w:sectPr w:rsidR="00935BCB" w:rsidSect="00BC75AE">
          <w:headerReference w:type="default" r:id="rId74"/>
          <w:headerReference w:type="first" r:id="rId75"/>
          <w:pgSz w:w="16840" w:h="11907" w:orient="landscape" w:code="9"/>
          <w:pgMar w:top="1843" w:right="1588" w:bottom="1843" w:left="1418" w:header="567" w:footer="567" w:gutter="0"/>
          <w:cols w:space="227"/>
          <w:titlePg/>
          <w:docGrid w:linePitch="360"/>
        </w:sectPr>
      </w:pPr>
    </w:p>
    <w:p w:rsidR="00DF22D7" w:rsidRDefault="00DF22D7" w:rsidP="00A1178A">
      <w:pPr>
        <w:kinsoku/>
        <w:overflowPunct/>
        <w:autoSpaceDE/>
        <w:autoSpaceDN/>
        <w:adjustRightInd/>
        <w:snapToGrid/>
      </w:pPr>
    </w:p>
    <w:sectPr w:rsidR="00DF22D7" w:rsidSect="00BC75AE">
      <w:headerReference w:type="even" r:id="rId76"/>
      <w:headerReference w:type="default" r:id="rId77"/>
      <w:footerReference w:type="even" r:id="rId78"/>
      <w:footerReference w:type="default" r:id="rId79"/>
      <w:headerReference w:type="first" r:id="rId80"/>
      <w:type w:val="evenPage"/>
      <w:pgSz w:w="11907" w:h="16840" w:code="9"/>
      <w:pgMar w:top="1701" w:right="1021" w:bottom="1418"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FF" w:rsidRDefault="00F34CFF" w:rsidP="004343B3">
      <w:pPr>
        <w:pStyle w:val="Separator"/>
      </w:pPr>
      <w:r>
        <w:separator/>
      </w:r>
    </w:p>
    <w:p w:rsidR="00F34CFF" w:rsidRDefault="00F34CFF"/>
  </w:endnote>
  <w:endnote w:type="continuationSeparator" w:id="0">
    <w:p w:rsidR="00F34CFF" w:rsidRDefault="00F34CFF" w:rsidP="004343B3">
      <w:pPr>
        <w:pStyle w:val="Separator"/>
      </w:pPr>
      <w:r>
        <w:continuationSeparator/>
      </w:r>
    </w:p>
    <w:p w:rsidR="00F34CFF" w:rsidRDefault="00F34CFF"/>
  </w:endnote>
  <w:endnote w:type="continuationNotice" w:id="1">
    <w:p w:rsidR="00F34CFF" w:rsidRDefault="00F34CFF" w:rsidP="004343B3">
      <w:pPr>
        <w:pStyle w:val="Separator"/>
      </w:pPr>
    </w:p>
    <w:p w:rsidR="00F34CFF" w:rsidRDefault="00F34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ToCEven"/>
    </w:pPr>
    <w:fldSimple w:instr=" STYLEREF &quot;Cover Title&quot; ">
      <w:r>
        <w:rPr>
          <w:noProof/>
        </w:rPr>
        <w:t>for Overnight Private Hospitals</w:t>
      </w:r>
    </w:fldSimple>
  </w:p>
  <w:p w:rsidR="00F34CFF" w:rsidRPr="006650EF" w:rsidRDefault="00F34CFF" w:rsidP="00086603">
    <w:pPr>
      <w:pStyle w:val="Footer-ToCEven"/>
    </w:pPr>
    <w:r>
      <w:t>PwC</w:t>
    </w:r>
    <w:r>
      <w:tab/>
    </w:r>
    <w:r>
      <w:fldChar w:fldCharType="begin"/>
    </w:r>
    <w:r>
      <w:instrText xml:space="preserve"> PAGE  \* MERGEFORMAT </w:instrText>
    </w:r>
    <w:r>
      <w:fldChar w:fldCharType="separate"/>
    </w:r>
    <w:r>
      <w:rPr>
        <w:noProof/>
      </w:rPr>
      <w:t>ii</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ToCEven"/>
    </w:pPr>
    <w:fldSimple w:instr=" STYLEREF &quot;Cover Title&quot; ">
      <w:r w:rsidR="003F3720">
        <w:rPr>
          <w:noProof/>
        </w:rPr>
        <w:t>for Overnight Private Hospitals</w:t>
      </w:r>
    </w:fldSimple>
  </w:p>
  <w:p w:rsidR="00F34CFF" w:rsidRPr="002628D1" w:rsidRDefault="00F34CFF" w:rsidP="00086603">
    <w:pPr>
      <w:pStyle w:val="Footer-ToCEven"/>
    </w:pPr>
    <w:r>
      <w:t>PwC</w:t>
    </w:r>
    <w:r>
      <w:tab/>
    </w:r>
    <w:r>
      <w:fldChar w:fldCharType="begin"/>
    </w:r>
    <w:r>
      <w:instrText xml:space="preserve"> PAGE  \* MERGEFORMAT </w:instrText>
    </w:r>
    <w:r>
      <w:fldChar w:fldCharType="separate"/>
    </w:r>
    <w:r w:rsidR="003F3720">
      <w:rPr>
        <w:noProof/>
      </w:rPr>
      <w:t>34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8C6722" w:rsidRDefault="00F34CFF" w:rsidP="00086603">
    <w:pPr>
      <w:pStyle w:val="Footer-ToC"/>
    </w:pPr>
    <w:fldSimple w:instr=" STYLEREF &quot;Cover Title&quot; ">
      <w:r>
        <w:rPr>
          <w:noProof/>
        </w:rPr>
        <w:t>for Overnight Private Hospitals</w:t>
      </w:r>
    </w:fldSimple>
  </w:p>
  <w:p w:rsidR="00F34CFF" w:rsidRPr="008C6722" w:rsidRDefault="00F34CFF" w:rsidP="00086603">
    <w:pPr>
      <w:pStyle w:val="Footer-ToC"/>
    </w:pPr>
    <w:r w:rsidRPr="008C6722">
      <w:t>PwC</w:t>
    </w:r>
    <w:r w:rsidRPr="008C6722">
      <w:tab/>
    </w:r>
    <w:r>
      <w:fldChar w:fldCharType="begin"/>
    </w:r>
    <w:r>
      <w:instrText xml:space="preserve"> PAGE  \* MERGEFORMAT </w:instrText>
    </w:r>
    <w:r>
      <w:fldChar w:fldCharType="separate"/>
    </w:r>
    <w:r>
      <w:rPr>
        <w:noProof/>
      </w:rPr>
      <w:t>33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ToC"/>
    </w:pPr>
    <w:r w:rsidRPr="00086603">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sidR="003F3720">
        <w:rPr>
          <w:noProof/>
        </w:rPr>
        <w:instrText>for Overnight Private Hospitals</w:instrText>
      </w:r>
    </w:fldSimple>
  </w:p>
  <w:p w:rsidR="00F34CFF" w:rsidRDefault="00F34CFF" w:rsidP="00086603">
    <w:pPr>
      <w:pStyle w:val="Footer-ToC"/>
    </w:pPr>
    <w:r>
      <w:instrText>PwC</w:instrText>
    </w:r>
    <w:r>
      <w:ptab w:relativeTo="margin" w:alignment="right" w:leader="none"/>
    </w:r>
    <w:r>
      <w:fldChar w:fldCharType="begin"/>
    </w:r>
    <w:r>
      <w:instrText xml:space="preserve"> PAGE </w:instrText>
    </w:r>
    <w:r>
      <w:fldChar w:fldCharType="separate"/>
    </w:r>
    <w:r w:rsidR="003F3720">
      <w:rPr>
        <w:noProof/>
      </w:rPr>
      <w:instrText>35</w:instrText>
    </w:r>
    <w:r>
      <w:rPr>
        <w:noProof/>
      </w:rPr>
      <w:fldChar w:fldCharType="end"/>
    </w:r>
    <w:r>
      <w:instrText xml:space="preserve">" </w:instrText>
    </w:r>
    <w:r w:rsidRPr="00086603">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F34CFF" w:rsidRDefault="00F34CFF" w:rsidP="00086603">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34CFF" w:rsidRDefault="00F34CFF" w:rsidP="00086603">
    <w:pPr>
      <w:pStyle w:val="Footer-ToC"/>
    </w:pPr>
    <w:r>
      <w:instrText>" "</w:instrText>
    </w:r>
    <w:r>
      <w:ptab w:relativeTo="margin" w:alignment="right" w:leader="none"/>
    </w:r>
    <w:fldSimple w:instr=" STYLEREF &quot;Cover title&quot; ">
      <w:r>
        <w:rPr>
          <w:noProof/>
        </w:rPr>
        <w:instrText>Prospect name</w:instrText>
      </w:r>
    </w:fldSimple>
  </w:p>
  <w:p w:rsidR="00F34CFF" w:rsidRDefault="00F34CFF" w:rsidP="00086603">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34CFF" w:rsidRPr="00086603" w:rsidRDefault="00F34CFF" w:rsidP="00086603">
    <w:pPr>
      <w:pStyle w:val="Footer-ToC"/>
      <w:rPr>
        <w:noProof/>
        <w:sz w:val="2"/>
      </w:rPr>
    </w:pPr>
    <w:r w:rsidRPr="00086603">
      <w:rPr>
        <w:sz w:val="2"/>
      </w:rPr>
      <w:instrText xml:space="preserve">" </w:instrText>
    </w:r>
    <w:r w:rsidRPr="00086603">
      <w:rPr>
        <w:sz w:val="2"/>
      </w:rPr>
      <w:fldChar w:fldCharType="separate"/>
    </w:r>
    <w:r w:rsidRPr="00086603">
      <w:rPr>
        <w:noProof/>
        <w:sz w:val="2"/>
      </w:rPr>
      <w:instrText>Prospect name</w:instrText>
    </w:r>
  </w:p>
  <w:p w:rsidR="00F34CFF" w:rsidRPr="00086603" w:rsidRDefault="00F34CFF" w:rsidP="00086603">
    <w:pPr>
      <w:pStyle w:val="Footer-ToC"/>
      <w:rPr>
        <w:noProof/>
        <w:sz w:val="2"/>
      </w:rPr>
    </w:pPr>
    <w:r w:rsidRPr="00086603">
      <w:rPr>
        <w:noProof/>
        <w:sz w:val="2"/>
      </w:rPr>
      <w:instrText>PwC</w:instrText>
    </w:r>
    <w:r w:rsidRPr="00086603">
      <w:rPr>
        <w:noProof/>
        <w:sz w:val="2"/>
      </w:rPr>
      <w:tab/>
      <w:instrText>5</w:instrText>
    </w:r>
    <w:r w:rsidRPr="00086603">
      <w:rPr>
        <w:noProof/>
        <w:sz w:val="2"/>
      </w:rPr>
      <w:tab/>
      <w:instrText>WWYLTG?</w:instrText>
    </w:r>
  </w:p>
  <w:p w:rsidR="003F3720" w:rsidRDefault="00F34CFF" w:rsidP="00086603">
    <w:pPr>
      <w:pStyle w:val="Footer-ToC"/>
      <w:rPr>
        <w:noProof/>
      </w:rPr>
    </w:pPr>
    <w:r w:rsidRPr="00086603">
      <w:rPr>
        <w:sz w:val="2"/>
      </w:rPr>
      <w:fldChar w:fldCharType="end"/>
    </w:r>
    <w:r w:rsidRPr="00086603">
      <w:rPr>
        <w:sz w:val="2"/>
      </w:rPr>
      <w:instrText xml:space="preserve"> </w:instrText>
    </w:r>
    <w:r w:rsidRPr="00086603">
      <w:rPr>
        <w:sz w:val="2"/>
      </w:rPr>
      <w:fldChar w:fldCharType="separate"/>
    </w:r>
    <w:r w:rsidR="003F3720">
      <w:rPr>
        <w:noProof/>
      </w:rPr>
      <w:t>for Overnight Private Hospitals</w:t>
    </w:r>
  </w:p>
  <w:p w:rsidR="00F34CFF" w:rsidRPr="00086603" w:rsidRDefault="003F3720" w:rsidP="00086603">
    <w:pPr>
      <w:pStyle w:val="Footer-ToC"/>
      <w:rPr>
        <w:sz w:val="2"/>
      </w:rPr>
    </w:pPr>
    <w:r>
      <w:rPr>
        <w:noProof/>
      </w:rPr>
      <w:t>PwC</w:t>
    </w:r>
    <w:r>
      <w:rPr>
        <w:noProof/>
      </w:rPr>
      <w:ptab w:relativeTo="margin" w:alignment="right" w:leader="none"/>
    </w:r>
    <w:r>
      <w:rPr>
        <w:noProof/>
      </w:rPr>
      <w:t>35</w:t>
    </w:r>
    <w:r w:rsidR="00F34CFF" w:rsidRPr="00086603">
      <w:rPr>
        <w:sz w:val="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Even"/>
    </w:pPr>
    <w:fldSimple w:instr=" STYLEREF &quot;Cover Title&quot; ">
      <w:r>
        <w:rPr>
          <w:noProof/>
        </w:rPr>
        <w:t>for Overnight Private Hospitals</w:t>
      </w:r>
    </w:fldSimple>
  </w:p>
  <w:p w:rsidR="00F34CFF" w:rsidRPr="002628D1" w:rsidRDefault="00F34CFF" w:rsidP="00086603">
    <w:pPr>
      <w:pStyle w:val="Footer-Even"/>
    </w:pPr>
    <w:r>
      <w:t>PwC</w:t>
    </w:r>
    <w:r>
      <w:ptab w:relativeTo="margin" w:alignment="right" w:leader="none"/>
    </w:r>
    <w:r>
      <w:fldChar w:fldCharType="begin"/>
    </w:r>
    <w:r>
      <w:instrText xml:space="preserve"> PAGE  \* MERGEFORMAT </w:instrText>
    </w:r>
    <w:r>
      <w:fldChar w:fldCharType="separate"/>
    </w:r>
    <w:r>
      <w:rPr>
        <w:noProof/>
      </w:rPr>
      <w:t>38</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8C6722" w:rsidRDefault="00F34CFF" w:rsidP="00086603">
    <w:pPr>
      <w:pStyle w:val="Footer"/>
    </w:pPr>
    <w:fldSimple w:instr=" STYLEREF &quot;Cover Title&quot; ">
      <w:r>
        <w:rPr>
          <w:noProof/>
        </w:rPr>
        <w:t>for Overnight Private Hospitals</w:t>
      </w:r>
    </w:fldSimple>
  </w:p>
  <w:p w:rsidR="00F34CFF" w:rsidRPr="008C6722" w:rsidRDefault="00F34CFF" w:rsidP="00086603">
    <w:pPr>
      <w:pStyle w:val="Footer"/>
    </w:pPr>
    <w:r w:rsidRPr="008C6722">
      <w:t>PwC</w:t>
    </w:r>
    <w:r>
      <w:ptab w:relativeTo="margin" w:alignment="right" w:leader="none"/>
    </w:r>
    <w:r>
      <w:fldChar w:fldCharType="begin"/>
    </w:r>
    <w:r>
      <w:instrText xml:space="preserve"> PAGE  \* MERGEFORMAT </w:instrText>
    </w:r>
    <w:r>
      <w:fldChar w:fldCharType="separate"/>
    </w:r>
    <w:r>
      <w:rPr>
        <w:noProof/>
      </w:rPr>
      <w:t>59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6650EF">
    <w:pPr>
      <w:pStyle w:val="Footer"/>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Pr>
          <w:noProof/>
        </w:rPr>
        <w:instrText>for Overnight Private Hospitals</w:instrText>
      </w:r>
    </w:fldSimple>
  </w:p>
  <w:p w:rsidR="00F34CFF" w:rsidRDefault="00F34CFF"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39</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F34CFF" w:rsidRDefault="00F34CFF"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34CFF" w:rsidRDefault="00F34CFF" w:rsidP="006650EF">
    <w:pPr>
      <w:pStyle w:val="Footer-Even"/>
    </w:pPr>
    <w:r>
      <w:instrText>" "</w:instrText>
    </w:r>
    <w:r>
      <w:ptab w:relativeTo="margin" w:alignment="right" w:leader="none"/>
    </w:r>
    <w:fldSimple w:instr=" STYLEREF &quot;Cover title&quot; ">
      <w:r>
        <w:rPr>
          <w:noProof/>
        </w:rPr>
        <w:instrText>Prospect name</w:instrText>
      </w:r>
    </w:fldSimple>
  </w:p>
  <w:p w:rsidR="00F34CFF" w:rsidRDefault="00F34CFF"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34CFF" w:rsidRPr="006650EF" w:rsidRDefault="00F34CFF"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34CFF" w:rsidRPr="006650EF" w:rsidRDefault="00F34CFF"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F34CFF" w:rsidRDefault="00F34CFF"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Pr>
        <w:noProof/>
      </w:rPr>
      <w:t>for Overnight Private Hospitals</w:t>
    </w:r>
  </w:p>
  <w:p w:rsidR="00F34CFF" w:rsidRPr="006650EF" w:rsidRDefault="00F34CFF" w:rsidP="006650EF">
    <w:pPr>
      <w:pStyle w:val="Footer"/>
      <w:rPr>
        <w:sz w:val="2"/>
      </w:rPr>
    </w:pPr>
    <w:r>
      <w:rPr>
        <w:noProof/>
      </w:rPr>
      <w:t>PwC</w:t>
    </w:r>
    <w:r>
      <w:rPr>
        <w:noProof/>
      </w:rPr>
      <w:ptab w:relativeTo="margin" w:alignment="right" w:leader="none"/>
    </w:r>
    <w:r>
      <w:rPr>
        <w:noProof/>
      </w:rPr>
      <w:t>39</w:t>
    </w:r>
    <w:r w:rsidRPr="006650EF">
      <w:rPr>
        <w:sz w:val="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8C6722" w:rsidRDefault="00F34CFF" w:rsidP="008653AD">
    <w:pPr>
      <w:pStyle w:val="Copyright"/>
      <w:framePr w:wrap="around"/>
    </w:pPr>
    <w:r>
      <w:t xml:space="preserve">© </w:t>
    </w:r>
    <w:r w:rsidRPr="00A61254">
      <w:t>201</w:t>
    </w:r>
    <w:r>
      <w:t>3</w:t>
    </w:r>
    <w:r w:rsidRPr="00A61254">
      <w:t xml:space="preserve"> Pricewaterhou</w:t>
    </w:r>
    <w:r>
      <w:t>seCoopers. All rights reserved.</w:t>
    </w:r>
    <w:r>
      <w:br/>
      <w:t>PwC</w:t>
    </w:r>
    <w:r w:rsidRPr="00A61254">
      <w:t xml:space="preserve"> refers to </w:t>
    </w:r>
    <w:r>
      <w:t>the Australian member firm, and may sometimes refer to the PwC network.</w:t>
    </w:r>
    <w:r>
      <w:br/>
      <w:t>E</w:t>
    </w:r>
    <w:r w:rsidRPr="00A61254">
      <w:t xml:space="preserve">ach member firm </w:t>
    </w:r>
    <w:r>
      <w:t>is</w:t>
    </w:r>
    <w:r w:rsidRPr="00A61254">
      <w:t xml:space="preserve"> a separate legal entity.</w:t>
    </w:r>
    <w:r>
      <w:t xml:space="preserve"> Please see </w:t>
    </w:r>
    <w:r w:rsidRPr="005D7C6C">
      <w:t>www.pwc.com/structure</w:t>
    </w:r>
    <w:r>
      <w:t xml:space="preserve"> for further details</w:t>
    </w:r>
    <w:r>
      <w:br/>
    </w:r>
    <w:r>
      <w:br/>
      <w:t>Liability limited by a scheme approved under Professional Standards Legislation</w:t>
    </w:r>
  </w:p>
  <w:p w:rsidR="00F34CFF" w:rsidRPr="008653AD" w:rsidRDefault="00F34CFF" w:rsidP="008653A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BF2CD7">
    <w:pPr>
      <w:pStyle w:val="URL"/>
      <w:framePr w:wrap="around"/>
    </w:pPr>
    <w:r>
      <w:t>pwc.com.au</w:t>
    </w:r>
  </w:p>
  <w:p w:rsidR="00F34CFF" w:rsidRPr="008C6722" w:rsidRDefault="00F34CFF" w:rsidP="00483E95">
    <w:pPr>
      <w:pStyle w:val="Copyright"/>
      <w:framePr w:wrap="around"/>
    </w:pPr>
    <w:r>
      <w:t>© 2011 PricewaterhouseCoopers. All rights reserved. In this document, "PwC" refers to PricewaterhouseCoopers a partnership formed in Australia, which is a member firm of PricewaterhouseCoopers International Limited, each member firm of which is a separate legal entity.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ToC"/>
    </w:pPr>
    <w:fldSimple w:instr=" STYLEREF &quot;Cover Title&quot; ">
      <w:r>
        <w:rPr>
          <w:noProof/>
        </w:rPr>
        <w:t>for Overnight Private Hospitals</w:t>
      </w:r>
    </w:fldSimple>
  </w:p>
  <w:p w:rsidR="00F34CFF" w:rsidRPr="00A84ADF" w:rsidRDefault="00F34CFF" w:rsidP="00086603">
    <w:pPr>
      <w:pStyle w:val="Footer-ToC"/>
    </w:pPr>
    <w:r>
      <w:t>PwC</w:t>
    </w:r>
    <w:r>
      <w:tab/>
    </w:r>
    <w:r>
      <w:fldChar w:fldCharType="begin"/>
    </w:r>
    <w:r>
      <w:instrText xml:space="preserve"> PAGE  \* MERGEFORMAT </w:instrText>
    </w:r>
    <w:r>
      <w:fldChar w:fldCharType="separate"/>
    </w:r>
    <w:r>
      <w:rPr>
        <w:noProof/>
      </w:rPr>
      <w:t>xli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ToC"/>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Pr>
          <w:noProof/>
        </w:rPr>
        <w:instrText>for Overnight Private Hospitals</w:instrText>
      </w:r>
    </w:fldSimple>
  </w:p>
  <w:p w:rsidR="00F34CFF" w:rsidRDefault="00F34CFF" w:rsidP="00086603">
    <w:pPr>
      <w:pStyle w:val="Footer-ToC"/>
    </w:pPr>
    <w:r>
      <w:instrText>PwC</w:instrText>
    </w:r>
    <w:r>
      <w:ptab w:relativeTo="margin" w:alignment="right" w:leader="none"/>
    </w:r>
    <w:r>
      <w:fldChar w:fldCharType="begin"/>
    </w:r>
    <w:r>
      <w:instrText xml:space="preserve"> PAGE </w:instrText>
    </w:r>
    <w:r>
      <w:fldChar w:fldCharType="separate"/>
    </w:r>
    <w:r>
      <w:rPr>
        <w:noProof/>
      </w:rPr>
      <w:instrText>i</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F34CFF" w:rsidRDefault="00F34CFF" w:rsidP="00086603">
    <w:pPr>
      <w:pStyle w:val="Footer-ToC"/>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34CFF" w:rsidRDefault="00F34CFF" w:rsidP="00086603">
    <w:pPr>
      <w:pStyle w:val="Footer-ToC"/>
    </w:pPr>
    <w:r>
      <w:instrText>" "</w:instrText>
    </w:r>
    <w:r>
      <w:ptab w:relativeTo="margin" w:alignment="right" w:leader="none"/>
    </w:r>
    <w:fldSimple w:instr=" STYLEREF &quot;Cover title&quot; ">
      <w:r>
        <w:rPr>
          <w:noProof/>
        </w:rPr>
        <w:instrText>Prospect name</w:instrText>
      </w:r>
    </w:fldSimple>
  </w:p>
  <w:p w:rsidR="00F34CFF" w:rsidRDefault="00F34CFF" w:rsidP="00086603">
    <w:pPr>
      <w:pStyle w:val="Footer-ToC"/>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34CFF" w:rsidRPr="006650EF" w:rsidRDefault="00F34CFF" w:rsidP="00086603">
    <w:pPr>
      <w:pStyle w:val="Footer-ToC"/>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34CFF" w:rsidRPr="006650EF" w:rsidRDefault="00F34CFF" w:rsidP="00086603">
    <w:pPr>
      <w:pStyle w:val="Footer-ToC"/>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F34CFF" w:rsidRDefault="00F34CFF" w:rsidP="00086603">
    <w:pPr>
      <w:pStyle w:val="Footer-ToC"/>
      <w:rPr>
        <w:noProof/>
      </w:rPr>
    </w:pPr>
    <w:r w:rsidRPr="006650EF">
      <w:rPr>
        <w:sz w:val="2"/>
      </w:rPr>
      <w:fldChar w:fldCharType="end"/>
    </w:r>
    <w:r w:rsidRPr="006650EF">
      <w:rPr>
        <w:sz w:val="2"/>
      </w:rPr>
      <w:instrText xml:space="preserve"> </w:instrText>
    </w:r>
    <w:r w:rsidRPr="006650EF">
      <w:rPr>
        <w:sz w:val="2"/>
      </w:rPr>
      <w:fldChar w:fldCharType="separate"/>
    </w:r>
    <w:r>
      <w:rPr>
        <w:noProof/>
      </w:rPr>
      <w:t>for Overnight Private Hospitals</w:t>
    </w:r>
  </w:p>
  <w:p w:rsidR="00F34CFF" w:rsidRPr="006650EF" w:rsidRDefault="00F34CFF" w:rsidP="00086603">
    <w:pPr>
      <w:pStyle w:val="Footer-ToC"/>
      <w:rPr>
        <w:sz w:val="2"/>
      </w:rPr>
    </w:pPr>
    <w:r>
      <w:rPr>
        <w:noProof/>
      </w:rPr>
      <w:t>PwC</w:t>
    </w:r>
    <w:r>
      <w:rPr>
        <w:noProof/>
      </w:rPr>
      <w:ptab w:relativeTo="margin" w:alignment="right" w:leader="none"/>
    </w:r>
    <w:r>
      <w:rPr>
        <w:noProof/>
      </w:rPr>
      <w:t>i</w:t>
    </w:r>
    <w:r w:rsidRPr="006650EF">
      <w:rPr>
        <w:sz w:val="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086603">
    <w:pPr>
      <w:pStyle w:val="Footer-Even"/>
    </w:pPr>
    <w:fldSimple w:instr=" STYLEREF &quot;Cover Title&quot; ">
      <w:r w:rsidR="003F3720">
        <w:rPr>
          <w:noProof/>
        </w:rPr>
        <w:t>for Overnight Private Hospitals</w:t>
      </w:r>
    </w:fldSimple>
  </w:p>
  <w:p w:rsidR="00F34CFF" w:rsidRPr="006650EF" w:rsidRDefault="00F34CFF" w:rsidP="00086603">
    <w:pPr>
      <w:pStyle w:val="Footer-Even"/>
    </w:pPr>
    <w:r>
      <w:t>PwC</w:t>
    </w:r>
    <w:r>
      <w:ptab w:relativeTo="margin" w:alignment="right" w:leader="none"/>
    </w:r>
    <w:r>
      <w:fldChar w:fldCharType="begin"/>
    </w:r>
    <w:r>
      <w:instrText xml:space="preserve"> PAGE  \* MERGEFORMAT </w:instrText>
    </w:r>
    <w:r>
      <w:fldChar w:fldCharType="separate"/>
    </w:r>
    <w:r w:rsidR="003F3720">
      <w:rPr>
        <w:noProof/>
      </w:rPr>
      <w:t>22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8C6722" w:rsidRDefault="00F34CFF" w:rsidP="00086603">
    <w:pPr>
      <w:pStyle w:val="Footer"/>
    </w:pPr>
    <w:fldSimple w:instr=" STYLEREF &quot;Cover Title&quot; ">
      <w:r w:rsidR="003F3720">
        <w:rPr>
          <w:noProof/>
        </w:rPr>
        <w:t>for Overnight Private Hospitals</w:t>
      </w:r>
    </w:fldSimple>
  </w:p>
  <w:p w:rsidR="00F34CFF" w:rsidRPr="008C6722" w:rsidRDefault="00F34CFF" w:rsidP="00086603">
    <w:pPr>
      <w:pStyle w:val="Footer"/>
    </w:pPr>
    <w:r w:rsidRPr="008C6722">
      <w:t>PwC</w:t>
    </w:r>
    <w:r>
      <w:ptab w:relativeTo="margin" w:alignment="right" w:leader="none"/>
    </w:r>
    <w:r>
      <w:fldChar w:fldCharType="begin"/>
    </w:r>
    <w:r>
      <w:instrText xml:space="preserve"> PAGE  \* MERGEFORMAT </w:instrText>
    </w:r>
    <w:r>
      <w:fldChar w:fldCharType="separate"/>
    </w:r>
    <w:r w:rsidR="003F3720">
      <w:rPr>
        <w:noProof/>
      </w:rPr>
      <w:t>21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6650EF">
    <w:pPr>
      <w:pStyle w:val="Footer"/>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Pr>
          <w:noProof/>
        </w:rPr>
        <w:instrText>for Overnight Private Hospitals</w:instrText>
      </w:r>
    </w:fldSimple>
  </w:p>
  <w:p w:rsidR="00F34CFF" w:rsidRDefault="00F34CFF"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18</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F34CFF" w:rsidRDefault="00F34CFF" w:rsidP="006650EF">
    <w:pPr>
      <w:pStyle w:val="Footer"/>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34CFF" w:rsidRDefault="00F34CFF" w:rsidP="006650EF">
    <w:pPr>
      <w:pStyle w:val="Footer-Even"/>
    </w:pPr>
    <w:r>
      <w:instrText>" "</w:instrText>
    </w:r>
    <w:r>
      <w:ptab w:relativeTo="margin" w:alignment="right" w:leader="none"/>
    </w:r>
    <w:fldSimple w:instr=" STYLEREF &quot;Cover title&quot; ">
      <w:r>
        <w:rPr>
          <w:noProof/>
        </w:rPr>
        <w:instrText>Prospect name</w:instrText>
      </w:r>
    </w:fldSimple>
  </w:p>
  <w:p w:rsidR="00F34CFF" w:rsidRDefault="00F34CFF" w:rsidP="006650EF">
    <w:pPr>
      <w:pStyle w:val="Footer-Even"/>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34CFF" w:rsidRPr="006650EF" w:rsidRDefault="00F34CFF" w:rsidP="006650EF">
    <w:pPr>
      <w:pStyle w:val="Footer"/>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34CFF" w:rsidRPr="006650EF" w:rsidRDefault="00F34CFF" w:rsidP="006650EF">
    <w:pPr>
      <w:pStyle w:val="Footer"/>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F34CFF" w:rsidRDefault="00F34CFF" w:rsidP="006650EF">
    <w:pPr>
      <w:pStyle w:val="Footer"/>
      <w:rPr>
        <w:noProof/>
      </w:rPr>
    </w:pPr>
    <w:r w:rsidRPr="006650EF">
      <w:rPr>
        <w:sz w:val="2"/>
      </w:rPr>
      <w:fldChar w:fldCharType="end"/>
    </w:r>
    <w:r w:rsidRPr="006650EF">
      <w:rPr>
        <w:sz w:val="2"/>
      </w:rPr>
      <w:instrText xml:space="preserve"> </w:instrText>
    </w:r>
    <w:r w:rsidRPr="006650EF">
      <w:rPr>
        <w:sz w:val="2"/>
      </w:rPr>
      <w:fldChar w:fldCharType="separate"/>
    </w:r>
    <w:r>
      <w:rPr>
        <w:noProof/>
      </w:rPr>
      <w:t>for Overnight Private Hospitals</w:t>
    </w:r>
  </w:p>
  <w:p w:rsidR="00F34CFF" w:rsidRPr="006650EF" w:rsidRDefault="00F34CFF" w:rsidP="006650EF">
    <w:pPr>
      <w:pStyle w:val="Footer"/>
      <w:rPr>
        <w:sz w:val="2"/>
      </w:rPr>
    </w:pPr>
    <w:r>
      <w:rPr>
        <w:noProof/>
      </w:rPr>
      <w:t>PwC</w:t>
    </w:r>
    <w:r>
      <w:rPr>
        <w:noProof/>
      </w:rPr>
      <w:ptab w:relativeTo="margin" w:alignment="right" w:leader="none"/>
    </w:r>
    <w:r>
      <w:rPr>
        <w:noProof/>
      </w:rPr>
      <w:t>18</w:t>
    </w:r>
    <w:r w:rsidRPr="006650EF">
      <w:rPr>
        <w:sz w:val="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pPr>
      <w:pStyle w:val="Footer-Landscape"/>
    </w:pPr>
    <w:fldSimple w:instr=" STYLEREF &quot;Cover Title&quot; ">
      <w:r>
        <w:rPr>
          <w:noProof/>
        </w:rPr>
        <w:t>for Overnight Private Hospitals</w:t>
      </w:r>
    </w:fldSimple>
  </w:p>
  <w:p w:rsidR="00F34CFF" w:rsidRDefault="00F34CFF">
    <w:pPr>
      <w:pStyle w:val="Footer-Landscape"/>
    </w:pPr>
    <w:r>
      <w:t>PwC</w:t>
    </w:r>
    <w:r>
      <w:ptab w:relativeTo="margin" w:alignment="right" w:leader="none"/>
    </w:r>
    <w:r>
      <w:fldChar w:fldCharType="begin"/>
    </w:r>
    <w:r>
      <w:instrText xml:space="preserve"> PAGE  \* MERGEFORMAT </w:instrText>
    </w:r>
    <w:r>
      <w:fldChar w:fldCharType="separate"/>
    </w:r>
    <w:r>
      <w:rPr>
        <w:noProof/>
      </w:rPr>
      <w:t>30</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pPr>
      <w:pStyle w:val="Footer-Landscape"/>
    </w:pPr>
    <w:fldSimple w:instr=" STYLEREF &quot;Cover Title&quot; ">
      <w:r>
        <w:rPr>
          <w:noProof/>
        </w:rPr>
        <w:t>for Overnight Private Hospitals</w:t>
      </w:r>
    </w:fldSimple>
  </w:p>
  <w:p w:rsidR="00F34CFF" w:rsidRDefault="00F34CFF">
    <w:pPr>
      <w:pStyle w:val="Footer-Landscape"/>
    </w:pPr>
    <w:r w:rsidRPr="008C6722">
      <w:t>PwC</w:t>
    </w:r>
    <w:r>
      <w:ptab w:relativeTo="margin" w:alignment="right" w:leader="none"/>
    </w:r>
    <w:r>
      <w:fldChar w:fldCharType="begin"/>
    </w:r>
    <w:r>
      <w:instrText xml:space="preserve"> PAGE  \* MERGEFORMAT </w:instrText>
    </w:r>
    <w:r>
      <w:fldChar w:fldCharType="separate"/>
    </w:r>
    <w:r>
      <w:rPr>
        <w:noProof/>
      </w:rPr>
      <w:t>31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pPr>
      <w:pStyle w:val="Footer-Landscape"/>
    </w:pPr>
    <w:r w:rsidRPr="006650EF">
      <w:rPr>
        <w:sz w:val="18"/>
      </w:rPr>
      <w:fldChar w:fldCharType="begin"/>
    </w:r>
    <w:r>
      <w:instrText xml:space="preserve"> IF </w:instrText>
    </w:r>
    <w:fldSimple w:instr=" DOCPROPERTY &quot;Mirror Margins&quot; ">
      <w:r>
        <w:instrText>N</w:instrText>
      </w:r>
    </w:fldSimple>
    <w:r>
      <w:instrText xml:space="preserve"> = "N" "</w:instrText>
    </w:r>
    <w:fldSimple w:instr=" STYLEREF &quot;Cover title&quot; ">
      <w:r>
        <w:rPr>
          <w:noProof/>
        </w:rPr>
        <w:instrText>for Overnight Private Hospitals</w:instrText>
      </w:r>
    </w:fldSimple>
  </w:p>
  <w:p w:rsidR="00F34CFF" w:rsidRDefault="00F34CFF">
    <w:pPr>
      <w:pStyle w:val="Footer-Landscape"/>
    </w:pPr>
    <w:r>
      <w:instrText>PwC</w:instrText>
    </w:r>
    <w:r>
      <w:ptab w:relativeTo="margin" w:alignment="right" w:leader="none"/>
    </w:r>
    <w:r>
      <w:fldChar w:fldCharType="begin"/>
    </w:r>
    <w:r>
      <w:instrText xml:space="preserve"> PAGE </w:instrText>
    </w:r>
    <w:r>
      <w:fldChar w:fldCharType="separate"/>
    </w:r>
    <w:r>
      <w:rPr>
        <w:noProof/>
      </w:rPr>
      <w:instrText>41</w:instrText>
    </w:r>
    <w:r>
      <w:rPr>
        <w:noProof/>
      </w:rPr>
      <w:fldChar w:fldCharType="end"/>
    </w:r>
    <w:r>
      <w:instrText xml:space="preserve">" </w:instrText>
    </w:r>
    <w:r w:rsidRPr="006650EF">
      <w:rPr>
        <w:sz w:val="18"/>
      </w:rPr>
      <w:fldChar w:fldCharType="begin"/>
    </w:r>
    <w:r>
      <w:instrText xml:space="preserve"> IF </w:instrText>
    </w:r>
    <w:r>
      <w:fldChar w:fldCharType="begin"/>
    </w:r>
    <w:r>
      <w:instrText xml:space="preserve"> =mod( </w:instrText>
    </w:r>
    <w:r>
      <w:fldChar w:fldCharType="begin"/>
    </w:r>
    <w:r>
      <w:instrText xml:space="preserve"> PAGE \* Arabic </w:instrText>
    </w:r>
    <w:r>
      <w:fldChar w:fldCharType="separate"/>
    </w:r>
    <w:r>
      <w:rPr>
        <w:noProof/>
      </w:rPr>
      <w:instrText>5</w:instrText>
    </w:r>
    <w:r>
      <w:rPr>
        <w:noProof/>
      </w:rPr>
      <w:fldChar w:fldCharType="end"/>
    </w:r>
    <w:r>
      <w:instrText xml:space="preserve"> ,2) </w:instrText>
    </w:r>
    <w:r>
      <w:fldChar w:fldCharType="separate"/>
    </w:r>
    <w:r>
      <w:rPr>
        <w:noProof/>
      </w:rPr>
      <w:instrText>1</w:instrText>
    </w:r>
    <w:r>
      <w:fldChar w:fldCharType="end"/>
    </w:r>
    <w:r>
      <w:instrText xml:space="preserve"> = "1" "</w:instrText>
    </w:r>
    <w:fldSimple w:instr=" STYLEREF &quot;Cover title&quot; ">
      <w:r>
        <w:rPr>
          <w:noProof/>
        </w:rPr>
        <w:instrText>Prospect name</w:instrText>
      </w:r>
    </w:fldSimple>
  </w:p>
  <w:p w:rsidR="00F34CFF" w:rsidRDefault="00F34CFF">
    <w:pPr>
      <w:pStyle w:val="Footer-Landscape"/>
    </w:pPr>
    <w:r>
      <w:instrText>PwC</w:instrText>
    </w:r>
    <w:r>
      <w:ptab w:relativeTo="margin" w:alignment="right" w:leader="none"/>
    </w:r>
    <w:r>
      <w:fldChar w:fldCharType="begin"/>
    </w:r>
    <w:r>
      <w:instrText xml:space="preserve"> PAGE </w:instrText>
    </w:r>
    <w:r>
      <w:fldChar w:fldCharType="separate"/>
    </w:r>
    <w:r>
      <w:rPr>
        <w:noProof/>
      </w:rPr>
      <w:instrText>5</w:instrText>
    </w:r>
    <w:r>
      <w:rPr>
        <w:noProof/>
      </w:rPr>
      <w:fldChar w:fldCharType="end"/>
    </w:r>
  </w:p>
  <w:p w:rsidR="00F34CFF" w:rsidRDefault="00F34CFF">
    <w:pPr>
      <w:pStyle w:val="Footer-Landscape"/>
    </w:pPr>
    <w:r>
      <w:instrText>" "</w:instrText>
    </w:r>
    <w:r>
      <w:ptab w:relativeTo="margin" w:alignment="right" w:leader="none"/>
    </w:r>
    <w:fldSimple w:instr=" STYLEREF &quot;Cover title&quot; ">
      <w:r>
        <w:rPr>
          <w:noProof/>
        </w:rPr>
        <w:instrText>Prospect name</w:instrText>
      </w:r>
    </w:fldSimple>
  </w:p>
  <w:p w:rsidR="00F34CFF" w:rsidRDefault="00F34CFF">
    <w:pPr>
      <w:pStyle w:val="Footer-Landscape"/>
    </w:pPr>
    <w:r>
      <w:fldChar w:fldCharType="begin"/>
    </w:r>
    <w:r>
      <w:instrText xml:space="preserve"> PAGE </w:instrText>
    </w:r>
    <w:r>
      <w:fldChar w:fldCharType="separate"/>
    </w:r>
    <w:r>
      <w:rPr>
        <w:noProof/>
      </w:rPr>
      <w:instrText>4</w:instrText>
    </w:r>
    <w:r>
      <w:rPr>
        <w:noProof/>
      </w:rPr>
      <w:fldChar w:fldCharType="end"/>
    </w:r>
    <w:r>
      <w:ptab w:relativeTo="margin" w:alignment="right" w:leader="none"/>
    </w:r>
    <w:r>
      <w:instrText>PwC</w:instrText>
    </w:r>
  </w:p>
  <w:p w:rsidR="00F34CFF" w:rsidRDefault="00F34CFF">
    <w:pPr>
      <w:pStyle w:val="Footer-Landscape"/>
      <w:rPr>
        <w:noProof/>
        <w:sz w:val="2"/>
      </w:rPr>
    </w:pPr>
    <w:r w:rsidRPr="006650EF">
      <w:rPr>
        <w:sz w:val="2"/>
      </w:rPr>
      <w:instrText xml:space="preserve">" </w:instrText>
    </w:r>
    <w:r w:rsidRPr="006650EF">
      <w:rPr>
        <w:sz w:val="2"/>
      </w:rPr>
      <w:fldChar w:fldCharType="separate"/>
    </w:r>
    <w:r w:rsidRPr="006650EF">
      <w:rPr>
        <w:noProof/>
        <w:sz w:val="2"/>
      </w:rPr>
      <w:instrText>Prospect name</w:instrText>
    </w:r>
  </w:p>
  <w:p w:rsidR="00F34CFF" w:rsidRDefault="00F34CFF">
    <w:pPr>
      <w:pStyle w:val="Footer-Landscape"/>
      <w:rPr>
        <w:noProof/>
        <w:sz w:val="2"/>
      </w:rPr>
    </w:pPr>
    <w:r w:rsidRPr="006650EF">
      <w:rPr>
        <w:noProof/>
        <w:sz w:val="2"/>
      </w:rPr>
      <w:instrText>PwC</w:instrText>
    </w:r>
    <w:r w:rsidRPr="006650EF">
      <w:rPr>
        <w:noProof/>
        <w:sz w:val="2"/>
      </w:rPr>
      <w:tab/>
      <w:instrText>5</w:instrText>
    </w:r>
    <w:r w:rsidRPr="006650EF">
      <w:rPr>
        <w:noProof/>
        <w:sz w:val="2"/>
      </w:rPr>
      <w:tab/>
      <w:instrText>WWYLTG?</w:instrText>
    </w:r>
  </w:p>
  <w:p w:rsidR="00F34CFF" w:rsidRDefault="00F34CFF">
    <w:pPr>
      <w:pStyle w:val="Footer-Landscape"/>
      <w:rPr>
        <w:noProof/>
      </w:rPr>
    </w:pPr>
    <w:r w:rsidRPr="006650EF">
      <w:rPr>
        <w:sz w:val="2"/>
      </w:rPr>
      <w:fldChar w:fldCharType="end"/>
    </w:r>
    <w:r w:rsidRPr="006650EF">
      <w:rPr>
        <w:sz w:val="2"/>
      </w:rPr>
      <w:instrText xml:space="preserve"> </w:instrText>
    </w:r>
    <w:r w:rsidRPr="006650EF">
      <w:rPr>
        <w:sz w:val="2"/>
      </w:rPr>
      <w:fldChar w:fldCharType="separate"/>
    </w:r>
    <w:r>
      <w:rPr>
        <w:noProof/>
      </w:rPr>
      <w:t>for Overnight Private Hospitals</w:t>
    </w:r>
  </w:p>
  <w:p w:rsidR="00F34CFF" w:rsidRDefault="00F34CFF">
    <w:pPr>
      <w:pStyle w:val="Footer-Landscape"/>
      <w:rPr>
        <w:sz w:val="2"/>
      </w:rPr>
    </w:pPr>
    <w:r>
      <w:rPr>
        <w:noProof/>
      </w:rPr>
      <w:t>PwC</w:t>
    </w:r>
    <w:r>
      <w:rPr>
        <w:noProof/>
      </w:rPr>
      <w:ptab w:relativeTo="margin" w:alignment="right" w:leader="none"/>
    </w:r>
    <w:r>
      <w:rPr>
        <w:noProof/>
      </w:rPr>
      <w:t>41</w:t>
    </w:r>
    <w:r w:rsidRPr="006650EF">
      <w:rPr>
        <w:sz w:val="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FF" w:rsidRDefault="00F34CFF" w:rsidP="004343B3">
      <w:pPr>
        <w:pStyle w:val="Separator"/>
      </w:pPr>
      <w:r>
        <w:separator/>
      </w:r>
    </w:p>
    <w:p w:rsidR="00F34CFF" w:rsidRDefault="00F34CFF"/>
  </w:footnote>
  <w:footnote w:type="continuationSeparator" w:id="0">
    <w:p w:rsidR="00F34CFF" w:rsidRDefault="00F34CFF" w:rsidP="004343B3">
      <w:pPr>
        <w:pStyle w:val="Separator"/>
      </w:pPr>
      <w:r>
        <w:continuationSeparator/>
      </w:r>
    </w:p>
    <w:p w:rsidR="00F34CFF" w:rsidRDefault="00F34CFF"/>
  </w:footnote>
  <w:footnote w:type="continuationNotice" w:id="1">
    <w:p w:rsidR="00F34CFF" w:rsidRPr="00F20B7D" w:rsidRDefault="00F34CFF" w:rsidP="00F20B7D">
      <w:pPr>
        <w:pStyle w:val="Footer"/>
        <w:rPr>
          <w:sz w:val="2"/>
          <w:szCs w:val="2"/>
        </w:rPr>
      </w:pPr>
    </w:p>
    <w:p w:rsidR="00F34CFF" w:rsidRDefault="00F34CFF"/>
  </w:footnote>
  <w:footnote w:id="2">
    <w:p w:rsidR="00F34CFF" w:rsidRDefault="00F34CFF" w:rsidP="0088452E">
      <w:pPr>
        <w:pStyle w:val="FootnoteText"/>
        <w:ind w:left="142" w:hanging="142"/>
      </w:pPr>
      <w:r>
        <w:rPr>
          <w:rStyle w:val="FootnoteReference"/>
        </w:rPr>
        <w:footnoteRef/>
      </w:r>
      <w:r>
        <w:t xml:space="preserve"> Acute admitted care separations are those identified in national data collections as “Care Type 1.0” (AIHW National Data Dictionary 15</w:t>
      </w:r>
      <w:r w:rsidRPr="00DB65F7">
        <w:rPr>
          <w:vertAlign w:val="superscript"/>
        </w:rPr>
        <w:t>th</w:t>
      </w:r>
      <w:r>
        <w:t xml:space="preserve"> edition). Costs associated with newborn babies (“Care Type 7.0”) in relation to the number of unqualified days have been allocated to the delivery AR-DRGs of the associated mothers. This is further described </w:t>
      </w:r>
      <w:r w:rsidRPr="00737251">
        <w:t xml:space="preserve">in Section </w:t>
      </w:r>
      <w:r>
        <w:fldChar w:fldCharType="begin"/>
      </w:r>
      <w:r>
        <w:instrText xml:space="preserve"> REF _Ref353990582 \n \h </w:instrText>
      </w:r>
      <w:r>
        <w:fldChar w:fldCharType="separate"/>
      </w:r>
      <w:r>
        <w:t>3.6</w:t>
      </w:r>
      <w:r>
        <w:fldChar w:fldCharType="end"/>
      </w:r>
      <w:r w:rsidRPr="00737251">
        <w:t>.</w:t>
      </w:r>
    </w:p>
  </w:footnote>
  <w:footnote w:id="3">
    <w:p w:rsidR="00F34CFF" w:rsidRDefault="00F34CFF" w:rsidP="00D87AB3">
      <w:pPr>
        <w:pStyle w:val="FootnoteText"/>
      </w:pPr>
      <w:r>
        <w:rPr>
          <w:rStyle w:val="FootnoteReference"/>
        </w:rPr>
        <w:footnoteRef/>
      </w:r>
      <w:r>
        <w:t xml:space="preserve"> DOHA (Department of Health and Ageing) 2011, Data Definitions Manual  </w:t>
      </w:r>
    </w:p>
  </w:footnote>
  <w:footnote w:id="4">
    <w:p w:rsidR="00F34CFF" w:rsidRDefault="00F34CFF">
      <w:pPr>
        <w:pStyle w:val="FootnoteText"/>
      </w:pPr>
      <w:r>
        <w:rPr>
          <w:rStyle w:val="FootnoteReference"/>
        </w:rPr>
        <w:footnoteRef/>
      </w:r>
      <w:r>
        <w:t xml:space="preserve"> These are separations with care type 7.0 (new born care), with zero qualified days in the delivery DRGs (Major Diagnostic Category 15 newborns and other neonates)</w:t>
      </w:r>
    </w:p>
  </w:footnote>
  <w:footnote w:id="5">
    <w:p w:rsidR="00F34CFF" w:rsidRDefault="00F34CFF">
      <w:pPr>
        <w:pStyle w:val="FootnoteText"/>
      </w:pPr>
      <w:r>
        <w:rPr>
          <w:rStyle w:val="FootnoteReference"/>
        </w:rPr>
        <w:footnoteRef/>
      </w:r>
      <w:r>
        <w:t xml:space="preserve"> e.g. refer to the 15</w:t>
      </w:r>
      <w:r w:rsidRPr="00036CDA">
        <w:rPr>
          <w:vertAlign w:val="superscript"/>
        </w:rPr>
        <w:t>th</w:t>
      </w:r>
      <w:r>
        <w:t xml:space="preserve"> edition</w:t>
      </w:r>
    </w:p>
  </w:footnote>
  <w:footnote w:id="6">
    <w:p w:rsidR="00F34CFF" w:rsidRDefault="00F34CFF" w:rsidP="00E81035">
      <w:pPr>
        <w:pStyle w:val="FootnoteText"/>
      </w:pPr>
      <w:r>
        <w:rPr>
          <w:rStyle w:val="FootnoteReference"/>
        </w:rPr>
        <w:footnoteRef/>
      </w:r>
      <w:r>
        <w:t xml:space="preserve"> Australian Institute of Health and Welfare (AIHW), Australian Hospital Statistics 2010-11, Cat No, HSE117</w:t>
      </w:r>
      <w:r w:rsidRPr="00FE058E">
        <w:t>.</w:t>
      </w:r>
    </w:p>
  </w:footnote>
  <w:footnote w:id="7">
    <w:p w:rsidR="00F34CFF" w:rsidRDefault="00F34CFF">
      <w:pPr>
        <w:pStyle w:val="FootnoteText"/>
      </w:pPr>
      <w:r>
        <w:rPr>
          <w:rStyle w:val="FootnoteReference"/>
        </w:rPr>
        <w:footnoteRef/>
      </w:r>
      <w:r>
        <w:t xml:space="preserve"> </w:t>
      </w:r>
      <w:hyperlink r:id="rId1" w:history="1">
        <w:r w:rsidRPr="00B10588">
          <w:rPr>
            <w:rStyle w:val="Hyperlink"/>
          </w:rPr>
          <w:t>http://www.health.gov.au/internet/main/publishing.nsf/Content/Australia-Hospital-Patient-Costing-Standards</w:t>
        </w:r>
      </w:hyperlink>
      <w:r>
        <w:t>, accessed 15 April 2013</w:t>
      </w:r>
    </w:p>
  </w:footnote>
  <w:footnote w:id="8">
    <w:p w:rsidR="00F34CFF" w:rsidRDefault="00F34CFF">
      <w:pPr>
        <w:pStyle w:val="FootnoteText"/>
      </w:pPr>
      <w:r>
        <w:rPr>
          <w:rStyle w:val="FootnoteReference"/>
        </w:rPr>
        <w:footnoteRef/>
      </w:r>
      <w:r>
        <w:t xml:space="preserve"> Page 19 of </w:t>
      </w:r>
      <w:r w:rsidRPr="00945518">
        <w:t>Australian Hospital Patient Costing Standards v2.0 – 1 March 2011</w:t>
      </w:r>
    </w:p>
  </w:footnote>
  <w:footnote w:id="9">
    <w:p w:rsidR="00F34CFF" w:rsidRDefault="00F34CFF" w:rsidP="005A0B7B">
      <w:pPr>
        <w:pStyle w:val="FootnoteText"/>
      </w:pPr>
      <w:r>
        <w:rPr>
          <w:rStyle w:val="FootnoteReference"/>
        </w:rPr>
        <w:footnoteRef/>
      </w:r>
      <w:r>
        <w:t xml:space="preserve"> </w:t>
      </w:r>
      <w:hyperlink r:id="rId2" w:history="1">
        <w:r w:rsidRPr="001D36DE">
          <w:rPr>
            <w:rStyle w:val="Hyperlink"/>
          </w:rPr>
          <w:t>http://www.health.gov.au/internet/main/publishing.nsf/Content/Round_13-cost-reports</w:t>
        </w:r>
      </w:hyperlink>
      <w:r>
        <w:t>, accessed 3 April 2012</w:t>
      </w:r>
    </w:p>
  </w:footnote>
  <w:footnote w:id="10">
    <w:p w:rsidR="00F34CFF" w:rsidRDefault="00F34CFF" w:rsidP="005A0B7B">
      <w:pPr>
        <w:pStyle w:val="FootnoteText"/>
      </w:pPr>
      <w:r>
        <w:rPr>
          <w:rStyle w:val="FootnoteReference"/>
        </w:rPr>
        <w:footnoteRef/>
      </w:r>
      <w:r>
        <w:t xml:space="preserve"> </w:t>
      </w:r>
      <w:r w:rsidRPr="00A43722">
        <w:t xml:space="preserve">  In this context: the probability that an estimate falls within the margin of error of the true mean</w:t>
      </w:r>
      <w:r>
        <w:t>.</w:t>
      </w:r>
    </w:p>
  </w:footnote>
  <w:footnote w:id="11">
    <w:p w:rsidR="00F34CFF" w:rsidRDefault="00F34CFF" w:rsidP="00B22CB4">
      <w:pPr>
        <w:pStyle w:val="FootnoteText"/>
      </w:pPr>
      <w:r>
        <w:rPr>
          <w:rStyle w:val="FootnoteReference"/>
        </w:rPr>
        <w:footnoteRef/>
      </w:r>
      <w:r>
        <w:t xml:space="preserve"> </w:t>
      </w:r>
      <w:proofErr w:type="gramStart"/>
      <w:r>
        <w:t xml:space="preserve">Defined as </w:t>
      </w:r>
      <w:r w:rsidRPr="007422A0">
        <w:t>95% confidence level and 4% acceptable margin of error</w:t>
      </w:r>
      <w:r>
        <w:t xml:space="preserve"> for the overall average cost</w:t>
      </w:r>
      <w:r w:rsidRPr="007422A0">
        <w:t>.</w:t>
      </w:r>
      <w:proofErr w:type="gramEnd"/>
      <w:r w:rsidRPr="007422A0">
        <w:t xml:space="preserve"> The 95% confidence level and 4% margin of error parameters </w:t>
      </w:r>
      <w:r>
        <w:t xml:space="preserve">were </w:t>
      </w:r>
      <w:r w:rsidRPr="007422A0">
        <w:t>informed by considering participation levels in historic publications</w:t>
      </w:r>
      <w:r>
        <w:t xml:space="preserve"> that were considered acceptable for publication.</w:t>
      </w:r>
    </w:p>
  </w:footnote>
  <w:footnote w:id="12">
    <w:p w:rsidR="00F34CFF" w:rsidRDefault="00F34CFF">
      <w:pPr>
        <w:pStyle w:val="FootnoteText"/>
      </w:pPr>
      <w:r>
        <w:rPr>
          <w:rStyle w:val="FootnoteReference"/>
        </w:rPr>
        <w:footnoteRef/>
      </w:r>
      <w:r>
        <w:t xml:space="preserve"> </w:t>
      </w:r>
      <w:proofErr w:type="spellStart"/>
      <w:r>
        <w:t>DoHA</w:t>
      </w:r>
      <w:proofErr w:type="spellEnd"/>
      <w:r>
        <w:t>, Hospital Reference Manual for Round 11 (2006-07)</w:t>
      </w:r>
    </w:p>
  </w:footnote>
  <w:footnote w:id="13">
    <w:p w:rsidR="00F34CFF" w:rsidRDefault="00F34CFF">
      <w:pPr>
        <w:pStyle w:val="FootnoteText"/>
      </w:pPr>
      <w:r>
        <w:rPr>
          <w:rStyle w:val="FootnoteReference"/>
        </w:rPr>
        <w:footnoteRef/>
      </w:r>
      <w:r>
        <w:t xml:space="preserve"> AIHW National Health Data Dictionary, 15</w:t>
      </w:r>
      <w:r w:rsidRPr="00093A10">
        <w:rPr>
          <w:vertAlign w:val="superscript"/>
        </w:rPr>
        <w:t>th</w:t>
      </w:r>
      <w:r>
        <w:t xml:space="preserve"> edition</w:t>
      </w:r>
    </w:p>
  </w:footnote>
  <w:footnote w:id="14">
    <w:p w:rsidR="00F34CFF" w:rsidRDefault="00F34CFF">
      <w:pPr>
        <w:pStyle w:val="FootnoteText"/>
      </w:pPr>
      <w:r w:rsidRPr="00093A10">
        <w:rPr>
          <w:rStyle w:val="FootnoteReference"/>
        </w:rPr>
        <w:footnoteRef/>
      </w:r>
      <w:r w:rsidRPr="00093A10">
        <w:t xml:space="preserve"> </w:t>
      </w:r>
      <w:r>
        <w:t>Advice from IHPA</w:t>
      </w:r>
    </w:p>
  </w:footnote>
  <w:footnote w:id="15">
    <w:p w:rsidR="00F34CFF" w:rsidRDefault="00F34CFF">
      <w:pPr>
        <w:pStyle w:val="FootnoteText"/>
      </w:pPr>
      <w:r>
        <w:rPr>
          <w:rStyle w:val="FootnoteReference"/>
        </w:rPr>
        <w:footnoteRef/>
      </w:r>
      <w:r>
        <w:t xml:space="preserve"> Department of Health and Ageing, NHCDC Cost Report Round 13 (2008-2009), November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8F0566" w:rsidRDefault="00F34CFF" w:rsidP="008F0566">
    <w:pPr>
      <w:pStyle w:val="Header"/>
    </w:pPr>
    <w:r>
      <w:rPr>
        <w:noProof/>
        <w:snapToGrid/>
        <w:lang w:eastAsia="en-AU"/>
      </w:rPr>
      <w:pict>
        <v:group id="EvenGrid" o:spid="_x0000_s2098" alt="Description: Grid" style="position:absolute;margin-left:0;margin-top:0;width:544.3pt;height:841.9pt;z-index:252109824;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">
          <v:group id="Group 51" o:spid="_x0000_s2099"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type id="_x0000_t32" coordsize="21600,21600" o:spt="32" o:oned="t" path="m,l21600,21600e" filled="f">
              <v:path arrowok="t" fillok="f" o:connecttype="none"/>
              <o:lock v:ext="edit" shapetype="t"/>
            </v:shapetype>
            <v:shape id="AutoShape 52" o:spid="_x0000_s2100" type="#_x0000_t32" style="position:absolute;left:1021;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pacQAAADbAAAADwAAAGRycy9kb3ducmV2LnhtbESPQWvCQBSE74L/YXmCF6kbhYaSupG2&#10;WvBkNW3vj+xLNjT7NmTXmP77rlDwOMzMN8xmO9pWDNT7xrGC1TIBQVw63XCt4Ovz/eEJhA/IGlvH&#10;pOCXPGzz6WSDmXZXPtNQhFpECPsMFZgQukxKXxqy6JeuI45e5XqLIcq+lrrHa4TbVq6TJJUWG44L&#10;Bjt6M1T+FBer4DRYcwrf+8v6eHhdJLT7SItqUGo+G1+eQQQawz383z5oBekj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s2lpxAAAANsAAAAPAAAAAAAAAAAA&#10;AAAAAKECAABkcnMvZG93bnJldi54bWxQSwUGAAAAAAQABAD5AAAAkgMAAAAA&#10;" strokecolor="#002060"/>
            <v:shape id="AutoShape 53" o:spid="_x0000_s2101" type="#_x0000_t32" style="position:absolute;left:1862;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j+xsQAAADbAAAADwAAAGRycy9kb3ducmV2LnhtbESPQWvCQBSE7wX/w/IEb3UTD6FEVxFR&#10;kHppU0W9PbLPJJh9G3a3Gvvru4WCx2FmvmFmi9604kbON5YVpOMEBHFpdcOVgv3X5vUNhA/IGlvL&#10;pOBBHhbzwcsMc23v/Em3IlQiQtjnqKAOocul9GVNBv3YdsTRu1hnMETpKqkd3iPctHKSJJk02HBc&#10;qLGjVU3ltfg2Cnb0vk8fR7s+n9qf4uOy2uDBpUqNhv1yCiJQH57h//ZWK8gy+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P7GxAAAANsAAAAPAAAAAAAAAAAA&#10;AAAAAKECAABkcnMvZG93bnJldi54bWxQSwUGAAAAAAQABAD5AAAAkgMAAAAA&#10;" strokecolor="#00b0f0"/>
            <v:shape id="AutoShape 54" o:spid="_x0000_s2102" type="#_x0000_t32" style="position:absolute;left:2703;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bXcUAAADbAAAADwAAAGRycy9kb3ducmV2LnhtbESPT2sCMRTE7wW/Q3hCbzW7PdiyGhcR&#10;hdJe6lZRb4/N2z+4eVmSVNd++kYo9DjMzG+YeT6YTlzI+daygnSSgCAurW65VrD72jy9gvABWWNn&#10;mRTcyEO+GD3MMdP2ylu6FKEWEcI+QwVNCH0mpS8bMugntieOXmWdwRClq6V2eI1w08nnJJlKgy3H&#10;hQZ7WjVUnotvo+CD3nfp7WDXp2P3U3xWqw3uXarU43hYzkAEGsJ/+K/9phVMX+D+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RbXcUAAADbAAAADwAAAAAAAAAA&#10;AAAAAAChAgAAZHJzL2Rvd25yZXYueG1sUEsFBgAAAAAEAAQA+QAAAJMDAAAAAA==&#10;" strokecolor="#00b0f0"/>
            <v:shape id="AutoShape 55" o:spid="_x0000_s2103" type="#_x0000_t32" style="position:absolute;left:3544;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G98AAAADbAAAADwAAAGRycy9kb3ducmV2LnhtbERPy4rCMBTdC/MP4Q7MRjTVRZFqFGec&#10;AVc+qu4vzbUpNjelibXz92YhuDyc92LV21p01PrKsYLJOAFBXDhdcangfPobzUD4gKyxdkwK/snD&#10;avkxWGCm3YOP1OWhFDGEfYYKTAhNJqUvDFn0Y9cQR+7qWoshwraUusVHDLe1nCZJKi1WHBsMNvRj&#10;qLjld6vg0FlzCJff+3S3/R4mtNmn+bVT6uuzX89BBOrDW/xyb7WCNI6NX+I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yxvfAAAAA2wAAAA8AAAAAAAAAAAAAAAAA&#10;oQIAAGRycy9kb3ducmV2LnhtbFBLBQYAAAAABAAEAPkAAACOAwAAAAA=&#10;" strokecolor="#002060"/>
            <v:shape id="AutoShape 56" o:spid="_x0000_s2104" type="#_x0000_t32" style="position:absolute;left:4385;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qtMUAAADbAAAADwAAAGRycy9kb3ducmV2LnhtbESPT2sCMRTE7wW/Q3hCbzW7PUi7GhcR&#10;hdJe6lZRb4/N2z+4eVmSVNd++kYo9DjMzG+YeT6YTlzI+daygnSSgCAurW65VrD72jy9gPABWWNn&#10;mRTcyEO+GD3MMdP2ylu6FKEWEcI+QwVNCH0mpS8bMugntieOXmWdwRClq6V2eI1w08nnJJlKgy3H&#10;hQZ7WjVUnotvo+CD3nfp7WDXp2P3U3xWqw3uXarU43hYzkAEGsJ/+K/9phVMX+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dqtMUAAADbAAAADwAAAAAAAAAA&#10;AAAAAAChAgAAZHJzL2Rvd25yZXYueG1sUEsFBgAAAAAEAAQA+QAAAJMDAAAAAA==&#10;" strokecolor="#00b0f0"/>
            <v:shape id="AutoShape 57" o:spid="_x0000_s2105" type="#_x0000_t32" style="position:absolute;left:5226;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9MEAAADbAAAADwAAAGRycy9kb3ducmV2LnhtbERPz2vCMBS+D/wfwhO8zbQedFSjiCiI&#10;u2ydot4ezbMtNi8liVr965fDYMeP7/ds0ZlG3Mn52rKCdJiAIC6srrlUsP/ZvH+A8AFZY2OZFDzJ&#10;w2Lee5thpu2Dv+meh1LEEPYZKqhCaDMpfVGRQT+0LXHkLtYZDBG6UmqHjxhuGjlKkrE0WHNsqLCl&#10;VUXFNb8ZBZ+026fPo12fT80r/7qsNnhwqVKDfrecggjUhX/xn3urFUzi+v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FX0wQAAANsAAAAPAAAAAAAAAAAAAAAA&#10;AKECAABkcnMvZG93bnJldi54bWxQSwUGAAAAAAQABAD5AAAAjwMAAAAA&#10;" strokecolor="#00b0f0"/>
            <v:shape id="AutoShape 58" o:spid="_x0000_s2106" type="#_x0000_t32" style="position:absolute;left:6067;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H5t8MAAADbAAAADwAAAGRycy9kb3ducmV2LnhtbESPT4vCMBTE78J+h/CEvYimetClmhb3&#10;H3ha3ar3R/Nsis1LaWLtfvvNwoLHYWZ+w2zywTaip87XjhXMZwkI4tLpmisFp+Pn9AWED8gaG8ek&#10;4Ic85NnTaIOpdnf+pr4IlYgQ9ikqMCG0qZS+NGTRz1xLHL2L6yyGKLtK6g7vEW4buUiSpbRYc1ww&#10;2NKbofJa3KyCQ2/NIZw/bouv3eskoff9srj0Sj2Ph+0aRKAhPML/7Z1WsJrD35f4A2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R+bfDAAAA2wAAAA8AAAAAAAAAAAAA&#10;AAAAoQIAAGRycy9kb3ducmV2LnhtbFBLBQYAAAAABAAEAPkAAACRAwAAAAA=&#10;" strokecolor="#002060"/>
            <v:shape id="AutoShape 59" o:spid="_x0000_s2107" type="#_x0000_t32" style="position:absolute;left:6908;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puGMQAAADbAAAADwAAAGRycy9kb3ducmV2LnhtbESPQWvCQBSE74L/YXmCN93Eg0rqKkUU&#10;il5sqtjeHtlnEsy+Dbtbjf313YLQ4zAz3zCLVWcacSPna8sK0nECgriwuuZSwfFjO5qD8AFZY2OZ&#10;FDzIw2rZ7y0w0/bO73TLQykihH2GCqoQ2kxKX1Rk0I9tSxy9i3UGQ5SulNrhPcJNIydJMpUGa44L&#10;Fba0rqi45t9GwZ52x/Rxtpuvz+YnP1zWWzy5VKnhoHt9ARGoC//hZ/tNK5hN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m4YxAAAANsAAAAPAAAAAAAAAAAA&#10;AAAAAKECAABkcnMvZG93bnJldi54bWxQSwUGAAAAAAQABAD5AAAAkgMAAAAA&#10;" strokecolor="#00b0f0"/>
            <v:shape id="AutoShape 60" o:spid="_x0000_s2108" type="#_x0000_t32" style="position:absolute;left:7749;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Lg8UAAADbAAAADwAAAGRycy9kb3ducmV2LnhtbESPQWvCQBSE74L/YXlCb3UTC6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bLg8UAAADbAAAADwAAAAAAAAAA&#10;AAAAAAChAgAAZHJzL2Rvd25yZXYueG1sUEsFBgAAAAAEAAQA+QAAAJMDAAAAAA==&#10;" strokecolor="#00b0f0"/>
            <v:shape id="AutoShape 61" o:spid="_x0000_s2109" type="#_x0000_t32" style="position:absolute;left:8590;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ZaL8MAAADbAAAADwAAAGRycy9kb3ducmV2LnhtbESPT2vCQBTE74LfYXkFL1I3imhJXcW/&#10;4Klq2t4f2Wc2NPs2ZNeYfvtuQfA4zMxvmMWqs5VoqfGlYwXjUQKCOHe65ELB1+fh9Q2ED8gaK8ek&#10;4Jc8rJb93gJT7e58oTYLhYgQ9ikqMCHUqZQ+N2TRj1xNHL2rayyGKJtC6gbvEW4rOUmSmbRYclww&#10;WNPWUP6T3ayCc2vNOXzvb5OP42aY0O40y66tUoOXbv0OIlAXnuFH+6gVzK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mWi/DAAAA2wAAAA8AAAAAAAAAAAAA&#10;AAAAoQIAAGRycy9kb3ducmV2LnhtbFBLBQYAAAAABAAEAPkAAACRAwAAAAA=&#10;" strokecolor="#002060"/>
            <v:shape id="AutoShape 62" o:spid="_x0000_s2110" type="#_x0000_t32" style="position:absolute;left:9431;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P2bMUAAADbAAAADwAAAGRycy9kb3ducmV2LnhtbESPQWvCQBSE74L/YXlCb3UTo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P2bMUAAADbAAAADwAAAAAAAAAA&#10;AAAAAAChAgAAZHJzL2Rvd25yZXYueG1sUEsFBgAAAAAEAAQA+QAAAJMDAAAAAA==&#10;" strokecolor="#00b0f0"/>
            <v:shape id="AutoShape 63" o:spid="_x0000_s2111" type="#_x0000_t32" style="position:absolute;left:10272;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oG8UAAADbAAAADwAAAGRycy9kb3ducmV2LnhtbESPT2sCMRTE7wW/Q3hCbzW7PdiyGhcR&#10;hdJe6lZRb4/N2z+4eVmSVNd++kYo9DjMzG+YeT6YTlzI+daygnSSgCAurW65VrD72jy9gvABWWNn&#10;mRTcyEO+GD3MMdP2ylu6FKEWEcI+QwVNCH0mpS8bMugntieOXmWdwRClq6V2eI1w08nnJJlKgy3H&#10;hQZ7WjVUnotvo+CD3nfp7WDXp2P3U3xWqw3uXarU43hYzkAEGsJ/+K/9phW8TO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FoG8UAAADbAAAADwAAAAAAAAAA&#10;AAAAAAChAgAAZHJzL2Rvd25yZXYueG1sUEsFBgAAAAAEAAQA+QAAAJMDAAAAAA==&#10;" strokecolor="#00b0f0"/>
          </v:group>
          <v:shape id="AutoShape 64" o:spid="_x0000_s2112" type="#_x0000_t32" style="position:absolute;width:0;height:168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gcYAAADbAAAADwAAAGRycy9kb3ducmV2LnhtbESPS2vDMBCE74X8B7GF3mq5gebhRDZJ&#10;S0kvDeQBIbfF2tqm1spYqu3010eBQo7DzHzDLLPB1KKj1lWWFbxEMQji3OqKCwXHw8fzDITzyBpr&#10;y6TgQg6ydPSwxETbnnfU7X0hAoRdggpK75tESpeXZNBFtiEO3rdtDfog20LqFvsAN7Ucx/FEGqw4&#10;LJTY0FtJ+c/+1yh4nX0N/eHvfV6f1t1865uNPm9YqafHYbUA4Wnw9/B/+1MrmE7h9iX8AJl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z/oHGAAAA2wAAAA8AAAAAAAAA&#10;AAAAAAAAoQIAAGRycy9kb3ducmV2LnhtbFBLBQYAAAAABAAEAPkAAACUAwAAAAA=&#10;" strokecolor="#f6f"/>
          <v:shape id="AutoShape 65" o:spid="_x0000_s2113" type="#_x0000_t32" style="position:absolute;left:794;width:0;height:168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xq88MAAADbAAAADwAAAGRycy9kb3ducmV2LnhtbERPTWvCQBC9F/wPywi91Y2F2hhdg1Uk&#10;vVhoLBRvQ3aahGZnQ3ZNYn+9eyh4fLzvdTqaRvTUudqygvksAkFcWF1zqeDrdHiKQTiPrLGxTAqu&#10;5CDdTB7WmGg78Cf1uS9FCGGXoILK+zaR0hUVGXQz2xIH7sd2Bn2AXSl1h0MIN418jqKFNFhzaKiw&#10;pV1FxW9+MQpe4uM4nP72y+b7rV9++DbT54yVepyO2xUIT6O/i//d71rBaxgbvoQfID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savPDAAAA2wAAAA8AAAAAAAAAAAAA&#10;AAAAoQIAAGRycy9kb3ducmV2LnhtbFBLBQYAAAAABAAEAPkAAACRAwAAAAA=&#10;" strokecolor="#f6f"/>
          <v:group id="Group 66" o:spid="_x0000_s2114"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AutoShape 67" o:spid="_x0000_s2115" type="#_x0000_t32" style="position:absolute;left:907;top:16273;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sC8EAAADbAAAADwAAAGRycy9kb3ducmV2LnhtbERPz2vCMBS+D/Y/hDfwMtZUD0U6o+im&#10;0NOm1d0fzWtT1ryUJtb635vDYMeP7/dqM9lOjDT41rGCeZKCIK6cbrlRcDkf3pYgfEDW2DkmBXfy&#10;sFk/P60w1+7GJxrL0IgYwj5HBSaEPpfSV4Ys+sT1xJGr3WAxRDg0Ug94i+G2k4s0zaTFlmODwZ4+&#10;DFW/5dUqOI7WHMPP/rr4KnavKX1+Z2U9KjV7mbbvIAJN4V/85y60gmVcH7/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yCwLwQAAANsAAAAPAAAAAAAAAAAAAAAA&#10;AKECAABkcnMvZG93bnJldi54bWxQSwUGAAAAAAQABAD5AAAAjwMAAAAA&#10;" strokecolor="#002060"/>
            <v:shape id="AutoShape 68" o:spid="_x0000_s2116" type="#_x0000_t32" style="position:absolute;left:907;top:1452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ASMQAAADbAAAADwAAAGRycy9kb3ducmV2LnhtbESPQWvCQBSE74L/YXmCN7NJDyLRVYoo&#10;lHqxqaK9PbLPJJh9G3a3Gvvru4WCx2FmvmEWq9604kbON5YVZEkKgri0uuFKweFzO5mB8AFZY2uZ&#10;FDzIw2o5HCww1/bOH3QrQiUihH2OCuoQulxKX9Zk0Ce2I47exTqDIUpXSe3wHuGmlS9pOpUGG44L&#10;NXa0rqm8Ft9GwY7eD9njZDdf5/an2F/WWzy6TKnxqH+dgwjUh2f4v/2mFcwy+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YBIxAAAANsAAAAPAAAAAAAAAAAA&#10;AAAAAKECAABkcnMvZG93bnJldi54bWxQSwUGAAAAAAQABAD5AAAAkgMAAAAA&#10;" strokecolor="#00b0f0"/>
            <v:shape id="AutoShape 69" o:spid="_x0000_s2117" type="#_x0000_t32" style="position:absolute;left:907;top:56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YX58MAAADbAAAADwAAAGRycy9kb3ducmV2LnhtbESPQWvCQBSE7wX/w/IEL6VumoNIdBOq&#10;VfDU2tTeH9lnNjT7NmTXGP99tyB4HGbmG2ZdjLYVA/W+cazgdZ6AIK6cbrhWcPrevyxB+ICssXVM&#10;Cm7kocgnT2vMtLvyFw1lqEWEsM9QgQmhy6T0lSGLfu464uidXW8xRNnXUvd4jXDbyjRJFtJiw3HB&#10;YEdbQ9VvebEKjoM1x/Czu6Qfh81zQu+fi/I8KDWbjm8rEIHG8Ajf2wetYJnC/5f4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WF+fDAAAA2wAAAA8AAAAAAAAAAAAA&#10;AAAAoQIAAGRycy9kb3ducmV2LnhtbFBLBQYAAAAABAAEAPkAAACRAwAAAAA=&#10;" strokecolor="#002060"/>
            <v:shape id="AutoShape 70" o:spid="_x0000_s2118" type="#_x0000_t32" style="position:absolute;left:907;top:1439;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7pMQAAADbAAAADwAAAGRycy9kb3ducmV2LnhtbESPQWvCQBSE70L/w/IK3nQTB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s7ukxAAAANsAAAAPAAAAAAAAAAAA&#10;AAAAAKECAABkcnMvZG93bnJldi54bWxQSwUGAAAAAAQABAD5AAAAkgMAAAAA&#10;" strokecolor="#00b0f0"/>
            <v:shape id="AutoShape 71" o:spid="_x0000_s2119" type="#_x0000_t32" style="position:absolute;left:907;top:231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j0MQAAADbAAAADwAAAGRycy9kb3ducmV2LnhtbESPQWvCQBSE70L/w/IK3nQTE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iPQxAAAANsAAAAPAAAAAAAAAAAA&#10;AAAAAKECAABkcnMvZG93bnJldi54bWxQSwUGAAAAAAQABAD5AAAAkgMAAAAA&#10;" strokecolor="#00b0f0"/>
            <v:shape id="AutoShape 72" o:spid="_x0000_s2120" type="#_x0000_t32" style="position:absolute;left:907;top:3184;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aGS8QAAADbAAAADwAAAGRycy9kb3ducmV2LnhtbESPQWvCQBSE70L/w/IK3nQTQ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oZLxAAAANsAAAAPAAAAAAAAAAAA&#10;AAAAAKECAABkcnMvZG93bnJldi54bWxQSwUGAAAAAAQABAD5AAAAkgMAAAAA&#10;" strokecolor="#00b0f0"/>
            <v:shape id="AutoShape 73" o:spid="_x0000_s2121" type="#_x0000_t32" style="position:absolute;left:907;top:405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YPMQAAADbAAAADwAAAGRycy9kb3ducmV2LnhtbESPQWvCQBSE70L/w/IKvZlNPIikrlKk&#10;QrGXGpXq7ZF9JqHZt2F3q9Ff7wqCx2FmvmGm89604kTON5YVZEkKgri0uuFKwXazHE5A+ICssbVM&#10;Ci7kYT57GUwx1/bMazoVoRIRwj5HBXUIXS6lL2sy6BPbEUfvaJ3BEKWrpHZ4jnDTylGajqXBhuNC&#10;jR0tair/in+j4JtW2+zyaz8P+/Za/BwXS9y5TKm31/7jHUSgPjzDj/aXVjAZw/1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Bg8xAAAANsAAAAPAAAAAAAAAAAA&#10;AAAAAKECAABkcnMvZG93bnJldi54bWxQSwUGAAAAAAQABAD5AAAAkgMAAAAA&#10;" strokecolor="#00b0f0"/>
            <v:shape id="AutoShape 74" o:spid="_x0000_s2122" type="#_x0000_t32" style="position:absolute;left:907;top:4929;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9p8QAAADbAAAADwAAAGRycy9kb3ducmV2LnhtbESPQWvCQBSE70L/w/IK3nQTDyqpqxSp&#10;IHqx0dL29sg+k9Ds27C7avTXdwXB4zAz3zCzRWcacSbna8sK0mECgriwuuZSwWG/GkxB+ICssbFM&#10;Cq7kYTF/6c0w0/bCn3TOQykihH2GCqoQ2kxKX1Rk0A9tSxy9o3UGQ5SulNrhJcJNI0dJMpYGa44L&#10;Fba0rKj4y09GwZY2h/T6bT9+f5pbvjsuV/jlUqX6r937G4hAXXiGH+21VjCdwP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L2nxAAAANsAAAAPAAAAAAAAAAAA&#10;AAAAAKECAABkcnMvZG93bnJldi54bWxQSwUGAAAAAAQABAD5AAAAkgMAAAAA&#10;" strokecolor="#00b0f0"/>
            <v:shape id="AutoShape 75" o:spid="_x0000_s2123" type="#_x0000_t32" style="position:absolute;left:907;top:580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cp1cEAAADbAAAADwAAAGRycy9kb3ducmV2LnhtbERPTYvCMBC9C/sfwix407R7WKQaRURh&#10;cS9uVdTb0IxtsZmUJGrdX28OgsfH+57MOtOIGzlfW1aQDhMQxIXVNZcKdtvVYATCB2SNjWVS8CAP&#10;s+lHb4KZtnf+o1seShFD2GeooAqhzaT0RUUG/dC2xJE7W2cwROhKqR3eY7hp5FeSfEuDNceGClta&#10;VFRc8qtR8EvrXfo42OXp2Pznm/NihXuXKtX/7OZjEIG68Ba/3D9awS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ynVwQAAANsAAAAPAAAAAAAAAAAAAAAA&#10;AKECAABkcnMvZG93bnJldi54bWxQSwUGAAAAAAQABAD5AAAAjwMAAAAA&#10;" strokecolor="#00b0f0"/>
            <v:shape id="AutoShape 76" o:spid="_x0000_s2124" type="#_x0000_t32" style="position:absolute;left:907;top:6674;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MTsUAAADbAAAADwAAAGRycy9kb3ducmV2LnhtbESPT2sCMRTE70K/Q3iF3jS7HopujUuR&#10;CmIv7Wppe3ts3v6hm5clibr66U1B8DjMzG+YRT6YThzJ+daygnSSgCAurW65VrDfrcczED4ga+ws&#10;k4IzeciXD6MFZtqe+JOORahFhLDPUEETQp9J6cuGDPqJ7YmjV1lnMETpaqkdniLcdHKaJM/SYMtx&#10;ocGeVg2Vf8XBKHin7T49f9u335/uUnxUqzV+uVSpp8fh9QVEoCHcw7f2RiuYzeH/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uMTsUAAADbAAAADwAAAAAAAAAA&#10;AAAAAAChAgAAZHJzL2Rvd25yZXYueG1sUEsFBgAAAAAEAAQA+QAAAJMDAAAAAA==&#10;" strokecolor="#00b0f0"/>
            <v:shape id="AutoShape 77" o:spid="_x0000_s2125" type="#_x0000_t32" style="position:absolute;left:907;top:754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zDsEAAADbAAAADwAAAGRycy9kb3ducmV2LnhtbERPz2vCMBS+D/wfwhO8zbQexFWjiCiI&#10;u2ydot4ezbMtNi8liVr965fDYMeP7/ds0ZlG3Mn52rKCdJiAIC6srrlUsP/ZvE9A+ICssbFMCp7k&#10;YTHvvc0w0/bB33TPQyliCPsMFVQhtJmUvqjIoB/aljhyF+sMhghdKbXDRww3jRwlyVgarDk2VNjS&#10;qqLimt+Mgk/a7dPn0a7Pp+aVf11WGzy4VKlBv1tOQQTqwr/4z73VCj7i+v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uLMOwQAAANsAAAAPAAAAAAAAAAAAAAAA&#10;AKECAABkcnMvZG93bnJldi54bWxQSwUGAAAAAAQABAD5AAAAjwMAAAAA&#10;" strokecolor="#00b0f0"/>
            <v:shape id="AutoShape 78" o:spid="_x0000_s2126" type="#_x0000_t32" style="position:absolute;left:907;top:8420;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lcUAAADbAAAADwAAAGRycy9kb3ducmV2LnhtbESPT2sCMRTE70K/Q3gFb5rdHopujYtI&#10;hVIvdmup3h6bt39w87Ikqa799E1B8DjMzG+YRT6YTpzJ+daygnSagCAurW65VrD/3ExmIHxA1thZ&#10;JgVX8pAvH0YLzLS98Aedi1CLCGGfoYImhD6T0pcNGfRT2xNHr7LOYIjS1VI7vES46eRTkjxLgy3H&#10;hQZ7WjdUnoofo2BL7/v0+m1fj4fut9hV6w1+uVSp8eOwegERaAj38K39phXMU/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WlcUAAADbAAAADwAAAAAAAAAA&#10;AAAAAAChAgAAZHJzL2Rvd25yZXYueG1sUEsFBgAAAAAEAAQA+QAAAJMDAAAAAA==&#10;" strokecolor="#00b0f0"/>
            <v:shape id="AutoShape 79" o:spid="_x0000_s2127" type="#_x0000_t32" style="position:absolute;left:907;top:929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I4sQAAADbAAAADwAAAGRycy9kb3ducmV2LnhtbESPQWvCQBSE74L/YXmCN93Eg2jqKkUU&#10;il5sqtjeHtlnEsy+Dbtbjf313YLQ4zAz3zCLVWcacSPna8sK0nECgriwuuZSwfFjO5qB8AFZY2OZ&#10;FDzIw2rZ7y0w0/bO73TLQykihH2GCqoQ2kxKX1Rk0I9tSxy9i3UGQ5SulNrhPcJNIydJMpUGa44L&#10;Fba0rqi45t9GwZ52x/Rxtpuvz+YnP1zWWzy5VKnhoHt9ARGoC//hZ/tNK5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ojixAAAANsAAAAPAAAAAAAAAAAA&#10;AAAAAKECAABkcnMvZG93bnJldi54bWxQSwUGAAAAAAQABAD5AAAAkgMAAAAA&#10;" strokecolor="#00b0f0"/>
            <v:shape id="AutoShape 80" o:spid="_x0000_s2128" type="#_x0000_t32" style="position:absolute;left:907;top:10165;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tecUAAADbAAAADwAAAGRycy9kb3ducmV2LnhtbESPQWvCQBSE74L/YXlCb3UTC6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otecUAAADbAAAADwAAAAAAAAAA&#10;AAAAAAChAgAAZHJzL2Rvd25yZXYueG1sUEsFBgAAAAAEAAQA+QAAAJMDAAAAAA==&#10;" strokecolor="#00b0f0"/>
            <v:shape id="AutoShape 81" o:spid="_x0000_s2129" type="#_x0000_t32" style="position:absolute;left:907;top:1103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1DcUAAADbAAAADwAAAGRycy9kb3ducmV2LnhtbESPQWvCQBSE74L/YXlCb3UTK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O1DcUAAADbAAAADwAAAAAAAAAA&#10;AAAAAAChAgAAZHJzL2Rvd25yZXYueG1sUEsFBgAAAAAEAAQA+QAAAJMDAAAAAA==&#10;" strokecolor="#00b0f0"/>
            <v:shape id="AutoShape 82" o:spid="_x0000_s2130" type="#_x0000_t32" style="position:absolute;left:907;top:11910;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QlsUAAADbAAAADwAAAGRycy9kb3ducmV2LnhtbESPQWvCQBSE74L/YXlCb3UTo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8QlsUAAADbAAAADwAAAAAAAAAA&#10;AAAAAAChAgAAZHJzL2Rvd25yZXYueG1sUEsFBgAAAAAEAAQA+QAAAJMDAAAAAA==&#10;" strokecolor="#00b0f0"/>
            <v:shape id="AutoShape 83" o:spid="_x0000_s2131" type="#_x0000_t32" style="position:absolute;left:907;top:1278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O4cUAAADbAAAADwAAAGRycy9kb3ducmV2LnhtbESPT2sCMRTE7wW/Q3hCbzW7PUi7GhcR&#10;hdJe6lZRb4/N2z+4eVmSVNd++kYo9DjMzG+YeT6YTlzI+daygnSSgCAurW65VrD72jy9gPABWWNn&#10;mRTcyEO+GD3MMdP2ylu6FKEWEcI+QwVNCH0mpS8bMugntieOXmWdwRClq6V2eI1w08nnJJlKgy3H&#10;hQZ7WjVUnotvo+CD3nfp7WDXp2P3U3xWqw3uXarU43hYzkAEGsJ/+K/9phW8Tu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2O4cUAAADbAAAADwAAAAAAAAAA&#10;AAAAAAChAgAAZHJzL2Rvd25yZXYueG1sUEsFBgAAAAAEAAQA+QAAAJMDAAAAAA==&#10;" strokecolor="#00b0f0"/>
            <v:shape id="AutoShape 84" o:spid="_x0000_s2132" type="#_x0000_t32" style="position:absolute;left:907;top:13655;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EresUAAADbAAAADwAAAGRycy9kb3ducmV2LnhtbESPQWvCQBSE74L/YXlCb3UTD21NXUVE&#10;obSXGiNtb4/sMwlm34bdrcb++q4geBxm5htmtuhNK07kfGNZQTpOQBCXVjdcKSh2m8cXED4ga2wt&#10;k4ILeVjMh4MZZtqeeUunPFQiQthnqKAOocuk9GVNBv3YdsTRO1hnMETpKqkdniPctHKSJE/SYMNx&#10;ocaOVjWVx/zXKPig9yK9fNn1z3f7l38eVhvcu1Sph1G/fAURqA/38K39phVMn+H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EresUAAADbAAAADwAAAAAAAAAA&#10;AAAAAAChAgAAZHJzL2Rvd25yZXYueG1sUEsFBgAAAAAEAAQA+QAAAJMDAAAAAA==&#10;" strokecolor="#00b0f0"/>
            <v:shape id="AutoShape 85" o:spid="_x0000_s2133" type="#_x0000_t32" style="position:absolute;left:907;top:15400;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CMEAAADbAAAADwAAAGRycy9kb3ducmV2LnhtbERPz2vCMBS+D/wfwhO8zbQexFWjiCiI&#10;u2ydot4ezbMtNi8liVr965fDYMeP7/ds0ZlG3Mn52rKCdJiAIC6srrlUsP/ZvE9A+ICssbFMCp7k&#10;YTHvvc0w0/bB33TPQyliCPsMFVQhtJmUvqjIoB/aljhyF+sMhghdKbXDRww3jRwlyVgarDk2VNjS&#10;qqLimt+Mgk/a7dPn0a7Pp+aVf11WGzy4VKlBv1tOQQTqwr/4z73VCj7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r8IwQAAANsAAAAPAAAAAAAAAAAAAAAA&#10;AKECAABkcnMvZG93bnJldi54bWxQSwUGAAAAAAQABAD5AAAAjwMAAAAA&#10;" strokecolor="#00b0f0"/>
          </v:group>
          <v:group id="Group 86" o:spid="_x0000_s2134"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AutoShape 87" o:spid="_x0000_s2135" type="#_x0000_t32" style="position:absolute;left:1635;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ycYAAADcAAAADwAAAGRycy9kb3ducmV2LnhtbESPQWvCQBCF7wX/wzJCb3WTHkpJXUVE&#10;QerFpkrb25Adk2B2NuyuGv31nUOhtxnem/e+mc4H16kLhdh6NpBPMlDElbct1wb2n+unV1AxIVvs&#10;PJOBG0WYz0YPUyysv/IHXcpUKwnhWKCBJqW+0DpWDTmME98Ti3b0wWGSNdTaBrxKuOv0c5a9aIct&#10;S0ODPS0bqk7l2RnY0vs+v3351c93dy93x+UaDyE35nE8LN5AJRrSv/nvemMFPxN8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8nGAAAA3AAAAA8AAAAAAAAA&#10;AAAAAAAAoQIAAGRycy9kb3ducmV2LnhtbFBLBQYAAAAABAAEAPkAAACUAwAAAAA=&#10;" strokecolor="#00b0f0"/>
            <v:shape id="AutoShape 88" o:spid="_x0000_s2136" type="#_x0000_t32" style="position:absolute;left:2476;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OUsMAAADcAAAADwAAAGRycy9kb3ducmV2LnhtbERPS2sCMRC+F/wPYQreanZ7kLIaF5EK&#10;0l7s1qLehs3sAzeTJUl19dcbodDbfHzPmeeD6cSZnG8tK0gnCQji0uqWawW77/XLGwgfkDV2lknB&#10;lTzki9HTHDNtL/xF5yLUIoawz1BBE0KfSenLhgz6ie2JI1dZZzBE6GqpHV5iuOnka5JMpcGWY0OD&#10;Pa0aKk/Fr1HwSR+79Lq378dDdyu21WqNPy5Vavw8LGcgAg3hX/zn3ug4P0nh8U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zlLDAAAA3AAAAA8AAAAAAAAAAAAA&#10;AAAAoQIAAGRycy9kb3ducmV2LnhtbFBLBQYAAAAABAAEAPkAAACRAwAAAAA=&#10;" strokecolor="#00b0f0"/>
            <v:shape id="AutoShape 89" o:spid="_x0000_s2137" type="#_x0000_t32" style="position:absolute;left:3317;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yIIMIAAADcAAAADwAAAGRycy9kb3ducmV2LnhtbERPTWsCMRC9C/6HMEIvUhP3ILI1SqsW&#10;PFXdtvdhM26WbibLJq7bf98UBG/zeJ+z2gyuET11ofasYT5TIIhLb2quNHx9vj8vQYSIbLDxTBp+&#10;KcBmPR6tMDf+xmfqi1iJFMIhRw02xjaXMpSWHIaZb4kTd/Gdw5hgV0nT4S2Fu0ZmSi2kw5pTg8WW&#10;tpbKn+LqNJx6Z0/xe3/NPg5vU0W746K49Fo/TYbXFxCRhvgQ390Hk+arDP6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yIIMIAAADcAAAADwAAAAAAAAAAAAAA&#10;AAChAgAAZHJzL2Rvd25yZXYueG1sUEsFBgAAAAAEAAQA+QAAAJADAAAAAA==&#10;" strokecolor="#002060"/>
            <v:shape id="AutoShape 90" o:spid="_x0000_s2138" type="#_x0000_t32" style="position:absolute;left:4158;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71vsMAAADcAAAADwAAAGRycy9kb3ducmV2LnhtbERPS2sCMRC+C/0PYQreNLst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u9b7DAAAA3AAAAA8AAAAAAAAAAAAA&#10;AAAAoQIAAGRycy9kb3ducmV2LnhtbFBLBQYAAAAABAAEAPkAAACRAwAAAAA=&#10;" strokecolor="#00b0f0"/>
            <v:shape id="AutoShape 91" o:spid="_x0000_s2139" type="#_x0000_t32" style="position:absolute;left:4999;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tysMAAADcAAAADwAAAGRycy9kb3ducmV2LnhtbERPS2sCMRC+C/0PYQreNLul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bcrDAAAA3AAAAA8AAAAAAAAAAAAA&#10;AAAAoQIAAGRycy9kb3ducmV2LnhtbFBLBQYAAAAABAAEAPkAAACRAwAAAAA=&#10;" strokecolor="#00b0f0"/>
            <v:shape id="AutoShape 92" o:spid="_x0000_s2140" type="#_x0000_t32" style="position:absolute;left:5840;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QVMIAAADcAAAADwAAAGRycy9kb3ducmV2LnhtbERPTWsCMRC9F/ofwhR6KZooVGQ1iq0V&#10;PLW66n3YjJvFzWTZxHX9902h4G0e73Pmy97VoqM2VJ41jIYKBHHhTcWlhuNhM5iCCBHZYO2ZNNwp&#10;wHLx/DTHzPgb76nLYylSCIcMNdgYm0zKUFhyGIa+IU7c2bcOY4JtKU2LtxTuajlWaiIdVpwaLDb0&#10;aam45FenYdc5u4unr+v4e/vxpmj9M8nPndavL/1qBiJSHx/if/fWpPnqHf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UQVMIAAADcAAAADwAAAAAAAAAAAAAA&#10;AAChAgAAZHJzL2Rvd25yZXYueG1sUEsFBgAAAAAEAAQA+QAAAJADAAAAAA==&#10;" strokecolor="#002060"/>
            <v:shape id="AutoShape 93" o:spid="_x0000_s2141" type="#_x0000_t32" style="position:absolute;left:6681;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lWJsIAAADcAAAADwAAAGRycy9kb3ducmV2LnhtbERPTYvCMBC9C/6HMII3TetBlmqURRRk&#10;vbhV2d3b0IxtsZmUJKvVX79ZELzN433OfNmZRlzJ+dqygnScgCAurK65VHA8bEZvIHxA1thYJgV3&#10;8rBc9HtzzLS98Sdd81CKGMI+QwVVCG0mpS8qMujHtiWO3Nk6gyFCV0rt8BbDTSMnSTKVBmuODRW2&#10;tKqouOS/RsGOPo7p/cuuf76bR74/rzZ4cqlSw0H3PgMRqAsv8dO91XF+MoX/Z+IF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1lWJsIAAADcAAAADwAAAAAAAAAAAAAA&#10;AAChAgAAZHJzL2Rvd25yZXYueG1sUEsFBgAAAAAEAAQA+QAAAJADAAAAAA==&#10;" strokecolor="#00b0f0"/>
            <v:shape id="AutoShape 94" o:spid="_x0000_s2142" type="#_x0000_t32" style="position:absolute;left:7522;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XzvcMAAADcAAAADwAAAGRycy9kb3ducmV2LnhtbERPS2sCMRC+C/0PYQreNLs9VNkaF5EK&#10;pV7s1lK9DZvZB24mS5Lq2l/fFARv8/E9Z5EPphNncr61rCCdJiCIS6tbrhXsPzeTOQgfkDV2lknB&#10;lTzky4fRAjNtL/xB5yLUIoawz1BBE0KfSenLhgz6qe2JI1dZZzBE6GqpHV5iuOnkU5I8S4Mtx4YG&#10;e1o3VJ6KH6NgS+/79PptX4+H7rfYVesNfrlUqfHjsHoBEWgId/HN/abj/GQG/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V873DAAAA3AAAAA8AAAAAAAAAAAAA&#10;AAAAoQIAAGRycy9kb3ducmV2LnhtbFBLBQYAAAAABAAEAPkAAACRAwAAAAA=&#10;" strokecolor="#00b0f0"/>
            <v:shape id="AutoShape 95" o:spid="_x0000_s2143" type="#_x0000_t32" style="position:absolute;left:8363;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S/ysQAAADcAAAADwAAAGRycy9kb3ducmV2LnhtbESPQW/CMAyF75P2HyJP2mWCBA5o6giI&#10;jU3ixFg37lZjmorGqZpQun+PD5N2s/We3/u8XI+hVQP1qYlsYTY1oIir6BquLfx8f0yeQaWM7LCN&#10;TBZ+KcF6dX+3xMLFK3/RUOZaSQinAi34nLtC61R5CpimsSMW7RT7gFnWvtaux6uEh1bPjVnogA1L&#10;g8eO3jxV5/ISLByG4A/5+H6Z73evT4a2n4vyNFj7+DBuXkBlGvO/+e965wTfCK08IxPo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1L/KxAAAANwAAAAPAAAAAAAAAAAA&#10;AAAAAKECAABkcnMvZG93bnJldi54bWxQSwUGAAAAAAQABAD5AAAAkgMAAAAA&#10;" strokecolor="#002060"/>
            <v:shape id="AutoShape 96" o:spid="_x0000_s2144" type="#_x0000_t32" style="position:absolute;left:9204;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bCVMMAAADcAAAADwAAAGRycy9kb3ducmV2LnhtbERPS2sCMRC+C/0PYQreNLs9FN0aF5EK&#10;pV7s1lK9DZvZB24mS5Lq2l/fFARv8/E9Z5EPphNncr61rCCdJiCIS6tbrhXsPzeTGQgfkDV2lknB&#10;lTzky4fRAjNtL/xB5yLUIoawz1BBE0KfSenLhgz6qe2JI1dZZzBE6GqpHV5iuOnkU5I8S4Mtx4YG&#10;e1o3VJ6KH6NgS+/79PptX4+H7rfYVesNfrlUqfHjsHoBEWgId/HN/abj/GQO/8/E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GwlTDAAAA3AAAAA8AAAAAAAAAAAAA&#10;AAAAoQIAAGRycy9kb3ducmV2LnhtbFBLBQYAAAAABAAEAPkAAACRAwAAAAA=&#10;" strokecolor="#00b0f0"/>
            <v:shape id="AutoShape 97" o:spid="_x0000_s2145" type="#_x0000_t32" style="position:absolute;left:10045;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9FMYAAADcAAAADwAAAGRycy9kb3ducmV2LnhtbESPQWvCQBCF7wX/wzJCb3WTHkpJXUVE&#10;QerFpkrb25Adk2B2NuyuGv31nUOhtxnem/e+mc4H16kLhdh6NpBPMlDElbct1wb2n+unV1AxIVvs&#10;PJOBG0WYz0YPUyysv/IHXcpUKwnhWKCBJqW+0DpWDTmME98Ti3b0wWGSNdTaBrxKuOv0c5a9aIct&#10;S0ODPS0bqk7l2RnY0vs+v3351c93dy93x+UaDyE35nE8LN5AJRrSv/nvemMFPxd8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l/RTGAAAA3AAAAA8AAAAAAAAA&#10;AAAAAAAAoQIAAGRycy9kb3ducmV2LnhtbFBLBQYAAAAABAAEAPkAAACUAwAAAAA=&#10;" strokecolor="#00b0f0"/>
            <v:shape id="AutoShape 98" o:spid="_x0000_s2146" type="#_x0000_t32" style="position:absolute;left:10886;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eAisEAAADcAAAADwAAAGRycy9kb3ducmV2LnhtbERPS4vCMBC+L+x/CLPgZdG0HmTpNor7&#10;EDz5qOt9aMam2ExKE2v990YQ9jYf33PyxWAb0VPna8cK0kkCgrh0uuZKwd9hNf4A4QOyxsYxKbiR&#10;h8X89SXHTLsr76kvQiViCPsMFZgQ2kxKXxqy6CeuJY7cyXUWQ4RdJXWH1xhuGzlNkpm0WHNsMNjS&#10;t6HyXFysgl1vzS4cfy/TzfrrPaGf7aw49UqN3oblJ4hAQ/gX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N4CKwQAAANwAAAAPAAAAAAAAAAAAAAAA&#10;AKECAABkcnMvZG93bnJldi54bWxQSwUGAAAAAAQABAD5AAAAjwMAAAAA&#10;" strokecolor="#002060"/>
          </v:group>
          <w10:wrap anchorx="page" anchory="pag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4B5B52">
    <w:pPr>
      <w:pStyle w:val="Header-Even"/>
    </w:pPr>
    <w:r>
      <w:fldChar w:fldCharType="begin"/>
    </w:r>
    <w:r>
      <w:instrText xml:space="preserve"> STYLEREF "Heading 1 - Accessibility" </w:instrText>
    </w:r>
    <w:r>
      <w:fldChar w:fldCharType="separate"/>
    </w:r>
    <w:r w:rsidR="003F3720">
      <w:t>Summary of results</w:t>
    </w:r>
    <w:r>
      <w:fldChar w:fldCharType="end"/>
    </w:r>
  </w:p>
  <w:p w:rsidR="00F34CFF" w:rsidRPr="004B5B52" w:rsidRDefault="00F34CFF" w:rsidP="004B5B5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4B5B52">
    <w:pPr>
      <w:pStyle w:val="Header-Even"/>
    </w:pPr>
    <w:r>
      <w:fldChar w:fldCharType="begin"/>
    </w:r>
    <w:r>
      <w:instrText xml:space="preserve"> STYLEREF "Heading 1 - Accessibility" </w:instrText>
    </w:r>
    <w:r>
      <w:fldChar w:fldCharType="separate"/>
    </w:r>
    <w:r w:rsidR="003F3720">
      <w:t>Summary of results</w:t>
    </w:r>
    <w:r>
      <w:fldChar w:fldCharType="end"/>
    </w:r>
  </w:p>
  <w:p w:rsidR="00F34CFF" w:rsidRPr="004B5B52" w:rsidRDefault="00F34CFF" w:rsidP="004B5B5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2E62E4">
    <w:pPr>
      <w:pStyle w:val="Header-FirstPag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6603C1">
    <w:pPr>
      <w:pStyle w:val="Header-Even"/>
    </w:pPr>
    <w:r>
      <w:fldChar w:fldCharType="begin"/>
    </w:r>
    <w:r>
      <w:instrText xml:space="preserve"> STYLEREF "Heading 1 - Accessibility" </w:instrText>
    </w:r>
    <w:r>
      <w:fldChar w:fldCharType="separate"/>
    </w:r>
    <w:r>
      <w:t>Summary of results</w:t>
    </w:r>
    <w:r>
      <w:fldChar w:fldCharType="end"/>
    </w:r>
  </w:p>
  <w:p w:rsidR="00F34CFF" w:rsidRPr="006603C1" w:rsidRDefault="00F34CFF" w:rsidP="006603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pPr>
      <w:pStyle w:val="Header-Landscape"/>
    </w:pPr>
    <w:r>
      <w:rPr>
        <w:noProof/>
        <w:snapToGrid/>
        <w:lang w:eastAsia="en-AU"/>
      </w:rPr>
      <w:fldChar w:fldCharType="begin"/>
    </w:r>
    <w:r>
      <w:rPr>
        <w:noProof/>
        <w:snapToGrid/>
        <w:lang w:eastAsia="en-AU"/>
      </w:rPr>
      <w:instrText xml:space="preserve"> STYLEREF "Heading 2" </w:instrText>
    </w:r>
    <w:r>
      <w:rPr>
        <w:noProof/>
        <w:snapToGrid/>
        <w:lang w:eastAsia="en-AU"/>
      </w:rPr>
      <w:fldChar w:fldCharType="separate"/>
    </w:r>
    <w:r>
      <w:rPr>
        <w:noProof/>
        <w:snapToGrid/>
        <w:lang w:eastAsia="en-AU"/>
      </w:rPr>
      <w:t>DRG Analysis – all cost buckets</w:t>
    </w:r>
    <w:r>
      <w:rPr>
        <w:noProof/>
        <w:snapToGrid/>
        <w:lang w:eastAsia="en-AU"/>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pPr>
      <w:pStyle w:val="Header-Landscape"/>
    </w:pPr>
  </w:p>
  <w:p w:rsidR="00F34CFF" w:rsidRDefault="00F34CFF">
    <w:pPr>
      <w:pStyle w:val="Header-Landscap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9B05E3" w:rsidRDefault="00F34CFF" w:rsidP="006C27B5">
    <w:pPr>
      <w:pStyle w:val="Header-Even"/>
    </w:pPr>
    <w:r>
      <w:fldChar w:fldCharType="begin"/>
    </w:r>
    <w:r>
      <w:instrText xml:space="preserve"> STYLEREF "Heading 4" </w:instrText>
    </w:r>
    <w:r>
      <w:fldChar w:fldCharType="separate"/>
    </w:r>
    <w:r w:rsidR="003F3720">
      <w:t>Costing assumptions and process</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9B05E3" w:rsidRDefault="00F34CFF" w:rsidP="009B05E3">
    <w:pPr>
      <w:pStyle w:val="Header"/>
    </w:pPr>
    <w:fldSimple w:instr=" STYLEREF &quot;Heading 4&quot; ">
      <w:r>
        <w:rPr>
          <w:noProof/>
        </w:rPr>
        <w:t>Costing assumptions and process</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91050E">
    <w:pPr>
      <w:pStyle w:val="Header-FirstPage"/>
    </w:pPr>
  </w:p>
  <w:p w:rsidR="00F34CFF" w:rsidRPr="007E5215" w:rsidRDefault="00F34CFF" w:rsidP="007E5215">
    <w:pPr>
      <w:pStyle w:val="FirstPagePanelFrame-Contents"/>
      <w:framePr w:wrap="notBesid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6C27B5">
    <w:pPr>
      <w:pStyle w:val="Header-Even"/>
    </w:pPr>
    <w:r>
      <w:fldChar w:fldCharType="begin"/>
    </w:r>
    <w:r>
      <w:instrText xml:space="preserve"> STYLEREF "Heading 4" </w:instrText>
    </w:r>
    <w:r>
      <w:fldChar w:fldCharType="separate"/>
    </w:r>
    <w:r>
      <w:t>Costing assumptions and process</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8F0566" w:rsidRDefault="00F34CFF" w:rsidP="008F0566">
    <w:pPr>
      <w:pStyle w:val="Header"/>
    </w:pPr>
    <w:r>
      <w:rPr>
        <w:noProof/>
        <w:snapToGrid/>
        <w:lang w:eastAsia="en-AU"/>
      </w:rPr>
      <w:pict>
        <v:group id="OddGrid" o:spid="_x0000_s2049" alt="Description: Grid" style="position:absolute;margin-left:0;margin-top:0;width:544.3pt;height:841.9pt;z-index:252093440;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">
          <v:group id="Group 2" o:spid="_x0000_s2050"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AutoShape 3" o:spid="_x0000_s2051" type="#_x0000_t32" style="position:absolute;left:1021;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XeX8MAAADaAAAADwAAAGRycy9kb3ducmV2LnhtbESPQWvCQBSE74L/YXlCL1I39SAa3QS1&#10;LXiqNtb7I/vMBrNvQ3aN6b/vFgo9DjPzDbPJB9uInjpfO1bwMktAEJdO11wp+Dq/Py9B+ICssXFM&#10;Cr7JQ56NRxtMtXvwJ/VFqESEsE9RgQmhTaX0pSGLfuZa4uhdXWcxRNlVUnf4iHDbyHmSLKTFmuOC&#10;wZb2hspbcbcKTr01p3B5u88/DrtpQq/HRXHtlXqaDNs1iEBD+A//tQ9awQ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V3l/DAAAA2gAAAA8AAAAAAAAAAAAA&#10;AAAAoQIAAGRycy9kb3ducmV2LnhtbFBLBQYAAAAABAAEAPkAAACRAwAAAAA=&#10;" strokecolor="#002060"/>
            <v:shape id="AutoShape 4" o:spid="_x0000_s2052" type="#_x0000_t32" style="position:absolute;left:1862;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cVz8IAAADbAAAADwAAAGRycy9kb3ducmV2LnhtbERPTWvCQBC9C/0Pywi9mU08FEldRUSh&#10;6KVGpe1tyI5JMDsbdleN/fXdguBtHu9zpvPetOJKzjeWFWRJCoK4tLrhSsFhvx5NQPiArLG1TAru&#10;5GE+exlMMdf2xju6FqESMYR9jgrqELpcSl/WZNAntiOO3Mk6gyFCV0nt8BbDTSvHafomDTYcG2rs&#10;aFlTeS4uRsGWNofs/mVXP9/tb/F5Wq7x6DKlXof94h1EoD48xQ/3h47zM/j/JR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cVz8IAAADbAAAADwAAAAAAAAAAAAAA&#10;AAChAgAAZHJzL2Rvd25yZXYueG1sUEsFBgAAAAAEAAQA+QAAAJADAAAAAA==&#10;" strokecolor="#00b0f0"/>
            <v:shape id="AutoShape 5" o:spid="_x0000_s2053" type="#_x0000_t32" style="position:absolute;left:2703;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WLuMIAAADbAAAADwAAAGRycy9kb3ducmV2LnhtbERPS2sCMRC+C/0PYQreNLsepGyNi0iF&#10;0l7salFvw2b2QTeTJUl19dc3BcHbfHzPWeSD6cSZnG8tK0inCQji0uqWawX73WbyAsIHZI2dZVJw&#10;JQ/58mm0wEzbC3/RuQi1iCHsM1TQhNBnUvqyIYN+anviyFXWGQwRulpqh5cYbjo5S5K5NNhybGiw&#10;p3VD5U/xaxR80sc+vR7s2+nY3Ypttd7gt0uVGj8Pq1cQgYbwEN/d7zrOn8H/L/EA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WLuMIAAADbAAAADwAAAAAAAAAAAAAA&#10;AAChAgAAZHJzL2Rvd25yZXYueG1sUEsFBgAAAAAEAAQA+QAAAJADAAAAAA==&#10;" strokecolor="#00b0f0"/>
            <v:shape id="AutoShape 6" o:spid="_x0000_s2054" type="#_x0000_t32" style="position:absolute;left:3544;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n+8IAAADbAAAADwAAAGRycy9kb3ducmV2LnhtbERPTWvCQBC9F/wPywi9lGZTCyLRTVDb&#10;gidrY70P2TEbzM6G7BrTf98VCr3N433OqhhtKwbqfeNYwUuSgiCunG64VvB9/HhegPABWWPrmBT8&#10;kIcinzysMNPuxl80lKEWMYR9hgpMCF0mpa8MWfSJ64gjd3a9xRBhX0vd4y2G21bO0nQuLTYcGwx2&#10;tDVUXcqrVXAYrDmE0/t1tt9tnlJ6+5yX50Gpx+m4XoIINIZ/8Z97p+P8V7j/E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An+8IAAADbAAAADwAAAAAAAAAAAAAA&#10;AAChAgAAZHJzL2Rvd25yZXYueG1sUEsFBgAAAAAEAAQA+QAAAJADAAAAAA==&#10;" strokecolor="#002060"/>
            <v:shape id="AutoShape 7" o:spid="_x0000_s2055" type="#_x0000_t32" style="position:absolute;left:4385;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wTzMMAAADbAAAADwAAAGRycy9kb3ducmV2LnhtbERPS2sCMRC+C/0PYQreNLuFimyNi0iF&#10;Ui92a6nehs3sAzeTJUl17a9vCoK3+fies8gH04kzOd9aVpBOExDEpdUt1wr2n5vJHIQPyBo7y6Tg&#10;Sh7y5cNogZm2F/6gcxFqEUPYZ6igCaHPpPRlQwb91PbEkausMxgidLXUDi8x3HTyKUlm0mDLsaHB&#10;ntYNlafixyjY0vs+vX7b1+Oh+y121XqDXy5Vavw4rF5ABBrCXXxzv+k4/xn+f4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E8zDAAAA2wAAAA8AAAAAAAAAAAAA&#10;AAAAoQIAAGRycy9kb3ducmV2LnhtbFBLBQYAAAAABAAEAPkAAACRAwAAAAA=&#10;" strokecolor="#00b0f0"/>
            <v:shape id="AutoShape 8" o:spid="_x0000_s2056" type="#_x0000_t32" style="position:absolute;left:5226;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oIMMAAADbAAAADwAAAGRycy9kb3ducmV2LnhtbERPS2sCMRC+C/0PYQreNLs9VNkaF5EK&#10;pV7s1lK9DZvZB24mS5Lq2l/fFARv8/E9Z5EPphNncr61rCCdJiCIS6tbrhXsPzeTOQgfkDV2lknB&#10;lTzky4fRAjNtL/xB5yLUIoawz1BBE0KfSenLhgz6qe2JI1dZZzBE6GqpHV5iuOnkU5I8S4Mtx4YG&#10;e1o3VJ6KH6NgS+/79PptX4+H7rfYVesNfrlUqfHjsHoBEWgId/HN/abj/Bn8/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KCDDAAAA2wAAAA8AAAAAAAAAAAAA&#10;AAAAoQIAAGRycy9kb3ducmV2LnhtbFBLBQYAAAAABAAEAPkAAACRAwAAAAA=&#10;" strokecolor="#00b0f0"/>
            <v:shape id="AutoShape 9" o:spid="_x0000_s2057" type="#_x0000_t32" style="position:absolute;left:6067;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QEcEAAADbAAAADwAAAGRycy9kb3ducmV2LnhtbERPTWvCQBC9C/6HZYRepG7qQTS6CWpb&#10;8FRtrPchO2aD2dmQXWP677uFQm/zeJ+zyQfbiJ46XztW8DJLQBCXTtdcKfg6vz8vQfiArLFxTAq+&#10;yUOejUcbTLV78Cf1RahEDGGfogITQptK6UtDFv3MtcSRu7rOYoiwq6Tu8BHDbSPnSbKQFmuODQZb&#10;2hsqb8XdKjj11pzC5e0+/zjspgm9HhfFtVfqaTJs1yACDeFf/Oc+6Dh/Bb+/xANk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BARwQAAANsAAAAPAAAAAAAAAAAAAAAA&#10;AKECAABkcnMvZG93bnJldi54bWxQSwUGAAAAAAQABAD5AAAAjwMAAAAA&#10;" strokecolor="#002060"/>
            <v:shape id="AutoShape 10" o:spid="_x0000_s2058" type="#_x0000_t32" style="position:absolute;left:6908;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XknsQAAADbAAAADwAAAGRycy9kb3ducmV2LnhtbESPQWvCQBSE74L/YXmCN91EQS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1eSexAAAANsAAAAPAAAAAAAAAAAA&#10;AAAAAKECAABkcnMvZG93bnJldi54bWxQSwUGAAAAAAQABAD5AAAAkgMAAAAA&#10;" strokecolor="#00b0f0"/>
            <v:shape id="AutoShape 11" o:spid="_x0000_s2059" type="#_x0000_t32" style="position:absolute;left:7749;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86sQAAADbAAAADwAAAGRycy9kb3ducmV2LnhtbESPQWvCQBSE74L/YXmCN91ERC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HzqxAAAANsAAAAPAAAAAAAAAAAA&#10;AAAAAKECAABkcnMvZG93bnJldi54bWxQSwUGAAAAAAQABAD5AAAAkgMAAAAA&#10;" strokecolor="#00b0f0"/>
            <v:shape id="AutoShape 12" o:spid="_x0000_s2060" type="#_x0000_t32" style="position:absolute;left:8590;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QqcMAAADbAAAADwAAAGRycy9kb3ducmV2LnhtbESPQWvCQBSE74L/YXmCF9FNA0qJrlKt&#10;BU+tpnp/ZJ/Z0OzbkF1j+u/dQsHjMDPfMKtNb2vRUesrxwpeZgkI4sLpiksF5++P6SsIH5A11o5J&#10;wS952KyHgxVm2t35RF0eShEh7DNUYEJoMil9Yciin7mGOHpX11oMUbal1C3eI9zWMk2ShbRYcVww&#10;2NDOUPGT36yCY2fNMVz2t/TzsJ0k9P61yK+dUuNR/7YEEagPz/B/+6AVpH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Z0KnDAAAA2wAAAA8AAAAAAAAAAAAA&#10;AAAAoQIAAGRycy9kb3ducmV2LnhtbFBLBQYAAAAABAAEAPkAAACRAwAAAAA=&#10;" strokecolor="#002060"/>
            <v:shape id="AutoShape 13" o:spid="_x0000_s2061" type="#_x0000_t32" style="position:absolute;left:9431;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JHBsUAAADbAAAADwAAAGRycy9kb3ducmV2LnhtbESPT2sCMRTE74LfITyhN82uBymrcSmi&#10;IO2l3Sq2t8fm7R+6eVmSVNd+eiMUPA4z8xtmlQ+mE2dyvrWsIJ0lIIhLq1uuFRw+d9NnED4ga+ws&#10;k4IrecjX49EKM20v/EHnItQiQthnqKAJoc+k9GVDBv3M9sTRq6wzGKJ0tdQOLxFuOjlPkoU02HJc&#10;aLCnTUPlT/FrFLzR6yG9nuz2+6v7K96rzQ6PLlXqaTK8LEEEGsIj/N/eaw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JHBsUAAADbAAAADwAAAAAAAAAA&#10;AAAAAAChAgAAZHJzL2Rvd25yZXYueG1sUEsFBgAAAAAEAAQA+QAAAJMDAAAAAA==&#10;" strokecolor="#00b0f0"/>
            <v:shape id="AutoShape 14" o:spid="_x0000_s2062" type="#_x0000_t32" style="position:absolute;left:10272;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7incQAAADbAAAADwAAAGRycy9kb3ducmV2LnhtbESPQWvCQBSE74L/YXmCN93Eg0rqKkUU&#10;il5sqtjeHtlnEsy+Dbtbjf313YLQ4zAz3zCLVWcacSPna8sK0nECgriwuuZSwfFjO5qD8AFZY2OZ&#10;FDzIw2rZ7y0w0/bO73TLQykihH2GCqoQ2kxKX1Rk0I9tSxy9i3UGQ5SulNrhPcJNIydJMpUGa44L&#10;Fba0rqi45t9GwZ52x/Rxtpuvz+YnP1zWWzy5VKnhoHt9ARGoC//hZ/tNK5jM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uKdxAAAANsAAAAPAAAAAAAAAAAA&#10;AAAAAKECAABkcnMvZG93bnJldi54bWxQSwUGAAAAAAQABAD5AAAAkgMAAAAA&#10;" strokecolor="#00b0f0"/>
          </v:group>
          <v:shape id="AutoShape 15" o:spid="_x0000_s2063" type="#_x0000_t32" style="position:absolute;width:0;height:168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9F7sEAAADbAAAADwAAAGRycy9kb3ducmV2LnhtbERPy4rCMBTdC/5DuII7TRUctBpFZxDd&#10;OOADxN2lubbF5qY0sa3z9WYx4PJw3otVawpRU+VyywpGwwgEcWJ1zqmCy3k7mIJwHlljYZkUvMjB&#10;atntLDDWtuEj1SefihDCLkYFmfdlLKVLMjLohrYkDtzdVgZ9gFUqdYVNCDeFHEfRlzSYc2jIsKTv&#10;jJLH6WkUTKaHtjn//cyK66ae/fpyp287Vqrfa9dzEJ5a/xH/u/dawTiMDV/CD5DL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X0XuwQAAANsAAAAPAAAAAAAAAAAAAAAA&#10;AKECAABkcnMvZG93bnJldi54bWxQSwUGAAAAAAQABAD5AAAAjwMAAAAA&#10;" strokecolor="#f6f"/>
          <v:shape id="AutoShape 16" o:spid="_x0000_s2064" type="#_x0000_t32" style="position:absolute;left:794;width:0;height:168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PgdcQAAADbAAAADwAAAGRycy9kb3ducmV2LnhtbESPT2vCQBTE7wW/w/IEb3WjoJjUVfyD&#10;6MVCVZDeHtnXJDT7NmTXJPrpXaHQ4zAzv2Hmy86UoqHaFZYVjIYRCOLU6oIzBZfz7n0GwnlkjaVl&#10;UnAnB8tF722OibYtf1Fz8pkIEHYJKsi9rxIpXZqTQTe0FXHwfmxt0AdZZ1LX2Aa4KeU4iqbSYMFh&#10;IceKNjmlv6ebUTCZHbv2/NjG5XXdxJ++2uvvPSs16HerDxCeOv8f/msftIJxDK8v4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B1xAAAANsAAAAPAAAAAAAAAAAA&#10;AAAAAKECAABkcnMvZG93bnJldi54bWxQSwUGAAAAAAQABAD5AAAAkgMAAAAA&#10;" strokecolor="#f6f"/>
          <v:group id="Group 17" o:spid="_x0000_s2065"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18" o:spid="_x0000_s2066" type="#_x0000_t32" style="position:absolute;left:907;top:16273;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Ad8QAAADbAAAADwAAAGRycy9kb3ducmV2LnhtbESPT2vCQBTE7wW/w/KEXoputCASs4r2&#10;D3hqNer9kX3JBrNvQ3aN6bfvFgoeh5n5DZNtBtuInjpfO1YwmyYgiAuna64UnE+fkyUIH5A1No5J&#10;wQ952KxHTxmm2t35SH0eKhEh7FNUYEJoUyl9Yciin7qWOHql6yyGKLtK6g7vEW4bOU+ShbRYc1ww&#10;2NKboeKa36yCQ2/NIVw+bvOv/e4loffvRV72Sj2Ph+0KRKAhPML/7b1W8DqD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0B3xAAAANsAAAAPAAAAAAAAAAAA&#10;AAAAAKECAABkcnMvZG93bnJldi54bWxQSwUGAAAAAAQABAD5AAAAkgMAAAAA&#10;" strokecolor="#002060"/>
            <v:shape id="AutoShape 19" o:spid="_x0000_s2067" type="#_x0000_t32" style="position:absolute;left:907;top:1452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X2MQAAADbAAAADwAAAGRycy9kb3ducmV2LnhtbESPQWvCQBSE74L/YXmCN91EQS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NfYxAAAANsAAAAPAAAAAAAAAAAA&#10;AAAAAKECAABkcnMvZG93bnJldi54bWxQSwUGAAAAAAQABAD5AAAAkgMAAAAA&#10;" strokecolor="#00b0f0"/>
            <v:shape id="AutoShape 20" o:spid="_x0000_s2068" type="#_x0000_t32" style="position:absolute;left:907;top:56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7m8MAAADbAAAADwAAAGRycy9kb3ducmV2LnhtbESPQWvCQBSE70L/w/KEXkQ3VZASXcVW&#10;C56qjXp/ZJ/ZYPZtyK4x/nu3IHgcZuYbZr7sbCVaanzpWMHHKAFBnDtdcqHgePgZfoLwAVlj5ZgU&#10;3MnDcvHWm2Oq3Y3/qM1CISKEfYoKTAh1KqXPDVn0I1cTR+/sGoshyqaQusFbhNtKjpNkKi2WHBcM&#10;1vRtKL9kV6tg31qzD6fNdfy7/RoktN5Ns3Or1Hu/W81ABOrCK/xsb7WCy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le5vDAAAA2wAAAA8AAAAAAAAAAAAA&#10;AAAAoQIAAGRycy9kb3ducmV2LnhtbFBLBQYAAAAABAAEAPkAAACRAwAAAAA=&#10;" strokecolor="#002060"/>
            <v:shape id="AutoShape 21" o:spid="_x0000_s2069" type="#_x0000_t32" style="position:absolute;left:907;top:1439;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XqN8UAAADbAAAADwAAAGRycy9kb3ducmV2LnhtbESPQWvCQBSE74L/YXlCb3UTW4q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XqN8UAAADbAAAADwAAAAAAAAAA&#10;AAAAAAChAgAAZHJzL2Rvd25yZXYueG1sUEsFBgAAAAAEAAQA+QAAAJMDAAAAAA==&#10;" strokecolor="#00b0f0"/>
            <v:shape id="AutoShape 22" o:spid="_x0000_s2070" type="#_x0000_t32" style="position:absolute;left:907;top:231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PrMUAAADbAAAADwAAAGRycy9kb3ducmV2LnhtbESPQWvCQBSE74L/YXlCb3UTS4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PrMUAAADbAAAADwAAAAAAAAAA&#10;AAAAAAChAgAAZHJzL2Rvd25yZXYueG1sUEsFBgAAAAAEAAQA+QAAAJMDAAAAAA==&#10;" strokecolor="#00b0f0"/>
            <v:shape id="AutoShape 23" o:spid="_x0000_s2071" type="#_x0000_t32" style="position:absolute;left:907;top:3184;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R28UAAADbAAAADwAAAGRycy9kb3ducmV2LnhtbESPT2sCMRTE70K/Q3iF3jS7F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vR28UAAADbAAAADwAAAAAAAAAA&#10;AAAAAAChAgAAZHJzL2Rvd25yZXYueG1sUEsFBgAAAAAEAAQA+QAAAJMDAAAAAA==&#10;" strokecolor="#00b0f0"/>
            <v:shape id="AutoShape 24" o:spid="_x0000_s2072" type="#_x0000_t32" style="position:absolute;left:907;top:405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0QMUAAADbAAAADwAAAGRycy9kb3ducmV2LnhtbESPQWvCQBSE74L/YXlCb3UTC6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0QMUAAADbAAAADwAAAAAAAAAA&#10;AAAAAAChAgAAZHJzL2Rvd25yZXYueG1sUEsFBgAAAAAEAAQA+QAAAJMDAAAAAA==&#10;" strokecolor="#00b0f0"/>
            <v:shape id="AutoShape 25" o:spid="_x0000_s2073" type="#_x0000_t32" style="position:absolute;left:907;top:4929;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jgMsEAAADbAAAADwAAAGRycy9kb3ducmV2LnhtbERPz2vCMBS+D/wfwhO8zbQK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OAywQAAANsAAAAPAAAAAAAAAAAAAAAA&#10;AKECAABkcnMvZG93bnJldi54bWxQSwUGAAAAAAQABAD5AAAAjwMAAAAA&#10;" strokecolor="#00b0f0"/>
            <v:shape id="AutoShape 26" o:spid="_x0000_s2074" type="#_x0000_t32" style="position:absolute;left:907;top:580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cUAAADbAAAADwAAAGRycy9kb3ducmV2LnhtbESPQWvCQBSE74L/YXlCb3UTC6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cUAAADbAAAADwAAAAAAAAAA&#10;AAAAAAChAgAAZHJzL2Rvd25yZXYueG1sUEsFBgAAAAAEAAQA+QAAAJMDAAAAAA==&#10;" strokecolor="#00b0f0"/>
            <v:shape id="AutoShape 27" o:spid="_x0000_s2075" type="#_x0000_t32" style="position:absolute;left:907;top:6674;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fScEAAADbAAAADwAAAGRycy9kb3ducmV2LnhtbERPz2vCMBS+D/wfwhO8zbQi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2J9JwQAAANsAAAAPAAAAAAAAAAAAAAAA&#10;AKECAABkcnMvZG93bnJldi54bWxQSwUGAAAAAAQABAD5AAAAjwMAAAAA&#10;" strokecolor="#00b0f0"/>
            <v:shape id="AutoShape 28" o:spid="_x0000_s2076" type="#_x0000_t32" style="position:absolute;left:907;top:754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60sUAAADbAAAADwAAAGRycy9kb3ducmV2LnhtbESPT2sCMRTE70K/Q3gFb5rdU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Q60sUAAADbAAAADwAAAAAAAAAA&#10;AAAAAAChAgAAZHJzL2Rvd25yZXYueG1sUEsFBgAAAAAEAAQA+QAAAJMDAAAAAA==&#10;" strokecolor="#00b0f0"/>
            <v:shape id="AutoShape 29" o:spid="_x0000_s2077" type="#_x0000_t32" style="position:absolute;left:907;top:8420;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kpcQAAADbAAAADwAAAGRycy9kb3ducmV2LnhtbESPQWvCQBSE74L/YXmCN91ER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qSlxAAAANsAAAAPAAAAAAAAAAAA&#10;AAAAAKECAABkcnMvZG93bnJldi54bWxQSwUGAAAAAAQABAD5AAAAkgMAAAAA&#10;" strokecolor="#00b0f0"/>
            <v:shape id="AutoShape 30" o:spid="_x0000_s2078" type="#_x0000_t32" style="position:absolute;left:907;top:929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BPsUAAADbAAAADwAAAGRycy9kb3ducmV2LnhtbESPQWvCQBSE74L/YXlCb3UTW4q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oBPsUAAADbAAAADwAAAAAAAAAA&#10;AAAAAAChAgAAZHJzL2Rvd25yZXYueG1sUEsFBgAAAAAEAAQA+QAAAJMDAAAAAA==&#10;" strokecolor="#00b0f0"/>
            <v:shape id="AutoShape 31" o:spid="_x0000_s2079" type="#_x0000_t32" style="position:absolute;left:907;top:10165;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ZSsUAAADbAAAADwAAAGRycy9kb3ducmV2LnhtbESPT2sCMRTE7wW/Q3hCbzW7R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OZSsUAAADbAAAADwAAAAAAAAAA&#10;AAAAAAChAgAAZHJzL2Rvd25yZXYueG1sUEsFBgAAAAAEAAQA+QAAAJMDAAAAAA==&#10;" strokecolor="#00b0f0"/>
            <v:shape id="AutoShape 32" o:spid="_x0000_s2080" type="#_x0000_t32" style="position:absolute;left:907;top:11037;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880cUAAADbAAAADwAAAGRycy9kb3ducmV2LnhtbESPQWvCQBSE74L/YXlCb3UTaY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880cUAAADbAAAADwAAAAAAAAAA&#10;AAAAAAChAgAAZHJzL2Rvd25yZXYueG1sUEsFBgAAAAAEAAQA+QAAAJMDAAAAAA==&#10;" strokecolor="#00b0f0"/>
            <v:shape id="AutoShape 33" o:spid="_x0000_s2081" type="#_x0000_t32" style="position:absolute;left:907;top:11910;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2ipsUAAADbAAAADwAAAGRycy9kb3ducmV2LnhtbESPT2sCMRTE70K/Q3iF3jS7U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2ipsUAAADbAAAADwAAAAAAAAAA&#10;AAAAAAChAgAAZHJzL2Rvd25yZXYueG1sUEsFBgAAAAAEAAQA+QAAAJMDAAAAAA==&#10;" strokecolor="#00b0f0"/>
            <v:shape id="AutoShape 34" o:spid="_x0000_s2082" type="#_x0000_t32" style="position:absolute;left:907;top:12782;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HPcUAAADbAAAADwAAAGRycy9kb3ducmV2LnhtbESPQWvCQBSE74L/YXlCb3UTKa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HPcUAAADbAAAADwAAAAAAAAAA&#10;AAAAAAChAgAAZHJzL2Rvd25yZXYueG1sUEsFBgAAAAAEAAQA+QAAAJMDAAAAAA==&#10;" strokecolor="#00b0f0"/>
            <v:shape id="AutoShape 35" o:spid="_x0000_s2083" type="#_x0000_t32" style="position:absolute;left:907;top:13655;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TT8EAAADbAAAADwAAAGRycy9kb3ducmV2LnhtbERPz2vCMBS+D/wfwhO8zbQi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rpNPwQAAANsAAAAPAAAAAAAAAAAAAAAA&#10;AKECAABkcnMvZG93bnJldi54bWxQSwUGAAAAAAQABAD5AAAAjwMAAAAA&#10;" strokecolor="#00b0f0"/>
            <v:shape id="AutoShape 36" o:spid="_x0000_s2084" type="#_x0000_t32" style="position:absolute;left:907;top:15400;width:98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21MUAAADbAAAADwAAAGRycy9kb3ducmV2LnhtbESPQWvCQBSE74L/YXlCb3UTK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21MUAAADbAAAADwAAAAAAAAAA&#10;AAAAAAChAgAAZHJzL2Rvd25yZXYueG1sUEsFBgAAAAAEAAQA+QAAAJMDAAAAAA==&#10;" strokecolor="#00b0f0"/>
          </v:group>
          <v:group id="Group 37" o:spid="_x0000_s2085"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38" o:spid="_x0000_s2086" type="#_x0000_t32" style="position:absolute;left:1635;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2sD8UAAADbAAAADwAAAGRycy9kb3ducmV2LnhtbESPT2sCMRTE70K/Q3gFb5rdQkW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2sD8UAAADbAAAADwAAAAAAAAAA&#10;AAAAAAChAgAAZHJzL2Rvd25yZXYueG1sUEsFBgAAAAAEAAQA+QAAAJMDAAAAAA==&#10;" strokecolor="#00b0f0"/>
            <v:shape id="AutoShape 39" o:spid="_x0000_s2087" type="#_x0000_t32" style="position:absolute;left:2476;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yeMQAAADbAAAADwAAAGRycy9kb3ducmV2LnhtbESPQWvCQBSE74L/YXmCN91EU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zJ4xAAAANsAAAAPAAAAAAAAAAAA&#10;AAAAAKECAABkcnMvZG93bnJldi54bWxQSwUGAAAAAAQABAD5AAAAkgMAAAAA&#10;" strokecolor="#00b0f0"/>
            <v:shape id="AutoShape 40" o:spid="_x0000_s2088" type="#_x0000_t32" style="position:absolute;left:3317;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eO8MAAADbAAAADwAAAGRycy9kb3ducmV2LnhtbESPT2vCQBTE74LfYXkFL1I3KkpJXcW/&#10;4Klq2t4f2Wc2NPs2ZNeYfvtuQfA4zMxvmMWqs5VoqfGlYwXjUQKCOHe65ELB1+fh9Q2ED8gaK8ek&#10;4Jc8rJb93gJT7e58oTYLhYgQ9ikqMCHUqZQ+N2TRj1xNHL2rayyGKJtC6gbvEW4rOUmSubRYclww&#10;WNPWUP6T3ayCc2vNOXzvb5OP42aY0O40z66tUoOXbv0OIlAXnuFH+6gVzKb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6njvDAAAA2wAAAA8AAAAAAAAAAAAA&#10;AAAAoQIAAGRycy9kb3ducmV2LnhtbFBLBQYAAAAABAAEAPkAAACRAwAAAAA=&#10;" strokecolor="#002060"/>
            <v:shape id="AutoShape 41" o:spid="_x0000_s2089" type="#_x0000_t32" style="position:absolute;left:4158;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Pl8UAAADbAAAADwAAAGRycy9kb3ducmV2LnhtbESPQWvCQBSE74L/YXlCb3UTaY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oPl8UAAADbAAAADwAAAAAAAAAA&#10;AAAAAAChAgAAZHJzL2Rvd25yZXYueG1sUEsFBgAAAAAEAAQA+QAAAJMDAAAAAA==&#10;" strokecolor="#00b0f0"/>
            <v:shape id="AutoShape 42" o:spid="_x0000_s2090" type="#_x0000_t32" style="position:absolute;left:4999;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aqDMUAAADbAAAADwAAAGRycy9kb3ducmV2LnhtbESPT2sCMRTE7wW/Q3hCbzW7BUt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aqDMUAAADbAAAADwAAAAAAAAAA&#10;AAAAAAChAgAAZHJzL2Rvd25yZXYueG1sUEsFBgAAAAAEAAQA+QAAAJMDAAAAAA==&#10;" strokecolor="#00b0f0"/>
            <v:shape id="AutoShape 43" o:spid="_x0000_s2091" type="#_x0000_t32" style="position:absolute;left:5840;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09o8QAAADbAAAADwAAAGRycy9kb3ducmV2LnhtbESPQWvCQBSE74L/YXmCF6kbhYaSupG2&#10;WvBkNW3vj+xLNjT7NmTXmP77rlDwOMzMN8xmO9pWDNT7xrGC1TIBQVw63XCt4Ovz/eEJhA/IGlvH&#10;pOCXPGzz6WSDmXZXPtNQhFpECPsMFZgQukxKXxqy6JeuI45e5XqLIcq+lrrHa4TbVq6TJJUWG44L&#10;Bjt6M1T+FBer4DRYcwrf+8v6eHhdJLT7SItqUGo+G1+eQQQawz383z5oBY8p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DT2jxAAAANsAAAAPAAAAAAAAAAAA&#10;AAAAAKECAABkcnMvZG93bnJldi54bWxQSwUGAAAAAAQABAD5AAAAkgMAAAAA&#10;" strokecolor="#002060"/>
            <v:shape id="AutoShape 44" o:spid="_x0000_s2092" type="#_x0000_t32" style="position:absolute;left:6681;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R4MUAAADbAAAADwAAAGRycy9kb3ducmV2LnhtbESPQWvCQBSE74L/YXlCb3UToa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iR4MUAAADbAAAADwAAAAAAAAAA&#10;AAAAAAChAgAAZHJzL2Rvd25yZXYueG1sUEsFBgAAAAAEAAQA+QAAAJMDAAAAAA==&#10;" strokecolor="#00b0f0"/>
            <v:shape id="AutoShape 45" o:spid="_x0000_s2093" type="#_x0000_t32" style="position:absolute;left:7522;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FksEAAADbAAAADwAAAGRycy9kb3ducmV2LnhtbERPz2vCMBS+D/wfwhO8zbSC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dwWSwQAAANsAAAAPAAAAAAAAAAAAAAAA&#10;AKECAABkcnMvZG93bnJldi54bWxQSwUGAAAAAAQABAD5AAAAjwMAAAAA&#10;" strokecolor="#00b0f0"/>
            <v:shape id="AutoShape 46" o:spid="_x0000_s2094" type="#_x0000_t32" style="position:absolute;left:8363;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Kp0cMAAADbAAAADwAAAGRycy9kb3ducmV2LnhtbESPT2vCQBTE74LfYXkFL1I3CopNXcW/&#10;4Klq2t4f2Wc2NPs2ZNeYfvtuQfA4zMxvmMWqs5VoqfGlYwXjUQKCOHe65ELB1+fhdQ7CB2SNlWNS&#10;8EseVst+b4Gpdne+UJuFQkQI+xQVmBDqVEqfG7LoR64mjt7VNRZDlE0hdYP3CLeVnCTJTFosOS4Y&#10;rGlrKP/JblbBubXmHL73t8nHcTNMaHeaZddWqcFLt34HEagLz/CjfdQKpm/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SqdHDAAAA2wAAAA8AAAAAAAAAAAAA&#10;AAAAoQIAAGRycy9kb3ducmV2LnhtbFBLBQYAAAAABAAEAPkAAACRAwAAAAA=&#10;" strokecolor="#002060"/>
            <v:shape id="AutoShape 47" o:spid="_x0000_s2095" type="#_x0000_t32" style="position:absolute;left:9204;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DKcEAAADbAAAADwAAAGRycy9kb3ducmV2LnhtbERPTYvCMBC9L/gfwgje1rQeZOkaRURB&#10;1otbXdTb0IxtsZmUJKvVX28OgsfH+57MOtOIKzlfW1aQDhMQxIXVNZcK9rvV5xcIH5A1NpZJwZ08&#10;zKa9jwlm2t74l655KEUMYZ+hgiqENpPSFxUZ9EPbEkfubJ3BEKErpXZ4i+GmkaMkGUuDNceGClta&#10;VFRc8n+jYEM/+/R+sMvTsXnk2/NihX8uVWrQ7+bfIAJ14S1+uddawT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bcMpwQAAANsAAAAPAAAAAAAAAAAAAAAA&#10;AKECAABkcnMvZG93bnJldi54bWxQSwUGAAAAAAQABAD5AAAAjwMAAAAA&#10;" strokecolor="#00b0f0"/>
            <v:shape id="AutoShape 48" o:spid="_x0000_s2096" type="#_x0000_t32" style="position:absolute;left:10045;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mssUAAADbAAAADwAAAGRycy9kb3ducmV2LnhtbESPT2sCMRTE70K/Q3gFb5rdHqRsjYtI&#10;hVIvdrWot8fm7R+6eVmSVFc/fVMQPA4z8xtmng+mE2dyvrWsIJ0mIIhLq1uuFex368krCB+QNXaW&#10;ScGVPOSLp9EcM20v/EXnItQiQthnqKAJoc+k9GVDBv3U9sTRq6wzGKJ0tdQOLxFuOvmSJDNpsOW4&#10;0GBPq4bKn+LXKNjQ5z69Huz76djdim21WuO3S5UaPw/LNxCBhvAI39sfWsEs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FmssUAAADbAAAADwAAAAAAAAAA&#10;AAAAAAChAgAAZHJzL2Rvd25yZXYueG1sUEsFBgAAAAAEAAQA+QAAAJMDAAAAAA==&#10;" strokecolor="#00b0f0"/>
            <v:shape id="AutoShape 49" o:spid="_x0000_s2097" type="#_x0000_t32" style="position:absolute;left:10886;top:567;width:0;height:1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xHcMAAADbAAAADwAAAGRycy9kb3ducmV2LnhtbESPT2vCQBTE7wW/w/IEL0U3zSGU6Cr+&#10;qeCp1aj3R/aZDWbfhuwa02/fLRR6HGbmN8xiNdhG9NT52rGCt1kCgrh0uuZKweW8n76D8AFZY+OY&#10;FHyTh9Vy9LLAXLsnn6gvQiUihH2OCkwIbS6lLw1Z9DPXEkfv5jqLIcqukrrDZ4TbRqZJkkmLNccF&#10;gy1tDZX34mEVHHtrjuH68Ug/D5vXhHZfWXHrlZqMh/UcRKAh/If/2getIEvh90v8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a8R3DAAAA2wAAAA8AAAAAAAAAAAAA&#10;AAAAoQIAAGRycy9kb3ducmV2LnhtbFBLBQYAAAAABAAEAPkAAACRAwAAAAA=&#10;" strokecolor="#002060"/>
          </v:group>
          <w10:wrap anchorx="page" anchory="page"/>
        </v:group>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086603">
    <w:pPr>
      <w:pStyle w:val="Header"/>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Pr>
        <w:noProof/>
        <w:snapToGrid/>
        <w:lang w:eastAsia="en-AU"/>
      </w:rPr>
      <w:t>Costing assumptions and process</w:t>
    </w:r>
    <w:r>
      <w:rPr>
        <w:noProof/>
        <w:snapToGrid/>
        <w:lang w:eastAsia="en-AU"/>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967C0A">
    <w:pPr>
      <w:pStyle w:val="Header"/>
    </w:pPr>
  </w:p>
  <w:p w:rsidR="00F34CFF" w:rsidRPr="0097760A" w:rsidRDefault="00F34CFF" w:rsidP="0059630D">
    <w:pPr>
      <w:pStyle w:val="FirstPagePanelFrame"/>
      <w:framePr w:wrap="notBesid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97760A" w:rsidRDefault="00F34CFF" w:rsidP="0059630D">
    <w:pPr>
      <w:pStyle w:val="FirstPagePanelFrame"/>
      <w:framePr w:wrap="notBesid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086603">
    <w:pPr>
      <w:pStyle w:val="Header"/>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Pr>
        <w:noProof/>
        <w:snapToGrid/>
        <w:lang w:eastAsia="en-AU"/>
      </w:rPr>
      <w:t>Costing assumptions and process</w:t>
    </w:r>
    <w:r>
      <w:rPr>
        <w:noProof/>
        <w:snapToGrid/>
        <w:lang w:eastAsia="en-AU"/>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B946B6" w:rsidRDefault="00F34CFF" w:rsidP="00B946B6">
    <w:pPr>
      <w:pStyle w:val="Header"/>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Pr>
        <w:noProof/>
        <w:snapToGrid/>
        <w:lang w:eastAsia="en-AU"/>
      </w:rPr>
      <w:t>Costing assumptions and process</w:t>
    </w:r>
    <w:r>
      <w:rPr>
        <w:noProof/>
        <w:snapToGrid/>
        <w:lang w:eastAsia="en-AU"/>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BF2CD7">
    <w:pPr>
      <w:pStyle w:val="URL"/>
      <w:framePr w:wrap="around"/>
    </w:pPr>
    <w:r>
      <w:t>pwc.com.au</w:t>
    </w:r>
  </w:p>
  <w:p w:rsidR="00F34CFF" w:rsidRPr="00A84ADF" w:rsidRDefault="00F34CFF" w:rsidP="006C27B5">
    <w:pPr>
      <w:pStyle w:val="Header-Even"/>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A84ADF" w:rsidRDefault="00F34CFF" w:rsidP="00A84AD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97760A" w:rsidRDefault="00F34CFF" w:rsidP="0059630D">
    <w:pPr>
      <w:pStyle w:val="FirstPagePanelFrame"/>
      <w:framePr w:wrap="notBesid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FF1B96">
    <w:pPr>
      <w:pStyle w:val="URLCover"/>
    </w:pPr>
    <w:bookmarkStart w:id="0" w:name="CoverFixedLogo"/>
    <w:r>
      <w:t>pwc.com.au</w:t>
    </w:r>
  </w:p>
  <w:p w:rsidR="00F34CFF" w:rsidRDefault="00F34CFF" w:rsidP="00FF1B96">
    <w:pPr>
      <w:pStyle w:val="Header"/>
    </w:pPr>
    <w:r>
      <w:rPr>
        <w:noProof/>
        <w:snapToGrid/>
        <w:lang w:eastAsia="en-AU"/>
      </w:rPr>
      <w:drawing>
        <wp:anchor distT="0" distB="0" distL="114300" distR="114300" simplePos="0" relativeHeight="252111872" behindDoc="1" locked="0" layoutInCell="1" allowOverlap="1" wp14:anchorId="7AA29849" wp14:editId="4AB926C6">
          <wp:simplePos x="0" y="0"/>
          <wp:positionH relativeFrom="page">
            <wp:posOffset>1301940</wp:posOffset>
          </wp:positionH>
          <wp:positionV relativeFrom="page">
            <wp:posOffset>9376012</wp:posOffset>
          </wp:positionV>
          <wp:extent cx="1250191" cy="941695"/>
          <wp:effectExtent l="19050" t="0" r="7109" b="0"/>
          <wp:wrapNone/>
          <wp:docPr id="2" name="PwCLogoFL" descr="Z:\PwC new Visual Identity\Logos\Fixed\Print\EPS\PwC_fl_4cp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wC new Visual Identity\Logos\Fixed\Print\EPS\PwC_fl_4cp A.jpg"/>
                  <pic:cNvPicPr>
                    <a:picLocks noChangeAspect="1" noChangeArrowheads="1"/>
                  </pic:cNvPicPr>
                </pic:nvPicPr>
                <pic:blipFill>
                  <a:blip r:embed="rId1" cstate="print"/>
                  <a:srcRect/>
                  <a:stretch>
                    <a:fillRect/>
                  </a:stretch>
                </pic:blipFill>
                <pic:spPr bwMode="auto">
                  <a:xfrm>
                    <a:off x="0" y="0"/>
                    <a:ext cx="1250191" cy="941695"/>
                  </a:xfrm>
                  <a:prstGeom prst="rect">
                    <a:avLst/>
                  </a:prstGeom>
                  <a:noFill/>
                  <a:ln w="9525">
                    <a:noFill/>
                    <a:miter lim="800000"/>
                    <a:headEnd/>
                    <a:tailEnd/>
                  </a:ln>
                </pic:spPr>
              </pic:pic>
            </a:graphicData>
          </a:graphic>
        </wp:anchor>
      </w:drawing>
    </w:r>
  </w:p>
  <w:bookmarkEnd w:id="0"/>
  <w:p w:rsidR="00F34CFF" w:rsidRPr="00FF1B96" w:rsidRDefault="00F34CFF" w:rsidP="00FF1B96">
    <w:pPr>
      <w:pStyle w:val="Header"/>
      <w:rPr>
        <w:rFonts w:eastAsia="+mn-e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5D1FC6" w:rsidRDefault="00F34CFF" w:rsidP="005D1FC6">
    <w:pPr>
      <w:pStyle w:val="Header"/>
    </w:pPr>
    <w:fldSimple w:instr=" STYLEREF &quot;TOC Title&quot; ">
      <w:r>
        <w:rPr>
          <w:noProof/>
        </w:rPr>
        <w:t>Contents</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5D1FC6" w:rsidRDefault="00F34CFF" w:rsidP="005D1FC6">
    <w:pPr>
      <w:pStyle w:val="Header"/>
    </w:pPr>
    <w:r>
      <w:fldChar w:fldCharType="begin"/>
    </w:r>
    <w:r>
      <w:instrText>STYLEREF "Heading 2"</w:instrText>
    </w:r>
    <w:r>
      <w:fldChar w:fldCharType="separate"/>
    </w:r>
    <w:r>
      <w:rPr>
        <w:b/>
        <w:bCs/>
        <w:noProof/>
        <w:lang w:val="en-US"/>
      </w:rPr>
      <w:t>Error! No text of specified style in document.</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4521EC">
    <w:pPr>
      <w:pStyle w:val="Header"/>
    </w:pPr>
  </w:p>
  <w:p w:rsidR="00F34CFF" w:rsidRPr="00460052" w:rsidRDefault="00F34CFF" w:rsidP="00460052">
    <w:pPr>
      <w:pStyle w:val="FirstPagePanelFrame-Contents"/>
      <w:framePr w:wrap="notBesid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6C27B5">
    <w:pPr>
      <w:pStyle w:val="Header-Even"/>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Pr="00086603" w:rsidRDefault="00F34CFF" w:rsidP="00086603">
    <w:pPr>
      <w:pStyle w:val="Header"/>
    </w:pPr>
    <w:r>
      <w:rPr>
        <w:noProof/>
        <w:snapToGrid/>
        <w:lang w:eastAsia="en-AU"/>
      </w:rPr>
      <w:fldChar w:fldCharType="begin"/>
    </w:r>
    <w:r>
      <w:rPr>
        <w:noProof/>
        <w:snapToGrid/>
        <w:lang w:eastAsia="en-AU"/>
      </w:rPr>
      <w:instrText xml:space="preserve"> STYLEREF "Heading 2" </w:instrText>
    </w:r>
    <w:r>
      <w:rPr>
        <w:noProof/>
        <w:snapToGrid/>
        <w:lang w:eastAsia="en-AU"/>
      </w:rPr>
      <w:fldChar w:fldCharType="separate"/>
    </w:r>
    <w:r>
      <w:rPr>
        <w:b/>
        <w:bCs/>
        <w:noProof/>
        <w:snapToGrid/>
        <w:lang w:val="en-US" w:eastAsia="en-AU"/>
      </w:rPr>
      <w:t>Error! No text of specified style in document.</w:t>
    </w:r>
    <w:r>
      <w:rPr>
        <w:noProof/>
        <w:snapToGrid/>
        <w:lang w:eastAsia="en-AU"/>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FF" w:rsidRDefault="00F34CFF" w:rsidP="0091050E">
    <w:pPr>
      <w:pStyle w:val="Header-FirstPage"/>
    </w:pPr>
  </w:p>
  <w:p w:rsidR="00F34CFF" w:rsidRPr="00460052" w:rsidRDefault="00F34CFF" w:rsidP="00460052">
    <w:pPr>
      <w:pStyle w:val="FirstPagePanelFrame"/>
      <w:framePr w:wrap="notBesid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79E8A8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EC8428"/>
    <w:lvl w:ilvl="0">
      <w:start w:val="1"/>
      <w:numFmt w:val="bullet"/>
      <w:lvlText w:val=""/>
      <w:lvlJc w:val="left"/>
      <w:pPr>
        <w:tabs>
          <w:tab w:val="num" w:pos="360"/>
        </w:tabs>
        <w:ind w:left="360" w:hanging="360"/>
      </w:pPr>
      <w:rPr>
        <w:rFonts w:ascii="Symbol" w:hAnsi="Symbol" w:hint="default"/>
      </w:rPr>
    </w:lvl>
  </w:abstractNum>
  <w:abstractNum w:abstractNumId="2">
    <w:nsid w:val="00B8322D"/>
    <w:multiLevelType w:val="hybridMultilevel"/>
    <w:tmpl w:val="9DF08D04"/>
    <w:lvl w:ilvl="0" w:tplc="73D66D0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5">
    <w:nsid w:val="08112352"/>
    <w:multiLevelType w:val="multilevel"/>
    <w:tmpl w:val="F1841220"/>
    <w:name w:val="Bullets"/>
    <w:styleLink w:val="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Arial" w:hAnsi="Arial" w:hint="default"/>
        <w:color w:val="auto"/>
      </w:rPr>
    </w:lvl>
    <w:lvl w:ilvl="2">
      <w:start w:val="1"/>
      <w:numFmt w:val="bullet"/>
      <w:pStyle w:val="Bullet3"/>
      <w:lvlText w:val="◦"/>
      <w:lvlJc w:val="left"/>
      <w:pPr>
        <w:tabs>
          <w:tab w:val="num" w:pos="1701"/>
        </w:tabs>
        <w:ind w:left="1701" w:hanging="567"/>
      </w:pPr>
      <w:rPr>
        <w:rFonts w:ascii="Georgia" w:hAnsi="Georgia" w:hint="default"/>
        <w:color w:val="auto"/>
      </w:rPr>
    </w:lvl>
    <w:lvl w:ilvl="3">
      <w:start w:val="1"/>
      <w:numFmt w:val="bullet"/>
      <w:pStyle w:val="Bullet4"/>
      <w:lvlText w:val=""/>
      <w:lvlJc w:val="left"/>
      <w:pPr>
        <w:tabs>
          <w:tab w:val="num" w:pos="2268"/>
        </w:tabs>
        <w:ind w:left="226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E4D4B3D"/>
    <w:multiLevelType w:val="hybridMultilevel"/>
    <w:tmpl w:val="6D92D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D55FA4"/>
    <w:multiLevelType w:val="hybridMultilevel"/>
    <w:tmpl w:val="E19A921E"/>
    <w:lvl w:ilvl="0" w:tplc="5A2CAB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3C4B44"/>
    <w:multiLevelType w:val="multilevel"/>
    <w:tmpl w:val="4E5C847A"/>
    <w:styleLink w:val="Indents"/>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12">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6">
    <w:nsid w:val="26F36ED6"/>
    <w:multiLevelType w:val="multilevel"/>
    <w:tmpl w:val="300CA7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584" w:hanging="1584"/>
      </w:pPr>
      <w:rPr>
        <w:rFonts w:hint="default"/>
        <w:b w:val="0"/>
        <w:i w:val="0"/>
        <w:color w:val="auto"/>
      </w:rPr>
    </w:lvl>
  </w:abstractNum>
  <w:abstractNum w:abstractNumId="17">
    <w:nsid w:val="27F4046B"/>
    <w:multiLevelType w:val="multilevel"/>
    <w:tmpl w:val="300CA7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584" w:hanging="1584"/>
      </w:pPr>
      <w:rPr>
        <w:rFonts w:hint="default"/>
        <w:b w:val="0"/>
        <w:i w:val="0"/>
        <w:color w:val="auto"/>
      </w:rPr>
    </w:lvl>
  </w:abstractNum>
  <w:abstractNum w:abstractNumId="18">
    <w:nsid w:val="283947C2"/>
    <w:multiLevelType w:val="multilevel"/>
    <w:tmpl w:val="50B20D3A"/>
    <w:numStyleLink w:val="TableNumberedListSmall"/>
  </w:abstractNum>
  <w:abstractNum w:abstractNumId="19">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1">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0850D89"/>
    <w:multiLevelType w:val="hybridMultilevel"/>
    <w:tmpl w:val="01CA1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E4F29E4"/>
    <w:multiLevelType w:val="multilevel"/>
    <w:tmpl w:val="FA0089BA"/>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26">
    <w:nsid w:val="3EE52A50"/>
    <w:multiLevelType w:val="multilevel"/>
    <w:tmpl w:val="EE12AE72"/>
    <w:name w:val="PwCListNumbers13"/>
    <w:styleLink w:val="PwCAppendixList1"/>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3B65D94"/>
    <w:multiLevelType w:val="multilevel"/>
    <w:tmpl w:val="300CA7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584" w:hanging="1584"/>
      </w:pPr>
      <w:rPr>
        <w:rFonts w:hint="default"/>
        <w:b w:val="0"/>
        <w:i w:val="0"/>
        <w:color w:val="auto"/>
      </w:rPr>
    </w:lvl>
  </w:abstractNum>
  <w:abstractNum w:abstractNumId="28">
    <w:nsid w:val="455C2525"/>
    <w:multiLevelType w:val="multilevel"/>
    <w:tmpl w:val="FA0089BA"/>
    <w:numStyleLink w:val="ChapterNumberingList"/>
  </w:abstractNum>
  <w:abstractNum w:abstractNumId="29">
    <w:nsid w:val="45632A2F"/>
    <w:multiLevelType w:val="hybridMultilevel"/>
    <w:tmpl w:val="F746F0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nsid w:val="4AAB5470"/>
    <w:multiLevelType w:val="multilevel"/>
    <w:tmpl w:val="94DC5112"/>
    <w:lvl w:ilvl="0">
      <w:start w:val="1"/>
      <w:numFmt w:val="bullet"/>
      <w:lvlRestart w:val="0"/>
      <w:pStyle w:val="ListBullet"/>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2">
    <w:nsid w:val="4C220B9F"/>
    <w:multiLevelType w:val="hybridMultilevel"/>
    <w:tmpl w:val="ED207C90"/>
    <w:lvl w:ilvl="0" w:tplc="16504CE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4">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A9B38F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5C834B6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5DC76B7F"/>
    <w:multiLevelType w:val="multilevel"/>
    <w:tmpl w:val="FD0659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b/>
        <w:i/>
      </w:rPr>
    </w:lvl>
    <w:lvl w:ilvl="7">
      <w:start w:val="1"/>
      <w:numFmt w:val="decimal"/>
      <w:pStyle w:val="Heading8"/>
      <w:lvlText w:val="%1.%2.%3.%4.%5.%6.%7.%8"/>
      <w:lvlJc w:val="left"/>
      <w:pPr>
        <w:ind w:left="1440" w:hanging="1440"/>
      </w:pPr>
      <w:rPr>
        <w:rFonts w:hint="default"/>
        <w:b w:val="0"/>
        <w:i w:val="0"/>
        <w:color w:val="auto"/>
      </w:rPr>
    </w:lvl>
    <w:lvl w:ilvl="8">
      <w:start w:val="1"/>
      <w:numFmt w:val="decimal"/>
      <w:pStyle w:val="Heading9"/>
      <w:lvlText w:val="%1.%2.%3.%4.%5.%6.%7.%8.%9"/>
      <w:lvlJc w:val="left"/>
      <w:pPr>
        <w:ind w:left="1584" w:hanging="1584"/>
      </w:pPr>
      <w:rPr>
        <w:rFonts w:hint="default"/>
        <w:b w:val="0"/>
        <w:i w:val="0"/>
        <w:color w:val="auto"/>
      </w:rPr>
    </w:lvl>
  </w:abstractNum>
  <w:abstractNum w:abstractNumId="38">
    <w:nsid w:val="5E401664"/>
    <w:multiLevelType w:val="multilevel"/>
    <w:tmpl w:val="EE12AE72"/>
    <w:name w:val="LongTOC"/>
    <w:numStyleLink w:val="PwCAppendixList1"/>
  </w:abstractNum>
  <w:abstractNum w:abstractNumId="39">
    <w:nsid w:val="60A14806"/>
    <w:multiLevelType w:val="multilevel"/>
    <w:tmpl w:val="300CA7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584" w:hanging="1584"/>
      </w:pPr>
      <w:rPr>
        <w:rFonts w:hint="default"/>
        <w:b w:val="0"/>
        <w:i w:val="0"/>
        <w:color w:val="auto"/>
      </w:rPr>
    </w:lvl>
  </w:abstractNum>
  <w:abstractNum w:abstractNumId="40">
    <w:nsid w:val="63917BB9"/>
    <w:multiLevelType w:val="multilevel"/>
    <w:tmpl w:val="4E5C847A"/>
    <w:name w:val="NumberedLists2"/>
    <w:numStyleLink w:val="Indents"/>
  </w:abstractNum>
  <w:abstractNum w:abstractNumId="41">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2">
    <w:nsid w:val="704B2AD7"/>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584" w:hanging="1584"/>
      </w:pPr>
      <w:rPr>
        <w:rFonts w:hint="default"/>
        <w:b w:val="0"/>
        <w:i w:val="0"/>
        <w:color w:val="auto"/>
      </w:rPr>
    </w:lvl>
  </w:abstractNum>
  <w:abstractNum w:abstractNumId="43">
    <w:nsid w:val="7F082DBB"/>
    <w:multiLevelType w:val="multilevel"/>
    <w:tmpl w:val="300CA74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b/>
        <w:i/>
      </w:rPr>
    </w:lvl>
    <w:lvl w:ilvl="7">
      <w:start w:val="1"/>
      <w:numFmt w:val="decimal"/>
      <w:lvlText w:val="%1.%2.%3.%4.%5.%6.%7.%8"/>
      <w:lvlJc w:val="left"/>
      <w:pPr>
        <w:ind w:left="1440" w:hanging="1440"/>
      </w:pPr>
      <w:rPr>
        <w:rFonts w:hint="default"/>
        <w:b w:val="0"/>
        <w:i w:val="0"/>
        <w:color w:val="auto"/>
      </w:rPr>
    </w:lvl>
    <w:lvl w:ilvl="8">
      <w:start w:val="1"/>
      <w:numFmt w:val="decimal"/>
      <w:lvlText w:val="%1.%2.%3.%4.%5.%6.%7.%8.%9"/>
      <w:lvlJc w:val="left"/>
      <w:pPr>
        <w:ind w:left="1584" w:hanging="1584"/>
      </w:pPr>
      <w:rPr>
        <w:rFonts w:hint="default"/>
        <w:b w:val="0"/>
        <w:i w:val="0"/>
        <w:color w:val="auto"/>
      </w:rPr>
    </w:lvl>
  </w:abstractNum>
  <w:num w:numId="1">
    <w:abstractNumId w:val="4"/>
  </w:num>
  <w:num w:numId="2">
    <w:abstractNumId w:val="11"/>
  </w:num>
  <w:num w:numId="3">
    <w:abstractNumId w:val="30"/>
  </w:num>
  <w:num w:numId="4">
    <w:abstractNumId w:val="41"/>
  </w:num>
  <w:num w:numId="5">
    <w:abstractNumId w:val="31"/>
  </w:num>
  <w:num w:numId="6">
    <w:abstractNumId w:val="33"/>
  </w:num>
  <w:num w:numId="7">
    <w:abstractNumId w:val="20"/>
  </w:num>
  <w:num w:numId="8">
    <w:abstractNumId w:val="23"/>
  </w:num>
  <w:num w:numId="9">
    <w:abstractNumId w:val="40"/>
  </w:num>
  <w:num w:numId="10">
    <w:abstractNumId w:val="6"/>
  </w:num>
  <w:num w:numId="11">
    <w:abstractNumId w:val="26"/>
  </w:num>
  <w:num w:numId="12">
    <w:abstractNumId w:val="38"/>
  </w:num>
  <w:num w:numId="13">
    <w:abstractNumId w:val="7"/>
  </w:num>
  <w:num w:numId="14">
    <w:abstractNumId w:val="15"/>
  </w:num>
  <w:num w:numId="15">
    <w:abstractNumId w:val="19"/>
  </w:num>
  <w:num w:numId="16">
    <w:abstractNumId w:val="12"/>
  </w:num>
  <w:num w:numId="17">
    <w:abstractNumId w:val="18"/>
  </w:num>
  <w:num w:numId="18">
    <w:abstractNumId w:val="13"/>
  </w:num>
  <w:num w:numId="19">
    <w:abstractNumId w:val="8"/>
  </w:num>
  <w:num w:numId="20">
    <w:abstractNumId w:val="14"/>
  </w:num>
  <w:num w:numId="21">
    <w:abstractNumId w:val="3"/>
  </w:num>
  <w:num w:numId="22">
    <w:abstractNumId w:val="21"/>
  </w:num>
  <w:num w:numId="23">
    <w:abstractNumId w:val="5"/>
  </w:num>
  <w:num w:numId="24">
    <w:abstractNumId w:val="34"/>
  </w:num>
  <w:num w:numId="25">
    <w:abstractNumId w:val="25"/>
  </w:num>
  <w:num w:numId="26">
    <w:abstractNumId w:val="28"/>
  </w:num>
  <w:num w:numId="27">
    <w:abstractNumId w:val="37"/>
  </w:num>
  <w:num w:numId="28">
    <w:abstractNumId w:val="10"/>
  </w:num>
  <w:num w:numId="29">
    <w:abstractNumId w:val="0"/>
  </w:num>
  <w:num w:numId="30">
    <w:abstractNumId w:val="22"/>
  </w:num>
  <w:num w:numId="31">
    <w:abstractNumId w:val="9"/>
  </w:num>
  <w:num w:numId="32">
    <w:abstractNumId w:val="1"/>
  </w:num>
  <w:num w:numId="33">
    <w:abstractNumId w:val="2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0"/>
  </w:num>
  <w:num w:numId="40">
    <w:abstractNumId w:val="40"/>
  </w:num>
  <w:num w:numId="41">
    <w:abstractNumId w:val="42"/>
  </w:num>
  <w:num w:numId="42">
    <w:abstractNumId w:val="36"/>
  </w:num>
  <w:num w:numId="43">
    <w:abstractNumId w:val="32"/>
  </w:num>
  <w:num w:numId="44">
    <w:abstractNumId w:val="35"/>
  </w:num>
  <w:num w:numId="45">
    <w:abstractNumId w:val="43"/>
  </w:num>
  <w:num w:numId="46">
    <w:abstractNumId w:val="16"/>
  </w:num>
  <w:num w:numId="47">
    <w:abstractNumId w:val="27"/>
  </w:num>
  <w:num w:numId="48">
    <w:abstractNumId w:val="39"/>
  </w:num>
  <w:num w:numId="4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9"/>
  <w:proofState w:spelling="clean" w:grammar="clean"/>
  <w:attachedTemplate r:id="rId1"/>
  <w:stylePaneFormatFilter w:val="3B28" w:allStyles="0" w:customStyles="0" w:latentStyles="0" w:stylesInUse="1" w:headingStyles="1" w:numberingStyles="0" w:tableStyles="0" w:directFormattingOnRuns="1" w:directFormattingOnParagraphs="1" w:directFormattingOnNumbering="0" w:directFormattingOnTables="1" w:clearFormatting="1" w:top3HeadingStyles="1"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2147" fillcolor="none [3215]" stroke="f">
      <v:fill color="none [3215]"/>
      <v:stroke on="f"/>
    </o:shapedefaults>
    <o:shapelayout v:ext="edit">
      <o:idmap v:ext="edit" data="2"/>
      <o:rules v:ext="edit">
        <o:r id="V:Rule91" type="connector" idref="#AutoShape 36"/>
        <o:r id="V:Rule92" type="connector" idref="#AutoShape 56"/>
        <o:r id="V:Rule93" type="connector" idref="#AutoShape 28"/>
        <o:r id="V:Rule94" type="connector" idref="#AutoShape 34"/>
        <o:r id="V:Rule95" type="connector" idref="#AutoShape 5"/>
        <o:r id="V:Rule96" type="connector" idref="#AutoShape 76"/>
        <o:r id="V:Rule97" type="connector" idref="#AutoShape 10"/>
        <o:r id="V:Rule98" type="connector" idref="#AutoShape 8"/>
        <o:r id="V:Rule99" type="connector" idref="#AutoShape 11"/>
        <o:r id="V:Rule100" type="connector" idref="#AutoShape 16"/>
        <o:r id="V:Rule101" type="connector" idref="#AutoShape 57"/>
        <o:r id="V:Rule102" type="connector" idref="#AutoShape 26"/>
        <o:r id="V:Rule103" type="connector" idref="#AutoShape 21"/>
        <o:r id="V:Rule104" type="connector" idref="#AutoShape 15"/>
        <o:r id="V:Rule105" type="connector" idref="#AutoShape 33"/>
        <o:r id="V:Rule106" type="connector" idref="#AutoShape 32"/>
        <o:r id="V:Rule107" type="connector" idref="#AutoShape 23"/>
        <o:r id="V:Rule108" type="connector" idref="#AutoShape 62"/>
        <o:r id="V:Rule109" type="connector" idref="#AutoShape 12"/>
        <o:r id="V:Rule110" type="connector" idref="#AutoShape 61"/>
        <o:r id="V:Rule111" type="connector" idref="#AutoShape 88"/>
        <o:r id="V:Rule112" type="connector" idref="#AutoShape 29"/>
        <o:r id="V:Rule113" type="connector" idref="#AutoShape 80"/>
        <o:r id="V:Rule114" type="connector" idref="#AutoShape 20"/>
        <o:r id="V:Rule115" type="connector" idref="#AutoShape 68"/>
        <o:r id="V:Rule116" type="connector" idref="#AutoShape 92"/>
        <o:r id="V:Rule117" type="connector" idref="#AutoShape 45"/>
        <o:r id="V:Rule118" type="connector" idref="#AutoShape 84"/>
        <o:r id="V:Rule119" type="connector" idref="#AutoShape 43"/>
        <o:r id="V:Rule120" type="connector" idref="#AutoShape 71"/>
        <o:r id="V:Rule121" type="connector" idref="#AutoShape 25"/>
        <o:r id="V:Rule122" type="connector" idref="#AutoShape 75"/>
        <o:r id="V:Rule123" type="connector" idref="#AutoShape 14"/>
        <o:r id="V:Rule124" type="connector" idref="#AutoShape 87"/>
        <o:r id="V:Rule125" type="connector" idref="#AutoShape 70"/>
        <o:r id="V:Rule126" type="connector" idref="#AutoShape 95"/>
        <o:r id="V:Rule127" type="connector" idref="#AutoShape 48"/>
        <o:r id="V:Rule128" type="connector" idref="#AutoShape 35"/>
        <o:r id="V:Rule129" type="connector" idref="#AutoShape 82"/>
        <o:r id="V:Rule130" type="connector" idref="#AutoShape 41"/>
        <o:r id="V:Rule131" type="connector" idref="#AutoShape 31"/>
        <o:r id="V:Rule132" type="connector" idref="#AutoShape 65"/>
        <o:r id="V:Rule133" type="connector" idref="#AutoShape 83"/>
        <o:r id="V:Rule134" type="connector" idref="#AutoShape 54"/>
        <o:r id="V:Rule135" type="connector" idref="#AutoShape 24"/>
        <o:r id="V:Rule136" type="connector" idref="#AutoShape 18"/>
        <o:r id="V:Rule137" type="connector" idref="#AutoShape 64"/>
        <o:r id="V:Rule138" type="connector" idref="#AutoShape 9"/>
        <o:r id="V:Rule139" type="connector" idref="#AutoShape 97"/>
        <o:r id="V:Rule140" type="connector" idref="#AutoShape 60"/>
        <o:r id="V:Rule141" type="connector" idref="#AutoShape 38"/>
        <o:r id="V:Rule142" type="connector" idref="#AutoShape 27"/>
        <o:r id="V:Rule143" type="connector" idref="#AutoShape 94"/>
        <o:r id="V:Rule144" type="connector" idref="#AutoShape 49"/>
        <o:r id="V:Rule145" type="connector" idref="#AutoShape 59"/>
        <o:r id="V:Rule146" type="connector" idref="#AutoShape 40"/>
        <o:r id="V:Rule147" type="connector" idref="#AutoShape 72"/>
        <o:r id="V:Rule148" type="connector" idref="#AutoShape 30"/>
        <o:r id="V:Rule149" type="connector" idref="#AutoShape 89"/>
        <o:r id="V:Rule150" type="connector" idref="#AutoShape 19"/>
        <o:r id="V:Rule151" type="connector" idref="#AutoShape 58"/>
        <o:r id="V:Rule152" type="connector" idref="#AutoShape 44"/>
        <o:r id="V:Rule153" type="connector" idref="#AutoShape 42"/>
        <o:r id="V:Rule154" type="connector" idref="#AutoShape 91"/>
        <o:r id="V:Rule155" type="connector" idref="#AutoShape 3"/>
        <o:r id="V:Rule156" type="connector" idref="#AutoShape 4"/>
        <o:r id="V:Rule157" type="connector" idref="#AutoShape 63"/>
        <o:r id="V:Rule158" type="connector" idref="#AutoShape 74"/>
        <o:r id="V:Rule159" type="connector" idref="#AutoShape 47"/>
        <o:r id="V:Rule160" type="connector" idref="#AutoShape 73"/>
        <o:r id="V:Rule161" type="connector" idref="#AutoShape 52"/>
        <o:r id="V:Rule162" type="connector" idref="#AutoShape 13"/>
        <o:r id="V:Rule163" type="connector" idref="#AutoShape 6"/>
        <o:r id="V:Rule164" type="connector" idref="#AutoShape 53"/>
        <o:r id="V:Rule165" type="connector" idref="#AutoShape 22"/>
        <o:r id="V:Rule166" type="connector" idref="#AutoShape 93"/>
        <o:r id="V:Rule167" type="connector" idref="#AutoShape 81"/>
        <o:r id="V:Rule168" type="connector" idref="#AutoShape 98"/>
        <o:r id="V:Rule169" type="connector" idref="#AutoShape 69"/>
        <o:r id="V:Rule170" type="connector" idref="#AutoShape 85"/>
        <o:r id="V:Rule171" type="connector" idref="#AutoShape 46"/>
        <o:r id="V:Rule172" type="connector" idref="#AutoShape 79"/>
        <o:r id="V:Rule173" type="connector" idref="#AutoShape 7"/>
        <o:r id="V:Rule174" type="connector" idref="#AutoShape 78"/>
        <o:r id="V:Rule175" type="connector" idref="#AutoShape 67"/>
        <o:r id="V:Rule176" type="connector" idref="#AutoShape 55"/>
        <o:r id="V:Rule177" type="connector" idref="#AutoShape 90"/>
        <o:r id="V:Rule178" type="connector" idref="#AutoShape 96"/>
        <o:r id="V:Rule179" type="connector" idref="#AutoShape 39"/>
        <o:r id="V:Rule180" type="connector" idref="#AutoShape 77"/>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7F04C0"/>
    <w:rsid w:val="00000267"/>
    <w:rsid w:val="00000E07"/>
    <w:rsid w:val="000010DC"/>
    <w:rsid w:val="00001404"/>
    <w:rsid w:val="00002F7F"/>
    <w:rsid w:val="00002F85"/>
    <w:rsid w:val="000032CC"/>
    <w:rsid w:val="000046CA"/>
    <w:rsid w:val="00005CEB"/>
    <w:rsid w:val="00006B9F"/>
    <w:rsid w:val="00006DC6"/>
    <w:rsid w:val="00007406"/>
    <w:rsid w:val="00007EFD"/>
    <w:rsid w:val="00011B56"/>
    <w:rsid w:val="00012977"/>
    <w:rsid w:val="000139AD"/>
    <w:rsid w:val="000144DE"/>
    <w:rsid w:val="000148A7"/>
    <w:rsid w:val="000149EC"/>
    <w:rsid w:val="00014DC0"/>
    <w:rsid w:val="00015271"/>
    <w:rsid w:val="00015598"/>
    <w:rsid w:val="00015F3F"/>
    <w:rsid w:val="000165FF"/>
    <w:rsid w:val="0001755C"/>
    <w:rsid w:val="00020040"/>
    <w:rsid w:val="000203C2"/>
    <w:rsid w:val="00020F7F"/>
    <w:rsid w:val="00020F8D"/>
    <w:rsid w:val="000219D0"/>
    <w:rsid w:val="00023712"/>
    <w:rsid w:val="0002400B"/>
    <w:rsid w:val="00025387"/>
    <w:rsid w:val="000257C8"/>
    <w:rsid w:val="00026292"/>
    <w:rsid w:val="00026BE2"/>
    <w:rsid w:val="00026CAA"/>
    <w:rsid w:val="00027B5F"/>
    <w:rsid w:val="0003004A"/>
    <w:rsid w:val="000308DC"/>
    <w:rsid w:val="00031309"/>
    <w:rsid w:val="000317A6"/>
    <w:rsid w:val="000324F8"/>
    <w:rsid w:val="00032FB2"/>
    <w:rsid w:val="00033E5E"/>
    <w:rsid w:val="00035288"/>
    <w:rsid w:val="000354AF"/>
    <w:rsid w:val="00035527"/>
    <w:rsid w:val="0003687B"/>
    <w:rsid w:val="000368D4"/>
    <w:rsid w:val="00036CDA"/>
    <w:rsid w:val="00037569"/>
    <w:rsid w:val="00040BC7"/>
    <w:rsid w:val="00041787"/>
    <w:rsid w:val="00041E14"/>
    <w:rsid w:val="00042109"/>
    <w:rsid w:val="00043650"/>
    <w:rsid w:val="00044237"/>
    <w:rsid w:val="000444FF"/>
    <w:rsid w:val="00045139"/>
    <w:rsid w:val="00046EC9"/>
    <w:rsid w:val="000473AE"/>
    <w:rsid w:val="00047714"/>
    <w:rsid w:val="000506A5"/>
    <w:rsid w:val="00050ACB"/>
    <w:rsid w:val="00051862"/>
    <w:rsid w:val="0005222A"/>
    <w:rsid w:val="00053207"/>
    <w:rsid w:val="00053B82"/>
    <w:rsid w:val="000544E6"/>
    <w:rsid w:val="00054C40"/>
    <w:rsid w:val="00055A6A"/>
    <w:rsid w:val="00055BAE"/>
    <w:rsid w:val="0005674C"/>
    <w:rsid w:val="000606D1"/>
    <w:rsid w:val="00060A42"/>
    <w:rsid w:val="00061068"/>
    <w:rsid w:val="000619A2"/>
    <w:rsid w:val="00061DA1"/>
    <w:rsid w:val="00063503"/>
    <w:rsid w:val="00063BE4"/>
    <w:rsid w:val="00063FB8"/>
    <w:rsid w:val="00064A4C"/>
    <w:rsid w:val="00064B40"/>
    <w:rsid w:val="00064EB8"/>
    <w:rsid w:val="0006530A"/>
    <w:rsid w:val="000679F1"/>
    <w:rsid w:val="00067EC5"/>
    <w:rsid w:val="00070164"/>
    <w:rsid w:val="000701EA"/>
    <w:rsid w:val="00070486"/>
    <w:rsid w:val="00070875"/>
    <w:rsid w:val="000713BA"/>
    <w:rsid w:val="000743B8"/>
    <w:rsid w:val="00075C1A"/>
    <w:rsid w:val="00076C97"/>
    <w:rsid w:val="000778D4"/>
    <w:rsid w:val="00077EBF"/>
    <w:rsid w:val="00080AF8"/>
    <w:rsid w:val="0008139D"/>
    <w:rsid w:val="00081A58"/>
    <w:rsid w:val="00082CD9"/>
    <w:rsid w:val="00083051"/>
    <w:rsid w:val="000847B3"/>
    <w:rsid w:val="00086603"/>
    <w:rsid w:val="00087745"/>
    <w:rsid w:val="00087C5B"/>
    <w:rsid w:val="000900F1"/>
    <w:rsid w:val="000905BA"/>
    <w:rsid w:val="00090AAB"/>
    <w:rsid w:val="00091458"/>
    <w:rsid w:val="00092362"/>
    <w:rsid w:val="00092ADD"/>
    <w:rsid w:val="00092DDD"/>
    <w:rsid w:val="0009340E"/>
    <w:rsid w:val="00093A10"/>
    <w:rsid w:val="00094408"/>
    <w:rsid w:val="00096CE6"/>
    <w:rsid w:val="00096F31"/>
    <w:rsid w:val="00097201"/>
    <w:rsid w:val="000A02E2"/>
    <w:rsid w:val="000A0570"/>
    <w:rsid w:val="000A0836"/>
    <w:rsid w:val="000A1F3F"/>
    <w:rsid w:val="000A38AA"/>
    <w:rsid w:val="000A4154"/>
    <w:rsid w:val="000A4352"/>
    <w:rsid w:val="000A51EE"/>
    <w:rsid w:val="000A58F4"/>
    <w:rsid w:val="000A6014"/>
    <w:rsid w:val="000A6874"/>
    <w:rsid w:val="000A6F12"/>
    <w:rsid w:val="000A744F"/>
    <w:rsid w:val="000B0862"/>
    <w:rsid w:val="000B1068"/>
    <w:rsid w:val="000B195F"/>
    <w:rsid w:val="000B1B5A"/>
    <w:rsid w:val="000B319E"/>
    <w:rsid w:val="000B510F"/>
    <w:rsid w:val="000B5AFD"/>
    <w:rsid w:val="000B61EE"/>
    <w:rsid w:val="000B62A0"/>
    <w:rsid w:val="000B65CE"/>
    <w:rsid w:val="000B711E"/>
    <w:rsid w:val="000B741C"/>
    <w:rsid w:val="000B7AC9"/>
    <w:rsid w:val="000B7E22"/>
    <w:rsid w:val="000C009C"/>
    <w:rsid w:val="000C0DC8"/>
    <w:rsid w:val="000C10E3"/>
    <w:rsid w:val="000C2042"/>
    <w:rsid w:val="000C312A"/>
    <w:rsid w:val="000C3423"/>
    <w:rsid w:val="000C4821"/>
    <w:rsid w:val="000C56BD"/>
    <w:rsid w:val="000C5D73"/>
    <w:rsid w:val="000C5EEC"/>
    <w:rsid w:val="000C6F10"/>
    <w:rsid w:val="000D21C3"/>
    <w:rsid w:val="000D2785"/>
    <w:rsid w:val="000D2FC9"/>
    <w:rsid w:val="000D3B7B"/>
    <w:rsid w:val="000D3C42"/>
    <w:rsid w:val="000D3C62"/>
    <w:rsid w:val="000D4527"/>
    <w:rsid w:val="000D672E"/>
    <w:rsid w:val="000E0E16"/>
    <w:rsid w:val="000E126D"/>
    <w:rsid w:val="000E14AD"/>
    <w:rsid w:val="000E2F96"/>
    <w:rsid w:val="000E3802"/>
    <w:rsid w:val="000E5C1C"/>
    <w:rsid w:val="000E5D59"/>
    <w:rsid w:val="000E6525"/>
    <w:rsid w:val="000E65B2"/>
    <w:rsid w:val="000E751E"/>
    <w:rsid w:val="000E7917"/>
    <w:rsid w:val="000E7BB5"/>
    <w:rsid w:val="000F118B"/>
    <w:rsid w:val="000F4B88"/>
    <w:rsid w:val="000F4EB8"/>
    <w:rsid w:val="000F52FA"/>
    <w:rsid w:val="000F5BBE"/>
    <w:rsid w:val="000F76FF"/>
    <w:rsid w:val="000F77C6"/>
    <w:rsid w:val="001002E4"/>
    <w:rsid w:val="00100753"/>
    <w:rsid w:val="001013F4"/>
    <w:rsid w:val="001015D1"/>
    <w:rsid w:val="00101E7E"/>
    <w:rsid w:val="001026F1"/>
    <w:rsid w:val="00103591"/>
    <w:rsid w:val="00105AA9"/>
    <w:rsid w:val="00106911"/>
    <w:rsid w:val="00106A12"/>
    <w:rsid w:val="00111324"/>
    <w:rsid w:val="00111544"/>
    <w:rsid w:val="00112A1C"/>
    <w:rsid w:val="00113D7F"/>
    <w:rsid w:val="0011421B"/>
    <w:rsid w:val="001148A2"/>
    <w:rsid w:val="00116C85"/>
    <w:rsid w:val="001179B7"/>
    <w:rsid w:val="00117D9C"/>
    <w:rsid w:val="001226BE"/>
    <w:rsid w:val="00123EF1"/>
    <w:rsid w:val="00124E9B"/>
    <w:rsid w:val="00125AFC"/>
    <w:rsid w:val="00126526"/>
    <w:rsid w:val="00126AFF"/>
    <w:rsid w:val="00126DC3"/>
    <w:rsid w:val="00127187"/>
    <w:rsid w:val="00127829"/>
    <w:rsid w:val="00127DCA"/>
    <w:rsid w:val="00130007"/>
    <w:rsid w:val="00130727"/>
    <w:rsid w:val="00130745"/>
    <w:rsid w:val="00132EED"/>
    <w:rsid w:val="001334EE"/>
    <w:rsid w:val="0013356C"/>
    <w:rsid w:val="00135AE9"/>
    <w:rsid w:val="00137B03"/>
    <w:rsid w:val="0014062F"/>
    <w:rsid w:val="00141457"/>
    <w:rsid w:val="001415DD"/>
    <w:rsid w:val="001420B0"/>
    <w:rsid w:val="00142F9D"/>
    <w:rsid w:val="001436B6"/>
    <w:rsid w:val="00145F3B"/>
    <w:rsid w:val="001469D4"/>
    <w:rsid w:val="00146E85"/>
    <w:rsid w:val="0014703A"/>
    <w:rsid w:val="001476BD"/>
    <w:rsid w:val="001476BE"/>
    <w:rsid w:val="0015001A"/>
    <w:rsid w:val="0015174C"/>
    <w:rsid w:val="00151CF3"/>
    <w:rsid w:val="0015251A"/>
    <w:rsid w:val="0015303F"/>
    <w:rsid w:val="001538FB"/>
    <w:rsid w:val="00155FE3"/>
    <w:rsid w:val="00157444"/>
    <w:rsid w:val="001604B6"/>
    <w:rsid w:val="00161BA2"/>
    <w:rsid w:val="00162072"/>
    <w:rsid w:val="0016383D"/>
    <w:rsid w:val="0016454D"/>
    <w:rsid w:val="00164A8D"/>
    <w:rsid w:val="00165AC0"/>
    <w:rsid w:val="0016607B"/>
    <w:rsid w:val="00166AE4"/>
    <w:rsid w:val="00166F4F"/>
    <w:rsid w:val="00167EE0"/>
    <w:rsid w:val="00167F7E"/>
    <w:rsid w:val="00170238"/>
    <w:rsid w:val="001708CB"/>
    <w:rsid w:val="00170DF6"/>
    <w:rsid w:val="00172A8C"/>
    <w:rsid w:val="00174029"/>
    <w:rsid w:val="00174043"/>
    <w:rsid w:val="0017416F"/>
    <w:rsid w:val="00176D38"/>
    <w:rsid w:val="00180895"/>
    <w:rsid w:val="00181EAE"/>
    <w:rsid w:val="001824CB"/>
    <w:rsid w:val="00182598"/>
    <w:rsid w:val="001827F1"/>
    <w:rsid w:val="00184855"/>
    <w:rsid w:val="00185379"/>
    <w:rsid w:val="001856FB"/>
    <w:rsid w:val="00185720"/>
    <w:rsid w:val="00185E01"/>
    <w:rsid w:val="00185F6F"/>
    <w:rsid w:val="001861C1"/>
    <w:rsid w:val="00187218"/>
    <w:rsid w:val="00190483"/>
    <w:rsid w:val="001920BE"/>
    <w:rsid w:val="00192241"/>
    <w:rsid w:val="00192A42"/>
    <w:rsid w:val="00192F51"/>
    <w:rsid w:val="0019311B"/>
    <w:rsid w:val="00193397"/>
    <w:rsid w:val="00193601"/>
    <w:rsid w:val="00197937"/>
    <w:rsid w:val="00197C7A"/>
    <w:rsid w:val="00197DC7"/>
    <w:rsid w:val="001A01CF"/>
    <w:rsid w:val="001A129B"/>
    <w:rsid w:val="001A1C17"/>
    <w:rsid w:val="001A1F9E"/>
    <w:rsid w:val="001A24EE"/>
    <w:rsid w:val="001A2696"/>
    <w:rsid w:val="001A47EC"/>
    <w:rsid w:val="001A529E"/>
    <w:rsid w:val="001A55E5"/>
    <w:rsid w:val="001A6378"/>
    <w:rsid w:val="001A719B"/>
    <w:rsid w:val="001A79F7"/>
    <w:rsid w:val="001B056B"/>
    <w:rsid w:val="001B07C7"/>
    <w:rsid w:val="001B154C"/>
    <w:rsid w:val="001B1E72"/>
    <w:rsid w:val="001B2382"/>
    <w:rsid w:val="001B3327"/>
    <w:rsid w:val="001B34FF"/>
    <w:rsid w:val="001B3C7F"/>
    <w:rsid w:val="001B5229"/>
    <w:rsid w:val="001B58F2"/>
    <w:rsid w:val="001B59F3"/>
    <w:rsid w:val="001B6322"/>
    <w:rsid w:val="001B678D"/>
    <w:rsid w:val="001C2061"/>
    <w:rsid w:val="001C28BE"/>
    <w:rsid w:val="001C32F9"/>
    <w:rsid w:val="001C345C"/>
    <w:rsid w:val="001C447B"/>
    <w:rsid w:val="001C47A5"/>
    <w:rsid w:val="001C4FE3"/>
    <w:rsid w:val="001C5F00"/>
    <w:rsid w:val="001C6506"/>
    <w:rsid w:val="001C651B"/>
    <w:rsid w:val="001C6D16"/>
    <w:rsid w:val="001D01DE"/>
    <w:rsid w:val="001D11DC"/>
    <w:rsid w:val="001D13C8"/>
    <w:rsid w:val="001D1AF5"/>
    <w:rsid w:val="001D2237"/>
    <w:rsid w:val="001D29AE"/>
    <w:rsid w:val="001D3DD1"/>
    <w:rsid w:val="001D65CA"/>
    <w:rsid w:val="001D7070"/>
    <w:rsid w:val="001E06FE"/>
    <w:rsid w:val="001E2A65"/>
    <w:rsid w:val="001E2F91"/>
    <w:rsid w:val="001E31A4"/>
    <w:rsid w:val="001E3EA7"/>
    <w:rsid w:val="001E41D9"/>
    <w:rsid w:val="001E5304"/>
    <w:rsid w:val="001E5CE4"/>
    <w:rsid w:val="001E620F"/>
    <w:rsid w:val="001E62C4"/>
    <w:rsid w:val="001E6A5E"/>
    <w:rsid w:val="001E6CE0"/>
    <w:rsid w:val="001E725C"/>
    <w:rsid w:val="001F010B"/>
    <w:rsid w:val="001F0210"/>
    <w:rsid w:val="001F0793"/>
    <w:rsid w:val="001F0DAD"/>
    <w:rsid w:val="001F1DD9"/>
    <w:rsid w:val="001F2BB2"/>
    <w:rsid w:val="001F2C4E"/>
    <w:rsid w:val="001F3220"/>
    <w:rsid w:val="001F3C82"/>
    <w:rsid w:val="001F55EB"/>
    <w:rsid w:val="001F68EB"/>
    <w:rsid w:val="001F74DE"/>
    <w:rsid w:val="001F7545"/>
    <w:rsid w:val="001F765D"/>
    <w:rsid w:val="001F798F"/>
    <w:rsid w:val="0020128E"/>
    <w:rsid w:val="002014CF"/>
    <w:rsid w:val="00201A8D"/>
    <w:rsid w:val="00202810"/>
    <w:rsid w:val="002030A3"/>
    <w:rsid w:val="00203710"/>
    <w:rsid w:val="00204F10"/>
    <w:rsid w:val="00205D40"/>
    <w:rsid w:val="00207E36"/>
    <w:rsid w:val="00210620"/>
    <w:rsid w:val="002108D1"/>
    <w:rsid w:val="0021094E"/>
    <w:rsid w:val="00211347"/>
    <w:rsid w:val="00211991"/>
    <w:rsid w:val="00213C42"/>
    <w:rsid w:val="002148EC"/>
    <w:rsid w:val="0021538F"/>
    <w:rsid w:val="0021543C"/>
    <w:rsid w:val="00215D7C"/>
    <w:rsid w:val="00215E7D"/>
    <w:rsid w:val="00217154"/>
    <w:rsid w:val="00221677"/>
    <w:rsid w:val="002219F5"/>
    <w:rsid w:val="00221B74"/>
    <w:rsid w:val="002228B6"/>
    <w:rsid w:val="00222EC0"/>
    <w:rsid w:val="002235B8"/>
    <w:rsid w:val="00224BA5"/>
    <w:rsid w:val="00224C34"/>
    <w:rsid w:val="0022536B"/>
    <w:rsid w:val="00225BF4"/>
    <w:rsid w:val="002263E0"/>
    <w:rsid w:val="00226D9B"/>
    <w:rsid w:val="00230266"/>
    <w:rsid w:val="0023064C"/>
    <w:rsid w:val="00231135"/>
    <w:rsid w:val="0023197F"/>
    <w:rsid w:val="002330A0"/>
    <w:rsid w:val="00234835"/>
    <w:rsid w:val="00234F3A"/>
    <w:rsid w:val="002353A9"/>
    <w:rsid w:val="00235653"/>
    <w:rsid w:val="0023597B"/>
    <w:rsid w:val="00235E6E"/>
    <w:rsid w:val="00236445"/>
    <w:rsid w:val="00237BCC"/>
    <w:rsid w:val="002407B2"/>
    <w:rsid w:val="00240FCD"/>
    <w:rsid w:val="00241695"/>
    <w:rsid w:val="00243644"/>
    <w:rsid w:val="002445FF"/>
    <w:rsid w:val="0024482C"/>
    <w:rsid w:val="00245400"/>
    <w:rsid w:val="00245C02"/>
    <w:rsid w:val="00247067"/>
    <w:rsid w:val="00247954"/>
    <w:rsid w:val="002504DF"/>
    <w:rsid w:val="00250C61"/>
    <w:rsid w:val="00253408"/>
    <w:rsid w:val="002534B3"/>
    <w:rsid w:val="00254285"/>
    <w:rsid w:val="002542AB"/>
    <w:rsid w:val="0025481F"/>
    <w:rsid w:val="00254D4F"/>
    <w:rsid w:val="00255ECC"/>
    <w:rsid w:val="00256B17"/>
    <w:rsid w:val="00257062"/>
    <w:rsid w:val="002570A9"/>
    <w:rsid w:val="00257526"/>
    <w:rsid w:val="00257794"/>
    <w:rsid w:val="00260B1B"/>
    <w:rsid w:val="00260D71"/>
    <w:rsid w:val="002618BC"/>
    <w:rsid w:val="002627A5"/>
    <w:rsid w:val="002628D1"/>
    <w:rsid w:val="002638C2"/>
    <w:rsid w:val="002639CC"/>
    <w:rsid w:val="00263AE9"/>
    <w:rsid w:val="00265C34"/>
    <w:rsid w:val="0026608B"/>
    <w:rsid w:val="00266A04"/>
    <w:rsid w:val="00270109"/>
    <w:rsid w:val="00270144"/>
    <w:rsid w:val="002709D2"/>
    <w:rsid w:val="00272960"/>
    <w:rsid w:val="00273234"/>
    <w:rsid w:val="002736C6"/>
    <w:rsid w:val="00273D52"/>
    <w:rsid w:val="002745E9"/>
    <w:rsid w:val="0027472A"/>
    <w:rsid w:val="00275248"/>
    <w:rsid w:val="00275813"/>
    <w:rsid w:val="00276748"/>
    <w:rsid w:val="00276DF5"/>
    <w:rsid w:val="00280476"/>
    <w:rsid w:val="002809F2"/>
    <w:rsid w:val="00281EAB"/>
    <w:rsid w:val="00281F92"/>
    <w:rsid w:val="002821EF"/>
    <w:rsid w:val="002825BF"/>
    <w:rsid w:val="002827D9"/>
    <w:rsid w:val="00282F45"/>
    <w:rsid w:val="00283175"/>
    <w:rsid w:val="002833F5"/>
    <w:rsid w:val="002850FC"/>
    <w:rsid w:val="00285167"/>
    <w:rsid w:val="00285547"/>
    <w:rsid w:val="0028561C"/>
    <w:rsid w:val="00285AAD"/>
    <w:rsid w:val="0028639C"/>
    <w:rsid w:val="00287BBC"/>
    <w:rsid w:val="002908C9"/>
    <w:rsid w:val="00292B95"/>
    <w:rsid w:val="00292BF1"/>
    <w:rsid w:val="00293D3F"/>
    <w:rsid w:val="002944C8"/>
    <w:rsid w:val="002960CE"/>
    <w:rsid w:val="00296433"/>
    <w:rsid w:val="00296814"/>
    <w:rsid w:val="00297CF4"/>
    <w:rsid w:val="002A07D8"/>
    <w:rsid w:val="002A0C42"/>
    <w:rsid w:val="002A10BB"/>
    <w:rsid w:val="002A2932"/>
    <w:rsid w:val="002A3FAD"/>
    <w:rsid w:val="002A4018"/>
    <w:rsid w:val="002A4114"/>
    <w:rsid w:val="002A5082"/>
    <w:rsid w:val="002A5202"/>
    <w:rsid w:val="002A5354"/>
    <w:rsid w:val="002A55A1"/>
    <w:rsid w:val="002A63B7"/>
    <w:rsid w:val="002A7A66"/>
    <w:rsid w:val="002A7EAB"/>
    <w:rsid w:val="002B10D1"/>
    <w:rsid w:val="002B1624"/>
    <w:rsid w:val="002B1CD2"/>
    <w:rsid w:val="002B2426"/>
    <w:rsid w:val="002B27CC"/>
    <w:rsid w:val="002B298D"/>
    <w:rsid w:val="002B3373"/>
    <w:rsid w:val="002B38D8"/>
    <w:rsid w:val="002B4C2E"/>
    <w:rsid w:val="002B4C86"/>
    <w:rsid w:val="002B5288"/>
    <w:rsid w:val="002B547E"/>
    <w:rsid w:val="002B60B6"/>
    <w:rsid w:val="002B7A82"/>
    <w:rsid w:val="002B7C8E"/>
    <w:rsid w:val="002C016F"/>
    <w:rsid w:val="002C0347"/>
    <w:rsid w:val="002C17EC"/>
    <w:rsid w:val="002C29F8"/>
    <w:rsid w:val="002C3ABA"/>
    <w:rsid w:val="002C44FC"/>
    <w:rsid w:val="002C4763"/>
    <w:rsid w:val="002C6FB3"/>
    <w:rsid w:val="002D024C"/>
    <w:rsid w:val="002D0A6D"/>
    <w:rsid w:val="002D1B11"/>
    <w:rsid w:val="002D2514"/>
    <w:rsid w:val="002D38DD"/>
    <w:rsid w:val="002D4126"/>
    <w:rsid w:val="002D4F4C"/>
    <w:rsid w:val="002D539B"/>
    <w:rsid w:val="002D5CE4"/>
    <w:rsid w:val="002D5DC3"/>
    <w:rsid w:val="002D6616"/>
    <w:rsid w:val="002D6FED"/>
    <w:rsid w:val="002E11FC"/>
    <w:rsid w:val="002E1E04"/>
    <w:rsid w:val="002E2AA4"/>
    <w:rsid w:val="002E481F"/>
    <w:rsid w:val="002E4B69"/>
    <w:rsid w:val="002E50A0"/>
    <w:rsid w:val="002E5B95"/>
    <w:rsid w:val="002E62E4"/>
    <w:rsid w:val="002E6590"/>
    <w:rsid w:val="002F02A4"/>
    <w:rsid w:val="002F10FE"/>
    <w:rsid w:val="002F235D"/>
    <w:rsid w:val="002F323F"/>
    <w:rsid w:val="002F3B91"/>
    <w:rsid w:val="002F6082"/>
    <w:rsid w:val="002F7A8E"/>
    <w:rsid w:val="0030011D"/>
    <w:rsid w:val="0030106F"/>
    <w:rsid w:val="00301999"/>
    <w:rsid w:val="00301C23"/>
    <w:rsid w:val="00302BCF"/>
    <w:rsid w:val="00302F78"/>
    <w:rsid w:val="00303067"/>
    <w:rsid w:val="00303D4D"/>
    <w:rsid w:val="00304820"/>
    <w:rsid w:val="00306F4B"/>
    <w:rsid w:val="00310381"/>
    <w:rsid w:val="003103E1"/>
    <w:rsid w:val="00310CB2"/>
    <w:rsid w:val="003146EB"/>
    <w:rsid w:val="003152B3"/>
    <w:rsid w:val="00315CD9"/>
    <w:rsid w:val="00316319"/>
    <w:rsid w:val="00317710"/>
    <w:rsid w:val="0032288D"/>
    <w:rsid w:val="00324258"/>
    <w:rsid w:val="00324F7E"/>
    <w:rsid w:val="003250F7"/>
    <w:rsid w:val="00325697"/>
    <w:rsid w:val="00325C37"/>
    <w:rsid w:val="00325FD3"/>
    <w:rsid w:val="0032654B"/>
    <w:rsid w:val="003270A5"/>
    <w:rsid w:val="00327C6B"/>
    <w:rsid w:val="00327ED2"/>
    <w:rsid w:val="00330A1A"/>
    <w:rsid w:val="00330EAA"/>
    <w:rsid w:val="003318BA"/>
    <w:rsid w:val="00331DAA"/>
    <w:rsid w:val="003343D7"/>
    <w:rsid w:val="00334CDC"/>
    <w:rsid w:val="00335A94"/>
    <w:rsid w:val="003362AA"/>
    <w:rsid w:val="003364E5"/>
    <w:rsid w:val="00340545"/>
    <w:rsid w:val="00340549"/>
    <w:rsid w:val="00342685"/>
    <w:rsid w:val="0034289D"/>
    <w:rsid w:val="00342966"/>
    <w:rsid w:val="00342D68"/>
    <w:rsid w:val="003445FC"/>
    <w:rsid w:val="00345095"/>
    <w:rsid w:val="00346235"/>
    <w:rsid w:val="00350B99"/>
    <w:rsid w:val="00351241"/>
    <w:rsid w:val="00351DE1"/>
    <w:rsid w:val="00351FA6"/>
    <w:rsid w:val="003522D8"/>
    <w:rsid w:val="00352966"/>
    <w:rsid w:val="0035350F"/>
    <w:rsid w:val="0035429F"/>
    <w:rsid w:val="0035498F"/>
    <w:rsid w:val="00354ADA"/>
    <w:rsid w:val="00357088"/>
    <w:rsid w:val="003600D8"/>
    <w:rsid w:val="00360109"/>
    <w:rsid w:val="00360615"/>
    <w:rsid w:val="00360FA3"/>
    <w:rsid w:val="003613F0"/>
    <w:rsid w:val="00364D0E"/>
    <w:rsid w:val="00365253"/>
    <w:rsid w:val="00365903"/>
    <w:rsid w:val="00366205"/>
    <w:rsid w:val="00367142"/>
    <w:rsid w:val="00367462"/>
    <w:rsid w:val="00367555"/>
    <w:rsid w:val="003675CA"/>
    <w:rsid w:val="00367708"/>
    <w:rsid w:val="00367B96"/>
    <w:rsid w:val="003719B5"/>
    <w:rsid w:val="00373B4F"/>
    <w:rsid w:val="0037694D"/>
    <w:rsid w:val="0037696F"/>
    <w:rsid w:val="003769C7"/>
    <w:rsid w:val="00376C55"/>
    <w:rsid w:val="00377556"/>
    <w:rsid w:val="003779E0"/>
    <w:rsid w:val="0038008F"/>
    <w:rsid w:val="0038033A"/>
    <w:rsid w:val="0038042A"/>
    <w:rsid w:val="00380F77"/>
    <w:rsid w:val="00381350"/>
    <w:rsid w:val="0038213B"/>
    <w:rsid w:val="00382A9D"/>
    <w:rsid w:val="00382AC6"/>
    <w:rsid w:val="00384632"/>
    <w:rsid w:val="00384AB2"/>
    <w:rsid w:val="00385431"/>
    <w:rsid w:val="003854AB"/>
    <w:rsid w:val="00385B5F"/>
    <w:rsid w:val="00392372"/>
    <w:rsid w:val="00392564"/>
    <w:rsid w:val="003929DD"/>
    <w:rsid w:val="003955B3"/>
    <w:rsid w:val="003962F3"/>
    <w:rsid w:val="00396422"/>
    <w:rsid w:val="003A046D"/>
    <w:rsid w:val="003A0783"/>
    <w:rsid w:val="003A10D3"/>
    <w:rsid w:val="003A1137"/>
    <w:rsid w:val="003A1808"/>
    <w:rsid w:val="003A1DD5"/>
    <w:rsid w:val="003A2E2A"/>
    <w:rsid w:val="003A3C92"/>
    <w:rsid w:val="003A4A6F"/>
    <w:rsid w:val="003A6688"/>
    <w:rsid w:val="003A797E"/>
    <w:rsid w:val="003B099C"/>
    <w:rsid w:val="003B0F95"/>
    <w:rsid w:val="003B1871"/>
    <w:rsid w:val="003B1B8B"/>
    <w:rsid w:val="003B2782"/>
    <w:rsid w:val="003B326B"/>
    <w:rsid w:val="003B3ED4"/>
    <w:rsid w:val="003B429A"/>
    <w:rsid w:val="003B5733"/>
    <w:rsid w:val="003B5AAE"/>
    <w:rsid w:val="003B5C06"/>
    <w:rsid w:val="003B6569"/>
    <w:rsid w:val="003B6AA0"/>
    <w:rsid w:val="003B752C"/>
    <w:rsid w:val="003B7938"/>
    <w:rsid w:val="003C08A5"/>
    <w:rsid w:val="003C0EFE"/>
    <w:rsid w:val="003C1B0D"/>
    <w:rsid w:val="003C3952"/>
    <w:rsid w:val="003C3D9B"/>
    <w:rsid w:val="003C42CF"/>
    <w:rsid w:val="003C52DC"/>
    <w:rsid w:val="003C71A5"/>
    <w:rsid w:val="003C7E3E"/>
    <w:rsid w:val="003D06E6"/>
    <w:rsid w:val="003D0ABF"/>
    <w:rsid w:val="003D20AF"/>
    <w:rsid w:val="003D28AE"/>
    <w:rsid w:val="003D3282"/>
    <w:rsid w:val="003D41CD"/>
    <w:rsid w:val="003D429E"/>
    <w:rsid w:val="003D48C4"/>
    <w:rsid w:val="003D4C03"/>
    <w:rsid w:val="003D51A5"/>
    <w:rsid w:val="003D5331"/>
    <w:rsid w:val="003D54AD"/>
    <w:rsid w:val="003D708E"/>
    <w:rsid w:val="003D7426"/>
    <w:rsid w:val="003E0A22"/>
    <w:rsid w:val="003E0FF1"/>
    <w:rsid w:val="003E3128"/>
    <w:rsid w:val="003E4C68"/>
    <w:rsid w:val="003E6FC9"/>
    <w:rsid w:val="003E74A5"/>
    <w:rsid w:val="003F0189"/>
    <w:rsid w:val="003F1BDC"/>
    <w:rsid w:val="003F2926"/>
    <w:rsid w:val="003F2A12"/>
    <w:rsid w:val="003F3720"/>
    <w:rsid w:val="003F38CE"/>
    <w:rsid w:val="003F4C35"/>
    <w:rsid w:val="003F53E2"/>
    <w:rsid w:val="003F56F2"/>
    <w:rsid w:val="003F7004"/>
    <w:rsid w:val="003F70F7"/>
    <w:rsid w:val="003F7436"/>
    <w:rsid w:val="004007E3"/>
    <w:rsid w:val="00400C5B"/>
    <w:rsid w:val="00400D4D"/>
    <w:rsid w:val="00401FDF"/>
    <w:rsid w:val="00403848"/>
    <w:rsid w:val="0040384E"/>
    <w:rsid w:val="004038BD"/>
    <w:rsid w:val="00404399"/>
    <w:rsid w:val="00404528"/>
    <w:rsid w:val="004059BA"/>
    <w:rsid w:val="00405C3C"/>
    <w:rsid w:val="0040648C"/>
    <w:rsid w:val="00406928"/>
    <w:rsid w:val="00406BD8"/>
    <w:rsid w:val="00406D29"/>
    <w:rsid w:val="00410435"/>
    <w:rsid w:val="00410D4B"/>
    <w:rsid w:val="00410FEA"/>
    <w:rsid w:val="00411104"/>
    <w:rsid w:val="00412140"/>
    <w:rsid w:val="00412358"/>
    <w:rsid w:val="004138E6"/>
    <w:rsid w:val="00414885"/>
    <w:rsid w:val="0041517E"/>
    <w:rsid w:val="004151FD"/>
    <w:rsid w:val="00415D8B"/>
    <w:rsid w:val="00416280"/>
    <w:rsid w:val="004166E1"/>
    <w:rsid w:val="00416B9F"/>
    <w:rsid w:val="0041762D"/>
    <w:rsid w:val="00417CA1"/>
    <w:rsid w:val="0042103E"/>
    <w:rsid w:val="00421769"/>
    <w:rsid w:val="00421DA7"/>
    <w:rsid w:val="00422095"/>
    <w:rsid w:val="00423054"/>
    <w:rsid w:val="00423263"/>
    <w:rsid w:val="004255CB"/>
    <w:rsid w:val="004256E9"/>
    <w:rsid w:val="00425FC5"/>
    <w:rsid w:val="0043154B"/>
    <w:rsid w:val="00432010"/>
    <w:rsid w:val="00432309"/>
    <w:rsid w:val="00432A28"/>
    <w:rsid w:val="00433033"/>
    <w:rsid w:val="004343B3"/>
    <w:rsid w:val="004348F0"/>
    <w:rsid w:val="0043491D"/>
    <w:rsid w:val="00435286"/>
    <w:rsid w:val="00436418"/>
    <w:rsid w:val="00436A23"/>
    <w:rsid w:val="00437C6F"/>
    <w:rsid w:val="00437DC1"/>
    <w:rsid w:val="00440B12"/>
    <w:rsid w:val="0044108D"/>
    <w:rsid w:val="00441864"/>
    <w:rsid w:val="004425FD"/>
    <w:rsid w:val="00442DFE"/>
    <w:rsid w:val="00442F25"/>
    <w:rsid w:val="00443585"/>
    <w:rsid w:val="004435DF"/>
    <w:rsid w:val="004438FA"/>
    <w:rsid w:val="004465CA"/>
    <w:rsid w:val="00446789"/>
    <w:rsid w:val="00446AAF"/>
    <w:rsid w:val="00450038"/>
    <w:rsid w:val="00450840"/>
    <w:rsid w:val="00450E38"/>
    <w:rsid w:val="00452188"/>
    <w:rsid w:val="004521EC"/>
    <w:rsid w:val="00452AF1"/>
    <w:rsid w:val="00453A75"/>
    <w:rsid w:val="0045450B"/>
    <w:rsid w:val="004546E4"/>
    <w:rsid w:val="00455C8F"/>
    <w:rsid w:val="00455EDD"/>
    <w:rsid w:val="00456E8B"/>
    <w:rsid w:val="004574EC"/>
    <w:rsid w:val="00460052"/>
    <w:rsid w:val="00461AF8"/>
    <w:rsid w:val="0046224A"/>
    <w:rsid w:val="00462400"/>
    <w:rsid w:val="00462BEB"/>
    <w:rsid w:val="00463277"/>
    <w:rsid w:val="00464144"/>
    <w:rsid w:val="00464564"/>
    <w:rsid w:val="0046540E"/>
    <w:rsid w:val="00465A6D"/>
    <w:rsid w:val="00465D73"/>
    <w:rsid w:val="00466C53"/>
    <w:rsid w:val="0047015C"/>
    <w:rsid w:val="00470697"/>
    <w:rsid w:val="00470749"/>
    <w:rsid w:val="0047169F"/>
    <w:rsid w:val="00471E7F"/>
    <w:rsid w:val="00472554"/>
    <w:rsid w:val="004726F1"/>
    <w:rsid w:val="0047382B"/>
    <w:rsid w:val="00474A08"/>
    <w:rsid w:val="00475CE4"/>
    <w:rsid w:val="00477D62"/>
    <w:rsid w:val="004806E1"/>
    <w:rsid w:val="00480BD3"/>
    <w:rsid w:val="00480BDE"/>
    <w:rsid w:val="00480C7A"/>
    <w:rsid w:val="00482B86"/>
    <w:rsid w:val="00483E95"/>
    <w:rsid w:val="0048436D"/>
    <w:rsid w:val="004860A4"/>
    <w:rsid w:val="004866BA"/>
    <w:rsid w:val="0048701E"/>
    <w:rsid w:val="0048777A"/>
    <w:rsid w:val="00487907"/>
    <w:rsid w:val="00490157"/>
    <w:rsid w:val="0049074E"/>
    <w:rsid w:val="004913DD"/>
    <w:rsid w:val="00491732"/>
    <w:rsid w:val="004925B2"/>
    <w:rsid w:val="00492B7F"/>
    <w:rsid w:val="00493837"/>
    <w:rsid w:val="004938B4"/>
    <w:rsid w:val="0049396B"/>
    <w:rsid w:val="00494BDC"/>
    <w:rsid w:val="00494C5D"/>
    <w:rsid w:val="004954CF"/>
    <w:rsid w:val="00496610"/>
    <w:rsid w:val="004977E5"/>
    <w:rsid w:val="00497C68"/>
    <w:rsid w:val="004A0652"/>
    <w:rsid w:val="004A0693"/>
    <w:rsid w:val="004A0AF2"/>
    <w:rsid w:val="004A1CC0"/>
    <w:rsid w:val="004A3749"/>
    <w:rsid w:val="004A5B8B"/>
    <w:rsid w:val="004A5E8A"/>
    <w:rsid w:val="004A5FE8"/>
    <w:rsid w:val="004A72EB"/>
    <w:rsid w:val="004A766A"/>
    <w:rsid w:val="004A7D50"/>
    <w:rsid w:val="004A7DD9"/>
    <w:rsid w:val="004B02C4"/>
    <w:rsid w:val="004B1012"/>
    <w:rsid w:val="004B1E27"/>
    <w:rsid w:val="004B24C5"/>
    <w:rsid w:val="004B3D08"/>
    <w:rsid w:val="004B40D9"/>
    <w:rsid w:val="004B4B04"/>
    <w:rsid w:val="004B5B52"/>
    <w:rsid w:val="004B7602"/>
    <w:rsid w:val="004B7C65"/>
    <w:rsid w:val="004B7D70"/>
    <w:rsid w:val="004B7E73"/>
    <w:rsid w:val="004C0162"/>
    <w:rsid w:val="004C0466"/>
    <w:rsid w:val="004C09AF"/>
    <w:rsid w:val="004C1F04"/>
    <w:rsid w:val="004C2205"/>
    <w:rsid w:val="004C315F"/>
    <w:rsid w:val="004C3B2E"/>
    <w:rsid w:val="004C4E86"/>
    <w:rsid w:val="004C5873"/>
    <w:rsid w:val="004C5B61"/>
    <w:rsid w:val="004C5FE6"/>
    <w:rsid w:val="004C72EC"/>
    <w:rsid w:val="004C7739"/>
    <w:rsid w:val="004C7A29"/>
    <w:rsid w:val="004D01E2"/>
    <w:rsid w:val="004D03AF"/>
    <w:rsid w:val="004D10AA"/>
    <w:rsid w:val="004D261E"/>
    <w:rsid w:val="004D2632"/>
    <w:rsid w:val="004D394E"/>
    <w:rsid w:val="004D3CB2"/>
    <w:rsid w:val="004D59B5"/>
    <w:rsid w:val="004D69DD"/>
    <w:rsid w:val="004D73E5"/>
    <w:rsid w:val="004E0593"/>
    <w:rsid w:val="004E0740"/>
    <w:rsid w:val="004E0B72"/>
    <w:rsid w:val="004E202D"/>
    <w:rsid w:val="004E35A7"/>
    <w:rsid w:val="004E41EF"/>
    <w:rsid w:val="004E42F0"/>
    <w:rsid w:val="004E57F5"/>
    <w:rsid w:val="004E623E"/>
    <w:rsid w:val="004E7491"/>
    <w:rsid w:val="004F0878"/>
    <w:rsid w:val="004F0B10"/>
    <w:rsid w:val="004F261E"/>
    <w:rsid w:val="004F263E"/>
    <w:rsid w:val="004F28E6"/>
    <w:rsid w:val="004F3702"/>
    <w:rsid w:val="004F3859"/>
    <w:rsid w:val="004F417E"/>
    <w:rsid w:val="004F6CEC"/>
    <w:rsid w:val="004F78E9"/>
    <w:rsid w:val="00501FB1"/>
    <w:rsid w:val="00503844"/>
    <w:rsid w:val="00503A1D"/>
    <w:rsid w:val="005052B4"/>
    <w:rsid w:val="00505891"/>
    <w:rsid w:val="00505A11"/>
    <w:rsid w:val="0050602A"/>
    <w:rsid w:val="0050706C"/>
    <w:rsid w:val="00507245"/>
    <w:rsid w:val="00510814"/>
    <w:rsid w:val="00510B83"/>
    <w:rsid w:val="0051141E"/>
    <w:rsid w:val="00511B4C"/>
    <w:rsid w:val="005137DE"/>
    <w:rsid w:val="00514109"/>
    <w:rsid w:val="00516747"/>
    <w:rsid w:val="00520519"/>
    <w:rsid w:val="00520F1E"/>
    <w:rsid w:val="0052254D"/>
    <w:rsid w:val="005228B8"/>
    <w:rsid w:val="00524384"/>
    <w:rsid w:val="00524531"/>
    <w:rsid w:val="00524862"/>
    <w:rsid w:val="0052509C"/>
    <w:rsid w:val="005279B8"/>
    <w:rsid w:val="00530A80"/>
    <w:rsid w:val="00531214"/>
    <w:rsid w:val="00535AE8"/>
    <w:rsid w:val="00535CEA"/>
    <w:rsid w:val="005360DD"/>
    <w:rsid w:val="00536994"/>
    <w:rsid w:val="00537FB3"/>
    <w:rsid w:val="005414DA"/>
    <w:rsid w:val="00542596"/>
    <w:rsid w:val="005428AF"/>
    <w:rsid w:val="00544B43"/>
    <w:rsid w:val="00544B7D"/>
    <w:rsid w:val="00544D91"/>
    <w:rsid w:val="00544EFD"/>
    <w:rsid w:val="005454EC"/>
    <w:rsid w:val="00546FBF"/>
    <w:rsid w:val="0054761A"/>
    <w:rsid w:val="005478F4"/>
    <w:rsid w:val="00547AE6"/>
    <w:rsid w:val="0055087E"/>
    <w:rsid w:val="00551B85"/>
    <w:rsid w:val="0055267F"/>
    <w:rsid w:val="00552D1C"/>
    <w:rsid w:val="00553010"/>
    <w:rsid w:val="005532B9"/>
    <w:rsid w:val="00553472"/>
    <w:rsid w:val="0055347D"/>
    <w:rsid w:val="0055372B"/>
    <w:rsid w:val="005541D7"/>
    <w:rsid w:val="00554C90"/>
    <w:rsid w:val="00555705"/>
    <w:rsid w:val="00556B09"/>
    <w:rsid w:val="005570A4"/>
    <w:rsid w:val="0056000D"/>
    <w:rsid w:val="00561DDC"/>
    <w:rsid w:val="00561E91"/>
    <w:rsid w:val="005627BE"/>
    <w:rsid w:val="005628A2"/>
    <w:rsid w:val="005632D1"/>
    <w:rsid w:val="005633D2"/>
    <w:rsid w:val="00563609"/>
    <w:rsid w:val="005638B0"/>
    <w:rsid w:val="005644B1"/>
    <w:rsid w:val="005661C8"/>
    <w:rsid w:val="00567009"/>
    <w:rsid w:val="00567B69"/>
    <w:rsid w:val="005700DB"/>
    <w:rsid w:val="005702DA"/>
    <w:rsid w:val="00570AA9"/>
    <w:rsid w:val="00570C99"/>
    <w:rsid w:val="00571580"/>
    <w:rsid w:val="00571AAD"/>
    <w:rsid w:val="00571EAB"/>
    <w:rsid w:val="00572B9E"/>
    <w:rsid w:val="00572F4F"/>
    <w:rsid w:val="00573518"/>
    <w:rsid w:val="00573529"/>
    <w:rsid w:val="00573EEF"/>
    <w:rsid w:val="00574287"/>
    <w:rsid w:val="00574647"/>
    <w:rsid w:val="005748D8"/>
    <w:rsid w:val="0057523A"/>
    <w:rsid w:val="00575F10"/>
    <w:rsid w:val="00577057"/>
    <w:rsid w:val="005776DE"/>
    <w:rsid w:val="005800CD"/>
    <w:rsid w:val="00582B60"/>
    <w:rsid w:val="0058390B"/>
    <w:rsid w:val="00585E18"/>
    <w:rsid w:val="005861D4"/>
    <w:rsid w:val="005869A1"/>
    <w:rsid w:val="00587A84"/>
    <w:rsid w:val="00591FCE"/>
    <w:rsid w:val="00594459"/>
    <w:rsid w:val="00594876"/>
    <w:rsid w:val="00594D4F"/>
    <w:rsid w:val="00595141"/>
    <w:rsid w:val="00595CAF"/>
    <w:rsid w:val="0059630D"/>
    <w:rsid w:val="00596311"/>
    <w:rsid w:val="00596893"/>
    <w:rsid w:val="005970F9"/>
    <w:rsid w:val="005974CD"/>
    <w:rsid w:val="005A0B7B"/>
    <w:rsid w:val="005A0E0F"/>
    <w:rsid w:val="005A105C"/>
    <w:rsid w:val="005A1129"/>
    <w:rsid w:val="005A2566"/>
    <w:rsid w:val="005A2ADD"/>
    <w:rsid w:val="005A3234"/>
    <w:rsid w:val="005A3A30"/>
    <w:rsid w:val="005A3BE1"/>
    <w:rsid w:val="005A5A5C"/>
    <w:rsid w:val="005A69E4"/>
    <w:rsid w:val="005A6E4D"/>
    <w:rsid w:val="005B0215"/>
    <w:rsid w:val="005B0B5E"/>
    <w:rsid w:val="005B176D"/>
    <w:rsid w:val="005B2536"/>
    <w:rsid w:val="005B25AF"/>
    <w:rsid w:val="005B4F8A"/>
    <w:rsid w:val="005B5701"/>
    <w:rsid w:val="005B6E0E"/>
    <w:rsid w:val="005B7998"/>
    <w:rsid w:val="005B7FDD"/>
    <w:rsid w:val="005C0346"/>
    <w:rsid w:val="005C16A0"/>
    <w:rsid w:val="005C1925"/>
    <w:rsid w:val="005C25D5"/>
    <w:rsid w:val="005C2EC6"/>
    <w:rsid w:val="005C47FB"/>
    <w:rsid w:val="005C5F81"/>
    <w:rsid w:val="005C6197"/>
    <w:rsid w:val="005C6E53"/>
    <w:rsid w:val="005C6ECC"/>
    <w:rsid w:val="005C71A8"/>
    <w:rsid w:val="005C7AB1"/>
    <w:rsid w:val="005D032E"/>
    <w:rsid w:val="005D0331"/>
    <w:rsid w:val="005D0C51"/>
    <w:rsid w:val="005D160B"/>
    <w:rsid w:val="005D1FC6"/>
    <w:rsid w:val="005D2222"/>
    <w:rsid w:val="005D2E8C"/>
    <w:rsid w:val="005D3EA4"/>
    <w:rsid w:val="005D5AF6"/>
    <w:rsid w:val="005D6424"/>
    <w:rsid w:val="005E0558"/>
    <w:rsid w:val="005E08F2"/>
    <w:rsid w:val="005E146A"/>
    <w:rsid w:val="005E2106"/>
    <w:rsid w:val="005E2460"/>
    <w:rsid w:val="005E3034"/>
    <w:rsid w:val="005E329E"/>
    <w:rsid w:val="005E3B2E"/>
    <w:rsid w:val="005E3E42"/>
    <w:rsid w:val="005E446F"/>
    <w:rsid w:val="005E5607"/>
    <w:rsid w:val="005E58A5"/>
    <w:rsid w:val="005E6F85"/>
    <w:rsid w:val="005E70C2"/>
    <w:rsid w:val="005E7F88"/>
    <w:rsid w:val="005F00FC"/>
    <w:rsid w:val="005F018B"/>
    <w:rsid w:val="005F07CE"/>
    <w:rsid w:val="005F11E9"/>
    <w:rsid w:val="005F1607"/>
    <w:rsid w:val="005F16AA"/>
    <w:rsid w:val="005F312D"/>
    <w:rsid w:val="005F6833"/>
    <w:rsid w:val="005F72CF"/>
    <w:rsid w:val="005F7794"/>
    <w:rsid w:val="006028C4"/>
    <w:rsid w:val="00603121"/>
    <w:rsid w:val="00603F80"/>
    <w:rsid w:val="006050E2"/>
    <w:rsid w:val="0060612D"/>
    <w:rsid w:val="00606BE8"/>
    <w:rsid w:val="00606D96"/>
    <w:rsid w:val="00606DFC"/>
    <w:rsid w:val="00606ED7"/>
    <w:rsid w:val="00606FC1"/>
    <w:rsid w:val="00607B15"/>
    <w:rsid w:val="00610A70"/>
    <w:rsid w:val="00611F05"/>
    <w:rsid w:val="0061276C"/>
    <w:rsid w:val="00613D97"/>
    <w:rsid w:val="00615733"/>
    <w:rsid w:val="00615D0C"/>
    <w:rsid w:val="006170EB"/>
    <w:rsid w:val="00617CBF"/>
    <w:rsid w:val="00620DC8"/>
    <w:rsid w:val="00621F91"/>
    <w:rsid w:val="00623B12"/>
    <w:rsid w:val="00623EBB"/>
    <w:rsid w:val="006245CA"/>
    <w:rsid w:val="00626989"/>
    <w:rsid w:val="00626A34"/>
    <w:rsid w:val="00627214"/>
    <w:rsid w:val="006304C7"/>
    <w:rsid w:val="0063116A"/>
    <w:rsid w:val="00632311"/>
    <w:rsid w:val="00632677"/>
    <w:rsid w:val="00633B33"/>
    <w:rsid w:val="006340DF"/>
    <w:rsid w:val="006344C3"/>
    <w:rsid w:val="006351B6"/>
    <w:rsid w:val="006357F1"/>
    <w:rsid w:val="00635CCF"/>
    <w:rsid w:val="00635F94"/>
    <w:rsid w:val="00640F80"/>
    <w:rsid w:val="006415CB"/>
    <w:rsid w:val="00641D31"/>
    <w:rsid w:val="0064358E"/>
    <w:rsid w:val="006444BA"/>
    <w:rsid w:val="006446F3"/>
    <w:rsid w:val="0064516F"/>
    <w:rsid w:val="00646390"/>
    <w:rsid w:val="00646809"/>
    <w:rsid w:val="006476D4"/>
    <w:rsid w:val="0064795D"/>
    <w:rsid w:val="006504E2"/>
    <w:rsid w:val="00650CCD"/>
    <w:rsid w:val="00652397"/>
    <w:rsid w:val="00652A42"/>
    <w:rsid w:val="00652B65"/>
    <w:rsid w:val="00653FC2"/>
    <w:rsid w:val="00655490"/>
    <w:rsid w:val="0065686F"/>
    <w:rsid w:val="0065762C"/>
    <w:rsid w:val="00657E4D"/>
    <w:rsid w:val="006603C1"/>
    <w:rsid w:val="00660DAC"/>
    <w:rsid w:val="00662D66"/>
    <w:rsid w:val="00662F50"/>
    <w:rsid w:val="00662FE5"/>
    <w:rsid w:val="00663B5E"/>
    <w:rsid w:val="00663FE2"/>
    <w:rsid w:val="00664768"/>
    <w:rsid w:val="00664879"/>
    <w:rsid w:val="006650EF"/>
    <w:rsid w:val="006656F3"/>
    <w:rsid w:val="006657FB"/>
    <w:rsid w:val="00665BD6"/>
    <w:rsid w:val="006673A9"/>
    <w:rsid w:val="00670666"/>
    <w:rsid w:val="0067238C"/>
    <w:rsid w:val="00672F5C"/>
    <w:rsid w:val="00673191"/>
    <w:rsid w:val="00673894"/>
    <w:rsid w:val="006742E0"/>
    <w:rsid w:val="00674C02"/>
    <w:rsid w:val="00676D42"/>
    <w:rsid w:val="00680F21"/>
    <w:rsid w:val="006818CB"/>
    <w:rsid w:val="006819C0"/>
    <w:rsid w:val="0068249B"/>
    <w:rsid w:val="006841F4"/>
    <w:rsid w:val="00684846"/>
    <w:rsid w:val="006848AB"/>
    <w:rsid w:val="00684FAE"/>
    <w:rsid w:val="00685194"/>
    <w:rsid w:val="00685526"/>
    <w:rsid w:val="00687829"/>
    <w:rsid w:val="00687B54"/>
    <w:rsid w:val="00690BFA"/>
    <w:rsid w:val="00690E62"/>
    <w:rsid w:val="00691D03"/>
    <w:rsid w:val="00692BD3"/>
    <w:rsid w:val="00692E57"/>
    <w:rsid w:val="00694AEF"/>
    <w:rsid w:val="00694ED0"/>
    <w:rsid w:val="00695761"/>
    <w:rsid w:val="00695B02"/>
    <w:rsid w:val="00696411"/>
    <w:rsid w:val="00696937"/>
    <w:rsid w:val="006971B9"/>
    <w:rsid w:val="0069728F"/>
    <w:rsid w:val="006A011A"/>
    <w:rsid w:val="006A0244"/>
    <w:rsid w:val="006A112C"/>
    <w:rsid w:val="006A21BB"/>
    <w:rsid w:val="006A2923"/>
    <w:rsid w:val="006A30E5"/>
    <w:rsid w:val="006A3160"/>
    <w:rsid w:val="006A36F2"/>
    <w:rsid w:val="006A3CC0"/>
    <w:rsid w:val="006A4C35"/>
    <w:rsid w:val="006A52AA"/>
    <w:rsid w:val="006A58A3"/>
    <w:rsid w:val="006A5CCD"/>
    <w:rsid w:val="006A636C"/>
    <w:rsid w:val="006A699F"/>
    <w:rsid w:val="006A70C0"/>
    <w:rsid w:val="006A773D"/>
    <w:rsid w:val="006B02C1"/>
    <w:rsid w:val="006B05C5"/>
    <w:rsid w:val="006B0F21"/>
    <w:rsid w:val="006B1B51"/>
    <w:rsid w:val="006B2636"/>
    <w:rsid w:val="006B2662"/>
    <w:rsid w:val="006B2B5A"/>
    <w:rsid w:val="006B38CA"/>
    <w:rsid w:val="006B4002"/>
    <w:rsid w:val="006B4937"/>
    <w:rsid w:val="006B51D0"/>
    <w:rsid w:val="006B60E4"/>
    <w:rsid w:val="006C1783"/>
    <w:rsid w:val="006C1EC2"/>
    <w:rsid w:val="006C1EE6"/>
    <w:rsid w:val="006C21B8"/>
    <w:rsid w:val="006C27B5"/>
    <w:rsid w:val="006C2A0E"/>
    <w:rsid w:val="006C2FAD"/>
    <w:rsid w:val="006C5E97"/>
    <w:rsid w:val="006C6200"/>
    <w:rsid w:val="006C6448"/>
    <w:rsid w:val="006C69AC"/>
    <w:rsid w:val="006C72C4"/>
    <w:rsid w:val="006D0491"/>
    <w:rsid w:val="006D0650"/>
    <w:rsid w:val="006D06A4"/>
    <w:rsid w:val="006D22E1"/>
    <w:rsid w:val="006D2A36"/>
    <w:rsid w:val="006D4D6C"/>
    <w:rsid w:val="006D5C1A"/>
    <w:rsid w:val="006D709A"/>
    <w:rsid w:val="006D70E7"/>
    <w:rsid w:val="006D7FC4"/>
    <w:rsid w:val="006E0B19"/>
    <w:rsid w:val="006E2235"/>
    <w:rsid w:val="006E2523"/>
    <w:rsid w:val="006E32DA"/>
    <w:rsid w:val="006E35E8"/>
    <w:rsid w:val="006E3FB3"/>
    <w:rsid w:val="006E5264"/>
    <w:rsid w:val="006E7F54"/>
    <w:rsid w:val="006F057B"/>
    <w:rsid w:val="006F0B66"/>
    <w:rsid w:val="006F18E5"/>
    <w:rsid w:val="006F2D7B"/>
    <w:rsid w:val="006F5C81"/>
    <w:rsid w:val="006F62BF"/>
    <w:rsid w:val="006F70BE"/>
    <w:rsid w:val="006F771E"/>
    <w:rsid w:val="00700626"/>
    <w:rsid w:val="007006DB"/>
    <w:rsid w:val="007039A8"/>
    <w:rsid w:val="00706579"/>
    <w:rsid w:val="0070673A"/>
    <w:rsid w:val="007069D4"/>
    <w:rsid w:val="00706D9E"/>
    <w:rsid w:val="0070717F"/>
    <w:rsid w:val="007103FF"/>
    <w:rsid w:val="00710980"/>
    <w:rsid w:val="007110CC"/>
    <w:rsid w:val="007115C7"/>
    <w:rsid w:val="007115F2"/>
    <w:rsid w:val="0071186F"/>
    <w:rsid w:val="00711B6D"/>
    <w:rsid w:val="00711E1A"/>
    <w:rsid w:val="00713A51"/>
    <w:rsid w:val="00713FDF"/>
    <w:rsid w:val="007141F6"/>
    <w:rsid w:val="00715364"/>
    <w:rsid w:val="00715A72"/>
    <w:rsid w:val="007164E9"/>
    <w:rsid w:val="00716535"/>
    <w:rsid w:val="007167DF"/>
    <w:rsid w:val="00716B1D"/>
    <w:rsid w:val="00717D4B"/>
    <w:rsid w:val="007215FA"/>
    <w:rsid w:val="00721737"/>
    <w:rsid w:val="00721C39"/>
    <w:rsid w:val="00722C67"/>
    <w:rsid w:val="00723595"/>
    <w:rsid w:val="00724332"/>
    <w:rsid w:val="00725ACE"/>
    <w:rsid w:val="00725DA6"/>
    <w:rsid w:val="007261FA"/>
    <w:rsid w:val="00726AB8"/>
    <w:rsid w:val="00726D14"/>
    <w:rsid w:val="00726F18"/>
    <w:rsid w:val="00727CE0"/>
    <w:rsid w:val="00730A5F"/>
    <w:rsid w:val="00731184"/>
    <w:rsid w:val="00731F2E"/>
    <w:rsid w:val="00733F9A"/>
    <w:rsid w:val="00734043"/>
    <w:rsid w:val="00734EFF"/>
    <w:rsid w:val="00735084"/>
    <w:rsid w:val="00735194"/>
    <w:rsid w:val="0073539F"/>
    <w:rsid w:val="00737251"/>
    <w:rsid w:val="00737873"/>
    <w:rsid w:val="0074002B"/>
    <w:rsid w:val="007415DD"/>
    <w:rsid w:val="00741965"/>
    <w:rsid w:val="00741AF4"/>
    <w:rsid w:val="007422A0"/>
    <w:rsid w:val="00742423"/>
    <w:rsid w:val="007430E3"/>
    <w:rsid w:val="00743679"/>
    <w:rsid w:val="00743DD2"/>
    <w:rsid w:val="00744620"/>
    <w:rsid w:val="00744AAF"/>
    <w:rsid w:val="0074577D"/>
    <w:rsid w:val="007461ED"/>
    <w:rsid w:val="00746A19"/>
    <w:rsid w:val="00746FC9"/>
    <w:rsid w:val="00747988"/>
    <w:rsid w:val="00747F87"/>
    <w:rsid w:val="00750082"/>
    <w:rsid w:val="0075024A"/>
    <w:rsid w:val="00750782"/>
    <w:rsid w:val="00751797"/>
    <w:rsid w:val="00751C1F"/>
    <w:rsid w:val="00751EF4"/>
    <w:rsid w:val="00754341"/>
    <w:rsid w:val="0075490D"/>
    <w:rsid w:val="00755627"/>
    <w:rsid w:val="007560B3"/>
    <w:rsid w:val="00757056"/>
    <w:rsid w:val="00757EBF"/>
    <w:rsid w:val="00760610"/>
    <w:rsid w:val="00760EDA"/>
    <w:rsid w:val="0076167C"/>
    <w:rsid w:val="007625E6"/>
    <w:rsid w:val="0076395D"/>
    <w:rsid w:val="007641CF"/>
    <w:rsid w:val="007655DE"/>
    <w:rsid w:val="00766DE8"/>
    <w:rsid w:val="00770178"/>
    <w:rsid w:val="00770598"/>
    <w:rsid w:val="00771DD4"/>
    <w:rsid w:val="00771FB0"/>
    <w:rsid w:val="00773274"/>
    <w:rsid w:val="00773B84"/>
    <w:rsid w:val="0077432E"/>
    <w:rsid w:val="007743C0"/>
    <w:rsid w:val="00775B7B"/>
    <w:rsid w:val="00777096"/>
    <w:rsid w:val="00777852"/>
    <w:rsid w:val="00777A50"/>
    <w:rsid w:val="00777C3A"/>
    <w:rsid w:val="007823D9"/>
    <w:rsid w:val="00782EF1"/>
    <w:rsid w:val="00783F15"/>
    <w:rsid w:val="007840E3"/>
    <w:rsid w:val="007844EB"/>
    <w:rsid w:val="00786363"/>
    <w:rsid w:val="0079053E"/>
    <w:rsid w:val="00790E5F"/>
    <w:rsid w:val="00792849"/>
    <w:rsid w:val="00792BBE"/>
    <w:rsid w:val="00792CC0"/>
    <w:rsid w:val="007930CE"/>
    <w:rsid w:val="00793E5A"/>
    <w:rsid w:val="00794483"/>
    <w:rsid w:val="00794B4C"/>
    <w:rsid w:val="00794E6F"/>
    <w:rsid w:val="00795B27"/>
    <w:rsid w:val="00795C7A"/>
    <w:rsid w:val="007961D1"/>
    <w:rsid w:val="00796ABF"/>
    <w:rsid w:val="00797CF4"/>
    <w:rsid w:val="007A11FB"/>
    <w:rsid w:val="007A1B38"/>
    <w:rsid w:val="007A4C8B"/>
    <w:rsid w:val="007A4F13"/>
    <w:rsid w:val="007A6CEF"/>
    <w:rsid w:val="007A6EC6"/>
    <w:rsid w:val="007A78D9"/>
    <w:rsid w:val="007B0FF0"/>
    <w:rsid w:val="007B3269"/>
    <w:rsid w:val="007B4628"/>
    <w:rsid w:val="007B5655"/>
    <w:rsid w:val="007B6743"/>
    <w:rsid w:val="007B692F"/>
    <w:rsid w:val="007B793C"/>
    <w:rsid w:val="007B7C43"/>
    <w:rsid w:val="007B7E8B"/>
    <w:rsid w:val="007B7EAC"/>
    <w:rsid w:val="007C0237"/>
    <w:rsid w:val="007C0BC8"/>
    <w:rsid w:val="007C1C41"/>
    <w:rsid w:val="007C30DF"/>
    <w:rsid w:val="007C38BF"/>
    <w:rsid w:val="007C3AA1"/>
    <w:rsid w:val="007C519D"/>
    <w:rsid w:val="007C61A6"/>
    <w:rsid w:val="007C649B"/>
    <w:rsid w:val="007D04AC"/>
    <w:rsid w:val="007D0619"/>
    <w:rsid w:val="007D0D4E"/>
    <w:rsid w:val="007D0D57"/>
    <w:rsid w:val="007D1132"/>
    <w:rsid w:val="007D1C0E"/>
    <w:rsid w:val="007D1C4E"/>
    <w:rsid w:val="007D35EF"/>
    <w:rsid w:val="007D44AB"/>
    <w:rsid w:val="007D65B4"/>
    <w:rsid w:val="007E0B9A"/>
    <w:rsid w:val="007E3953"/>
    <w:rsid w:val="007E3A42"/>
    <w:rsid w:val="007E5215"/>
    <w:rsid w:val="007E5472"/>
    <w:rsid w:val="007E5EA3"/>
    <w:rsid w:val="007E714D"/>
    <w:rsid w:val="007F04C0"/>
    <w:rsid w:val="007F1B0D"/>
    <w:rsid w:val="007F208C"/>
    <w:rsid w:val="007F2123"/>
    <w:rsid w:val="007F32C3"/>
    <w:rsid w:val="007F3813"/>
    <w:rsid w:val="007F4771"/>
    <w:rsid w:val="007F4D8D"/>
    <w:rsid w:val="007F5257"/>
    <w:rsid w:val="007F6AAF"/>
    <w:rsid w:val="007F7C45"/>
    <w:rsid w:val="00800A51"/>
    <w:rsid w:val="00802D4E"/>
    <w:rsid w:val="008032CF"/>
    <w:rsid w:val="00804FBB"/>
    <w:rsid w:val="00805857"/>
    <w:rsid w:val="00805A20"/>
    <w:rsid w:val="008073A9"/>
    <w:rsid w:val="00807B4A"/>
    <w:rsid w:val="00807BE9"/>
    <w:rsid w:val="00807D20"/>
    <w:rsid w:val="00810082"/>
    <w:rsid w:val="00810280"/>
    <w:rsid w:val="008109E4"/>
    <w:rsid w:val="00811BA5"/>
    <w:rsid w:val="0081232E"/>
    <w:rsid w:val="0081233E"/>
    <w:rsid w:val="00813172"/>
    <w:rsid w:val="00815183"/>
    <w:rsid w:val="00816C60"/>
    <w:rsid w:val="008217C7"/>
    <w:rsid w:val="00821A57"/>
    <w:rsid w:val="00822702"/>
    <w:rsid w:val="00823DCC"/>
    <w:rsid w:val="00823FE8"/>
    <w:rsid w:val="00824D72"/>
    <w:rsid w:val="00826E1C"/>
    <w:rsid w:val="0082744D"/>
    <w:rsid w:val="00827484"/>
    <w:rsid w:val="00827BD0"/>
    <w:rsid w:val="00830810"/>
    <w:rsid w:val="00830E46"/>
    <w:rsid w:val="00831B3B"/>
    <w:rsid w:val="00831EAF"/>
    <w:rsid w:val="00831FAE"/>
    <w:rsid w:val="0083203A"/>
    <w:rsid w:val="00832B42"/>
    <w:rsid w:val="0083338D"/>
    <w:rsid w:val="008338D2"/>
    <w:rsid w:val="00833DE4"/>
    <w:rsid w:val="00834B39"/>
    <w:rsid w:val="0083504B"/>
    <w:rsid w:val="0083579F"/>
    <w:rsid w:val="0083596F"/>
    <w:rsid w:val="00835DA2"/>
    <w:rsid w:val="008371DC"/>
    <w:rsid w:val="008401A8"/>
    <w:rsid w:val="0084022E"/>
    <w:rsid w:val="0084080C"/>
    <w:rsid w:val="008411BC"/>
    <w:rsid w:val="00841521"/>
    <w:rsid w:val="00841C45"/>
    <w:rsid w:val="00842371"/>
    <w:rsid w:val="008426CF"/>
    <w:rsid w:val="008433EE"/>
    <w:rsid w:val="00843DA8"/>
    <w:rsid w:val="00844394"/>
    <w:rsid w:val="00845250"/>
    <w:rsid w:val="00845783"/>
    <w:rsid w:val="00846702"/>
    <w:rsid w:val="008471B8"/>
    <w:rsid w:val="0084748B"/>
    <w:rsid w:val="00847D8B"/>
    <w:rsid w:val="00850FEE"/>
    <w:rsid w:val="00851871"/>
    <w:rsid w:val="0085286B"/>
    <w:rsid w:val="008532E1"/>
    <w:rsid w:val="00853630"/>
    <w:rsid w:val="00853955"/>
    <w:rsid w:val="00854109"/>
    <w:rsid w:val="00854E22"/>
    <w:rsid w:val="008550C5"/>
    <w:rsid w:val="008556C0"/>
    <w:rsid w:val="00856D82"/>
    <w:rsid w:val="00856DA4"/>
    <w:rsid w:val="00857D9D"/>
    <w:rsid w:val="00860EAF"/>
    <w:rsid w:val="00861774"/>
    <w:rsid w:val="0086272C"/>
    <w:rsid w:val="008635CD"/>
    <w:rsid w:val="00865063"/>
    <w:rsid w:val="008653AD"/>
    <w:rsid w:val="008677B9"/>
    <w:rsid w:val="008679A5"/>
    <w:rsid w:val="00870239"/>
    <w:rsid w:val="0087094B"/>
    <w:rsid w:val="00870C81"/>
    <w:rsid w:val="00871054"/>
    <w:rsid w:val="008729A7"/>
    <w:rsid w:val="00872ECF"/>
    <w:rsid w:val="008737B1"/>
    <w:rsid w:val="00873DF2"/>
    <w:rsid w:val="0087407A"/>
    <w:rsid w:val="0087445D"/>
    <w:rsid w:val="0087449C"/>
    <w:rsid w:val="00875144"/>
    <w:rsid w:val="00875AFD"/>
    <w:rsid w:val="00875C24"/>
    <w:rsid w:val="00876814"/>
    <w:rsid w:val="00876B12"/>
    <w:rsid w:val="008775F4"/>
    <w:rsid w:val="00877E93"/>
    <w:rsid w:val="00880471"/>
    <w:rsid w:val="0088117E"/>
    <w:rsid w:val="0088304B"/>
    <w:rsid w:val="0088409F"/>
    <w:rsid w:val="0088452E"/>
    <w:rsid w:val="0088486A"/>
    <w:rsid w:val="00884E4A"/>
    <w:rsid w:val="0088594C"/>
    <w:rsid w:val="00886058"/>
    <w:rsid w:val="0088701F"/>
    <w:rsid w:val="00887535"/>
    <w:rsid w:val="008901BA"/>
    <w:rsid w:val="008902E5"/>
    <w:rsid w:val="00890FB4"/>
    <w:rsid w:val="00891766"/>
    <w:rsid w:val="008922C6"/>
    <w:rsid w:val="00893490"/>
    <w:rsid w:val="00893903"/>
    <w:rsid w:val="00893F62"/>
    <w:rsid w:val="008951AE"/>
    <w:rsid w:val="008951E1"/>
    <w:rsid w:val="00895447"/>
    <w:rsid w:val="0089579C"/>
    <w:rsid w:val="00895CCF"/>
    <w:rsid w:val="00896BD0"/>
    <w:rsid w:val="008A0B4C"/>
    <w:rsid w:val="008A0C5A"/>
    <w:rsid w:val="008A16CC"/>
    <w:rsid w:val="008A1AF9"/>
    <w:rsid w:val="008A2638"/>
    <w:rsid w:val="008A2D74"/>
    <w:rsid w:val="008A3D59"/>
    <w:rsid w:val="008A46E9"/>
    <w:rsid w:val="008A4CCC"/>
    <w:rsid w:val="008A4F4E"/>
    <w:rsid w:val="008A5295"/>
    <w:rsid w:val="008A630A"/>
    <w:rsid w:val="008A6A78"/>
    <w:rsid w:val="008A6C5C"/>
    <w:rsid w:val="008A70D3"/>
    <w:rsid w:val="008A737F"/>
    <w:rsid w:val="008B0EF8"/>
    <w:rsid w:val="008B1125"/>
    <w:rsid w:val="008B1250"/>
    <w:rsid w:val="008B1EA5"/>
    <w:rsid w:val="008B25B5"/>
    <w:rsid w:val="008B3F6B"/>
    <w:rsid w:val="008B4032"/>
    <w:rsid w:val="008B40AA"/>
    <w:rsid w:val="008B4773"/>
    <w:rsid w:val="008B5193"/>
    <w:rsid w:val="008B53FB"/>
    <w:rsid w:val="008B5C64"/>
    <w:rsid w:val="008B61D6"/>
    <w:rsid w:val="008B6397"/>
    <w:rsid w:val="008B6757"/>
    <w:rsid w:val="008B6CF4"/>
    <w:rsid w:val="008B6F9F"/>
    <w:rsid w:val="008B7110"/>
    <w:rsid w:val="008C0A20"/>
    <w:rsid w:val="008C0F2E"/>
    <w:rsid w:val="008C1B15"/>
    <w:rsid w:val="008C2B82"/>
    <w:rsid w:val="008C2D4F"/>
    <w:rsid w:val="008C52D3"/>
    <w:rsid w:val="008C5715"/>
    <w:rsid w:val="008C575A"/>
    <w:rsid w:val="008C5A39"/>
    <w:rsid w:val="008C5F44"/>
    <w:rsid w:val="008C6722"/>
    <w:rsid w:val="008C7B0F"/>
    <w:rsid w:val="008D3914"/>
    <w:rsid w:val="008D4477"/>
    <w:rsid w:val="008D4B93"/>
    <w:rsid w:val="008D4C9B"/>
    <w:rsid w:val="008D4D62"/>
    <w:rsid w:val="008D4EBC"/>
    <w:rsid w:val="008D4EEE"/>
    <w:rsid w:val="008D562C"/>
    <w:rsid w:val="008D7BC4"/>
    <w:rsid w:val="008E1CA3"/>
    <w:rsid w:val="008E1D91"/>
    <w:rsid w:val="008E1DE3"/>
    <w:rsid w:val="008E2612"/>
    <w:rsid w:val="008E3858"/>
    <w:rsid w:val="008E446A"/>
    <w:rsid w:val="008E64F8"/>
    <w:rsid w:val="008E66E8"/>
    <w:rsid w:val="008E7013"/>
    <w:rsid w:val="008E710D"/>
    <w:rsid w:val="008E731C"/>
    <w:rsid w:val="008E75A3"/>
    <w:rsid w:val="008E789E"/>
    <w:rsid w:val="008E7FB6"/>
    <w:rsid w:val="008F02B5"/>
    <w:rsid w:val="008F0566"/>
    <w:rsid w:val="008F1823"/>
    <w:rsid w:val="008F2C41"/>
    <w:rsid w:val="008F3976"/>
    <w:rsid w:val="008F3B77"/>
    <w:rsid w:val="008F46CE"/>
    <w:rsid w:val="008F4F1A"/>
    <w:rsid w:val="008F5BF8"/>
    <w:rsid w:val="008F6262"/>
    <w:rsid w:val="008F66B6"/>
    <w:rsid w:val="008F6C85"/>
    <w:rsid w:val="008F6E81"/>
    <w:rsid w:val="009001A9"/>
    <w:rsid w:val="00900ACE"/>
    <w:rsid w:val="00900BB7"/>
    <w:rsid w:val="00900E44"/>
    <w:rsid w:val="00901CCB"/>
    <w:rsid w:val="00901DED"/>
    <w:rsid w:val="009025BF"/>
    <w:rsid w:val="009027EA"/>
    <w:rsid w:val="00903479"/>
    <w:rsid w:val="00904B92"/>
    <w:rsid w:val="00904C82"/>
    <w:rsid w:val="00904E74"/>
    <w:rsid w:val="0090634D"/>
    <w:rsid w:val="0090724C"/>
    <w:rsid w:val="0091050E"/>
    <w:rsid w:val="00910773"/>
    <w:rsid w:val="009108B3"/>
    <w:rsid w:val="009111B1"/>
    <w:rsid w:val="00911D6C"/>
    <w:rsid w:val="00913136"/>
    <w:rsid w:val="00914778"/>
    <w:rsid w:val="00914F3F"/>
    <w:rsid w:val="009153C4"/>
    <w:rsid w:val="00915F2F"/>
    <w:rsid w:val="009172EF"/>
    <w:rsid w:val="009231BC"/>
    <w:rsid w:val="009235C1"/>
    <w:rsid w:val="00923A80"/>
    <w:rsid w:val="00924CA6"/>
    <w:rsid w:val="00924DF8"/>
    <w:rsid w:val="009254FD"/>
    <w:rsid w:val="00926CFE"/>
    <w:rsid w:val="009270B5"/>
    <w:rsid w:val="009273B8"/>
    <w:rsid w:val="009278D4"/>
    <w:rsid w:val="00927EEB"/>
    <w:rsid w:val="009301DC"/>
    <w:rsid w:val="00930AB8"/>
    <w:rsid w:val="00930D3B"/>
    <w:rsid w:val="00931257"/>
    <w:rsid w:val="009312BB"/>
    <w:rsid w:val="009315A4"/>
    <w:rsid w:val="00931F8A"/>
    <w:rsid w:val="009328F3"/>
    <w:rsid w:val="0093329D"/>
    <w:rsid w:val="00933433"/>
    <w:rsid w:val="009339DA"/>
    <w:rsid w:val="00934425"/>
    <w:rsid w:val="0093502D"/>
    <w:rsid w:val="00935358"/>
    <w:rsid w:val="00935BCB"/>
    <w:rsid w:val="00936757"/>
    <w:rsid w:val="00936DC8"/>
    <w:rsid w:val="00936FB8"/>
    <w:rsid w:val="00937568"/>
    <w:rsid w:val="00940040"/>
    <w:rsid w:val="009419A4"/>
    <w:rsid w:val="009422F7"/>
    <w:rsid w:val="00943FB2"/>
    <w:rsid w:val="00945518"/>
    <w:rsid w:val="00945C66"/>
    <w:rsid w:val="009471D4"/>
    <w:rsid w:val="00947BDB"/>
    <w:rsid w:val="00947D69"/>
    <w:rsid w:val="0095160D"/>
    <w:rsid w:val="009526F9"/>
    <w:rsid w:val="0095290F"/>
    <w:rsid w:val="00953EA8"/>
    <w:rsid w:val="00953F50"/>
    <w:rsid w:val="00954713"/>
    <w:rsid w:val="00954AF7"/>
    <w:rsid w:val="00955216"/>
    <w:rsid w:val="00955265"/>
    <w:rsid w:val="00956CF1"/>
    <w:rsid w:val="00956CFA"/>
    <w:rsid w:val="00960746"/>
    <w:rsid w:val="00960B57"/>
    <w:rsid w:val="00961CB3"/>
    <w:rsid w:val="00962770"/>
    <w:rsid w:val="00962D16"/>
    <w:rsid w:val="00963801"/>
    <w:rsid w:val="009647FA"/>
    <w:rsid w:val="00965887"/>
    <w:rsid w:val="009672F6"/>
    <w:rsid w:val="00967C0A"/>
    <w:rsid w:val="00970839"/>
    <w:rsid w:val="00971CD3"/>
    <w:rsid w:val="00972C26"/>
    <w:rsid w:val="00972D54"/>
    <w:rsid w:val="0097454E"/>
    <w:rsid w:val="009747DF"/>
    <w:rsid w:val="00974A21"/>
    <w:rsid w:val="00974A4D"/>
    <w:rsid w:val="00974C43"/>
    <w:rsid w:val="00975188"/>
    <w:rsid w:val="00975419"/>
    <w:rsid w:val="00975595"/>
    <w:rsid w:val="009760EC"/>
    <w:rsid w:val="00976504"/>
    <w:rsid w:val="00976D38"/>
    <w:rsid w:val="0097760A"/>
    <w:rsid w:val="00977D67"/>
    <w:rsid w:val="0098057D"/>
    <w:rsid w:val="00981F00"/>
    <w:rsid w:val="0098248C"/>
    <w:rsid w:val="00982793"/>
    <w:rsid w:val="00982C1A"/>
    <w:rsid w:val="0098403B"/>
    <w:rsid w:val="00984F02"/>
    <w:rsid w:val="0098524A"/>
    <w:rsid w:val="00985C82"/>
    <w:rsid w:val="00985DA3"/>
    <w:rsid w:val="00986276"/>
    <w:rsid w:val="00986DF4"/>
    <w:rsid w:val="00990FEF"/>
    <w:rsid w:val="00992B0A"/>
    <w:rsid w:val="009938FE"/>
    <w:rsid w:val="00993DBB"/>
    <w:rsid w:val="00994402"/>
    <w:rsid w:val="00994A0F"/>
    <w:rsid w:val="009A0CB3"/>
    <w:rsid w:val="009A0E38"/>
    <w:rsid w:val="009A0E90"/>
    <w:rsid w:val="009A1A9B"/>
    <w:rsid w:val="009A2768"/>
    <w:rsid w:val="009A2AC6"/>
    <w:rsid w:val="009A2E69"/>
    <w:rsid w:val="009A3B2E"/>
    <w:rsid w:val="009A5C1D"/>
    <w:rsid w:val="009A646C"/>
    <w:rsid w:val="009A7A6E"/>
    <w:rsid w:val="009B0527"/>
    <w:rsid w:val="009B05E3"/>
    <w:rsid w:val="009B09DB"/>
    <w:rsid w:val="009B0D8E"/>
    <w:rsid w:val="009B15D8"/>
    <w:rsid w:val="009B162F"/>
    <w:rsid w:val="009B1FD6"/>
    <w:rsid w:val="009B3D70"/>
    <w:rsid w:val="009B3DD3"/>
    <w:rsid w:val="009B3E02"/>
    <w:rsid w:val="009B4D0D"/>
    <w:rsid w:val="009B4ED6"/>
    <w:rsid w:val="009B5164"/>
    <w:rsid w:val="009B573E"/>
    <w:rsid w:val="009B5938"/>
    <w:rsid w:val="009B69BD"/>
    <w:rsid w:val="009B6C17"/>
    <w:rsid w:val="009B77D4"/>
    <w:rsid w:val="009C097B"/>
    <w:rsid w:val="009C372F"/>
    <w:rsid w:val="009C3BE3"/>
    <w:rsid w:val="009C447B"/>
    <w:rsid w:val="009C4557"/>
    <w:rsid w:val="009C46CF"/>
    <w:rsid w:val="009C475F"/>
    <w:rsid w:val="009C4C8E"/>
    <w:rsid w:val="009C60B9"/>
    <w:rsid w:val="009C65E6"/>
    <w:rsid w:val="009C7186"/>
    <w:rsid w:val="009C7D8A"/>
    <w:rsid w:val="009D1354"/>
    <w:rsid w:val="009D18AB"/>
    <w:rsid w:val="009D213A"/>
    <w:rsid w:val="009D349F"/>
    <w:rsid w:val="009D3AAD"/>
    <w:rsid w:val="009D42CA"/>
    <w:rsid w:val="009D4C3C"/>
    <w:rsid w:val="009D55F1"/>
    <w:rsid w:val="009D61D9"/>
    <w:rsid w:val="009D7202"/>
    <w:rsid w:val="009E0C12"/>
    <w:rsid w:val="009E19C8"/>
    <w:rsid w:val="009E1AC2"/>
    <w:rsid w:val="009E3B43"/>
    <w:rsid w:val="009E4832"/>
    <w:rsid w:val="009E5218"/>
    <w:rsid w:val="009E54C5"/>
    <w:rsid w:val="009E57A4"/>
    <w:rsid w:val="009E5D37"/>
    <w:rsid w:val="009E68FE"/>
    <w:rsid w:val="009F0715"/>
    <w:rsid w:val="009F1460"/>
    <w:rsid w:val="009F1561"/>
    <w:rsid w:val="009F16D4"/>
    <w:rsid w:val="009F1A38"/>
    <w:rsid w:val="009F1CBC"/>
    <w:rsid w:val="009F2BEA"/>
    <w:rsid w:val="009F2D50"/>
    <w:rsid w:val="009F2FAE"/>
    <w:rsid w:val="009F30BD"/>
    <w:rsid w:val="009F36D7"/>
    <w:rsid w:val="009F38AA"/>
    <w:rsid w:val="009F3E4A"/>
    <w:rsid w:val="009F574D"/>
    <w:rsid w:val="009F5B9F"/>
    <w:rsid w:val="009F76B5"/>
    <w:rsid w:val="009F7A49"/>
    <w:rsid w:val="00A0089B"/>
    <w:rsid w:val="00A01783"/>
    <w:rsid w:val="00A01E30"/>
    <w:rsid w:val="00A02B3B"/>
    <w:rsid w:val="00A05B67"/>
    <w:rsid w:val="00A062A7"/>
    <w:rsid w:val="00A0655E"/>
    <w:rsid w:val="00A07C5F"/>
    <w:rsid w:val="00A1178A"/>
    <w:rsid w:val="00A11BE0"/>
    <w:rsid w:val="00A137E4"/>
    <w:rsid w:val="00A1451C"/>
    <w:rsid w:val="00A145DF"/>
    <w:rsid w:val="00A14944"/>
    <w:rsid w:val="00A169A8"/>
    <w:rsid w:val="00A17AA6"/>
    <w:rsid w:val="00A22386"/>
    <w:rsid w:val="00A22822"/>
    <w:rsid w:val="00A2289D"/>
    <w:rsid w:val="00A23BBC"/>
    <w:rsid w:val="00A2469A"/>
    <w:rsid w:val="00A24A14"/>
    <w:rsid w:val="00A24B44"/>
    <w:rsid w:val="00A25AE2"/>
    <w:rsid w:val="00A26023"/>
    <w:rsid w:val="00A263C4"/>
    <w:rsid w:val="00A2666A"/>
    <w:rsid w:val="00A3213F"/>
    <w:rsid w:val="00A322DD"/>
    <w:rsid w:val="00A32544"/>
    <w:rsid w:val="00A327F2"/>
    <w:rsid w:val="00A33A53"/>
    <w:rsid w:val="00A3471C"/>
    <w:rsid w:val="00A34A9D"/>
    <w:rsid w:val="00A3584A"/>
    <w:rsid w:val="00A36255"/>
    <w:rsid w:val="00A41280"/>
    <w:rsid w:val="00A42168"/>
    <w:rsid w:val="00A428A5"/>
    <w:rsid w:val="00A4320E"/>
    <w:rsid w:val="00A44D17"/>
    <w:rsid w:val="00A45668"/>
    <w:rsid w:val="00A4645C"/>
    <w:rsid w:val="00A50185"/>
    <w:rsid w:val="00A50291"/>
    <w:rsid w:val="00A51788"/>
    <w:rsid w:val="00A51793"/>
    <w:rsid w:val="00A51D36"/>
    <w:rsid w:val="00A523D9"/>
    <w:rsid w:val="00A5246D"/>
    <w:rsid w:val="00A52B3A"/>
    <w:rsid w:val="00A530C1"/>
    <w:rsid w:val="00A53E19"/>
    <w:rsid w:val="00A54549"/>
    <w:rsid w:val="00A54F36"/>
    <w:rsid w:val="00A55654"/>
    <w:rsid w:val="00A55F1A"/>
    <w:rsid w:val="00A578F3"/>
    <w:rsid w:val="00A57C2A"/>
    <w:rsid w:val="00A60E2A"/>
    <w:rsid w:val="00A61A20"/>
    <w:rsid w:val="00A620F8"/>
    <w:rsid w:val="00A623ED"/>
    <w:rsid w:val="00A63886"/>
    <w:rsid w:val="00A63E2F"/>
    <w:rsid w:val="00A64996"/>
    <w:rsid w:val="00A65270"/>
    <w:rsid w:val="00A6663D"/>
    <w:rsid w:val="00A6668E"/>
    <w:rsid w:val="00A674BE"/>
    <w:rsid w:val="00A67953"/>
    <w:rsid w:val="00A67CA3"/>
    <w:rsid w:val="00A70291"/>
    <w:rsid w:val="00A703B9"/>
    <w:rsid w:val="00A70C5D"/>
    <w:rsid w:val="00A70DFF"/>
    <w:rsid w:val="00A71319"/>
    <w:rsid w:val="00A7277F"/>
    <w:rsid w:val="00A7288D"/>
    <w:rsid w:val="00A734B5"/>
    <w:rsid w:val="00A749B8"/>
    <w:rsid w:val="00A74B4B"/>
    <w:rsid w:val="00A74D02"/>
    <w:rsid w:val="00A75868"/>
    <w:rsid w:val="00A75DBD"/>
    <w:rsid w:val="00A76993"/>
    <w:rsid w:val="00A76ED7"/>
    <w:rsid w:val="00A773AE"/>
    <w:rsid w:val="00A81767"/>
    <w:rsid w:val="00A81C28"/>
    <w:rsid w:val="00A82324"/>
    <w:rsid w:val="00A824C3"/>
    <w:rsid w:val="00A84303"/>
    <w:rsid w:val="00A84ADF"/>
    <w:rsid w:val="00A861AF"/>
    <w:rsid w:val="00A8670D"/>
    <w:rsid w:val="00A86844"/>
    <w:rsid w:val="00A87097"/>
    <w:rsid w:val="00A870DA"/>
    <w:rsid w:val="00A8729E"/>
    <w:rsid w:val="00A87947"/>
    <w:rsid w:val="00A879EE"/>
    <w:rsid w:val="00A905A4"/>
    <w:rsid w:val="00A911F9"/>
    <w:rsid w:val="00A91A7F"/>
    <w:rsid w:val="00A924AD"/>
    <w:rsid w:val="00A92563"/>
    <w:rsid w:val="00A925C6"/>
    <w:rsid w:val="00A931B2"/>
    <w:rsid w:val="00A931EF"/>
    <w:rsid w:val="00A9383A"/>
    <w:rsid w:val="00A93A63"/>
    <w:rsid w:val="00A93DA8"/>
    <w:rsid w:val="00A9438B"/>
    <w:rsid w:val="00A96D1E"/>
    <w:rsid w:val="00A974C7"/>
    <w:rsid w:val="00AA07F6"/>
    <w:rsid w:val="00AA2630"/>
    <w:rsid w:val="00AA58CF"/>
    <w:rsid w:val="00AA59E7"/>
    <w:rsid w:val="00AA6AD5"/>
    <w:rsid w:val="00AA755C"/>
    <w:rsid w:val="00AA787D"/>
    <w:rsid w:val="00AA7BD3"/>
    <w:rsid w:val="00AB03A9"/>
    <w:rsid w:val="00AB0550"/>
    <w:rsid w:val="00AB05D4"/>
    <w:rsid w:val="00AB1EF2"/>
    <w:rsid w:val="00AB2036"/>
    <w:rsid w:val="00AB2AB6"/>
    <w:rsid w:val="00AB2FAD"/>
    <w:rsid w:val="00AB2FB2"/>
    <w:rsid w:val="00AB314C"/>
    <w:rsid w:val="00AB394F"/>
    <w:rsid w:val="00AB4337"/>
    <w:rsid w:val="00AB571C"/>
    <w:rsid w:val="00AC17DE"/>
    <w:rsid w:val="00AC1E05"/>
    <w:rsid w:val="00AC26E4"/>
    <w:rsid w:val="00AC3987"/>
    <w:rsid w:val="00AC4AC4"/>
    <w:rsid w:val="00AC55A3"/>
    <w:rsid w:val="00AC6681"/>
    <w:rsid w:val="00AC69AA"/>
    <w:rsid w:val="00AC7862"/>
    <w:rsid w:val="00AC7A97"/>
    <w:rsid w:val="00AD01A3"/>
    <w:rsid w:val="00AD0EE6"/>
    <w:rsid w:val="00AD1322"/>
    <w:rsid w:val="00AD1CCC"/>
    <w:rsid w:val="00AD2655"/>
    <w:rsid w:val="00AD31CC"/>
    <w:rsid w:val="00AD3762"/>
    <w:rsid w:val="00AD42D5"/>
    <w:rsid w:val="00AD470A"/>
    <w:rsid w:val="00AD49F4"/>
    <w:rsid w:val="00AD5112"/>
    <w:rsid w:val="00AD5699"/>
    <w:rsid w:val="00AD5726"/>
    <w:rsid w:val="00AD5890"/>
    <w:rsid w:val="00AD63D8"/>
    <w:rsid w:val="00AD68C8"/>
    <w:rsid w:val="00AD767C"/>
    <w:rsid w:val="00AE0ACE"/>
    <w:rsid w:val="00AE250B"/>
    <w:rsid w:val="00AE2971"/>
    <w:rsid w:val="00AE30C1"/>
    <w:rsid w:val="00AE35FE"/>
    <w:rsid w:val="00AE3B16"/>
    <w:rsid w:val="00AE4A53"/>
    <w:rsid w:val="00AE506B"/>
    <w:rsid w:val="00AE52D6"/>
    <w:rsid w:val="00AE5E28"/>
    <w:rsid w:val="00AE604B"/>
    <w:rsid w:val="00AE62CC"/>
    <w:rsid w:val="00AE6422"/>
    <w:rsid w:val="00AE65B6"/>
    <w:rsid w:val="00AE71B1"/>
    <w:rsid w:val="00AE7740"/>
    <w:rsid w:val="00AF0305"/>
    <w:rsid w:val="00AF0F3B"/>
    <w:rsid w:val="00AF1326"/>
    <w:rsid w:val="00AF175C"/>
    <w:rsid w:val="00AF1A70"/>
    <w:rsid w:val="00AF4172"/>
    <w:rsid w:val="00AF6069"/>
    <w:rsid w:val="00AF690C"/>
    <w:rsid w:val="00AF6E33"/>
    <w:rsid w:val="00AF7020"/>
    <w:rsid w:val="00B0094C"/>
    <w:rsid w:val="00B00B8D"/>
    <w:rsid w:val="00B01508"/>
    <w:rsid w:val="00B01F93"/>
    <w:rsid w:val="00B0235B"/>
    <w:rsid w:val="00B03AF8"/>
    <w:rsid w:val="00B058D2"/>
    <w:rsid w:val="00B06836"/>
    <w:rsid w:val="00B06B54"/>
    <w:rsid w:val="00B06E1E"/>
    <w:rsid w:val="00B07965"/>
    <w:rsid w:val="00B07F76"/>
    <w:rsid w:val="00B11003"/>
    <w:rsid w:val="00B11C5E"/>
    <w:rsid w:val="00B126D9"/>
    <w:rsid w:val="00B14943"/>
    <w:rsid w:val="00B16120"/>
    <w:rsid w:val="00B20D6F"/>
    <w:rsid w:val="00B2178D"/>
    <w:rsid w:val="00B229CC"/>
    <w:rsid w:val="00B22A98"/>
    <w:rsid w:val="00B22CB4"/>
    <w:rsid w:val="00B23C38"/>
    <w:rsid w:val="00B23E6D"/>
    <w:rsid w:val="00B24322"/>
    <w:rsid w:val="00B2545D"/>
    <w:rsid w:val="00B2669E"/>
    <w:rsid w:val="00B27285"/>
    <w:rsid w:val="00B27C47"/>
    <w:rsid w:val="00B3019A"/>
    <w:rsid w:val="00B308A1"/>
    <w:rsid w:val="00B31624"/>
    <w:rsid w:val="00B31D68"/>
    <w:rsid w:val="00B32CE2"/>
    <w:rsid w:val="00B33E28"/>
    <w:rsid w:val="00B3665D"/>
    <w:rsid w:val="00B3701B"/>
    <w:rsid w:val="00B376A6"/>
    <w:rsid w:val="00B407BE"/>
    <w:rsid w:val="00B40BC2"/>
    <w:rsid w:val="00B4114A"/>
    <w:rsid w:val="00B42303"/>
    <w:rsid w:val="00B42A7C"/>
    <w:rsid w:val="00B42CF7"/>
    <w:rsid w:val="00B42F10"/>
    <w:rsid w:val="00B43591"/>
    <w:rsid w:val="00B43929"/>
    <w:rsid w:val="00B44F46"/>
    <w:rsid w:val="00B45EB8"/>
    <w:rsid w:val="00B46E1A"/>
    <w:rsid w:val="00B471DA"/>
    <w:rsid w:val="00B47F95"/>
    <w:rsid w:val="00B512C1"/>
    <w:rsid w:val="00B51CCB"/>
    <w:rsid w:val="00B521F5"/>
    <w:rsid w:val="00B53964"/>
    <w:rsid w:val="00B5502A"/>
    <w:rsid w:val="00B56648"/>
    <w:rsid w:val="00B56F49"/>
    <w:rsid w:val="00B57854"/>
    <w:rsid w:val="00B57E21"/>
    <w:rsid w:val="00B603A6"/>
    <w:rsid w:val="00B607AE"/>
    <w:rsid w:val="00B61105"/>
    <w:rsid w:val="00B616D8"/>
    <w:rsid w:val="00B62017"/>
    <w:rsid w:val="00B62683"/>
    <w:rsid w:val="00B62DF0"/>
    <w:rsid w:val="00B62F89"/>
    <w:rsid w:val="00B6335A"/>
    <w:rsid w:val="00B6427D"/>
    <w:rsid w:val="00B649D3"/>
    <w:rsid w:val="00B65E56"/>
    <w:rsid w:val="00B6646C"/>
    <w:rsid w:val="00B664B2"/>
    <w:rsid w:val="00B66542"/>
    <w:rsid w:val="00B669F4"/>
    <w:rsid w:val="00B67258"/>
    <w:rsid w:val="00B70AEF"/>
    <w:rsid w:val="00B70D7D"/>
    <w:rsid w:val="00B72649"/>
    <w:rsid w:val="00B728D4"/>
    <w:rsid w:val="00B73DF4"/>
    <w:rsid w:val="00B740A3"/>
    <w:rsid w:val="00B75AF5"/>
    <w:rsid w:val="00B764CF"/>
    <w:rsid w:val="00B765A2"/>
    <w:rsid w:val="00B76797"/>
    <w:rsid w:val="00B76A14"/>
    <w:rsid w:val="00B77B4E"/>
    <w:rsid w:val="00B77F80"/>
    <w:rsid w:val="00B77FBE"/>
    <w:rsid w:val="00B8056A"/>
    <w:rsid w:val="00B81331"/>
    <w:rsid w:val="00B81E0F"/>
    <w:rsid w:val="00B81E7F"/>
    <w:rsid w:val="00B829EC"/>
    <w:rsid w:val="00B83081"/>
    <w:rsid w:val="00B87E35"/>
    <w:rsid w:val="00B902D7"/>
    <w:rsid w:val="00B92597"/>
    <w:rsid w:val="00B9401B"/>
    <w:rsid w:val="00B946B6"/>
    <w:rsid w:val="00B95011"/>
    <w:rsid w:val="00B97163"/>
    <w:rsid w:val="00BA2614"/>
    <w:rsid w:val="00BA3382"/>
    <w:rsid w:val="00BA3C6B"/>
    <w:rsid w:val="00BA3E74"/>
    <w:rsid w:val="00BA459F"/>
    <w:rsid w:val="00BA5675"/>
    <w:rsid w:val="00BA58B0"/>
    <w:rsid w:val="00BA66E6"/>
    <w:rsid w:val="00BA6B01"/>
    <w:rsid w:val="00BA7B87"/>
    <w:rsid w:val="00BB0138"/>
    <w:rsid w:val="00BB02E7"/>
    <w:rsid w:val="00BB1451"/>
    <w:rsid w:val="00BB1B02"/>
    <w:rsid w:val="00BB1DD4"/>
    <w:rsid w:val="00BB21B4"/>
    <w:rsid w:val="00BB2A0E"/>
    <w:rsid w:val="00BB33DD"/>
    <w:rsid w:val="00BB3BF2"/>
    <w:rsid w:val="00BB4286"/>
    <w:rsid w:val="00BB5CD3"/>
    <w:rsid w:val="00BB6489"/>
    <w:rsid w:val="00BB6866"/>
    <w:rsid w:val="00BB6D98"/>
    <w:rsid w:val="00BB700E"/>
    <w:rsid w:val="00BB74EB"/>
    <w:rsid w:val="00BB7806"/>
    <w:rsid w:val="00BC006D"/>
    <w:rsid w:val="00BC0260"/>
    <w:rsid w:val="00BC086C"/>
    <w:rsid w:val="00BC0A43"/>
    <w:rsid w:val="00BC1DBF"/>
    <w:rsid w:val="00BC407A"/>
    <w:rsid w:val="00BC447F"/>
    <w:rsid w:val="00BC4C41"/>
    <w:rsid w:val="00BC51A5"/>
    <w:rsid w:val="00BC5284"/>
    <w:rsid w:val="00BC57B4"/>
    <w:rsid w:val="00BC5923"/>
    <w:rsid w:val="00BC5DFF"/>
    <w:rsid w:val="00BC7251"/>
    <w:rsid w:val="00BC733E"/>
    <w:rsid w:val="00BC75AE"/>
    <w:rsid w:val="00BD03B8"/>
    <w:rsid w:val="00BD076D"/>
    <w:rsid w:val="00BD1A3A"/>
    <w:rsid w:val="00BD1A67"/>
    <w:rsid w:val="00BD1F5F"/>
    <w:rsid w:val="00BD237B"/>
    <w:rsid w:val="00BD2651"/>
    <w:rsid w:val="00BD4C98"/>
    <w:rsid w:val="00BD5C11"/>
    <w:rsid w:val="00BD5ECE"/>
    <w:rsid w:val="00BD6A99"/>
    <w:rsid w:val="00BD6D07"/>
    <w:rsid w:val="00BD7021"/>
    <w:rsid w:val="00BE0261"/>
    <w:rsid w:val="00BE09A4"/>
    <w:rsid w:val="00BE0FC7"/>
    <w:rsid w:val="00BE1162"/>
    <w:rsid w:val="00BE13A6"/>
    <w:rsid w:val="00BE14C5"/>
    <w:rsid w:val="00BE1E66"/>
    <w:rsid w:val="00BE3841"/>
    <w:rsid w:val="00BE4533"/>
    <w:rsid w:val="00BE58E6"/>
    <w:rsid w:val="00BE601B"/>
    <w:rsid w:val="00BF0598"/>
    <w:rsid w:val="00BF0860"/>
    <w:rsid w:val="00BF1834"/>
    <w:rsid w:val="00BF2CD7"/>
    <w:rsid w:val="00BF3200"/>
    <w:rsid w:val="00BF338D"/>
    <w:rsid w:val="00BF39A9"/>
    <w:rsid w:val="00BF4F00"/>
    <w:rsid w:val="00BF5C7E"/>
    <w:rsid w:val="00BF721C"/>
    <w:rsid w:val="00C00578"/>
    <w:rsid w:val="00C009AA"/>
    <w:rsid w:val="00C00A66"/>
    <w:rsid w:val="00C00B62"/>
    <w:rsid w:val="00C02AF3"/>
    <w:rsid w:val="00C02B19"/>
    <w:rsid w:val="00C039AD"/>
    <w:rsid w:val="00C04E7A"/>
    <w:rsid w:val="00C04FA6"/>
    <w:rsid w:val="00C053C1"/>
    <w:rsid w:val="00C0639F"/>
    <w:rsid w:val="00C1076E"/>
    <w:rsid w:val="00C119FC"/>
    <w:rsid w:val="00C11A48"/>
    <w:rsid w:val="00C14118"/>
    <w:rsid w:val="00C14FC5"/>
    <w:rsid w:val="00C1532E"/>
    <w:rsid w:val="00C1594F"/>
    <w:rsid w:val="00C20207"/>
    <w:rsid w:val="00C20F96"/>
    <w:rsid w:val="00C214A3"/>
    <w:rsid w:val="00C220C3"/>
    <w:rsid w:val="00C2257E"/>
    <w:rsid w:val="00C225CC"/>
    <w:rsid w:val="00C22724"/>
    <w:rsid w:val="00C23202"/>
    <w:rsid w:val="00C232FA"/>
    <w:rsid w:val="00C24185"/>
    <w:rsid w:val="00C2447E"/>
    <w:rsid w:val="00C25989"/>
    <w:rsid w:val="00C25DC4"/>
    <w:rsid w:val="00C267F9"/>
    <w:rsid w:val="00C26982"/>
    <w:rsid w:val="00C270FB"/>
    <w:rsid w:val="00C27113"/>
    <w:rsid w:val="00C3184A"/>
    <w:rsid w:val="00C32A7C"/>
    <w:rsid w:val="00C3527B"/>
    <w:rsid w:val="00C36814"/>
    <w:rsid w:val="00C36D61"/>
    <w:rsid w:val="00C3719B"/>
    <w:rsid w:val="00C37975"/>
    <w:rsid w:val="00C40AAE"/>
    <w:rsid w:val="00C40BCC"/>
    <w:rsid w:val="00C4108A"/>
    <w:rsid w:val="00C42722"/>
    <w:rsid w:val="00C42C32"/>
    <w:rsid w:val="00C42E7D"/>
    <w:rsid w:val="00C44032"/>
    <w:rsid w:val="00C443B8"/>
    <w:rsid w:val="00C44537"/>
    <w:rsid w:val="00C461BE"/>
    <w:rsid w:val="00C462DA"/>
    <w:rsid w:val="00C46CA8"/>
    <w:rsid w:val="00C47F52"/>
    <w:rsid w:val="00C519E5"/>
    <w:rsid w:val="00C51FCA"/>
    <w:rsid w:val="00C520E1"/>
    <w:rsid w:val="00C528B0"/>
    <w:rsid w:val="00C52D4A"/>
    <w:rsid w:val="00C530ED"/>
    <w:rsid w:val="00C54F7B"/>
    <w:rsid w:val="00C5540D"/>
    <w:rsid w:val="00C562BE"/>
    <w:rsid w:val="00C563C1"/>
    <w:rsid w:val="00C5685A"/>
    <w:rsid w:val="00C56BFE"/>
    <w:rsid w:val="00C618D3"/>
    <w:rsid w:val="00C61941"/>
    <w:rsid w:val="00C62691"/>
    <w:rsid w:val="00C64042"/>
    <w:rsid w:val="00C642A4"/>
    <w:rsid w:val="00C66EAD"/>
    <w:rsid w:val="00C7091D"/>
    <w:rsid w:val="00C70AB2"/>
    <w:rsid w:val="00C7178B"/>
    <w:rsid w:val="00C7212A"/>
    <w:rsid w:val="00C72147"/>
    <w:rsid w:val="00C7246A"/>
    <w:rsid w:val="00C727DC"/>
    <w:rsid w:val="00C72F31"/>
    <w:rsid w:val="00C730AC"/>
    <w:rsid w:val="00C732FF"/>
    <w:rsid w:val="00C7336B"/>
    <w:rsid w:val="00C74DD5"/>
    <w:rsid w:val="00C74EBE"/>
    <w:rsid w:val="00C75673"/>
    <w:rsid w:val="00C75E30"/>
    <w:rsid w:val="00C75F36"/>
    <w:rsid w:val="00C76457"/>
    <w:rsid w:val="00C7673F"/>
    <w:rsid w:val="00C77BCF"/>
    <w:rsid w:val="00C77ECD"/>
    <w:rsid w:val="00C80C01"/>
    <w:rsid w:val="00C80D60"/>
    <w:rsid w:val="00C8215B"/>
    <w:rsid w:val="00C830CD"/>
    <w:rsid w:val="00C838A9"/>
    <w:rsid w:val="00C86F84"/>
    <w:rsid w:val="00C8736C"/>
    <w:rsid w:val="00C87C2F"/>
    <w:rsid w:val="00C902C9"/>
    <w:rsid w:val="00C903B5"/>
    <w:rsid w:val="00C90C26"/>
    <w:rsid w:val="00C90DE6"/>
    <w:rsid w:val="00C91370"/>
    <w:rsid w:val="00C92BDC"/>
    <w:rsid w:val="00C9488F"/>
    <w:rsid w:val="00C9513A"/>
    <w:rsid w:val="00C955A4"/>
    <w:rsid w:val="00C959A0"/>
    <w:rsid w:val="00C96512"/>
    <w:rsid w:val="00C96642"/>
    <w:rsid w:val="00C97F60"/>
    <w:rsid w:val="00CA05B1"/>
    <w:rsid w:val="00CA1A2B"/>
    <w:rsid w:val="00CA288D"/>
    <w:rsid w:val="00CA36B5"/>
    <w:rsid w:val="00CA3DFB"/>
    <w:rsid w:val="00CA4A00"/>
    <w:rsid w:val="00CA5CB2"/>
    <w:rsid w:val="00CA65EC"/>
    <w:rsid w:val="00CA758E"/>
    <w:rsid w:val="00CA7B4B"/>
    <w:rsid w:val="00CA7DCA"/>
    <w:rsid w:val="00CB03A4"/>
    <w:rsid w:val="00CB2055"/>
    <w:rsid w:val="00CB329C"/>
    <w:rsid w:val="00CB3489"/>
    <w:rsid w:val="00CB3939"/>
    <w:rsid w:val="00CB396C"/>
    <w:rsid w:val="00CB3AAD"/>
    <w:rsid w:val="00CB3ABF"/>
    <w:rsid w:val="00CB3F65"/>
    <w:rsid w:val="00CB4088"/>
    <w:rsid w:val="00CB44C3"/>
    <w:rsid w:val="00CB5719"/>
    <w:rsid w:val="00CB62A4"/>
    <w:rsid w:val="00CB6B80"/>
    <w:rsid w:val="00CB73C3"/>
    <w:rsid w:val="00CB7603"/>
    <w:rsid w:val="00CC0FEB"/>
    <w:rsid w:val="00CC15CB"/>
    <w:rsid w:val="00CC1D52"/>
    <w:rsid w:val="00CC25DA"/>
    <w:rsid w:val="00CC28E8"/>
    <w:rsid w:val="00CC3934"/>
    <w:rsid w:val="00CC5FC2"/>
    <w:rsid w:val="00CC777C"/>
    <w:rsid w:val="00CD0396"/>
    <w:rsid w:val="00CD0E1A"/>
    <w:rsid w:val="00CD1548"/>
    <w:rsid w:val="00CD17C4"/>
    <w:rsid w:val="00CD28D1"/>
    <w:rsid w:val="00CD2AFE"/>
    <w:rsid w:val="00CD3243"/>
    <w:rsid w:val="00CD3FF9"/>
    <w:rsid w:val="00CD55C0"/>
    <w:rsid w:val="00CD564E"/>
    <w:rsid w:val="00CD56CF"/>
    <w:rsid w:val="00CD5D2D"/>
    <w:rsid w:val="00CD7B07"/>
    <w:rsid w:val="00CE05D6"/>
    <w:rsid w:val="00CE2493"/>
    <w:rsid w:val="00CE3996"/>
    <w:rsid w:val="00CE3CFA"/>
    <w:rsid w:val="00CE45AE"/>
    <w:rsid w:val="00CE4910"/>
    <w:rsid w:val="00CE5275"/>
    <w:rsid w:val="00CE7C32"/>
    <w:rsid w:val="00CF229B"/>
    <w:rsid w:val="00CF28FE"/>
    <w:rsid w:val="00CF2C63"/>
    <w:rsid w:val="00CF306E"/>
    <w:rsid w:val="00CF3273"/>
    <w:rsid w:val="00CF339A"/>
    <w:rsid w:val="00CF436F"/>
    <w:rsid w:val="00CF45C0"/>
    <w:rsid w:val="00CF47FA"/>
    <w:rsid w:val="00CF59FA"/>
    <w:rsid w:val="00CF5AC7"/>
    <w:rsid w:val="00CF625E"/>
    <w:rsid w:val="00CF6D02"/>
    <w:rsid w:val="00CF7070"/>
    <w:rsid w:val="00CF7295"/>
    <w:rsid w:val="00D004ED"/>
    <w:rsid w:val="00D005A5"/>
    <w:rsid w:val="00D00FAE"/>
    <w:rsid w:val="00D02678"/>
    <w:rsid w:val="00D02811"/>
    <w:rsid w:val="00D02A8A"/>
    <w:rsid w:val="00D03F29"/>
    <w:rsid w:val="00D048CF"/>
    <w:rsid w:val="00D04AA5"/>
    <w:rsid w:val="00D065E0"/>
    <w:rsid w:val="00D06EF9"/>
    <w:rsid w:val="00D1039C"/>
    <w:rsid w:val="00D10D3A"/>
    <w:rsid w:val="00D11473"/>
    <w:rsid w:val="00D11EFB"/>
    <w:rsid w:val="00D12175"/>
    <w:rsid w:val="00D12532"/>
    <w:rsid w:val="00D12AA0"/>
    <w:rsid w:val="00D12F55"/>
    <w:rsid w:val="00D13D47"/>
    <w:rsid w:val="00D1444E"/>
    <w:rsid w:val="00D20C01"/>
    <w:rsid w:val="00D21F29"/>
    <w:rsid w:val="00D22D75"/>
    <w:rsid w:val="00D235CC"/>
    <w:rsid w:val="00D24110"/>
    <w:rsid w:val="00D24714"/>
    <w:rsid w:val="00D27023"/>
    <w:rsid w:val="00D2756F"/>
    <w:rsid w:val="00D27B44"/>
    <w:rsid w:val="00D27DA9"/>
    <w:rsid w:val="00D3241D"/>
    <w:rsid w:val="00D32856"/>
    <w:rsid w:val="00D32D19"/>
    <w:rsid w:val="00D334A9"/>
    <w:rsid w:val="00D34095"/>
    <w:rsid w:val="00D343B5"/>
    <w:rsid w:val="00D345E9"/>
    <w:rsid w:val="00D34F1B"/>
    <w:rsid w:val="00D36C6A"/>
    <w:rsid w:val="00D36CBB"/>
    <w:rsid w:val="00D424C7"/>
    <w:rsid w:val="00D42603"/>
    <w:rsid w:val="00D42687"/>
    <w:rsid w:val="00D42991"/>
    <w:rsid w:val="00D42A51"/>
    <w:rsid w:val="00D43991"/>
    <w:rsid w:val="00D43AC8"/>
    <w:rsid w:val="00D43C28"/>
    <w:rsid w:val="00D44475"/>
    <w:rsid w:val="00D45D16"/>
    <w:rsid w:val="00D46609"/>
    <w:rsid w:val="00D479C7"/>
    <w:rsid w:val="00D47A9C"/>
    <w:rsid w:val="00D47D4E"/>
    <w:rsid w:val="00D502C6"/>
    <w:rsid w:val="00D508F8"/>
    <w:rsid w:val="00D522D7"/>
    <w:rsid w:val="00D522E6"/>
    <w:rsid w:val="00D544A8"/>
    <w:rsid w:val="00D5637E"/>
    <w:rsid w:val="00D57D96"/>
    <w:rsid w:val="00D61352"/>
    <w:rsid w:val="00D61B32"/>
    <w:rsid w:val="00D61BF2"/>
    <w:rsid w:val="00D63AFA"/>
    <w:rsid w:val="00D64DE8"/>
    <w:rsid w:val="00D6534D"/>
    <w:rsid w:val="00D657FC"/>
    <w:rsid w:val="00D67083"/>
    <w:rsid w:val="00D675EE"/>
    <w:rsid w:val="00D703B8"/>
    <w:rsid w:val="00D70589"/>
    <w:rsid w:val="00D70A5F"/>
    <w:rsid w:val="00D70C18"/>
    <w:rsid w:val="00D71044"/>
    <w:rsid w:val="00D719A5"/>
    <w:rsid w:val="00D72436"/>
    <w:rsid w:val="00D7247D"/>
    <w:rsid w:val="00D73FF6"/>
    <w:rsid w:val="00D74936"/>
    <w:rsid w:val="00D75056"/>
    <w:rsid w:val="00D761F5"/>
    <w:rsid w:val="00D77EE9"/>
    <w:rsid w:val="00D80370"/>
    <w:rsid w:val="00D80BCF"/>
    <w:rsid w:val="00D82243"/>
    <w:rsid w:val="00D82A82"/>
    <w:rsid w:val="00D85F9C"/>
    <w:rsid w:val="00D8766E"/>
    <w:rsid w:val="00D87AB3"/>
    <w:rsid w:val="00D90FCE"/>
    <w:rsid w:val="00D910D4"/>
    <w:rsid w:val="00D938A7"/>
    <w:rsid w:val="00D93BF7"/>
    <w:rsid w:val="00D95E08"/>
    <w:rsid w:val="00D977F0"/>
    <w:rsid w:val="00D97F5B"/>
    <w:rsid w:val="00DA247F"/>
    <w:rsid w:val="00DA3BDF"/>
    <w:rsid w:val="00DA4090"/>
    <w:rsid w:val="00DA4D95"/>
    <w:rsid w:val="00DA5507"/>
    <w:rsid w:val="00DA62B7"/>
    <w:rsid w:val="00DA73F5"/>
    <w:rsid w:val="00DB074B"/>
    <w:rsid w:val="00DB08B6"/>
    <w:rsid w:val="00DB1A08"/>
    <w:rsid w:val="00DB2079"/>
    <w:rsid w:val="00DB32E3"/>
    <w:rsid w:val="00DB3DF7"/>
    <w:rsid w:val="00DB3E66"/>
    <w:rsid w:val="00DB42C6"/>
    <w:rsid w:val="00DB4E2B"/>
    <w:rsid w:val="00DB5060"/>
    <w:rsid w:val="00DB5AAB"/>
    <w:rsid w:val="00DB5C54"/>
    <w:rsid w:val="00DB5FC5"/>
    <w:rsid w:val="00DB65F7"/>
    <w:rsid w:val="00DB6EB5"/>
    <w:rsid w:val="00DB7773"/>
    <w:rsid w:val="00DB78C1"/>
    <w:rsid w:val="00DC048A"/>
    <w:rsid w:val="00DC209C"/>
    <w:rsid w:val="00DC271F"/>
    <w:rsid w:val="00DC2819"/>
    <w:rsid w:val="00DC3DE1"/>
    <w:rsid w:val="00DC4649"/>
    <w:rsid w:val="00DC5060"/>
    <w:rsid w:val="00DC5BC2"/>
    <w:rsid w:val="00DC5E24"/>
    <w:rsid w:val="00DC6108"/>
    <w:rsid w:val="00DC7844"/>
    <w:rsid w:val="00DD065A"/>
    <w:rsid w:val="00DD0976"/>
    <w:rsid w:val="00DD1831"/>
    <w:rsid w:val="00DD1DE5"/>
    <w:rsid w:val="00DD310D"/>
    <w:rsid w:val="00DD3585"/>
    <w:rsid w:val="00DD4D48"/>
    <w:rsid w:val="00DD5BED"/>
    <w:rsid w:val="00DD67BC"/>
    <w:rsid w:val="00DD6D9D"/>
    <w:rsid w:val="00DD79B9"/>
    <w:rsid w:val="00DE139A"/>
    <w:rsid w:val="00DE2844"/>
    <w:rsid w:val="00DE2A83"/>
    <w:rsid w:val="00DE2A95"/>
    <w:rsid w:val="00DE6DB9"/>
    <w:rsid w:val="00DE7003"/>
    <w:rsid w:val="00DE7083"/>
    <w:rsid w:val="00DE763A"/>
    <w:rsid w:val="00DE7AF3"/>
    <w:rsid w:val="00DF0232"/>
    <w:rsid w:val="00DF0D57"/>
    <w:rsid w:val="00DF22D7"/>
    <w:rsid w:val="00DF34EB"/>
    <w:rsid w:val="00DF6DCD"/>
    <w:rsid w:val="00DF7050"/>
    <w:rsid w:val="00DF7ED4"/>
    <w:rsid w:val="00E00336"/>
    <w:rsid w:val="00E022B7"/>
    <w:rsid w:val="00E0353D"/>
    <w:rsid w:val="00E04265"/>
    <w:rsid w:val="00E045BD"/>
    <w:rsid w:val="00E04C16"/>
    <w:rsid w:val="00E054F1"/>
    <w:rsid w:val="00E056A6"/>
    <w:rsid w:val="00E06025"/>
    <w:rsid w:val="00E061E9"/>
    <w:rsid w:val="00E06BC9"/>
    <w:rsid w:val="00E074DF"/>
    <w:rsid w:val="00E077CD"/>
    <w:rsid w:val="00E10862"/>
    <w:rsid w:val="00E119D9"/>
    <w:rsid w:val="00E11DFD"/>
    <w:rsid w:val="00E141E6"/>
    <w:rsid w:val="00E1467B"/>
    <w:rsid w:val="00E14957"/>
    <w:rsid w:val="00E15280"/>
    <w:rsid w:val="00E1529F"/>
    <w:rsid w:val="00E1581D"/>
    <w:rsid w:val="00E15B91"/>
    <w:rsid w:val="00E15E91"/>
    <w:rsid w:val="00E16040"/>
    <w:rsid w:val="00E17274"/>
    <w:rsid w:val="00E17BC7"/>
    <w:rsid w:val="00E205FB"/>
    <w:rsid w:val="00E20D69"/>
    <w:rsid w:val="00E20DA0"/>
    <w:rsid w:val="00E225F2"/>
    <w:rsid w:val="00E22A14"/>
    <w:rsid w:val="00E23CF1"/>
    <w:rsid w:val="00E24974"/>
    <w:rsid w:val="00E249ED"/>
    <w:rsid w:val="00E25646"/>
    <w:rsid w:val="00E25AE4"/>
    <w:rsid w:val="00E25DD0"/>
    <w:rsid w:val="00E25F2D"/>
    <w:rsid w:val="00E27E5B"/>
    <w:rsid w:val="00E30D9E"/>
    <w:rsid w:val="00E31137"/>
    <w:rsid w:val="00E3242F"/>
    <w:rsid w:val="00E328D8"/>
    <w:rsid w:val="00E35F96"/>
    <w:rsid w:val="00E36D60"/>
    <w:rsid w:val="00E37F46"/>
    <w:rsid w:val="00E411E1"/>
    <w:rsid w:val="00E425DA"/>
    <w:rsid w:val="00E425E4"/>
    <w:rsid w:val="00E43DC3"/>
    <w:rsid w:val="00E471BA"/>
    <w:rsid w:val="00E47FD2"/>
    <w:rsid w:val="00E522F5"/>
    <w:rsid w:val="00E523EF"/>
    <w:rsid w:val="00E52527"/>
    <w:rsid w:val="00E53C19"/>
    <w:rsid w:val="00E55044"/>
    <w:rsid w:val="00E550EC"/>
    <w:rsid w:val="00E55EB2"/>
    <w:rsid w:val="00E56DA5"/>
    <w:rsid w:val="00E60028"/>
    <w:rsid w:val="00E60152"/>
    <w:rsid w:val="00E60769"/>
    <w:rsid w:val="00E60943"/>
    <w:rsid w:val="00E61580"/>
    <w:rsid w:val="00E618D9"/>
    <w:rsid w:val="00E6219D"/>
    <w:rsid w:val="00E62A6B"/>
    <w:rsid w:val="00E62BA9"/>
    <w:rsid w:val="00E63434"/>
    <w:rsid w:val="00E63712"/>
    <w:rsid w:val="00E63A6A"/>
    <w:rsid w:val="00E64403"/>
    <w:rsid w:val="00E65FEB"/>
    <w:rsid w:val="00E665F8"/>
    <w:rsid w:val="00E66638"/>
    <w:rsid w:val="00E66EF5"/>
    <w:rsid w:val="00E67CEF"/>
    <w:rsid w:val="00E70287"/>
    <w:rsid w:val="00E72353"/>
    <w:rsid w:val="00E7333F"/>
    <w:rsid w:val="00E7403D"/>
    <w:rsid w:val="00E75A8A"/>
    <w:rsid w:val="00E7642F"/>
    <w:rsid w:val="00E76A23"/>
    <w:rsid w:val="00E76CA1"/>
    <w:rsid w:val="00E77455"/>
    <w:rsid w:val="00E81035"/>
    <w:rsid w:val="00E82397"/>
    <w:rsid w:val="00E823BA"/>
    <w:rsid w:val="00E8295F"/>
    <w:rsid w:val="00E82E43"/>
    <w:rsid w:val="00E8374F"/>
    <w:rsid w:val="00E83BC5"/>
    <w:rsid w:val="00E84622"/>
    <w:rsid w:val="00E84E02"/>
    <w:rsid w:val="00E85AB3"/>
    <w:rsid w:val="00E875E6"/>
    <w:rsid w:val="00E879B3"/>
    <w:rsid w:val="00E87A5F"/>
    <w:rsid w:val="00E907E0"/>
    <w:rsid w:val="00E916DE"/>
    <w:rsid w:val="00E92094"/>
    <w:rsid w:val="00E9258A"/>
    <w:rsid w:val="00E930B7"/>
    <w:rsid w:val="00E93718"/>
    <w:rsid w:val="00E95A1E"/>
    <w:rsid w:val="00E967E6"/>
    <w:rsid w:val="00E96AC0"/>
    <w:rsid w:val="00EA2254"/>
    <w:rsid w:val="00EA3827"/>
    <w:rsid w:val="00EA4135"/>
    <w:rsid w:val="00EA47AB"/>
    <w:rsid w:val="00EA4E53"/>
    <w:rsid w:val="00EA56E4"/>
    <w:rsid w:val="00EA582A"/>
    <w:rsid w:val="00EA6623"/>
    <w:rsid w:val="00EA6A76"/>
    <w:rsid w:val="00EA6C53"/>
    <w:rsid w:val="00EA7526"/>
    <w:rsid w:val="00EB0584"/>
    <w:rsid w:val="00EB0C3A"/>
    <w:rsid w:val="00EB1102"/>
    <w:rsid w:val="00EB1EC2"/>
    <w:rsid w:val="00EB247F"/>
    <w:rsid w:val="00EB2569"/>
    <w:rsid w:val="00EB281E"/>
    <w:rsid w:val="00EB2C68"/>
    <w:rsid w:val="00EB2CEA"/>
    <w:rsid w:val="00EB2D1E"/>
    <w:rsid w:val="00EB4012"/>
    <w:rsid w:val="00EB5332"/>
    <w:rsid w:val="00EB6400"/>
    <w:rsid w:val="00EB6C3B"/>
    <w:rsid w:val="00EB709B"/>
    <w:rsid w:val="00EC083B"/>
    <w:rsid w:val="00EC0F9A"/>
    <w:rsid w:val="00EC101E"/>
    <w:rsid w:val="00EC149C"/>
    <w:rsid w:val="00EC197F"/>
    <w:rsid w:val="00EC1E7F"/>
    <w:rsid w:val="00EC2915"/>
    <w:rsid w:val="00EC4100"/>
    <w:rsid w:val="00EC4185"/>
    <w:rsid w:val="00EC4B51"/>
    <w:rsid w:val="00EC52A6"/>
    <w:rsid w:val="00EC6D35"/>
    <w:rsid w:val="00ED1468"/>
    <w:rsid w:val="00ED1911"/>
    <w:rsid w:val="00ED194F"/>
    <w:rsid w:val="00ED1E8B"/>
    <w:rsid w:val="00ED27EB"/>
    <w:rsid w:val="00ED2883"/>
    <w:rsid w:val="00ED28C9"/>
    <w:rsid w:val="00ED3E0F"/>
    <w:rsid w:val="00ED41D6"/>
    <w:rsid w:val="00ED4751"/>
    <w:rsid w:val="00ED5056"/>
    <w:rsid w:val="00ED6A47"/>
    <w:rsid w:val="00ED7079"/>
    <w:rsid w:val="00ED713D"/>
    <w:rsid w:val="00EE04CE"/>
    <w:rsid w:val="00EE0762"/>
    <w:rsid w:val="00EE1BA5"/>
    <w:rsid w:val="00EE2680"/>
    <w:rsid w:val="00EE3AF5"/>
    <w:rsid w:val="00EE4429"/>
    <w:rsid w:val="00EE579C"/>
    <w:rsid w:val="00EE5FD7"/>
    <w:rsid w:val="00EE6FDD"/>
    <w:rsid w:val="00EE743C"/>
    <w:rsid w:val="00EE7CA1"/>
    <w:rsid w:val="00EF0944"/>
    <w:rsid w:val="00EF1790"/>
    <w:rsid w:val="00EF1825"/>
    <w:rsid w:val="00EF52CF"/>
    <w:rsid w:val="00EF58E2"/>
    <w:rsid w:val="00EF5E71"/>
    <w:rsid w:val="00EF66C6"/>
    <w:rsid w:val="00EF6A6C"/>
    <w:rsid w:val="00EF71C9"/>
    <w:rsid w:val="00EF7825"/>
    <w:rsid w:val="00EF787F"/>
    <w:rsid w:val="00F0147A"/>
    <w:rsid w:val="00F0184D"/>
    <w:rsid w:val="00F01F99"/>
    <w:rsid w:val="00F0228C"/>
    <w:rsid w:val="00F0231E"/>
    <w:rsid w:val="00F028AD"/>
    <w:rsid w:val="00F034CF"/>
    <w:rsid w:val="00F03ACC"/>
    <w:rsid w:val="00F041D1"/>
    <w:rsid w:val="00F0487D"/>
    <w:rsid w:val="00F04C1C"/>
    <w:rsid w:val="00F053B9"/>
    <w:rsid w:val="00F0562D"/>
    <w:rsid w:val="00F05CE5"/>
    <w:rsid w:val="00F06130"/>
    <w:rsid w:val="00F06BAE"/>
    <w:rsid w:val="00F1093E"/>
    <w:rsid w:val="00F11132"/>
    <w:rsid w:val="00F11BB9"/>
    <w:rsid w:val="00F11C29"/>
    <w:rsid w:val="00F1274E"/>
    <w:rsid w:val="00F12A8C"/>
    <w:rsid w:val="00F13726"/>
    <w:rsid w:val="00F13D27"/>
    <w:rsid w:val="00F1414F"/>
    <w:rsid w:val="00F14921"/>
    <w:rsid w:val="00F14DE7"/>
    <w:rsid w:val="00F163AB"/>
    <w:rsid w:val="00F17B07"/>
    <w:rsid w:val="00F20B7D"/>
    <w:rsid w:val="00F20E70"/>
    <w:rsid w:val="00F21627"/>
    <w:rsid w:val="00F21799"/>
    <w:rsid w:val="00F225B7"/>
    <w:rsid w:val="00F229A4"/>
    <w:rsid w:val="00F23230"/>
    <w:rsid w:val="00F24DE8"/>
    <w:rsid w:val="00F25180"/>
    <w:rsid w:val="00F25796"/>
    <w:rsid w:val="00F25CF7"/>
    <w:rsid w:val="00F25F72"/>
    <w:rsid w:val="00F27FA9"/>
    <w:rsid w:val="00F30A70"/>
    <w:rsid w:val="00F31A22"/>
    <w:rsid w:val="00F3239E"/>
    <w:rsid w:val="00F323DC"/>
    <w:rsid w:val="00F3272C"/>
    <w:rsid w:val="00F328ED"/>
    <w:rsid w:val="00F32B71"/>
    <w:rsid w:val="00F33531"/>
    <w:rsid w:val="00F338BE"/>
    <w:rsid w:val="00F339AB"/>
    <w:rsid w:val="00F33B08"/>
    <w:rsid w:val="00F348B8"/>
    <w:rsid w:val="00F34CFF"/>
    <w:rsid w:val="00F3553D"/>
    <w:rsid w:val="00F35893"/>
    <w:rsid w:val="00F367AC"/>
    <w:rsid w:val="00F36AAD"/>
    <w:rsid w:val="00F3705C"/>
    <w:rsid w:val="00F40526"/>
    <w:rsid w:val="00F4190E"/>
    <w:rsid w:val="00F4206B"/>
    <w:rsid w:val="00F420A1"/>
    <w:rsid w:val="00F43461"/>
    <w:rsid w:val="00F43593"/>
    <w:rsid w:val="00F441FC"/>
    <w:rsid w:val="00F444E3"/>
    <w:rsid w:val="00F44F20"/>
    <w:rsid w:val="00F4509B"/>
    <w:rsid w:val="00F45253"/>
    <w:rsid w:val="00F4536E"/>
    <w:rsid w:val="00F45DBE"/>
    <w:rsid w:val="00F468D6"/>
    <w:rsid w:val="00F46F17"/>
    <w:rsid w:val="00F5172F"/>
    <w:rsid w:val="00F51B7D"/>
    <w:rsid w:val="00F52166"/>
    <w:rsid w:val="00F527E0"/>
    <w:rsid w:val="00F52E74"/>
    <w:rsid w:val="00F53BAB"/>
    <w:rsid w:val="00F54333"/>
    <w:rsid w:val="00F54775"/>
    <w:rsid w:val="00F56C9F"/>
    <w:rsid w:val="00F56D88"/>
    <w:rsid w:val="00F57799"/>
    <w:rsid w:val="00F579A7"/>
    <w:rsid w:val="00F57AB1"/>
    <w:rsid w:val="00F614AA"/>
    <w:rsid w:val="00F6362D"/>
    <w:rsid w:val="00F6433D"/>
    <w:rsid w:val="00F66D6C"/>
    <w:rsid w:val="00F67248"/>
    <w:rsid w:val="00F675BC"/>
    <w:rsid w:val="00F738D7"/>
    <w:rsid w:val="00F73CEE"/>
    <w:rsid w:val="00F73FB9"/>
    <w:rsid w:val="00F7411C"/>
    <w:rsid w:val="00F74386"/>
    <w:rsid w:val="00F7494B"/>
    <w:rsid w:val="00F74D74"/>
    <w:rsid w:val="00F750CE"/>
    <w:rsid w:val="00F75E43"/>
    <w:rsid w:val="00F76649"/>
    <w:rsid w:val="00F76B9C"/>
    <w:rsid w:val="00F76D9E"/>
    <w:rsid w:val="00F771A0"/>
    <w:rsid w:val="00F806E4"/>
    <w:rsid w:val="00F80B38"/>
    <w:rsid w:val="00F815AF"/>
    <w:rsid w:val="00F817C8"/>
    <w:rsid w:val="00F82771"/>
    <w:rsid w:val="00F8314A"/>
    <w:rsid w:val="00F83892"/>
    <w:rsid w:val="00F83C53"/>
    <w:rsid w:val="00F846B7"/>
    <w:rsid w:val="00F85AE8"/>
    <w:rsid w:val="00F869D4"/>
    <w:rsid w:val="00F87DBF"/>
    <w:rsid w:val="00F90746"/>
    <w:rsid w:val="00F90FFB"/>
    <w:rsid w:val="00F917ED"/>
    <w:rsid w:val="00F92210"/>
    <w:rsid w:val="00F94BE7"/>
    <w:rsid w:val="00F95695"/>
    <w:rsid w:val="00F9598E"/>
    <w:rsid w:val="00F96FDA"/>
    <w:rsid w:val="00F97124"/>
    <w:rsid w:val="00F97BC9"/>
    <w:rsid w:val="00FA06E8"/>
    <w:rsid w:val="00FA092D"/>
    <w:rsid w:val="00FA0F8B"/>
    <w:rsid w:val="00FA1039"/>
    <w:rsid w:val="00FA2EB6"/>
    <w:rsid w:val="00FA3D3D"/>
    <w:rsid w:val="00FA55BE"/>
    <w:rsid w:val="00FA6878"/>
    <w:rsid w:val="00FA7755"/>
    <w:rsid w:val="00FA789F"/>
    <w:rsid w:val="00FA7E64"/>
    <w:rsid w:val="00FB123B"/>
    <w:rsid w:val="00FB37BB"/>
    <w:rsid w:val="00FB3D01"/>
    <w:rsid w:val="00FB4393"/>
    <w:rsid w:val="00FB5712"/>
    <w:rsid w:val="00FB5807"/>
    <w:rsid w:val="00FB679F"/>
    <w:rsid w:val="00FC031E"/>
    <w:rsid w:val="00FC088C"/>
    <w:rsid w:val="00FC1352"/>
    <w:rsid w:val="00FC1FF1"/>
    <w:rsid w:val="00FC27A1"/>
    <w:rsid w:val="00FC2987"/>
    <w:rsid w:val="00FC30AF"/>
    <w:rsid w:val="00FC3233"/>
    <w:rsid w:val="00FC465D"/>
    <w:rsid w:val="00FC52B5"/>
    <w:rsid w:val="00FC5D0D"/>
    <w:rsid w:val="00FC5DC6"/>
    <w:rsid w:val="00FC69CD"/>
    <w:rsid w:val="00FC706E"/>
    <w:rsid w:val="00FC73D9"/>
    <w:rsid w:val="00FD0720"/>
    <w:rsid w:val="00FD2D61"/>
    <w:rsid w:val="00FD3F85"/>
    <w:rsid w:val="00FD40FA"/>
    <w:rsid w:val="00FD46A5"/>
    <w:rsid w:val="00FD48D0"/>
    <w:rsid w:val="00FD599E"/>
    <w:rsid w:val="00FD600F"/>
    <w:rsid w:val="00FD7584"/>
    <w:rsid w:val="00FE0A06"/>
    <w:rsid w:val="00FE0A37"/>
    <w:rsid w:val="00FE0EBB"/>
    <w:rsid w:val="00FE1B44"/>
    <w:rsid w:val="00FE1BE1"/>
    <w:rsid w:val="00FE3D02"/>
    <w:rsid w:val="00FE3E27"/>
    <w:rsid w:val="00FE4010"/>
    <w:rsid w:val="00FE7495"/>
    <w:rsid w:val="00FE794C"/>
    <w:rsid w:val="00FE7984"/>
    <w:rsid w:val="00FF00A0"/>
    <w:rsid w:val="00FF03BE"/>
    <w:rsid w:val="00FF0AF9"/>
    <w:rsid w:val="00FF143B"/>
    <w:rsid w:val="00FF1445"/>
    <w:rsid w:val="00FF1945"/>
    <w:rsid w:val="00FF1B92"/>
    <w:rsid w:val="00FF1B96"/>
    <w:rsid w:val="00FF22EA"/>
    <w:rsid w:val="00FF31AF"/>
    <w:rsid w:val="00FF4126"/>
    <w:rsid w:val="00FF4242"/>
    <w:rsid w:val="00FF56CC"/>
    <w:rsid w:val="00FF5C61"/>
    <w:rsid w:val="00FF6A86"/>
    <w:rsid w:val="00FF707C"/>
    <w:rsid w:val="00FF7175"/>
    <w:rsid w:val="00FF7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lsdException w:name="footer" w:locked="0"/>
    <w:lsdException w:name="index heading" w:locked="0" w:semiHidden="1"/>
    <w:lsdException w:name="caption" w:locked="0" w:qFormat="1"/>
    <w:lsdException w:name="table of figures" w:locked="0" w:semiHidden="1" w:uiPriority="99"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qFormat="1"/>
    <w:lsdException w:name="List Number" w:semiHidden="1" w:uiPriority="13"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5" w:semiHidden="1"/>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uiPriority="99"/>
    <w:lsdException w:name="FollowedHyperlink" w:locked="0" w:semiHidden="1" w:uiPriority="99"/>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PwCNormal"/>
    <w:qFormat/>
    <w:rsid w:val="00446789"/>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Heading2"/>
    <w:next w:val="PwCNormal"/>
    <w:qFormat/>
    <w:rsid w:val="00B06836"/>
    <w:pPr>
      <w:numPr>
        <w:ilvl w:val="0"/>
      </w:numPr>
      <w:outlineLvl w:val="0"/>
    </w:pPr>
  </w:style>
  <w:style w:type="paragraph" w:styleId="Heading2">
    <w:name w:val="heading 2"/>
    <w:aliases w:val="Chapter Heading (Short)"/>
    <w:basedOn w:val="Normal"/>
    <w:next w:val="PwCNormal"/>
    <w:qFormat/>
    <w:rsid w:val="00446789"/>
    <w:pPr>
      <w:keepNext/>
      <w:numPr>
        <w:ilvl w:val="1"/>
        <w:numId w:val="27"/>
      </w:numPr>
      <w:spacing w:after="40"/>
      <w:ind w:left="900" w:hanging="900"/>
      <w:outlineLvl w:val="1"/>
    </w:pPr>
    <w:rPr>
      <w:rFonts w:asciiTheme="majorHAnsi" w:hAnsiTheme="majorHAnsi"/>
      <w:b/>
      <w:bCs/>
      <w:i/>
      <w:iCs/>
      <w:color w:val="A32020" w:themeColor="accent1"/>
      <w:sz w:val="32"/>
      <w:szCs w:val="36"/>
    </w:rPr>
  </w:style>
  <w:style w:type="paragraph" w:styleId="Heading3">
    <w:name w:val="heading 3"/>
    <w:basedOn w:val="Normal"/>
    <w:next w:val="PwCNormal"/>
    <w:qFormat/>
    <w:rsid w:val="00292B95"/>
    <w:pPr>
      <w:spacing w:before="240" w:after="40"/>
      <w:outlineLvl w:val="2"/>
    </w:pPr>
    <w:rPr>
      <w:rFonts w:asciiTheme="majorHAnsi" w:hAnsiTheme="majorHAnsi"/>
      <w:b/>
      <w:color w:val="A32020" w:themeColor="text2"/>
      <w:szCs w:val="21"/>
    </w:rPr>
  </w:style>
  <w:style w:type="paragraph" w:styleId="Heading4">
    <w:name w:val="heading 4"/>
    <w:basedOn w:val="BodyText"/>
    <w:next w:val="PwCNormal"/>
    <w:qFormat/>
    <w:rsid w:val="00292B95"/>
    <w:pPr>
      <w:outlineLvl w:val="3"/>
    </w:pPr>
    <w:rPr>
      <w:i/>
    </w:rPr>
  </w:style>
  <w:style w:type="paragraph" w:styleId="Heading5">
    <w:name w:val="heading 5"/>
    <w:basedOn w:val="Heading2"/>
    <w:next w:val="PwCNormal"/>
    <w:qFormat/>
    <w:rsid w:val="00317710"/>
    <w:pPr>
      <w:numPr>
        <w:ilvl w:val="4"/>
      </w:numPr>
      <w:spacing w:before="360" w:line="380" w:lineRule="atLeast"/>
      <w:outlineLvl w:val="4"/>
    </w:pPr>
    <w:rPr>
      <w:bCs w:val="0"/>
      <w:iCs w:val="0"/>
      <w:szCs w:val="32"/>
    </w:rPr>
  </w:style>
  <w:style w:type="paragraph" w:styleId="Heading6">
    <w:name w:val="heading 6"/>
    <w:basedOn w:val="Heading2"/>
    <w:next w:val="PwCNormal"/>
    <w:qFormat/>
    <w:rsid w:val="00BC0A43"/>
    <w:pPr>
      <w:numPr>
        <w:ilvl w:val="5"/>
      </w:numPr>
      <w:outlineLvl w:val="5"/>
    </w:pPr>
    <w:rPr>
      <w:bCs w:val="0"/>
      <w:color w:val="A32020" w:themeColor="text2"/>
    </w:rPr>
  </w:style>
  <w:style w:type="paragraph" w:styleId="Heading7">
    <w:name w:val="heading 7"/>
    <w:basedOn w:val="Heading6"/>
    <w:next w:val="PwCNormal"/>
    <w:qFormat/>
    <w:rsid w:val="008F02B5"/>
    <w:pPr>
      <w:numPr>
        <w:ilvl w:val="6"/>
      </w:numPr>
      <w:outlineLvl w:val="6"/>
    </w:pPr>
    <w:rPr>
      <w:b w:val="0"/>
      <w:sz w:val="28"/>
      <w:szCs w:val="28"/>
    </w:rPr>
  </w:style>
  <w:style w:type="paragraph" w:styleId="Heading8">
    <w:name w:val="heading 8"/>
    <w:basedOn w:val="Majorheading"/>
    <w:next w:val="PwCNormal"/>
    <w:qFormat/>
    <w:rsid w:val="00930AB8"/>
    <w:pPr>
      <w:numPr>
        <w:ilvl w:val="7"/>
        <w:numId w:val="27"/>
      </w:numPr>
      <w:outlineLvl w:val="7"/>
    </w:pPr>
    <w:rPr>
      <w:sz w:val="32"/>
      <w:szCs w:val="21"/>
    </w:rPr>
  </w:style>
  <w:style w:type="paragraph" w:styleId="Heading9">
    <w:name w:val="heading 9"/>
    <w:basedOn w:val="Heading8"/>
    <w:next w:val="PwCNormal"/>
    <w:qFormat/>
    <w:rsid w:val="005C6E53"/>
    <w:pPr>
      <w:numPr>
        <w:ilvl w:val="8"/>
      </w:numPr>
      <w:outlineLvl w:val="8"/>
    </w:pPr>
    <w:rPr>
      <w:b w:val="0"/>
      <w:i w:val="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376A6"/>
    <w:pPr>
      <w:tabs>
        <w:tab w:val="right" w:pos="8220"/>
      </w:tabs>
    </w:pPr>
    <w:rPr>
      <w:rFonts w:ascii="Arial" w:hAnsi="Arial"/>
      <w:color w:val="000000" w:themeColor="text1"/>
      <w:sz w:val="19"/>
      <w:szCs w:val="18"/>
    </w:rPr>
  </w:style>
  <w:style w:type="paragraph" w:styleId="Footer">
    <w:name w:val="footer"/>
    <w:basedOn w:val="Normal"/>
    <w:link w:val="FooterChar"/>
    <w:rsid w:val="00B376A6"/>
    <w:pPr>
      <w:tabs>
        <w:tab w:val="right" w:pos="8220"/>
      </w:tabs>
      <w:spacing w:line="0" w:lineRule="atLeast"/>
    </w:pPr>
    <w:rPr>
      <w:rFonts w:ascii="Arial" w:hAnsi="Arial"/>
      <w:color w:val="000000" w:themeColor="text1"/>
      <w:sz w:val="19"/>
      <w:szCs w:val="18"/>
    </w:rPr>
  </w:style>
  <w:style w:type="paragraph" w:customStyle="1" w:styleId="TOCtitle">
    <w:name w:val="TOC title"/>
    <w:basedOn w:val="Heading2"/>
    <w:next w:val="PwCNormal"/>
    <w:unhideWhenUsed/>
    <w:rsid w:val="005E2460"/>
    <w:pPr>
      <w:numPr>
        <w:ilvl w:val="0"/>
        <w:numId w:val="0"/>
      </w:numPr>
      <w:spacing w:after="600"/>
    </w:pPr>
    <w:rPr>
      <w:color w:val="auto"/>
    </w:rPr>
  </w:style>
  <w:style w:type="paragraph" w:customStyle="1" w:styleId="Covertitle">
    <w:name w:val="Cover title"/>
    <w:basedOn w:val="KeySentenceInside"/>
    <w:next w:val="Coversubtitle"/>
    <w:rsid w:val="00FF1B96"/>
    <w:pPr>
      <w:framePr w:w="2154" w:wrap="notBeside" w:vAnchor="page" w:hAnchor="page" w:x="928" w:y="8414"/>
      <w:spacing w:before="200"/>
      <w:ind w:left="113"/>
    </w:pPr>
    <w:rPr>
      <w:rFonts w:asciiTheme="majorHAnsi" w:hAnsiTheme="majorHAnsi"/>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ind w:left="1152" w:hanging="1152"/>
    </w:pPr>
  </w:style>
  <w:style w:type="paragraph" w:customStyle="1" w:styleId="ChapterNumberLong">
    <w:name w:val="Chapter Number (Long)"/>
    <w:basedOn w:val="Heading1"/>
    <w:next w:val="Heading1"/>
    <w:rsid w:val="00930AB8"/>
    <w:pPr>
      <w:numPr>
        <w:numId w:val="0"/>
      </w:numPr>
    </w:pPr>
  </w:style>
  <w:style w:type="paragraph" w:customStyle="1" w:styleId="Footer-Even">
    <w:name w:val="Footer - Even"/>
    <w:basedOn w:val="Footer"/>
    <w:rsid w:val="00B51CCB"/>
  </w:style>
  <w:style w:type="paragraph" w:customStyle="1" w:styleId="URL">
    <w:name w:val="URL"/>
    <w:basedOn w:val="PwCNormal"/>
    <w:next w:val="PwCNormal"/>
    <w:rsid w:val="00BF2CD7"/>
    <w:pPr>
      <w:framePr w:wrap="around" w:vAnchor="page" w:hAnchor="page" w:x="1022" w:y="568"/>
      <w:spacing w:after="0"/>
    </w:pPr>
    <w:rPr>
      <w:rFonts w:eastAsia="+mn-ea"/>
      <w:snapToGrid/>
      <w:color w:val="A32020" w:themeColor="text2"/>
      <w:sz w:val="36"/>
    </w:rPr>
  </w:style>
  <w:style w:type="paragraph" w:customStyle="1" w:styleId="Indent1">
    <w:name w:val="Indent 1"/>
    <w:basedOn w:val="Normal"/>
    <w:rsid w:val="006C1EC2"/>
    <w:pPr>
      <w:numPr>
        <w:ilvl w:val="1"/>
        <w:numId w:val="9"/>
      </w:numPr>
      <w:spacing w:before="100" w:after="100"/>
    </w:pPr>
    <w:rPr>
      <w:rFonts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A32020" w:themeColor="text2"/>
      <w:sz w:val="16"/>
      <w:lang w:val="en-US"/>
    </w:rPr>
  </w:style>
  <w:style w:type="paragraph" w:customStyle="1" w:styleId="Header-Even">
    <w:name w:val="Header - Even"/>
    <w:basedOn w:val="Header"/>
    <w:rsid w:val="006C27B5"/>
    <w:rPr>
      <w:noProof/>
      <w:snapToGrid/>
      <w:lang w:val="en-US" w:eastAsia="en-AU"/>
    </w:rPr>
  </w:style>
  <w:style w:type="paragraph" w:customStyle="1" w:styleId="PleaseNote">
    <w:name w:val="Please Note"/>
    <w:basedOn w:val="PrefaceTitle"/>
    <w:next w:val="PwC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PwCNormal"/>
    <w:uiPriority w:val="39"/>
    <w:rsid w:val="008D4477"/>
    <w:pPr>
      <w:numPr>
        <w:numId w:val="0"/>
      </w:numPr>
      <w:tabs>
        <w:tab w:val="left" w:pos="567"/>
      </w:tabs>
      <w:ind w:left="567" w:hanging="567"/>
    </w:pPr>
  </w:style>
  <w:style w:type="paragraph" w:styleId="TOC4">
    <w:name w:val="toc 4"/>
    <w:basedOn w:val="TOC2"/>
    <w:next w:val="PwCNormal"/>
    <w:uiPriority w:val="39"/>
    <w:rsid w:val="00A14944"/>
    <w:pPr>
      <w:tabs>
        <w:tab w:val="clear" w:pos="567"/>
        <w:tab w:val="left" w:pos="1134"/>
      </w:tabs>
      <w:ind w:left="1134" w:hanging="1134"/>
    </w:pPr>
  </w:style>
  <w:style w:type="paragraph" w:styleId="TOC7">
    <w:name w:val="toc 7"/>
    <w:basedOn w:val="TOC6"/>
    <w:next w:val="PwCNormal"/>
    <w:uiPriority w:val="39"/>
    <w:rsid w:val="008D4477"/>
    <w:pPr>
      <w:tabs>
        <w:tab w:val="clear" w:pos="1134"/>
        <w:tab w:val="left" w:pos="1985"/>
      </w:tabs>
      <w:ind w:left="1985" w:hanging="851"/>
    </w:pPr>
  </w:style>
  <w:style w:type="paragraph" w:customStyle="1" w:styleId="KeySentenceInside">
    <w:name w:val="Key Sentence Inside"/>
    <w:basedOn w:val="KeySentence"/>
    <w:rsid w:val="006650EF"/>
    <w:pPr>
      <w:framePr w:w="2296" w:wrap="notBeside" w:vAnchor="text" w:hAnchor="margin" w:x="-2521" w:y="1" w:anchorLock="1"/>
    </w:pPr>
  </w:style>
  <w:style w:type="paragraph" w:customStyle="1" w:styleId="ChapterNumberedList1">
    <w:name w:val="Chapter Numbered List 1"/>
    <w:basedOn w:val="PwCNormal"/>
    <w:rsid w:val="00930AB8"/>
    <w:pPr>
      <w:numPr>
        <w:numId w:val="0"/>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PwCNormal"/>
    <w:uiPriority w:val="39"/>
    <w:rsid w:val="008D4477"/>
    <w:pPr>
      <w:tabs>
        <w:tab w:val="clear" w:pos="567"/>
        <w:tab w:val="left" w:pos="1134"/>
      </w:tabs>
      <w:ind w:left="1134"/>
    </w:pPr>
  </w:style>
  <w:style w:type="paragraph" w:customStyle="1" w:styleId="PwCNormal">
    <w:name w:val="PwC Normal"/>
    <w:basedOn w:val="Normal"/>
    <w:link w:val="PwCNormalChar"/>
    <w:rsid w:val="00126AFF"/>
    <w:pPr>
      <w:numPr>
        <w:numId w:val="9"/>
      </w:numPr>
      <w:spacing w:after="240"/>
    </w:p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2627A5"/>
    <w:pPr>
      <w:framePr w:w="2410" w:wrap="around" w:vAnchor="text" w:hAnchor="margin" w:x="7909" w:y="1" w:anchorLock="1"/>
    </w:pPr>
  </w:style>
  <w:style w:type="character" w:customStyle="1" w:styleId="PwCNormalChar">
    <w:name w:val="PwC Normal Char"/>
    <w:basedOn w:val="DefaultParagraphFont"/>
    <w:link w:val="PwCNormal"/>
    <w:rsid w:val="00126AFF"/>
    <w:rPr>
      <w:rFonts w:cs="Arial"/>
      <w:snapToGrid w:val="0"/>
      <w:lang w:eastAsia="en-US"/>
    </w:rPr>
  </w:style>
  <w:style w:type="paragraph" w:styleId="TOC1">
    <w:name w:val="toc 1"/>
    <w:basedOn w:val="Normal"/>
    <w:next w:val="PwCNormal"/>
    <w:uiPriority w:val="39"/>
    <w:rsid w:val="001D29AE"/>
    <w:pPr>
      <w:numPr>
        <w:numId w:val="24"/>
      </w:numPr>
      <w:tabs>
        <w:tab w:val="left" w:pos="567"/>
        <w:tab w:val="right" w:pos="8220"/>
      </w:tabs>
      <w:spacing w:before="240" w:after="240" w:line="240" w:lineRule="atLeast"/>
      <w:ind w:right="851"/>
    </w:pPr>
  </w:style>
  <w:style w:type="paragraph" w:customStyle="1" w:styleId="CREATISID">
    <w:name w:val="CREATISID"/>
    <w:basedOn w:val="PwC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8220"/>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053B82"/>
    <w:pPr>
      <w:spacing w:before="80" w:after="80"/>
    </w:p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1186F"/>
    <w:pPr>
      <w:pBdr>
        <w:top w:val="single" w:sz="2" w:space="10" w:color="A32020" w:themeColor="text2"/>
        <w:left w:val="single" w:sz="2" w:space="10" w:color="A32020" w:themeColor="text2"/>
        <w:bottom w:val="single" w:sz="2" w:space="10" w:color="A32020" w:themeColor="text2"/>
        <w:right w:val="single" w:sz="2" w:space="10" w:color="A32020" w:themeColor="text2"/>
      </w:pBdr>
      <w:shd w:val="clear" w:color="auto" w:fill="A32020" w:themeFill="text2"/>
      <w:kinsoku/>
      <w:overflowPunct/>
      <w:autoSpaceDE/>
      <w:autoSpaceDN/>
      <w:adjustRightInd/>
      <w:snapToGrid/>
      <w:spacing w:after="240"/>
      <w:ind w:left="227" w:right="227"/>
    </w:pPr>
    <w:rPr>
      <w:rFonts w:eastAsiaTheme="minorHAnsi" w:cstheme="minorBidi"/>
      <w:i/>
      <w:snapToGrid/>
      <w:color w:val="FFFFFF" w:themeColor="background2"/>
      <w:sz w:val="48"/>
      <w:szCs w:val="48"/>
      <w:lang w:val="en-GB"/>
    </w:rPr>
  </w:style>
  <w:style w:type="paragraph" w:customStyle="1" w:styleId="Appendix">
    <w:name w:val="Appendix"/>
    <w:basedOn w:val="Heading1"/>
    <w:next w:val="Normal"/>
    <w:uiPriority w:val="99"/>
    <w:qFormat/>
    <w:rsid w:val="0071186F"/>
    <w:pPr>
      <w:numPr>
        <w:numId w:val="0"/>
      </w:numPr>
      <w:kinsoku/>
      <w:overflowPunct/>
      <w:autoSpaceDE/>
      <w:autoSpaceDN/>
      <w:adjustRightInd/>
      <w:snapToGrid/>
      <w:ind w:left="720" w:hanging="360"/>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A32020" w:themeColor="text2"/>
      <w:szCs w:val="18"/>
    </w:rPr>
  </w:style>
  <w:style w:type="paragraph" w:customStyle="1" w:styleId="Majorheading">
    <w:name w:val="Major heading"/>
    <w:basedOn w:val="Normal"/>
    <w:next w:val="PwCNormal"/>
    <w:rsid w:val="0095290F"/>
    <w:pPr>
      <w:keepNext/>
      <w:keepLines/>
      <w:spacing w:before="240" w:after="40"/>
    </w:pPr>
    <w:rPr>
      <w:rFonts w:asciiTheme="majorHAnsi" w:hAnsiTheme="majorHAnsi"/>
      <w:b/>
      <w:i/>
      <w:color w:val="A32020"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unhideWhenUsed/>
    <w:rsid w:val="00F03ACC"/>
    <w:pPr>
      <w:spacing w:after="140"/>
    </w:pPr>
    <w:rPr>
      <w:rFonts w:ascii="Arial" w:hAnsi="Arial"/>
      <w:sz w:val="15"/>
    </w:rPr>
  </w:style>
  <w:style w:type="paragraph" w:customStyle="1" w:styleId="Footer-LandscapeEven">
    <w:name w:val="Footer - Landscape Even"/>
    <w:basedOn w:val="Footer-Landscape"/>
    <w:rsid w:val="008D4477"/>
  </w:style>
  <w:style w:type="paragraph" w:customStyle="1" w:styleId="PwCNormal-Single">
    <w:name w:val="PwC Normal - Single"/>
    <w:basedOn w:val="PwC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A86844"/>
    <w:pPr>
      <w:spacing w:after="160" w:line="260" w:lineRule="atLeast"/>
    </w:pPr>
    <w:rPr>
      <w:i/>
      <w:color w:val="A32020"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PwCNormal"/>
    <w:rsid w:val="00C75673"/>
    <w:pPr>
      <w:numPr>
        <w:ilvl w:val="0"/>
        <w:numId w:val="0"/>
      </w:numPr>
    </w:pPr>
  </w:style>
  <w:style w:type="paragraph" w:customStyle="1" w:styleId="Sources">
    <w:name w:val="Sources"/>
    <w:basedOn w:val="Normal"/>
    <w:next w:val="PwCNormal"/>
    <w:rsid w:val="006742E0"/>
    <w:pPr>
      <w:spacing w:before="80" w:after="240" w:line="180" w:lineRule="atLeast"/>
    </w:pPr>
    <w:rPr>
      <w:color w:val="A32020" w:themeColor="text2"/>
      <w:sz w:val="16"/>
    </w:rPr>
  </w:style>
  <w:style w:type="paragraph" w:customStyle="1" w:styleId="Minorheading">
    <w:name w:val="Minor heading"/>
    <w:basedOn w:val="Majorheading"/>
    <w:next w:val="PwCNormal"/>
    <w:rsid w:val="003C52DC"/>
    <w:pPr>
      <w:spacing w:line="180" w:lineRule="atLeast"/>
    </w:pPr>
    <w:rPr>
      <w:b w:val="0"/>
      <w:sz w:val="26"/>
    </w:rPr>
  </w:style>
  <w:style w:type="paragraph" w:customStyle="1" w:styleId="Minorheading2">
    <w:name w:val="Minor heading 2"/>
    <w:basedOn w:val="Minorheading"/>
    <w:next w:val="PwCNormal"/>
    <w:rsid w:val="00D657FC"/>
    <w:pPr>
      <w:spacing w:line="240" w:lineRule="atLeast"/>
    </w:pPr>
    <w:rPr>
      <w:b/>
      <w:i w:val="0"/>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1186F"/>
    <w:pPr>
      <w:pBdr>
        <w:top w:val="single" w:sz="8" w:space="10" w:color="F2F2F2" w:themeColor="background2" w:themeShade="F2"/>
        <w:left w:val="single" w:sz="8" w:space="10" w:color="F2F2F2" w:themeColor="background2" w:themeShade="F2"/>
        <w:bottom w:val="single" w:sz="8" w:space="10" w:color="F2F2F2" w:themeColor="background2" w:themeShade="F2"/>
        <w:right w:val="single" w:sz="8" w:space="10" w:color="F2F2F2" w:themeColor="background2" w:themeShade="F2"/>
      </w:pBdr>
      <w:shd w:val="clear" w:color="auto" w:fill="F2F2F2" w:themeFill="background2" w:themeFillShade="F2"/>
      <w:kinsoku/>
      <w:overflowPunct/>
      <w:autoSpaceDE/>
      <w:autoSpaceDN/>
      <w:adjustRightInd/>
      <w:snapToGrid/>
      <w:ind w:left="227" w:right="227"/>
    </w:pPr>
    <w:rPr>
      <w:snapToGrid/>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PwCNormal"/>
    <w:rsid w:val="00930AB8"/>
    <w:pPr>
      <w:spacing w:after="480" w:line="600" w:lineRule="atLeast"/>
    </w:pPr>
    <w:rPr>
      <w:sz w:val="56"/>
    </w:rPr>
  </w:style>
  <w:style w:type="paragraph" w:styleId="FootnoteText">
    <w:name w:val="footnote text"/>
    <w:basedOn w:val="Normal"/>
    <w:rsid w:val="005F07CE"/>
    <w:pPr>
      <w:tabs>
        <w:tab w:val="left" w:pos="284"/>
      </w:tabs>
      <w:spacing w:before="80" w:after="80"/>
      <w:ind w:left="227" w:hanging="227"/>
    </w:pPr>
    <w:rPr>
      <w:sz w:val="14"/>
    </w:rPr>
  </w:style>
  <w:style w:type="character" w:styleId="FootnoteReference">
    <w:name w:val="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qFormat/>
    <w:rsid w:val="009231BC"/>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PwCNormal"/>
    <w:uiPriority w:val="39"/>
    <w:rsid w:val="008D4477"/>
    <w:pPr>
      <w:numPr>
        <w:ilvl w:val="2"/>
      </w:numPr>
    </w:pPr>
  </w:style>
  <w:style w:type="paragraph" w:styleId="TOC5">
    <w:name w:val="toc 5"/>
    <w:basedOn w:val="TOC2"/>
    <w:next w:val="PwCNormal"/>
    <w:rsid w:val="008D4477"/>
  </w:style>
  <w:style w:type="paragraph" w:styleId="TOC8">
    <w:name w:val="toc 8"/>
    <w:basedOn w:val="TOC7"/>
    <w:next w:val="PwCNormal"/>
    <w:rsid w:val="008D4477"/>
    <w:pPr>
      <w:tabs>
        <w:tab w:val="clear" w:pos="1985"/>
        <w:tab w:val="left" w:pos="3402"/>
      </w:tabs>
      <w:ind w:left="3403"/>
    </w:pPr>
  </w:style>
  <w:style w:type="paragraph" w:styleId="TOC9">
    <w:name w:val="toc 9"/>
    <w:basedOn w:val="TOC8"/>
    <w:next w:val="PwC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0B319E"/>
    <w:pPr>
      <w:keepNext/>
      <w:keepLines/>
    </w:pPr>
    <w:rPr>
      <w:b/>
      <w:color w:val="A32020" w:themeColor="text2"/>
    </w:rPr>
  </w:style>
  <w:style w:type="paragraph" w:customStyle="1" w:styleId="TableColumnHeadingSmall">
    <w:name w:val="Table Column Heading Small"/>
    <w:basedOn w:val="TableTextSmall"/>
    <w:next w:val="TableTextSmall"/>
    <w:rsid w:val="00053B82"/>
    <w:pPr>
      <w:keepNext/>
      <w:keepLines/>
    </w:pPr>
    <w:rPr>
      <w:b/>
      <w:color w:val="A32020"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pPr>
      <w:tabs>
        <w:tab w:val="clear" w:pos="8220"/>
        <w:tab w:val="right" w:pos="14797"/>
      </w:tabs>
    </w:pPr>
  </w:style>
  <w:style w:type="character" w:styleId="PageNumber">
    <w:name w:val="page number"/>
    <w:semiHidden/>
    <w:unhideWhenUsed/>
    <w:rsid w:val="008D4477"/>
  </w:style>
  <w:style w:type="paragraph" w:styleId="Date">
    <w:name w:val="Date"/>
    <w:basedOn w:val="Normal"/>
    <w:next w:val="PwC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style>
  <w:style w:type="paragraph" w:customStyle="1" w:styleId="Footer-ToCEven">
    <w:name w:val="Footer - ToC Even"/>
    <w:basedOn w:val="Footer-ToC"/>
    <w:rsid w:val="00BB4286"/>
  </w:style>
  <w:style w:type="table" w:customStyle="1" w:styleId="Tables-APBase">
    <w:name w:val="Tables - AP Base"/>
    <w:basedOn w:val="TableNormal"/>
    <w:rsid w:val="00A87947"/>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A32020" w:themeColor="text2"/>
          <w:bottom w:val="single" w:sz="4" w:space="0" w:color="A32020" w:themeColor="text2"/>
        </w:tcBorders>
      </w:tcPr>
    </w:tblStylePr>
    <w:tblStylePr w:type="lastRow">
      <w:rPr>
        <w:color w:val="auto"/>
      </w:rPr>
      <w:tblPr/>
      <w:tcPr>
        <w:tcBorders>
          <w:top w:val="single" w:sz="4" w:space="0" w:color="A32020"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A32020"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qFormat/>
    <w:locked/>
    <w:rsid w:val="00CC25DA"/>
    <w:pPr>
      <w:numPr>
        <w:ilvl w:val="1"/>
        <w:numId w:val="5"/>
      </w:numPr>
      <w:spacing w:before="0" w:after="240"/>
    </w:pPr>
  </w:style>
  <w:style w:type="paragraph" w:styleId="ListBullet4">
    <w:name w:val="List Bullet 4"/>
    <w:basedOn w:val="ListBullet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1226BE"/>
    <w:pPr>
      <w:spacing w:before="120" w:after="40"/>
    </w:pPr>
    <w:rPr>
      <w:sz w:val="14"/>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qFormat/>
    <w:locked/>
    <w:rsid w:val="00CC25DA"/>
    <w:pPr>
      <w:numPr>
        <w:ilvl w:val="2"/>
      </w:numPr>
    </w:pPr>
  </w:style>
  <w:style w:type="paragraph" w:customStyle="1" w:styleId="CVHeading1">
    <w:name w:val="CV Heading 1"/>
    <w:basedOn w:val="CVText"/>
    <w:next w:val="CVText"/>
    <w:rsid w:val="00C70AB2"/>
    <w:pPr>
      <w:keepNext/>
      <w:keepLines/>
      <w:spacing w:before="120"/>
    </w:pPr>
    <w:rPr>
      <w:b/>
      <w:i/>
      <w:color w:val="A32020" w:themeColor="text2"/>
    </w:rPr>
  </w:style>
  <w:style w:type="paragraph" w:customStyle="1" w:styleId="CVPhoto">
    <w:name w:val="CV Photo"/>
    <w:basedOn w:val="CVHeading2"/>
    <w:rsid w:val="00C70AB2"/>
    <w:rPr>
      <w:sz w:val="21"/>
    </w:rPr>
  </w:style>
  <w:style w:type="paragraph" w:customStyle="1" w:styleId="CVText">
    <w:name w:val="CV Text"/>
    <w:basedOn w:val="PwCNormal"/>
    <w:rsid w:val="00C72147"/>
    <w:pPr>
      <w:numPr>
        <w:numId w:val="0"/>
      </w:numPr>
      <w:spacing w:before="80" w:after="80"/>
    </w:pPr>
  </w:style>
  <w:style w:type="paragraph" w:customStyle="1" w:styleId="CVNamelarge">
    <w:name w:val="CV Name large"/>
    <w:basedOn w:val="CVText"/>
    <w:next w:val="CVRoleTitle"/>
    <w:rsid w:val="00C70AB2"/>
    <w:pPr>
      <w:spacing w:before="0"/>
    </w:pPr>
    <w:rPr>
      <w:b/>
      <w:i/>
      <w:color w:val="A32020"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A32020"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outlineLvl w:val="9"/>
    </w:pPr>
    <w:rPr>
      <w:rFonts w:ascii="Georgia" w:hAnsi="Georgia"/>
      <w:sz w:val="21"/>
      <w:szCs w:val="20"/>
    </w:rPr>
  </w:style>
  <w:style w:type="table" w:customStyle="1" w:styleId="Tables-APBase2">
    <w:name w:val="Tables - AP Base 2"/>
    <w:basedOn w:val="Tables-APBase"/>
    <w:uiPriority w:val="99"/>
    <w:qFormat/>
    <w:rsid w:val="003779E0"/>
    <w:tblPr>
      <w:tblStyleRowBandSize w:val="1"/>
      <w:tblStyleColBandSize w:val="1"/>
      <w:tblInd w:w="0" w:type="dxa"/>
      <w:tblBorders>
        <w:top w:val="single" w:sz="4" w:space="0" w:color="FFFFFF"/>
        <w:left w:val="single" w:sz="4" w:space="0" w:color="FFFFFF"/>
        <w:bottom w:val="single" w:sz="6" w:space="0" w:color="A32020" w:themeColor="text2"/>
        <w:right w:val="single" w:sz="4" w:space="0" w:color="FFFFFF"/>
        <w:insideH w:val="dotted" w:sz="8" w:space="0" w:color="A32020" w:themeColor="text2"/>
        <w:insideV w:val="single" w:sz="4" w:space="0" w:color="FFFFFF"/>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color w:val="FFFFFF" w:themeColor="background2"/>
      </w:rPr>
      <w:tblPr/>
      <w:trPr>
        <w:tblHeader/>
      </w:trPr>
      <w:tcPr>
        <w:tcBorders>
          <w:top w:val="single" w:sz="4" w:space="0" w:color="A32020" w:themeColor="text2"/>
          <w:bottom w:val="single" w:sz="4" w:space="0" w:color="A32020" w:themeColor="text2"/>
        </w:tcBorders>
        <w:shd w:val="clear" w:color="auto" w:fill="A32020" w:themeFill="text2"/>
        <w:vAlign w:val="bottom"/>
      </w:tcPr>
    </w:tblStylePr>
    <w:tblStylePr w:type="lastRow">
      <w:rPr>
        <w:color w:val="FFFFFF" w:themeColor="background1"/>
      </w:rPr>
      <w:tblPr/>
      <w:tcPr>
        <w:tcBorders>
          <w:top w:val="single" w:sz="4" w:space="0" w:color="A32020" w:themeColor="text2"/>
        </w:tcBorders>
        <w:shd w:val="clear" w:color="auto" w:fill="A32020" w:themeFill="text2"/>
      </w:tcPr>
    </w:tblStylePr>
    <w:tblStylePr w:type="firstCol">
      <w:tblPr/>
      <w:tcPr>
        <w:shd w:val="clear" w:color="auto" w:fill="FFFFFF" w:themeFill="background2"/>
      </w:tcPr>
    </w:tblStylePr>
    <w:tblStylePr w:type="lastCol">
      <w:tblPr/>
      <w:tcPr>
        <w:shd w:val="clear" w:color="auto" w:fill="FFFFFF" w:themeFill="background2"/>
      </w:tcPr>
    </w:tblStylePr>
    <w:tblStylePr w:type="band2Vert">
      <w:tblPr/>
      <w:tcPr>
        <w:shd w:val="clear" w:color="auto" w:fill="F4CACA" w:themeFill="text2" w:themeFillTint="33"/>
      </w:tcPr>
    </w:tblStylePr>
    <w:tblStylePr w:type="band2Horz">
      <w:tblPr/>
      <w:tcPr>
        <w:shd w:val="clear" w:color="auto" w:fill="F4CACA"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locked/>
    <w:rsid w:val="00B376A6"/>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1186F"/>
    <w:pPr>
      <w:spacing w:after="240"/>
    </w:pPr>
    <w:rPr>
      <w:rFonts w:eastAsiaTheme="minorEastAsia" w:cstheme="minorBidi"/>
      <w:b/>
      <w:i/>
      <w:iCs/>
      <w:color w:val="A32020" w:themeColor="accent1"/>
      <w:sz w:val="48"/>
    </w:rPr>
  </w:style>
  <w:style w:type="paragraph" w:styleId="BodyText">
    <w:name w:val="Body Text"/>
    <w:basedOn w:val="Normal"/>
    <w:link w:val="BodyTextChar"/>
    <w:semiHidden/>
    <w:locked/>
    <w:rsid w:val="00452AF1"/>
    <w:pPr>
      <w:spacing w:after="240"/>
    </w:pPr>
  </w:style>
  <w:style w:type="character" w:customStyle="1" w:styleId="BodyTextChar">
    <w:name w:val="Body Text Char"/>
    <w:basedOn w:val="DefaultParagraphFont"/>
    <w:link w:val="BodyText"/>
    <w:semiHidden/>
    <w:rsid w:val="00452AF1"/>
    <w:rPr>
      <w:rFonts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semiHidden/>
    <w:rsid w:val="007D1C0E"/>
    <w:rPr>
      <w:rFonts w:ascii="Georgia" w:hAnsi="Georgia"/>
      <w:sz w:val="16"/>
      <w:szCs w:val="16"/>
    </w:rPr>
  </w:style>
  <w:style w:type="paragraph" w:styleId="CommentText">
    <w:name w:val="annotation text"/>
    <w:basedOn w:val="Normal"/>
    <w:link w:val="CommentTextChar"/>
    <w:semiHidden/>
    <w:rsid w:val="007D1C0E"/>
  </w:style>
  <w:style w:type="character" w:customStyle="1" w:styleId="CommentTextChar">
    <w:name w:val="Comment Text Char"/>
    <w:basedOn w:val="DefaultParagraphFont"/>
    <w:link w:val="CommentText"/>
    <w:semiHidden/>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uiPriority w:val="99"/>
    <w:semiHidden/>
    <w:rsid w:val="007D1C0E"/>
    <w:rPr>
      <w:color w:val="A32020" w:themeColor="followedHyperlink"/>
      <w:u w:val="single"/>
    </w:rPr>
  </w:style>
  <w:style w:type="character" w:styleId="Hyperlink">
    <w:name w:val="Hyperlink"/>
    <w:basedOn w:val="DefaultParagraphFont"/>
    <w:uiPriority w:val="99"/>
    <w:rsid w:val="00185720"/>
    <w:rPr>
      <w:color w:val="A32020"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qFormat/>
    <w:locked/>
    <w:rsid w:val="00CC25DA"/>
    <w:pPr>
      <w:numPr>
        <w:numId w:val="5"/>
      </w:numPr>
      <w:spacing w:after="240"/>
    </w:pPr>
  </w:style>
  <w:style w:type="paragraph" w:styleId="ListBullet5">
    <w:name w:val="List Bullet 5"/>
    <w:basedOn w:val="ListBullet4"/>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semiHidden/>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uiPriority w:val="99"/>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spacing w:before="480"/>
      <w:outlineLvl w:val="9"/>
    </w:pPr>
    <w:rPr>
      <w:rFonts w:eastAsiaTheme="majorEastAsia" w:cstheme="majorBidi"/>
      <w:color w:val="7A1818"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086603"/>
    <w:pPr>
      <w:framePr w:w="8334" w:h="227" w:hRule="exact" w:wrap="notBeside" w:y="-169"/>
      <w:pBdr>
        <w:top w:val="single" w:sz="6" w:space="1" w:color="A32020" w:themeColor="text2"/>
        <w:left w:val="single" w:sz="6" w:space="4" w:color="A32020" w:themeColor="text2"/>
      </w:pBdr>
    </w:pPr>
  </w:style>
  <w:style w:type="paragraph" w:customStyle="1" w:styleId="URLCover">
    <w:name w:val="URL Cover"/>
    <w:basedOn w:val="Normal"/>
    <w:rsid w:val="00270144"/>
    <w:rPr>
      <w:color w:val="000000" w:themeColor="text1"/>
      <w:sz w:val="19"/>
    </w:rPr>
  </w:style>
  <w:style w:type="paragraph" w:customStyle="1" w:styleId="Coverpulloutframe">
    <w:name w:val="Cover pull out frame"/>
    <w:basedOn w:val="KeySentenceInside"/>
    <w:rsid w:val="00FF1B96"/>
    <w:pPr>
      <w:framePr w:w="2189" w:h="227" w:wrap="notBeside" w:vAnchor="page" w:hAnchor="page" w:x="908" w:y="8414"/>
      <w:pBdr>
        <w:top w:val="dotted" w:sz="8" w:space="1" w:color="A32020" w:themeColor="text2"/>
        <w:left w:val="dotted" w:sz="8" w:space="4" w:color="A32020" w:themeColor="text2"/>
      </w:pBdr>
      <w:spacing w:after="0" w:line="0" w:lineRule="atLeast"/>
    </w:pPr>
    <w:rPr>
      <w:color w:val="auto"/>
      <w:sz w:val="8"/>
      <w:lang w:val="en-GB"/>
    </w:rPr>
  </w:style>
  <w:style w:type="paragraph" w:customStyle="1" w:styleId="CoverOutcomeHeadline">
    <w:name w:val="Cover Outcome Headline"/>
    <w:basedOn w:val="PwCNormal"/>
    <w:rsid w:val="00617CBF"/>
    <w:pPr>
      <w:spacing w:after="0" w:line="960" w:lineRule="atLeast"/>
      <w:ind w:right="1701"/>
    </w:pPr>
    <w:rPr>
      <w:b/>
      <w:i/>
      <w:color w:val="000000"/>
      <w:sz w:val="88"/>
      <w:szCs w:val="88"/>
      <w:lang w:val="en-GB"/>
    </w:rPr>
  </w:style>
  <w:style w:type="paragraph" w:customStyle="1" w:styleId="CoverOutcomeSubtitle">
    <w:name w:val="Cover Outcome Subtitle"/>
    <w:basedOn w:val="CoverOutcomeHeadline"/>
    <w:rsid w:val="00A93A63"/>
    <w:rPr>
      <w:b w:val="0"/>
      <w:i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rPr>
  </w:style>
  <w:style w:type="table" w:customStyle="1" w:styleId="Tables-APLines">
    <w:name w:val="Tables - AP Lines"/>
    <w:basedOn w:val="TableNormal"/>
    <w:rsid w:val="00127829"/>
    <w:tblPr>
      <w:tblStyleRowBandSize w:val="1"/>
      <w:tblStyleColBandSize w:val="1"/>
      <w:tblInd w:w="0" w:type="dxa"/>
      <w:tblBorders>
        <w:insideH w:val="single" w:sz="4" w:space="0" w:color="A32020" w:themeColor="text2"/>
        <w:insideV w:val="single" w:sz="4" w:space="0" w:color="A32020"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A32020" w:themeColor="text2"/>
        <w:left w:val="single" w:sz="8" w:space="0" w:color="A32020" w:themeColor="text2"/>
      </w:tblBorders>
      <w:tblCellMar>
        <w:top w:w="0" w:type="dxa"/>
        <w:left w:w="227" w:type="dxa"/>
        <w:bottom w:w="0" w:type="dxa"/>
        <w:right w:w="0" w:type="dxa"/>
      </w:tblCellMar>
    </w:tblPr>
    <w:tcPr>
      <w:shd w:val="clear" w:color="auto" w:fill="auto"/>
    </w:tcPr>
  </w:style>
  <w:style w:type="table" w:customStyle="1" w:styleId="PwCpull-outframe">
    <w:name w:val="PwC pull-out frame"/>
    <w:basedOn w:val="PwCPanelframe"/>
    <w:uiPriority w:val="99"/>
    <w:rsid w:val="007167DF"/>
    <w:tblPr>
      <w:tblInd w:w="0" w:type="dxa"/>
      <w:tblBorders>
        <w:top w:val="dotted" w:sz="8" w:space="0" w:color="A32020" w:themeColor="text2"/>
        <w:left w:val="dotted" w:sz="8" w:space="0" w:color="A32020" w:themeColor="text2"/>
      </w:tblBorders>
      <w:tblCellMar>
        <w:top w:w="0" w:type="dxa"/>
        <w:left w:w="227" w:type="dxa"/>
        <w:bottom w:w="0" w:type="dxa"/>
        <w:right w:w="0" w:type="dxa"/>
      </w:tblCellMar>
    </w:tblPr>
    <w:tcPr>
      <w:shd w:val="clear" w:color="auto" w:fill="auto"/>
    </w:tcPr>
  </w:style>
  <w:style w:type="paragraph" w:customStyle="1" w:styleId="Bullet1">
    <w:name w:val="Bullet 1"/>
    <w:basedOn w:val="PwC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086603"/>
    <w:pPr>
      <w:framePr w:wrap="notBeside"/>
    </w:pPr>
  </w:style>
  <w:style w:type="numbering" w:customStyle="1" w:styleId="ChapterNumberingList">
    <w:name w:val="Chapter Numbering List"/>
    <w:uiPriority w:val="99"/>
    <w:rsid w:val="00930AB8"/>
    <w:pPr>
      <w:numPr>
        <w:numId w:val="25"/>
      </w:numPr>
    </w:pPr>
  </w:style>
  <w:style w:type="paragraph" w:styleId="Revision">
    <w:name w:val="Revision"/>
    <w:hidden/>
    <w:uiPriority w:val="99"/>
    <w:semiHidden/>
    <w:rsid w:val="00841C45"/>
    <w:rPr>
      <w:rFonts w:cs="Arial"/>
      <w:snapToGrid w:val="0"/>
      <w:lang w:eastAsia="en-US"/>
    </w:rPr>
  </w:style>
  <w:style w:type="table" w:styleId="TableColorful2">
    <w:name w:val="Table Colorful 2"/>
    <w:basedOn w:val="TableNormal"/>
    <w:locked/>
    <w:rsid w:val="00BA3E74"/>
    <w:pPr>
      <w:kinsoku w:val="0"/>
      <w:overflowPunct w:val="0"/>
      <w:autoSpaceDE w:val="0"/>
      <w:autoSpaceDN w:val="0"/>
      <w:adjustRightInd w:val="0"/>
      <w:snapToGrid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3Deffects3">
    <w:name w:val="Table 3D effects 3"/>
    <w:basedOn w:val="TableNormal"/>
    <w:locked/>
    <w:rsid w:val="00BA3E74"/>
    <w:pPr>
      <w:kinsoku w:val="0"/>
      <w:overflowPunct w:val="0"/>
      <w:autoSpaceDE w:val="0"/>
      <w:autoSpaceDN w:val="0"/>
      <w:adjustRightInd w:val="0"/>
      <w:snapToGrid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locked/>
    <w:rsid w:val="00BA3E74"/>
    <w:pPr>
      <w:kinsoku w:val="0"/>
      <w:overflowPunct w:val="0"/>
      <w:autoSpaceDE w:val="0"/>
      <w:autoSpaceDN w:val="0"/>
      <w:adjustRightInd w:val="0"/>
      <w:snapToGrid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font0">
    <w:name w:val="font0"/>
    <w:basedOn w:val="Normal"/>
    <w:rsid w:val="00BA3E74"/>
    <w:pPr>
      <w:kinsoku/>
      <w:overflowPunct/>
      <w:autoSpaceDE/>
      <w:autoSpaceDN/>
      <w:adjustRightInd/>
      <w:snapToGrid/>
      <w:spacing w:before="100" w:beforeAutospacing="1" w:after="100" w:afterAutospacing="1"/>
    </w:pPr>
    <w:rPr>
      <w:rFonts w:ascii="Arial" w:hAnsi="Arial"/>
      <w:snapToGrid/>
      <w:color w:val="000000"/>
      <w:sz w:val="18"/>
      <w:szCs w:val="18"/>
      <w:lang w:eastAsia="en-AU"/>
    </w:rPr>
  </w:style>
  <w:style w:type="paragraph" w:customStyle="1" w:styleId="font5">
    <w:name w:val="font5"/>
    <w:basedOn w:val="Normal"/>
    <w:rsid w:val="00BA3E74"/>
    <w:pPr>
      <w:kinsoku/>
      <w:overflowPunct/>
      <w:autoSpaceDE/>
      <w:autoSpaceDN/>
      <w:adjustRightInd/>
      <w:snapToGrid/>
      <w:spacing w:before="100" w:beforeAutospacing="1" w:after="100" w:afterAutospacing="1"/>
    </w:pPr>
    <w:rPr>
      <w:rFonts w:ascii="Arial" w:hAnsi="Arial"/>
      <w:snapToGrid/>
      <w:color w:val="000000"/>
      <w:sz w:val="18"/>
      <w:szCs w:val="18"/>
      <w:lang w:eastAsia="en-AU"/>
    </w:rPr>
  </w:style>
  <w:style w:type="paragraph" w:customStyle="1" w:styleId="font6">
    <w:name w:val="font6"/>
    <w:basedOn w:val="Normal"/>
    <w:rsid w:val="00BA3E74"/>
    <w:pPr>
      <w:kinsoku/>
      <w:overflowPunct/>
      <w:autoSpaceDE/>
      <w:autoSpaceDN/>
      <w:adjustRightInd/>
      <w:snapToGrid/>
      <w:spacing w:before="100" w:beforeAutospacing="1" w:after="100" w:afterAutospacing="1"/>
    </w:pPr>
    <w:rPr>
      <w:rFonts w:ascii="Arial" w:hAnsi="Arial"/>
      <w:b/>
      <w:bCs/>
      <w:snapToGrid/>
      <w:sz w:val="18"/>
      <w:szCs w:val="18"/>
      <w:lang w:eastAsia="en-AU"/>
    </w:rPr>
  </w:style>
  <w:style w:type="paragraph" w:customStyle="1" w:styleId="font7">
    <w:name w:val="font7"/>
    <w:basedOn w:val="Normal"/>
    <w:rsid w:val="00BA3E74"/>
    <w:pPr>
      <w:kinsoku/>
      <w:overflowPunct/>
      <w:autoSpaceDE/>
      <w:autoSpaceDN/>
      <w:adjustRightInd/>
      <w:snapToGrid/>
      <w:spacing w:before="100" w:beforeAutospacing="1" w:after="100" w:afterAutospacing="1"/>
    </w:pPr>
    <w:rPr>
      <w:rFonts w:ascii="Arial" w:hAnsi="Arial"/>
      <w:b/>
      <w:bCs/>
      <w:i/>
      <w:iCs/>
      <w:snapToGrid/>
      <w:sz w:val="18"/>
      <w:szCs w:val="18"/>
      <w:lang w:eastAsia="en-AU"/>
    </w:rPr>
  </w:style>
  <w:style w:type="paragraph" w:customStyle="1" w:styleId="font8">
    <w:name w:val="font8"/>
    <w:basedOn w:val="Normal"/>
    <w:rsid w:val="00BA3E74"/>
    <w:pPr>
      <w:kinsoku/>
      <w:overflowPunct/>
      <w:autoSpaceDE/>
      <w:autoSpaceDN/>
      <w:adjustRightInd/>
      <w:snapToGrid/>
      <w:spacing w:before="100" w:beforeAutospacing="1" w:after="100" w:afterAutospacing="1"/>
    </w:pPr>
    <w:rPr>
      <w:rFonts w:ascii="Arial" w:hAnsi="Arial"/>
      <w:b/>
      <w:bCs/>
      <w:i/>
      <w:iCs/>
      <w:snapToGrid/>
      <w:color w:val="000000"/>
      <w:sz w:val="18"/>
      <w:szCs w:val="18"/>
      <w:lang w:eastAsia="en-AU"/>
    </w:rPr>
  </w:style>
  <w:style w:type="paragraph" w:customStyle="1" w:styleId="xl68">
    <w:name w:val="xl68"/>
    <w:basedOn w:val="Normal"/>
    <w:rsid w:val="00BA3E74"/>
    <w:pPr>
      <w:kinsoku/>
      <w:overflowPunct/>
      <w:autoSpaceDE/>
      <w:autoSpaceDN/>
      <w:adjustRightInd/>
      <w:snapToGrid/>
      <w:spacing w:before="100" w:beforeAutospacing="1" w:after="100" w:afterAutospacing="1"/>
    </w:pPr>
    <w:rPr>
      <w:rFonts w:ascii="Times New Roman" w:hAnsi="Times New Roman" w:cs="Times New Roman"/>
      <w:b/>
      <w:bCs/>
      <w:snapToGrid/>
      <w:sz w:val="24"/>
      <w:szCs w:val="24"/>
      <w:lang w:eastAsia="en-AU"/>
    </w:rPr>
  </w:style>
  <w:style w:type="paragraph" w:customStyle="1" w:styleId="xl69">
    <w:name w:val="xl69"/>
    <w:basedOn w:val="Normal"/>
    <w:rsid w:val="00BA3E74"/>
    <w:pPr>
      <w:kinsoku/>
      <w:overflowPunct/>
      <w:autoSpaceDE/>
      <w:autoSpaceDN/>
      <w:adjustRightInd/>
      <w:snapToGrid/>
      <w:spacing w:before="100" w:beforeAutospacing="1" w:after="100" w:afterAutospacing="1"/>
    </w:pPr>
    <w:rPr>
      <w:rFonts w:ascii="Times New Roman" w:hAnsi="Times New Roman" w:cs="Times New Roman"/>
      <w:snapToGrid/>
      <w:sz w:val="24"/>
      <w:szCs w:val="24"/>
      <w:lang w:eastAsia="en-AU"/>
    </w:rPr>
  </w:style>
  <w:style w:type="paragraph" w:customStyle="1" w:styleId="xl70">
    <w:name w:val="xl70"/>
    <w:basedOn w:val="Normal"/>
    <w:rsid w:val="00BA3E74"/>
    <w:pPr>
      <w:kinsoku/>
      <w:overflowPunct/>
      <w:autoSpaceDE/>
      <w:autoSpaceDN/>
      <w:adjustRightInd/>
      <w:snapToGrid/>
      <w:spacing w:before="100" w:beforeAutospacing="1" w:after="100" w:afterAutospacing="1"/>
      <w:textAlignment w:val="top"/>
    </w:pPr>
    <w:rPr>
      <w:rFonts w:ascii="Times New Roman" w:hAnsi="Times New Roman" w:cs="Times New Roman"/>
      <w:snapToGrid/>
      <w:sz w:val="24"/>
      <w:szCs w:val="24"/>
      <w:lang w:eastAsia="en-AU"/>
    </w:rPr>
  </w:style>
  <w:style w:type="paragraph" w:customStyle="1" w:styleId="xl71">
    <w:name w:val="xl71"/>
    <w:basedOn w:val="Normal"/>
    <w:rsid w:val="00BA3E74"/>
    <w:pPr>
      <w:kinsoku/>
      <w:overflowPunct/>
      <w:autoSpaceDE/>
      <w:autoSpaceDN/>
      <w:adjustRightInd/>
      <w:snapToGrid/>
      <w:spacing w:before="100" w:beforeAutospacing="1" w:after="100" w:afterAutospacing="1"/>
    </w:pPr>
    <w:rPr>
      <w:rFonts w:ascii="Times New Roman" w:hAnsi="Times New Roman" w:cs="Times New Roman"/>
      <w:b/>
      <w:bCs/>
      <w:snapToGrid/>
      <w:sz w:val="24"/>
      <w:szCs w:val="24"/>
      <w:lang w:eastAsia="en-AU"/>
    </w:rPr>
  </w:style>
  <w:style w:type="paragraph" w:customStyle="1" w:styleId="xl72">
    <w:name w:val="xl72"/>
    <w:basedOn w:val="Normal"/>
    <w:rsid w:val="00BA3E74"/>
    <w:pPr>
      <w:kinsoku/>
      <w:overflowPunct/>
      <w:autoSpaceDE/>
      <w:autoSpaceDN/>
      <w:adjustRightInd/>
      <w:snapToGrid/>
      <w:spacing w:before="100" w:beforeAutospacing="1" w:after="100" w:afterAutospacing="1"/>
    </w:pPr>
    <w:rPr>
      <w:rFonts w:ascii="Times New Roman" w:hAnsi="Times New Roman" w:cs="Times New Roman"/>
      <w:snapToGrid/>
      <w:sz w:val="24"/>
      <w:szCs w:val="24"/>
      <w:lang w:eastAsia="en-AU"/>
    </w:rPr>
  </w:style>
  <w:style w:type="paragraph" w:customStyle="1" w:styleId="xl73">
    <w:name w:val="xl73"/>
    <w:basedOn w:val="Normal"/>
    <w:rsid w:val="00BA3E74"/>
    <w:pPr>
      <w:kinsoku/>
      <w:overflowPunct/>
      <w:autoSpaceDE/>
      <w:autoSpaceDN/>
      <w:adjustRightInd/>
      <w:snapToGrid/>
      <w:spacing w:before="100" w:beforeAutospacing="1" w:after="100" w:afterAutospacing="1"/>
      <w:ind w:firstLineChars="200" w:firstLine="200"/>
    </w:pPr>
    <w:rPr>
      <w:rFonts w:ascii="Times New Roman" w:hAnsi="Times New Roman" w:cs="Times New Roman"/>
      <w:snapToGrid/>
      <w:sz w:val="24"/>
      <w:szCs w:val="24"/>
      <w:lang w:eastAsia="en-AU"/>
    </w:rPr>
  </w:style>
  <w:style w:type="paragraph" w:customStyle="1" w:styleId="xl74">
    <w:name w:val="xl74"/>
    <w:basedOn w:val="Normal"/>
    <w:rsid w:val="00BA3E74"/>
    <w:pPr>
      <w:kinsoku/>
      <w:overflowPunct/>
      <w:autoSpaceDE/>
      <w:autoSpaceDN/>
      <w:adjustRightInd/>
      <w:snapToGrid/>
      <w:spacing w:before="100" w:beforeAutospacing="1" w:after="100" w:afterAutospacing="1"/>
    </w:pPr>
    <w:rPr>
      <w:rFonts w:cs="Times New Roman"/>
      <w:b/>
      <w:bCs/>
      <w:snapToGrid/>
      <w:color w:val="A32020"/>
      <w:sz w:val="24"/>
      <w:szCs w:val="24"/>
      <w:u w:val="single"/>
      <w:lang w:eastAsia="en-AU"/>
    </w:rPr>
  </w:style>
  <w:style w:type="paragraph" w:customStyle="1" w:styleId="xl75">
    <w:name w:val="xl75"/>
    <w:basedOn w:val="Normal"/>
    <w:rsid w:val="00BA3E74"/>
    <w:pPr>
      <w:kinsoku/>
      <w:overflowPunct/>
      <w:autoSpaceDE/>
      <w:autoSpaceDN/>
      <w:adjustRightInd/>
      <w:snapToGrid/>
      <w:spacing w:before="100" w:beforeAutospacing="1" w:after="100" w:afterAutospacing="1"/>
      <w:textAlignment w:val="top"/>
    </w:pPr>
    <w:rPr>
      <w:rFonts w:ascii="Times New Roman" w:hAnsi="Times New Roman" w:cs="Times New Roman"/>
      <w:snapToGrid/>
      <w:sz w:val="24"/>
      <w:szCs w:val="24"/>
      <w:lang w:eastAsia="en-AU"/>
    </w:rPr>
  </w:style>
  <w:style w:type="paragraph" w:customStyle="1" w:styleId="xl76">
    <w:name w:val="xl76"/>
    <w:basedOn w:val="Normal"/>
    <w:rsid w:val="00BA3E74"/>
    <w:pPr>
      <w:kinsoku/>
      <w:overflowPunct/>
      <w:autoSpaceDE/>
      <w:autoSpaceDN/>
      <w:adjustRightInd/>
      <w:snapToGrid/>
      <w:spacing w:before="100" w:beforeAutospacing="1" w:after="100" w:afterAutospacing="1"/>
    </w:pPr>
    <w:rPr>
      <w:rFonts w:ascii="Times New Roman" w:hAnsi="Times New Roman" w:cs="Times New Roman"/>
      <w:snapToGrid/>
      <w:sz w:val="24"/>
      <w:szCs w:val="24"/>
      <w:lang w:eastAsia="en-AU"/>
    </w:rPr>
  </w:style>
  <w:style w:type="paragraph" w:customStyle="1" w:styleId="xl77">
    <w:name w:val="xl77"/>
    <w:basedOn w:val="Normal"/>
    <w:rsid w:val="00BA3E74"/>
    <w:pPr>
      <w:kinsoku/>
      <w:overflowPunct/>
      <w:autoSpaceDE/>
      <w:autoSpaceDN/>
      <w:adjustRightInd/>
      <w:snapToGrid/>
      <w:spacing w:before="100" w:beforeAutospacing="1" w:after="100" w:afterAutospacing="1"/>
      <w:textAlignment w:val="top"/>
    </w:pPr>
    <w:rPr>
      <w:rFonts w:cs="Times New Roman"/>
      <w:snapToGrid/>
      <w:color w:val="A32020"/>
      <w:sz w:val="24"/>
      <w:szCs w:val="24"/>
      <w:lang w:eastAsia="en-AU"/>
    </w:rPr>
  </w:style>
  <w:style w:type="paragraph" w:customStyle="1" w:styleId="xl78">
    <w:name w:val="xl78"/>
    <w:basedOn w:val="Normal"/>
    <w:rsid w:val="00BA3E74"/>
    <w:pPr>
      <w:kinsoku/>
      <w:overflowPunct/>
      <w:autoSpaceDE/>
      <w:autoSpaceDN/>
      <w:adjustRightInd/>
      <w:snapToGrid/>
      <w:spacing w:before="100" w:beforeAutospacing="1" w:after="100" w:afterAutospacing="1"/>
    </w:pPr>
    <w:rPr>
      <w:rFonts w:cs="Times New Roman"/>
      <w:snapToGrid/>
      <w:color w:val="A32020"/>
      <w:sz w:val="24"/>
      <w:szCs w:val="24"/>
      <w:lang w:eastAsia="en-AU"/>
    </w:rPr>
  </w:style>
  <w:style w:type="paragraph" w:customStyle="1" w:styleId="xl79">
    <w:name w:val="xl79"/>
    <w:basedOn w:val="Normal"/>
    <w:rsid w:val="00BA3E74"/>
    <w:pPr>
      <w:kinsoku/>
      <w:overflowPunct/>
      <w:autoSpaceDE/>
      <w:autoSpaceDN/>
      <w:adjustRightInd/>
      <w:snapToGrid/>
      <w:spacing w:before="100" w:beforeAutospacing="1" w:after="100" w:afterAutospacing="1"/>
    </w:pPr>
    <w:rPr>
      <w:rFonts w:cs="Times New Roman"/>
      <w:b/>
      <w:bCs/>
      <w:snapToGrid/>
      <w:color w:val="A32020"/>
      <w:sz w:val="24"/>
      <w:szCs w:val="24"/>
      <w:lang w:eastAsia="en-AU"/>
    </w:rPr>
  </w:style>
  <w:style w:type="paragraph" w:customStyle="1" w:styleId="xl80">
    <w:name w:val="xl80"/>
    <w:basedOn w:val="Normal"/>
    <w:rsid w:val="00BA3E74"/>
    <w:pPr>
      <w:kinsoku/>
      <w:overflowPunct/>
      <w:autoSpaceDE/>
      <w:autoSpaceDN/>
      <w:adjustRightInd/>
      <w:snapToGrid/>
      <w:spacing w:before="100" w:beforeAutospacing="1" w:after="100" w:afterAutospacing="1"/>
      <w:textAlignment w:val="top"/>
    </w:pPr>
    <w:rPr>
      <w:rFonts w:cs="Times New Roman"/>
      <w:b/>
      <w:bCs/>
      <w:snapToGrid/>
      <w:color w:val="A32020"/>
      <w:sz w:val="24"/>
      <w:szCs w:val="24"/>
      <w:lang w:eastAsia="en-AU"/>
    </w:rPr>
  </w:style>
  <w:style w:type="paragraph" w:customStyle="1" w:styleId="xl81">
    <w:name w:val="xl81"/>
    <w:basedOn w:val="Normal"/>
    <w:rsid w:val="00BA3E74"/>
    <w:pPr>
      <w:kinsoku/>
      <w:overflowPunct/>
      <w:autoSpaceDE/>
      <w:autoSpaceDN/>
      <w:adjustRightInd/>
      <w:snapToGrid/>
      <w:spacing w:before="100" w:beforeAutospacing="1" w:after="100" w:afterAutospacing="1"/>
      <w:textAlignment w:val="top"/>
    </w:pPr>
    <w:rPr>
      <w:rFonts w:cs="Times New Roman"/>
      <w:b/>
      <w:bCs/>
      <w:snapToGrid/>
      <w:color w:val="A32020"/>
      <w:sz w:val="24"/>
      <w:szCs w:val="24"/>
      <w:lang w:eastAsia="en-AU"/>
    </w:rPr>
  </w:style>
  <w:style w:type="paragraph" w:customStyle="1" w:styleId="xl82">
    <w:name w:val="xl82"/>
    <w:basedOn w:val="Normal"/>
    <w:rsid w:val="00BA3E74"/>
    <w:pPr>
      <w:kinsoku/>
      <w:overflowPunct/>
      <w:autoSpaceDE/>
      <w:autoSpaceDN/>
      <w:adjustRightInd/>
      <w:snapToGrid/>
      <w:spacing w:before="100" w:beforeAutospacing="1" w:after="100" w:afterAutospacing="1"/>
      <w:ind w:firstLineChars="100" w:firstLine="100"/>
    </w:pPr>
    <w:rPr>
      <w:rFonts w:ascii="Times New Roman" w:hAnsi="Times New Roman" w:cs="Times New Roman"/>
      <w:snapToGrid/>
      <w:sz w:val="24"/>
      <w:szCs w:val="24"/>
      <w:lang w:eastAsia="en-AU"/>
    </w:rPr>
  </w:style>
  <w:style w:type="paragraph" w:customStyle="1" w:styleId="xl83">
    <w:name w:val="xl83"/>
    <w:basedOn w:val="Normal"/>
    <w:rsid w:val="00BA3E74"/>
    <w:pPr>
      <w:kinsoku/>
      <w:overflowPunct/>
      <w:autoSpaceDE/>
      <w:autoSpaceDN/>
      <w:adjustRightInd/>
      <w:snapToGrid/>
      <w:spacing w:before="100" w:beforeAutospacing="1" w:after="100" w:afterAutospacing="1"/>
      <w:ind w:firstLineChars="200" w:firstLine="200"/>
    </w:pPr>
    <w:rPr>
      <w:rFonts w:ascii="Times New Roman" w:hAnsi="Times New Roman" w:cs="Times New Roman"/>
      <w:i/>
      <w:iCs/>
      <w:snapToGrid/>
      <w:sz w:val="24"/>
      <w:szCs w:val="24"/>
      <w:lang w:eastAsia="en-AU"/>
    </w:rPr>
  </w:style>
  <w:style w:type="paragraph" w:customStyle="1" w:styleId="xl84">
    <w:name w:val="xl84"/>
    <w:basedOn w:val="Normal"/>
    <w:rsid w:val="00BA3E74"/>
    <w:pPr>
      <w:kinsoku/>
      <w:overflowPunct/>
      <w:autoSpaceDE/>
      <w:autoSpaceDN/>
      <w:adjustRightInd/>
      <w:snapToGrid/>
      <w:spacing w:before="100" w:beforeAutospacing="1" w:after="100" w:afterAutospacing="1"/>
      <w:ind w:firstLineChars="200" w:firstLine="200"/>
    </w:pPr>
    <w:rPr>
      <w:rFonts w:ascii="Times New Roman" w:hAnsi="Times New Roman" w:cs="Times New Roman"/>
      <w:snapToGrid/>
      <w:sz w:val="24"/>
      <w:szCs w:val="24"/>
      <w:lang w:eastAsia="en-AU"/>
    </w:rPr>
  </w:style>
  <w:style w:type="paragraph" w:customStyle="1" w:styleId="xl85">
    <w:name w:val="xl85"/>
    <w:basedOn w:val="Normal"/>
    <w:rsid w:val="00BA3E74"/>
    <w:pPr>
      <w:kinsoku/>
      <w:overflowPunct/>
      <w:autoSpaceDE/>
      <w:autoSpaceDN/>
      <w:adjustRightInd/>
      <w:snapToGrid/>
      <w:spacing w:before="100" w:beforeAutospacing="1" w:after="100" w:afterAutospacing="1"/>
      <w:ind w:firstLineChars="100" w:firstLine="100"/>
    </w:pPr>
    <w:rPr>
      <w:rFonts w:ascii="Times New Roman" w:hAnsi="Times New Roman" w:cs="Times New Roman"/>
      <w:i/>
      <w:iCs/>
      <w:snapToGrid/>
      <w:sz w:val="24"/>
      <w:szCs w:val="24"/>
      <w:lang w:eastAsia="en-AU"/>
    </w:rPr>
  </w:style>
  <w:style w:type="paragraph" w:customStyle="1" w:styleId="xl86">
    <w:name w:val="xl86"/>
    <w:basedOn w:val="Normal"/>
    <w:rsid w:val="00BA3E74"/>
    <w:pPr>
      <w:kinsoku/>
      <w:overflowPunct/>
      <w:autoSpaceDE/>
      <w:autoSpaceDN/>
      <w:adjustRightInd/>
      <w:snapToGrid/>
      <w:spacing w:before="100" w:beforeAutospacing="1" w:after="100" w:afterAutospacing="1"/>
      <w:ind w:firstLineChars="100" w:firstLine="100"/>
    </w:pPr>
    <w:rPr>
      <w:rFonts w:ascii="Times New Roman" w:hAnsi="Times New Roman" w:cs="Times New Roman"/>
      <w:snapToGrid/>
      <w:sz w:val="24"/>
      <w:szCs w:val="24"/>
      <w:lang w:eastAsia="en-AU"/>
    </w:rPr>
  </w:style>
  <w:style w:type="paragraph" w:customStyle="1" w:styleId="xl87">
    <w:name w:val="xl87"/>
    <w:basedOn w:val="Normal"/>
    <w:rsid w:val="00BA3E74"/>
    <w:pPr>
      <w:kinsoku/>
      <w:overflowPunct/>
      <w:autoSpaceDE/>
      <w:autoSpaceDN/>
      <w:adjustRightInd/>
      <w:snapToGrid/>
      <w:spacing w:before="100" w:beforeAutospacing="1" w:after="100" w:afterAutospacing="1"/>
      <w:ind w:firstLineChars="100" w:firstLine="100"/>
      <w:textAlignment w:val="top"/>
    </w:pPr>
    <w:rPr>
      <w:rFonts w:ascii="Times New Roman" w:hAnsi="Times New Roman" w:cs="Times New Roman"/>
      <w:snapToGrid/>
      <w:lang w:eastAsia="en-AU"/>
    </w:rPr>
  </w:style>
  <w:style w:type="paragraph" w:customStyle="1" w:styleId="xl88">
    <w:name w:val="xl88"/>
    <w:basedOn w:val="Normal"/>
    <w:rsid w:val="00BA3E74"/>
    <w:pPr>
      <w:kinsoku/>
      <w:overflowPunct/>
      <w:autoSpaceDE/>
      <w:autoSpaceDN/>
      <w:adjustRightInd/>
      <w:snapToGrid/>
      <w:spacing w:before="100" w:beforeAutospacing="1" w:after="100" w:afterAutospacing="1"/>
    </w:pPr>
    <w:rPr>
      <w:rFonts w:ascii="Times New Roman" w:hAnsi="Times New Roman" w:cs="Times New Roman"/>
      <w:snapToGrid/>
      <w:color w:val="0000FF"/>
      <w:u w:val="single"/>
      <w:lang w:eastAsia="en-AU"/>
    </w:rPr>
  </w:style>
  <w:style w:type="paragraph" w:customStyle="1" w:styleId="xl89">
    <w:name w:val="xl89"/>
    <w:basedOn w:val="Normal"/>
    <w:rsid w:val="00BA3E74"/>
    <w:pPr>
      <w:kinsoku/>
      <w:overflowPunct/>
      <w:autoSpaceDE/>
      <w:autoSpaceDN/>
      <w:adjustRightInd/>
      <w:snapToGrid/>
      <w:spacing w:before="100" w:beforeAutospacing="1" w:after="100" w:afterAutospacing="1"/>
    </w:pPr>
    <w:rPr>
      <w:rFonts w:ascii="Times New Roman" w:hAnsi="Times New Roman" w:cs="Times New Roman"/>
      <w:snapToGrid/>
      <w:sz w:val="28"/>
      <w:szCs w:val="28"/>
      <w:lang w:eastAsia="en-AU"/>
    </w:rPr>
  </w:style>
  <w:style w:type="paragraph" w:customStyle="1" w:styleId="xl90">
    <w:name w:val="xl90"/>
    <w:basedOn w:val="Normal"/>
    <w:rsid w:val="00BA3E74"/>
    <w:pPr>
      <w:kinsoku/>
      <w:overflowPunct/>
      <w:autoSpaceDE/>
      <w:autoSpaceDN/>
      <w:adjustRightInd/>
      <w:snapToGrid/>
      <w:spacing w:before="100" w:beforeAutospacing="1" w:after="100" w:afterAutospacing="1"/>
    </w:pPr>
    <w:rPr>
      <w:rFonts w:ascii="Times New Roman" w:hAnsi="Times New Roman" w:cs="Times New Roman"/>
      <w:i/>
      <w:iCs/>
      <w:snapToGrid/>
      <w:sz w:val="24"/>
      <w:szCs w:val="24"/>
      <w:lang w:eastAsia="en-AU"/>
    </w:rPr>
  </w:style>
  <w:style w:type="paragraph" w:customStyle="1" w:styleId="xl91">
    <w:name w:val="xl91"/>
    <w:basedOn w:val="Normal"/>
    <w:rsid w:val="00BA3E74"/>
    <w:pPr>
      <w:kinsoku/>
      <w:overflowPunct/>
      <w:autoSpaceDE/>
      <w:autoSpaceDN/>
      <w:adjustRightInd/>
      <w:snapToGrid/>
      <w:spacing w:before="100" w:beforeAutospacing="1" w:after="100" w:afterAutospacing="1"/>
    </w:pPr>
    <w:rPr>
      <w:rFonts w:ascii="Times New Roman" w:hAnsi="Times New Roman" w:cs="Times New Roman"/>
      <w:b/>
      <w:bCs/>
      <w:i/>
      <w:iCs/>
      <w:snapToGrid/>
      <w:sz w:val="24"/>
      <w:szCs w:val="24"/>
      <w:lang w:eastAsia="en-AU"/>
    </w:rPr>
  </w:style>
  <w:style w:type="paragraph" w:customStyle="1" w:styleId="xl92">
    <w:name w:val="xl92"/>
    <w:basedOn w:val="Normal"/>
    <w:rsid w:val="00BA3E74"/>
    <w:pPr>
      <w:kinsoku/>
      <w:overflowPunct/>
      <w:autoSpaceDE/>
      <w:autoSpaceDN/>
      <w:adjustRightInd/>
      <w:snapToGrid/>
      <w:spacing w:before="100" w:beforeAutospacing="1" w:after="100" w:afterAutospacing="1"/>
    </w:pPr>
    <w:rPr>
      <w:rFonts w:ascii="Times New Roman" w:hAnsi="Times New Roman" w:cs="Times New Roman"/>
      <w:i/>
      <w:iCs/>
      <w:snapToGrid/>
      <w:sz w:val="24"/>
      <w:szCs w:val="24"/>
      <w:lang w:eastAsia="en-AU"/>
    </w:rPr>
  </w:style>
  <w:style w:type="paragraph" w:customStyle="1" w:styleId="Heading1-Accessibility">
    <w:name w:val="Heading 1 - Accessibility"/>
    <w:basedOn w:val="Heading1"/>
    <w:qFormat/>
    <w:rsid w:val="00446789"/>
    <w:pPr>
      <w:pageBreakBefore/>
      <w:spacing w:after="480"/>
      <w:ind w:left="900" w:hanging="900"/>
    </w:pPr>
    <w:rPr>
      <w:color w:val="000000" w:themeColor="text1"/>
      <w:sz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ai"/>
    <w:pPr>
      <w:numPr>
        <w:numId w:val="21"/>
      </w:numPr>
    </w:pPr>
  </w:style>
  <w:style w:type="numbering" w:customStyle="1" w:styleId="Footer">
    <w:name w:val="BulletList"/>
    <w:pPr>
      <w:numPr>
        <w:numId w:val="1"/>
      </w:numPr>
    </w:pPr>
  </w:style>
  <w:style w:type="numbering" w:customStyle="1" w:styleId="TOCtitle">
    <w:name w:val="Bullets"/>
    <w:pPr>
      <w:numPr>
        <w:numId w:val="23"/>
      </w:numPr>
    </w:pPr>
  </w:style>
  <w:style w:type="numbering" w:customStyle="1" w:styleId="Covertitle">
    <w:name w:val="PwCListNumbers1"/>
    <w:pPr>
      <w:numPr>
        <w:numId w:val="13"/>
      </w:numPr>
    </w:pPr>
  </w:style>
  <w:style w:type="numbering" w:customStyle="1" w:styleId="Coversubtitle">
    <w:name w:val="Indents"/>
    <w:pPr>
      <w:numPr>
        <w:numId w:val="2"/>
      </w:numPr>
    </w:pPr>
  </w:style>
  <w:style w:type="numbering" w:customStyle="1" w:styleId="AppendixNumberLong">
    <w:name w:val="TableNumberedListSmall"/>
    <w:pPr>
      <w:numPr>
        <w:numId w:val="16"/>
      </w:numPr>
    </w:pPr>
  </w:style>
  <w:style w:type="numbering" w:customStyle="1" w:styleId="ChapterNumberLong">
    <w:name w:val="ListNumberList"/>
    <w:pPr>
      <w:numPr>
        <w:numId w:val="18"/>
      </w:numPr>
    </w:pPr>
  </w:style>
  <w:style w:type="numbering" w:customStyle="1" w:styleId="Footer-Even">
    <w:name w:val="111111"/>
    <w:pPr>
      <w:numPr>
        <w:numId w:val="20"/>
      </w:numPr>
    </w:pPr>
  </w:style>
  <w:style w:type="numbering" w:customStyle="1" w:styleId="URL">
    <w:name w:val="TableNumberdListNormal"/>
    <w:pPr>
      <w:numPr>
        <w:numId w:val="14"/>
      </w:numPr>
    </w:pPr>
  </w:style>
  <w:style w:type="numbering" w:customStyle="1" w:styleId="Indent1">
    <w:name w:val="ArticleSection"/>
    <w:pPr>
      <w:numPr>
        <w:numId w:val="22"/>
      </w:numPr>
    </w:pPr>
  </w:style>
  <w:style w:type="numbering" w:customStyle="1" w:styleId="Indent2">
    <w:name w:val="CVBullets"/>
    <w:pPr>
      <w:numPr>
        <w:numId w:val="8"/>
      </w:numPr>
    </w:pPr>
  </w:style>
  <w:style w:type="numbering" w:customStyle="1" w:styleId="Indent3">
    <w:name w:val="ChapterNumberingList"/>
    <w:pPr>
      <w:numPr>
        <w:numId w:val="25"/>
      </w:numPr>
    </w:pPr>
  </w:style>
  <w:style w:type="numbering" w:customStyle="1" w:styleId="Indent5">
    <w:name w:val="PwCAppendixList1"/>
    <w:pPr>
      <w:numPr>
        <w:numId w:val="11"/>
      </w:numPr>
    </w:pPr>
  </w:style>
  <w:style w:type="numbering" w:customStyle="1" w:styleId="Indent6">
    <w:name w:val="TableBulletSmallList"/>
    <w:pPr>
      <w:numPr>
        <w:numId w:val="3"/>
      </w:numPr>
    </w:pPr>
  </w:style>
  <w:style w:type="numbering" w:customStyle="1" w:styleId="Indent7">
    <w:name w:val="Style1"/>
    <w:pPr>
      <w:numPr>
        <w:numId w:val="24"/>
      </w:numPr>
    </w:pPr>
  </w:style>
  <w:style w:type="numbering" w:customStyle="1" w:styleId="Indents">
    <w:name w:val="TableBulletNormal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310">
      <w:bodyDiv w:val="1"/>
      <w:marLeft w:val="0"/>
      <w:marRight w:val="0"/>
      <w:marTop w:val="0"/>
      <w:marBottom w:val="0"/>
      <w:divBdr>
        <w:top w:val="none" w:sz="0" w:space="0" w:color="auto"/>
        <w:left w:val="none" w:sz="0" w:space="0" w:color="auto"/>
        <w:bottom w:val="none" w:sz="0" w:space="0" w:color="auto"/>
        <w:right w:val="none" w:sz="0" w:space="0" w:color="auto"/>
      </w:divBdr>
    </w:div>
    <w:div w:id="143860134">
      <w:bodyDiv w:val="1"/>
      <w:marLeft w:val="0"/>
      <w:marRight w:val="0"/>
      <w:marTop w:val="0"/>
      <w:marBottom w:val="0"/>
      <w:divBdr>
        <w:top w:val="none" w:sz="0" w:space="0" w:color="auto"/>
        <w:left w:val="none" w:sz="0" w:space="0" w:color="auto"/>
        <w:bottom w:val="none" w:sz="0" w:space="0" w:color="auto"/>
        <w:right w:val="none" w:sz="0" w:space="0" w:color="auto"/>
      </w:divBdr>
    </w:div>
    <w:div w:id="161822304">
      <w:bodyDiv w:val="1"/>
      <w:marLeft w:val="0"/>
      <w:marRight w:val="0"/>
      <w:marTop w:val="0"/>
      <w:marBottom w:val="0"/>
      <w:divBdr>
        <w:top w:val="none" w:sz="0" w:space="0" w:color="auto"/>
        <w:left w:val="none" w:sz="0" w:space="0" w:color="auto"/>
        <w:bottom w:val="none" w:sz="0" w:space="0" w:color="auto"/>
        <w:right w:val="none" w:sz="0" w:space="0" w:color="auto"/>
      </w:divBdr>
    </w:div>
    <w:div w:id="190607435">
      <w:bodyDiv w:val="1"/>
      <w:marLeft w:val="0"/>
      <w:marRight w:val="0"/>
      <w:marTop w:val="0"/>
      <w:marBottom w:val="0"/>
      <w:divBdr>
        <w:top w:val="none" w:sz="0" w:space="0" w:color="auto"/>
        <w:left w:val="none" w:sz="0" w:space="0" w:color="auto"/>
        <w:bottom w:val="none" w:sz="0" w:space="0" w:color="auto"/>
        <w:right w:val="none" w:sz="0" w:space="0" w:color="auto"/>
      </w:divBdr>
    </w:div>
    <w:div w:id="198784345">
      <w:bodyDiv w:val="1"/>
      <w:marLeft w:val="0"/>
      <w:marRight w:val="0"/>
      <w:marTop w:val="0"/>
      <w:marBottom w:val="0"/>
      <w:divBdr>
        <w:top w:val="none" w:sz="0" w:space="0" w:color="auto"/>
        <w:left w:val="none" w:sz="0" w:space="0" w:color="auto"/>
        <w:bottom w:val="none" w:sz="0" w:space="0" w:color="auto"/>
        <w:right w:val="none" w:sz="0" w:space="0" w:color="auto"/>
      </w:divBdr>
    </w:div>
    <w:div w:id="327438939">
      <w:bodyDiv w:val="1"/>
      <w:marLeft w:val="0"/>
      <w:marRight w:val="0"/>
      <w:marTop w:val="0"/>
      <w:marBottom w:val="0"/>
      <w:divBdr>
        <w:top w:val="none" w:sz="0" w:space="0" w:color="auto"/>
        <w:left w:val="none" w:sz="0" w:space="0" w:color="auto"/>
        <w:bottom w:val="none" w:sz="0" w:space="0" w:color="auto"/>
        <w:right w:val="none" w:sz="0" w:space="0" w:color="auto"/>
      </w:divBdr>
    </w:div>
    <w:div w:id="666789929">
      <w:bodyDiv w:val="1"/>
      <w:marLeft w:val="0"/>
      <w:marRight w:val="0"/>
      <w:marTop w:val="0"/>
      <w:marBottom w:val="0"/>
      <w:divBdr>
        <w:top w:val="none" w:sz="0" w:space="0" w:color="auto"/>
        <w:left w:val="none" w:sz="0" w:space="0" w:color="auto"/>
        <w:bottom w:val="none" w:sz="0" w:space="0" w:color="auto"/>
        <w:right w:val="none" w:sz="0" w:space="0" w:color="auto"/>
      </w:divBdr>
    </w:div>
    <w:div w:id="722287496">
      <w:bodyDiv w:val="1"/>
      <w:marLeft w:val="0"/>
      <w:marRight w:val="0"/>
      <w:marTop w:val="0"/>
      <w:marBottom w:val="0"/>
      <w:divBdr>
        <w:top w:val="none" w:sz="0" w:space="0" w:color="auto"/>
        <w:left w:val="none" w:sz="0" w:space="0" w:color="auto"/>
        <w:bottom w:val="none" w:sz="0" w:space="0" w:color="auto"/>
        <w:right w:val="none" w:sz="0" w:space="0" w:color="auto"/>
      </w:divBdr>
    </w:div>
    <w:div w:id="815226060">
      <w:bodyDiv w:val="1"/>
      <w:marLeft w:val="0"/>
      <w:marRight w:val="0"/>
      <w:marTop w:val="0"/>
      <w:marBottom w:val="0"/>
      <w:divBdr>
        <w:top w:val="none" w:sz="0" w:space="0" w:color="auto"/>
        <w:left w:val="none" w:sz="0" w:space="0" w:color="auto"/>
        <w:bottom w:val="none" w:sz="0" w:space="0" w:color="auto"/>
        <w:right w:val="none" w:sz="0" w:space="0" w:color="auto"/>
      </w:divBdr>
    </w:div>
    <w:div w:id="826746878">
      <w:bodyDiv w:val="1"/>
      <w:marLeft w:val="0"/>
      <w:marRight w:val="0"/>
      <w:marTop w:val="0"/>
      <w:marBottom w:val="0"/>
      <w:divBdr>
        <w:top w:val="none" w:sz="0" w:space="0" w:color="auto"/>
        <w:left w:val="none" w:sz="0" w:space="0" w:color="auto"/>
        <w:bottom w:val="none" w:sz="0" w:space="0" w:color="auto"/>
        <w:right w:val="none" w:sz="0" w:space="0" w:color="auto"/>
      </w:divBdr>
    </w:div>
    <w:div w:id="837421945">
      <w:bodyDiv w:val="1"/>
      <w:marLeft w:val="0"/>
      <w:marRight w:val="0"/>
      <w:marTop w:val="0"/>
      <w:marBottom w:val="0"/>
      <w:divBdr>
        <w:top w:val="none" w:sz="0" w:space="0" w:color="auto"/>
        <w:left w:val="none" w:sz="0" w:space="0" w:color="auto"/>
        <w:bottom w:val="none" w:sz="0" w:space="0" w:color="auto"/>
        <w:right w:val="none" w:sz="0" w:space="0" w:color="auto"/>
      </w:divBdr>
    </w:div>
    <w:div w:id="873231926">
      <w:bodyDiv w:val="1"/>
      <w:marLeft w:val="0"/>
      <w:marRight w:val="0"/>
      <w:marTop w:val="0"/>
      <w:marBottom w:val="0"/>
      <w:divBdr>
        <w:top w:val="none" w:sz="0" w:space="0" w:color="auto"/>
        <w:left w:val="none" w:sz="0" w:space="0" w:color="auto"/>
        <w:bottom w:val="none" w:sz="0" w:space="0" w:color="auto"/>
        <w:right w:val="none" w:sz="0" w:space="0" w:color="auto"/>
      </w:divBdr>
    </w:div>
    <w:div w:id="876162434">
      <w:bodyDiv w:val="1"/>
      <w:marLeft w:val="0"/>
      <w:marRight w:val="0"/>
      <w:marTop w:val="0"/>
      <w:marBottom w:val="0"/>
      <w:divBdr>
        <w:top w:val="none" w:sz="0" w:space="0" w:color="auto"/>
        <w:left w:val="none" w:sz="0" w:space="0" w:color="auto"/>
        <w:bottom w:val="none" w:sz="0" w:space="0" w:color="auto"/>
        <w:right w:val="none" w:sz="0" w:space="0" w:color="auto"/>
      </w:divBdr>
    </w:div>
    <w:div w:id="960038462">
      <w:bodyDiv w:val="1"/>
      <w:marLeft w:val="0"/>
      <w:marRight w:val="0"/>
      <w:marTop w:val="0"/>
      <w:marBottom w:val="0"/>
      <w:divBdr>
        <w:top w:val="none" w:sz="0" w:space="0" w:color="auto"/>
        <w:left w:val="none" w:sz="0" w:space="0" w:color="auto"/>
        <w:bottom w:val="none" w:sz="0" w:space="0" w:color="auto"/>
        <w:right w:val="none" w:sz="0" w:space="0" w:color="auto"/>
      </w:divBdr>
    </w:div>
    <w:div w:id="997271913">
      <w:bodyDiv w:val="1"/>
      <w:marLeft w:val="0"/>
      <w:marRight w:val="0"/>
      <w:marTop w:val="0"/>
      <w:marBottom w:val="0"/>
      <w:divBdr>
        <w:top w:val="none" w:sz="0" w:space="0" w:color="auto"/>
        <w:left w:val="none" w:sz="0" w:space="0" w:color="auto"/>
        <w:bottom w:val="none" w:sz="0" w:space="0" w:color="auto"/>
        <w:right w:val="none" w:sz="0" w:space="0" w:color="auto"/>
      </w:divBdr>
    </w:div>
    <w:div w:id="1017346828">
      <w:bodyDiv w:val="1"/>
      <w:marLeft w:val="0"/>
      <w:marRight w:val="0"/>
      <w:marTop w:val="0"/>
      <w:marBottom w:val="0"/>
      <w:divBdr>
        <w:top w:val="none" w:sz="0" w:space="0" w:color="auto"/>
        <w:left w:val="none" w:sz="0" w:space="0" w:color="auto"/>
        <w:bottom w:val="none" w:sz="0" w:space="0" w:color="auto"/>
        <w:right w:val="none" w:sz="0" w:space="0" w:color="auto"/>
      </w:divBdr>
    </w:div>
    <w:div w:id="1035690979">
      <w:bodyDiv w:val="1"/>
      <w:marLeft w:val="0"/>
      <w:marRight w:val="0"/>
      <w:marTop w:val="0"/>
      <w:marBottom w:val="0"/>
      <w:divBdr>
        <w:top w:val="none" w:sz="0" w:space="0" w:color="auto"/>
        <w:left w:val="none" w:sz="0" w:space="0" w:color="auto"/>
        <w:bottom w:val="none" w:sz="0" w:space="0" w:color="auto"/>
        <w:right w:val="none" w:sz="0" w:space="0" w:color="auto"/>
      </w:divBdr>
    </w:div>
    <w:div w:id="1058432336">
      <w:bodyDiv w:val="1"/>
      <w:marLeft w:val="0"/>
      <w:marRight w:val="0"/>
      <w:marTop w:val="0"/>
      <w:marBottom w:val="0"/>
      <w:divBdr>
        <w:top w:val="none" w:sz="0" w:space="0" w:color="auto"/>
        <w:left w:val="none" w:sz="0" w:space="0" w:color="auto"/>
        <w:bottom w:val="none" w:sz="0" w:space="0" w:color="auto"/>
        <w:right w:val="none" w:sz="0" w:space="0" w:color="auto"/>
      </w:divBdr>
    </w:div>
    <w:div w:id="1117993379">
      <w:bodyDiv w:val="1"/>
      <w:marLeft w:val="0"/>
      <w:marRight w:val="0"/>
      <w:marTop w:val="0"/>
      <w:marBottom w:val="0"/>
      <w:divBdr>
        <w:top w:val="none" w:sz="0" w:space="0" w:color="auto"/>
        <w:left w:val="none" w:sz="0" w:space="0" w:color="auto"/>
        <w:bottom w:val="none" w:sz="0" w:space="0" w:color="auto"/>
        <w:right w:val="none" w:sz="0" w:space="0" w:color="auto"/>
      </w:divBdr>
    </w:div>
    <w:div w:id="1246762235">
      <w:bodyDiv w:val="1"/>
      <w:marLeft w:val="0"/>
      <w:marRight w:val="0"/>
      <w:marTop w:val="0"/>
      <w:marBottom w:val="0"/>
      <w:divBdr>
        <w:top w:val="none" w:sz="0" w:space="0" w:color="auto"/>
        <w:left w:val="none" w:sz="0" w:space="0" w:color="auto"/>
        <w:bottom w:val="none" w:sz="0" w:space="0" w:color="auto"/>
        <w:right w:val="none" w:sz="0" w:space="0" w:color="auto"/>
      </w:divBdr>
    </w:div>
    <w:div w:id="1252086620">
      <w:bodyDiv w:val="1"/>
      <w:marLeft w:val="0"/>
      <w:marRight w:val="0"/>
      <w:marTop w:val="0"/>
      <w:marBottom w:val="0"/>
      <w:divBdr>
        <w:top w:val="none" w:sz="0" w:space="0" w:color="auto"/>
        <w:left w:val="none" w:sz="0" w:space="0" w:color="auto"/>
        <w:bottom w:val="none" w:sz="0" w:space="0" w:color="auto"/>
        <w:right w:val="none" w:sz="0" w:space="0" w:color="auto"/>
      </w:divBdr>
    </w:div>
    <w:div w:id="1301688099">
      <w:bodyDiv w:val="1"/>
      <w:marLeft w:val="0"/>
      <w:marRight w:val="0"/>
      <w:marTop w:val="0"/>
      <w:marBottom w:val="0"/>
      <w:divBdr>
        <w:top w:val="none" w:sz="0" w:space="0" w:color="auto"/>
        <w:left w:val="none" w:sz="0" w:space="0" w:color="auto"/>
        <w:bottom w:val="none" w:sz="0" w:space="0" w:color="auto"/>
        <w:right w:val="none" w:sz="0" w:space="0" w:color="auto"/>
      </w:divBdr>
    </w:div>
    <w:div w:id="1428816397">
      <w:bodyDiv w:val="1"/>
      <w:marLeft w:val="0"/>
      <w:marRight w:val="0"/>
      <w:marTop w:val="0"/>
      <w:marBottom w:val="0"/>
      <w:divBdr>
        <w:top w:val="none" w:sz="0" w:space="0" w:color="auto"/>
        <w:left w:val="none" w:sz="0" w:space="0" w:color="auto"/>
        <w:bottom w:val="none" w:sz="0" w:space="0" w:color="auto"/>
        <w:right w:val="none" w:sz="0" w:space="0" w:color="auto"/>
      </w:divBdr>
    </w:div>
    <w:div w:id="1482162967">
      <w:bodyDiv w:val="1"/>
      <w:marLeft w:val="0"/>
      <w:marRight w:val="0"/>
      <w:marTop w:val="0"/>
      <w:marBottom w:val="0"/>
      <w:divBdr>
        <w:top w:val="none" w:sz="0" w:space="0" w:color="auto"/>
        <w:left w:val="none" w:sz="0" w:space="0" w:color="auto"/>
        <w:bottom w:val="none" w:sz="0" w:space="0" w:color="auto"/>
        <w:right w:val="none" w:sz="0" w:space="0" w:color="auto"/>
      </w:divBdr>
    </w:div>
    <w:div w:id="1532642982">
      <w:bodyDiv w:val="1"/>
      <w:marLeft w:val="0"/>
      <w:marRight w:val="0"/>
      <w:marTop w:val="0"/>
      <w:marBottom w:val="0"/>
      <w:divBdr>
        <w:top w:val="none" w:sz="0" w:space="0" w:color="auto"/>
        <w:left w:val="none" w:sz="0" w:space="0" w:color="auto"/>
        <w:bottom w:val="none" w:sz="0" w:space="0" w:color="auto"/>
        <w:right w:val="none" w:sz="0" w:space="0" w:color="auto"/>
      </w:divBdr>
    </w:div>
    <w:div w:id="1654874834">
      <w:bodyDiv w:val="1"/>
      <w:marLeft w:val="0"/>
      <w:marRight w:val="0"/>
      <w:marTop w:val="0"/>
      <w:marBottom w:val="0"/>
      <w:divBdr>
        <w:top w:val="none" w:sz="0" w:space="0" w:color="auto"/>
        <w:left w:val="none" w:sz="0" w:space="0" w:color="auto"/>
        <w:bottom w:val="none" w:sz="0" w:space="0" w:color="auto"/>
        <w:right w:val="none" w:sz="0" w:space="0" w:color="auto"/>
      </w:divBdr>
    </w:div>
    <w:div w:id="1682658189">
      <w:bodyDiv w:val="1"/>
      <w:marLeft w:val="0"/>
      <w:marRight w:val="0"/>
      <w:marTop w:val="0"/>
      <w:marBottom w:val="0"/>
      <w:divBdr>
        <w:top w:val="none" w:sz="0" w:space="0" w:color="auto"/>
        <w:left w:val="none" w:sz="0" w:space="0" w:color="auto"/>
        <w:bottom w:val="none" w:sz="0" w:space="0" w:color="auto"/>
        <w:right w:val="none" w:sz="0" w:space="0" w:color="auto"/>
      </w:divBdr>
    </w:div>
    <w:div w:id="1697736440">
      <w:bodyDiv w:val="1"/>
      <w:marLeft w:val="0"/>
      <w:marRight w:val="0"/>
      <w:marTop w:val="0"/>
      <w:marBottom w:val="0"/>
      <w:divBdr>
        <w:top w:val="none" w:sz="0" w:space="0" w:color="auto"/>
        <w:left w:val="none" w:sz="0" w:space="0" w:color="auto"/>
        <w:bottom w:val="none" w:sz="0" w:space="0" w:color="auto"/>
        <w:right w:val="none" w:sz="0" w:space="0" w:color="auto"/>
      </w:divBdr>
    </w:div>
    <w:div w:id="1774595070">
      <w:bodyDiv w:val="1"/>
      <w:marLeft w:val="0"/>
      <w:marRight w:val="0"/>
      <w:marTop w:val="0"/>
      <w:marBottom w:val="0"/>
      <w:divBdr>
        <w:top w:val="none" w:sz="0" w:space="0" w:color="auto"/>
        <w:left w:val="none" w:sz="0" w:space="0" w:color="auto"/>
        <w:bottom w:val="none" w:sz="0" w:space="0" w:color="auto"/>
        <w:right w:val="none" w:sz="0" w:space="0" w:color="auto"/>
      </w:divBdr>
    </w:div>
    <w:div w:id="1994329171">
      <w:bodyDiv w:val="1"/>
      <w:marLeft w:val="0"/>
      <w:marRight w:val="0"/>
      <w:marTop w:val="0"/>
      <w:marBottom w:val="0"/>
      <w:divBdr>
        <w:top w:val="none" w:sz="0" w:space="0" w:color="auto"/>
        <w:left w:val="none" w:sz="0" w:space="0" w:color="auto"/>
        <w:bottom w:val="none" w:sz="0" w:space="0" w:color="auto"/>
        <w:right w:val="none" w:sz="0" w:space="0" w:color="auto"/>
      </w:divBdr>
    </w:div>
    <w:div w:id="1995183938">
      <w:bodyDiv w:val="1"/>
      <w:marLeft w:val="0"/>
      <w:marRight w:val="0"/>
      <w:marTop w:val="0"/>
      <w:marBottom w:val="0"/>
      <w:divBdr>
        <w:top w:val="none" w:sz="0" w:space="0" w:color="auto"/>
        <w:left w:val="none" w:sz="0" w:space="0" w:color="auto"/>
        <w:bottom w:val="none" w:sz="0" w:space="0" w:color="auto"/>
        <w:right w:val="none" w:sz="0" w:space="0" w:color="auto"/>
      </w:divBdr>
    </w:div>
    <w:div w:id="2008551992">
      <w:bodyDiv w:val="1"/>
      <w:marLeft w:val="0"/>
      <w:marRight w:val="0"/>
      <w:marTop w:val="0"/>
      <w:marBottom w:val="0"/>
      <w:divBdr>
        <w:top w:val="none" w:sz="0" w:space="0" w:color="auto"/>
        <w:left w:val="none" w:sz="0" w:space="0" w:color="auto"/>
        <w:bottom w:val="none" w:sz="0" w:space="0" w:color="auto"/>
        <w:right w:val="none" w:sz="0" w:space="0" w:color="auto"/>
      </w:divBdr>
    </w:div>
    <w:div w:id="2106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16.xml"/><Relationship Id="rId21" Type="http://schemas.openxmlformats.org/officeDocument/2006/relationships/footer" Target="footer5.xml"/><Relationship Id="rId34" Type="http://schemas.openxmlformats.org/officeDocument/2006/relationships/header" Target="header14.xml"/><Relationship Id="rId42" Type="http://schemas.openxmlformats.org/officeDocument/2006/relationships/footer" Target="footer11.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image" Target="media/image11.emf"/><Relationship Id="rId63" Type="http://schemas.openxmlformats.org/officeDocument/2006/relationships/image" Target="media/image18.emf"/><Relationship Id="rId68" Type="http://schemas.openxmlformats.org/officeDocument/2006/relationships/image" Target="media/image23.emf"/><Relationship Id="rId76" Type="http://schemas.openxmlformats.org/officeDocument/2006/relationships/header" Target="header25.xml"/><Relationship Id="rId7" Type="http://schemas.openxmlformats.org/officeDocument/2006/relationships/footnotes" Target="footnotes.xml"/><Relationship Id="rId71"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image" Target="media/image4.emf"/><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image" Target="media/image7.emf"/><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yperlink" Target="http://www.health.gov.au/casemix" TargetMode="External"/><Relationship Id="rId53" Type="http://schemas.openxmlformats.org/officeDocument/2006/relationships/image" Target="media/image9.emf"/><Relationship Id="rId58" Type="http://schemas.openxmlformats.org/officeDocument/2006/relationships/image" Target="media/image13.emf"/><Relationship Id="rId66" Type="http://schemas.openxmlformats.org/officeDocument/2006/relationships/image" Target="media/image21.emf"/><Relationship Id="rId74" Type="http://schemas.openxmlformats.org/officeDocument/2006/relationships/header" Target="header23.xml"/><Relationship Id="rId79" Type="http://schemas.openxmlformats.org/officeDocument/2006/relationships/footer" Target="footer17.xml"/><Relationship Id="rId5" Type="http://schemas.openxmlformats.org/officeDocument/2006/relationships/settings" Target="settings.xml"/><Relationship Id="rId61" Type="http://schemas.openxmlformats.org/officeDocument/2006/relationships/image" Target="media/image16.emf"/><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image" Target="media/image6.emf"/><Relationship Id="rId44" Type="http://schemas.openxmlformats.org/officeDocument/2006/relationships/footer" Target="footer12.xml"/><Relationship Id="rId52" Type="http://schemas.openxmlformats.org/officeDocument/2006/relationships/image" Target="media/image8.emf"/><Relationship Id="rId60" Type="http://schemas.openxmlformats.org/officeDocument/2006/relationships/image" Target="media/image15.emf"/><Relationship Id="rId65" Type="http://schemas.openxmlformats.org/officeDocument/2006/relationships/image" Target="media/image20.emf"/><Relationship Id="rId73" Type="http://schemas.openxmlformats.org/officeDocument/2006/relationships/image" Target="media/image28.emf"/><Relationship Id="rId78" Type="http://schemas.openxmlformats.org/officeDocument/2006/relationships/footer" Target="footer16.xm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oter" Target="footer7.xml"/><Relationship Id="rId43" Type="http://schemas.openxmlformats.org/officeDocument/2006/relationships/header" Target="header18.xml"/><Relationship Id="rId48" Type="http://schemas.openxmlformats.org/officeDocument/2006/relationships/footer" Target="footer13.xml"/><Relationship Id="rId56" Type="http://schemas.openxmlformats.org/officeDocument/2006/relationships/image" Target="media/image12.emf"/><Relationship Id="rId64" Type="http://schemas.openxmlformats.org/officeDocument/2006/relationships/image" Target="media/image19.emf"/><Relationship Id="rId69" Type="http://schemas.openxmlformats.org/officeDocument/2006/relationships/image" Target="media/image24.emf"/><Relationship Id="rId77" Type="http://schemas.openxmlformats.org/officeDocument/2006/relationships/header" Target="header26.xml"/><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image" Target="media/image27.emf"/><Relationship Id="rId80"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3.xml"/><Relationship Id="rId38" Type="http://schemas.openxmlformats.org/officeDocument/2006/relationships/footer" Target="footer9.xml"/><Relationship Id="rId46" Type="http://schemas.openxmlformats.org/officeDocument/2006/relationships/header" Target="header19.xml"/><Relationship Id="rId59" Type="http://schemas.openxmlformats.org/officeDocument/2006/relationships/image" Target="media/image14.emf"/><Relationship Id="rId67" Type="http://schemas.openxmlformats.org/officeDocument/2006/relationships/image" Target="media/image22.emf"/><Relationship Id="rId20" Type="http://schemas.openxmlformats.org/officeDocument/2006/relationships/footer" Target="footer4.xml"/><Relationship Id="rId41" Type="http://schemas.openxmlformats.org/officeDocument/2006/relationships/footer" Target="footer10.xml"/><Relationship Id="rId54" Type="http://schemas.openxmlformats.org/officeDocument/2006/relationships/image" Target="media/image10.emf"/><Relationship Id="rId62" Type="http://schemas.openxmlformats.org/officeDocument/2006/relationships/image" Target="media/image17.emf"/><Relationship Id="rId70" Type="http://schemas.openxmlformats.org/officeDocument/2006/relationships/image" Target="media/image25.emf"/><Relationship Id="rId75"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eader" Target="header22.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internet/main/publishing.nsf/Content/Round_13-cost-reports" TargetMode="External"/><Relationship Id="rId1" Type="http://schemas.openxmlformats.org/officeDocument/2006/relationships/hyperlink" Target="http://www.health.gov.au/internet/main/publishing.nsf/Content/Australia-Hospital-Patient-Costing-Standard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ila%20Qasem\AppData\Roaming\Microsoft\Templates\PwCWL_Report%20Georgia.dotm" TargetMode="External"/></Relationships>
</file>

<file path=word/theme/theme1.xml><?xml version="1.0" encoding="utf-8"?>
<a:theme xmlns:a="http://schemas.openxmlformats.org/drawingml/2006/main" name="PwC">
  <a:themeElements>
    <a:clrScheme name="PwC Burgundy">
      <a:dk1>
        <a:srgbClr val="000000"/>
      </a:dk1>
      <a:lt1>
        <a:srgbClr val="FFFFFF"/>
      </a:lt1>
      <a:dk2>
        <a:srgbClr val="A32020"/>
      </a:dk2>
      <a:lt2>
        <a:srgbClr val="FFFFFF"/>
      </a:lt2>
      <a:accent1>
        <a:srgbClr val="A32020"/>
      </a:accent1>
      <a:accent2>
        <a:srgbClr val="E0301E"/>
      </a:accent2>
      <a:accent3>
        <a:srgbClr val="602320"/>
      </a:accent3>
      <a:accent4>
        <a:srgbClr val="DB536A"/>
      </a:accent4>
      <a:accent5>
        <a:srgbClr val="DC6900"/>
      </a:accent5>
      <a:accent6>
        <a:srgbClr val="FFB600"/>
      </a:accent6>
      <a:hlink>
        <a:srgbClr val="A32020"/>
      </a:hlink>
      <a:folHlink>
        <a:srgbClr val="A32020"/>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8F80-08C1-4004-9C62-F95EFDB2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49</TotalTime>
  <Pages>66</Pages>
  <Words>12116</Words>
  <Characters>65890</Characters>
  <Application>Microsoft Office Word</Application>
  <DocSecurity>0</DocSecurity>
  <Lines>549</Lines>
  <Paragraphs>155</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77851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Ognjen Stancevic</dc:creator>
  <cp:lastModifiedBy>Milton Alison</cp:lastModifiedBy>
  <cp:revision>7</cp:revision>
  <cp:lastPrinted>2013-09-04T01:50:00Z</cp:lastPrinted>
  <dcterms:created xsi:type="dcterms:W3CDTF">2013-12-12T06:03:00Z</dcterms:created>
  <dcterms:modified xsi:type="dcterms:W3CDTF">2013-12-12T21:16:00Z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2</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sMaroon</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N1A</vt:lpwstr>
  </property>
  <property fmtid="{D5CDD505-2E9C-101B-9397-08002B2CF9AE}" pid="17" name="New Report">
    <vt:bool>false</vt:bool>
  </property>
  <property fmtid="{D5CDD505-2E9C-101B-9397-08002B2CF9AE}" pid="18" name="Mirror Margins">
    <vt:bool>false</vt:bool>
  </property>
  <property fmtid="{D5CDD505-2E9C-101B-9397-08002B2CF9AE}" pid="19" name="Number of Columns">
    <vt:i4>1</vt:i4>
  </property>
  <property fmtid="{D5CDD505-2E9C-101B-9397-08002B2CF9AE}" pid="20" name="Double">
    <vt:bool>true</vt:bool>
  </property>
  <property fmtid="{D5CDD505-2E9C-101B-9397-08002B2CF9AE}" pid="21" name="Version">
    <vt:lpwstr>30May2012</vt:lpwstr>
  </property>
  <property fmtid="{D5CDD505-2E9C-101B-9397-08002B2CF9AE}" pid="22" name="AP report or proposal">
    <vt:bool>true</vt:bool>
  </property>
  <property fmtid="{D5CDD505-2E9C-101B-9397-08002B2CF9AE}" pid="23" name="VersionNo">
    <vt:lpwstr>8.6</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y fmtid="{D5CDD505-2E9C-101B-9397-08002B2CF9AE}" pid="29" name="DMSDOCTYPE">
    <vt:lpwstr/>
  </property>
  <property fmtid="{D5CDD505-2E9C-101B-9397-08002B2CF9AE}" pid="30" name="DraftType">
    <vt:lpwstr/>
  </property>
  <property fmtid="{D5CDD505-2E9C-101B-9397-08002B2CF9AE}" pid="31" name="WPLUSServerName">
    <vt:lpwstr/>
  </property>
  <property fmtid="{D5CDD505-2E9C-101B-9397-08002B2CF9AE}" pid="32" name="WPLUSDataBaseName">
    <vt:lpwstr/>
  </property>
  <property fmtid="{D5CDD505-2E9C-101B-9397-08002B2CF9AE}" pid="33" name="WPLUSDocumentUNID">
    <vt:lpwstr/>
  </property>
  <property fmtid="{D5CDD505-2E9C-101B-9397-08002B2CF9AE}" pid="34" name="NeverSavedToNT">
    <vt:lpwstr/>
  </property>
</Properties>
</file>